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CA1442" w14:textId="50D8B002" w:rsidR="00787570" w:rsidRDefault="000D56E2">
      <w:pPr>
        <w:rPr>
          <w:vanish/>
        </w:rPr>
      </w:pPr>
      <w:r>
        <w:rPr>
          <w:rFonts w:ascii="宋体" w:eastAsia="宋体" w:hAnsi="宋体" w:cs="宋体"/>
        </w:rPr>
        <w:t xml:space="preserve"> </w:t>
      </w:r>
      <w:r>
        <w:rPr>
          <w:rFonts w:ascii="宋体" w:eastAsia="宋体" w:hAnsi="宋体" w:cs="宋体"/>
          <w:vanish/>
        </w:rPr>
        <w:t xml:space="preserve">September 26, 20200000050863December </w:t>
      </w:r>
      <w:r>
        <w:rPr>
          <w:rFonts w:ascii="宋体" w:eastAsia="宋体" w:hAnsi="宋体" w:cs="宋体"/>
          <w:vanish/>
        </w:rPr>
        <w:t>262020Q3FALSE80,08473,3214,0984,2904,0984,2901.321.260.660.630.080.351.852.451.703.302.353.104.002.704.102.882.703.403.702.603.753.152.453.904.004.604.804.254.904.104.104.103.733.254.753.104.952.402.705.005.003.256,4471.021.3525,49423,25710,39211,54715,112</w:t>
      </w:r>
      <w:r>
        <w:rPr>
          <w:rFonts w:ascii="宋体" w:eastAsia="宋体" w:hAnsi="宋体" w:cs="宋体"/>
          <w:vanish/>
        </w:rPr>
        <w:t>9,92011,22012,42100000508632019-12-292020-09-26xbrli:shares00000508632020-09-26iso4217:USD00000508632020-06-282020-09-2600000508632019-06-302019-09-2800000508632018-12-302019-09-280000050863us-gaap:RetainedEarningsMember2020-06-282020-09-260000050863us-gaa</w:t>
      </w:r>
      <w:r>
        <w:rPr>
          <w:rFonts w:ascii="宋体" w:eastAsia="宋体" w:hAnsi="宋体" w:cs="宋体"/>
          <w:vanish/>
        </w:rPr>
        <w:t>p:RetainedEarningsMember2019-12-292020-09-26iso4217:USDxbrli:shares00000508632019-12-2800000508632018-12-2900000508632019-09-280000050863us-gaap:CommonStockIncludingAdditionalPaidInCapitalMember2020-06-270000050863us-gaap:AccumulatedOtherComprehensiveIncom</w:t>
      </w:r>
      <w:r>
        <w:rPr>
          <w:rFonts w:ascii="宋体" w:eastAsia="宋体" w:hAnsi="宋体" w:cs="宋体"/>
          <w:vanish/>
        </w:rPr>
        <w:t>eMember2020-06-270000050863us-gaap:RetainedEarningsMember2020-06-2700000508632020-06-270000050863us-gaap:AccumulatedOtherComprehensiveIncomeMember2020-06-282020-09-260000050863us-gaap:CommonStockIncludingAdditionalPaidInCapitalMember2020-06-282020-09-26000</w:t>
      </w:r>
      <w:r>
        <w:rPr>
          <w:rFonts w:ascii="宋体" w:eastAsia="宋体" w:hAnsi="宋体" w:cs="宋体"/>
          <w:vanish/>
        </w:rPr>
        <w:t>0050863us-gaap:CommonStockIncludingAdditionalPaidInCapitalMember2020-09-260000050863us-gaap:AccumulatedOtherComprehensiveIncomeMember2020-09-260000050863us-gaap:RetainedEarningsMember2020-09-260000050863us-gaap:CommonStockIncludingAdditionalPaidInCapitalMe</w:t>
      </w:r>
      <w:r>
        <w:rPr>
          <w:rFonts w:ascii="宋体" w:eastAsia="宋体" w:hAnsi="宋体" w:cs="宋体"/>
          <w:vanish/>
        </w:rPr>
        <w:t>mber2019-06-290000050863us-gaap:AccumulatedOtherComprehensiveIncomeMember2019-06-290000050863us-gaap:RetainedEarningsMember2019-06-2900000508632019-06-290000050863us-gaap:RetainedEarningsMember2019-06-302019-09-280000050863us-gaap:AccumulatedOtherComprehen</w:t>
      </w:r>
      <w:r>
        <w:rPr>
          <w:rFonts w:ascii="宋体" w:eastAsia="宋体" w:hAnsi="宋体" w:cs="宋体"/>
          <w:vanish/>
        </w:rPr>
        <w:t>siveIncomeMember2019-06-302019-09-280000050863us-gaap:CommonStockIncludingAdditionalPaidInCapitalMember2019-06-302019-09-280000050863us-gaap:CommonStockIncludingAdditionalPaidInCapitalMember2019-09-280000050863us-gaap:AccumulatedOtherComprehensiveIncomeMem</w:t>
      </w:r>
      <w:r>
        <w:rPr>
          <w:rFonts w:ascii="宋体" w:eastAsia="宋体" w:hAnsi="宋体" w:cs="宋体"/>
          <w:vanish/>
        </w:rPr>
        <w:t>ber2019-09-280000050863us-gaap:RetainedEarningsMember2019-09-280000050863us-gaap:CommonStockIncludingAdditionalPaidInCapitalMember2019-12-280000050863us-gaap:AccumulatedOtherComprehensiveIncomeMember2019-12-280000050863us-gaap:RetainedEarningsMember2019-12</w:t>
      </w:r>
      <w:r>
        <w:rPr>
          <w:rFonts w:ascii="宋体" w:eastAsia="宋体" w:hAnsi="宋体" w:cs="宋体"/>
          <w:vanish/>
        </w:rPr>
        <w:t>-280000050863us-gaap:AccumulatedOtherComprehensiveIncomeMember2019-12-292020-09-260000050863us-gaap:CommonStockIncludingAdditionalPaidInCapitalMember2019-12-292020-09-260000050863us-gaap:CommonStockIncludingAdditionalPaidInCapitalMember2018-12-290000050863</w:t>
      </w:r>
      <w:r>
        <w:rPr>
          <w:rFonts w:ascii="宋体" w:eastAsia="宋体" w:hAnsi="宋体" w:cs="宋体"/>
          <w:vanish/>
        </w:rPr>
        <w:t>us-gaap:AccumulatedOtherComprehensiveIncomeMember2018-12-290000050863us-gaap:RetainedEarningsMember2018-12-290000050863us-gaap:RetainedEarningsMember2018-12-302019-09-280000050863us-gaap:AccumulatedOtherComprehensiveIncomeMember2018-12-302019-09-2800000508</w:t>
      </w:r>
      <w:r>
        <w:rPr>
          <w:rFonts w:ascii="宋体" w:eastAsia="宋体" w:hAnsi="宋体" w:cs="宋体"/>
          <w:vanish/>
        </w:rPr>
        <w:t>63us-gaap:CommonStockIncludingAdditionalPaidInCapitalMember2018-12-302019-09-280000050863intc:DCGPlatformMember2020-06-282020-09-260000050863intc:DCGPlatformMember2019-06-302019-09-280000050863intc:DCGPlatformMember2019-12-292020-09-260000050863intc:DCGPla</w:t>
      </w:r>
      <w:r>
        <w:rPr>
          <w:rFonts w:ascii="宋体" w:eastAsia="宋体" w:hAnsi="宋体" w:cs="宋体"/>
          <w:vanish/>
        </w:rPr>
        <w:t>tformMember2018-12-302019-09-280000050863intc:OtherProductOrServiceMemberintc:DataCenterGroupMember2020-06-282020-09-260000050863intc:OtherProductOrServiceMemberintc:DataCenterGroupMember2019-06-302019-09-280000050863intc:OtherProductOrServiceMemberintc:Da</w:t>
      </w:r>
      <w:r>
        <w:rPr>
          <w:rFonts w:ascii="宋体" w:eastAsia="宋体" w:hAnsi="宋体" w:cs="宋体"/>
          <w:vanish/>
        </w:rPr>
        <w:t>taCenterGroupMember2019-12-292020-09-260000050863intc:OtherProductOrServiceMemberintc:DataCenterGroupMember2018-12-302019-09-280000050863intc:DataCenterGroupMember2020-06-282020-09-260000050863intc:DataCenterGroupMember2019-06-302019-09-280000050863intc:Da</w:t>
      </w:r>
      <w:r>
        <w:rPr>
          <w:rFonts w:ascii="宋体" w:eastAsia="宋体" w:hAnsi="宋体" w:cs="宋体"/>
          <w:vanish/>
        </w:rPr>
        <w:t>taCenterGroupMember2019-12-292020-09-260000050863intc:DataCenterGroupMember2018-12-302019-09-280000050863intc:InternetOfThingsGroupMember2020-06-282020-09-260000050863intc:InternetOfThingsGroupMember2019-06-302019-09-280000050863intc:InternetOfThingsGroupM</w:t>
      </w:r>
      <w:r>
        <w:rPr>
          <w:rFonts w:ascii="宋体" w:eastAsia="宋体" w:hAnsi="宋体" w:cs="宋体"/>
          <w:vanish/>
        </w:rPr>
        <w:t>ember2019-12-292020-09-260000050863intc:InternetOfThingsGroupMember2018-12-302019-09-280000050863intc:MobileyeMember2020-06-282020-09-260000050863intc:MobileyeMember2019-06-302019-09-280000050863intc:MobileyeMember2019-12-292020-09-260000050863intc:Mobiley</w:t>
      </w:r>
      <w:r>
        <w:rPr>
          <w:rFonts w:ascii="宋体" w:eastAsia="宋体" w:hAnsi="宋体" w:cs="宋体"/>
          <w:vanish/>
        </w:rPr>
        <w:t>eMember2018-12-302019-09-280000050863intc:InternetofThingsMember2020-06-282020-09-260000050863intc:InternetofThingsMember2019-06-302019-09-280000050863intc:InternetofThingsMember2019-12-292020-09-260000050863intc:InternetofThingsMember2018-12-302019-09-280</w:t>
      </w:r>
      <w:r>
        <w:rPr>
          <w:rFonts w:ascii="宋体" w:eastAsia="宋体" w:hAnsi="宋体" w:cs="宋体"/>
          <w:vanish/>
        </w:rPr>
        <w:t>000050863intc:NonVolatileMemorySolutionsGroupMember2020-06-282020-09-260000050863intc:NonVolatileMemorySolutionsGroupMember2019-06-302019-09-280000050863intc:NonVolatileMemorySolutionsGroupMember2019-12-292020-09-260000050863intc:NonVolatileMemorySolutions</w:t>
      </w:r>
      <w:r>
        <w:rPr>
          <w:rFonts w:ascii="宋体" w:eastAsia="宋体" w:hAnsi="宋体" w:cs="宋体"/>
          <w:vanish/>
        </w:rPr>
        <w:t>GroupMember2018-12-302019-09-280000050863intc:ProgrammableSolutionsGroupMember2020-06-282020-09-260000050863intc:ProgrammableSolutionsGroupMember2019-06-302019-09-280000050863intc:ProgrammableSolutionsGroupMember2019-12-292020-09-260000050863intc:Programma</w:t>
      </w:r>
      <w:r>
        <w:rPr>
          <w:rFonts w:ascii="宋体" w:eastAsia="宋体" w:hAnsi="宋体" w:cs="宋体"/>
          <w:vanish/>
        </w:rPr>
        <w:t>bleSolutionsGroupMember2018-12-302019-09-280000050863intc:PlatformMemberintc:ClientComputingGroupMember2020-06-282020-09-260000050863intc:PlatformMemberintc:ClientComputingGroupMember2019-06-302019-09-280000050863intc:PlatformMemberintc:ClientComputingGrou</w:t>
      </w:r>
      <w:r>
        <w:rPr>
          <w:rFonts w:ascii="宋体" w:eastAsia="宋体" w:hAnsi="宋体" w:cs="宋体"/>
          <w:vanish/>
        </w:rPr>
        <w:t>pMember2019-12-292020-09-260000050863intc:PlatformMemberintc:ClientComputingGroupMember2018-12-302019-09-280000050863intc:OtherProductOrServiceMemberintc:ClientComputingGroupMember2020-06-282020-09-260000050863intc:OtherProductOrServiceMemberintc:ClientCom</w:t>
      </w:r>
      <w:r>
        <w:rPr>
          <w:rFonts w:ascii="宋体" w:eastAsia="宋体" w:hAnsi="宋体" w:cs="宋体"/>
          <w:vanish/>
        </w:rPr>
        <w:t>putingGroupMember2019-06-302019-09-280000050863intc:OtherProductOrServiceMemberintc:ClientComputingGroupMember2019-12-292020-09-260000050863intc:OtherProductOrServiceMemberintc:ClientComputingGroupMember2018-12-302019-09-280000050863intc:ClientComputingGro</w:t>
      </w:r>
      <w:r>
        <w:rPr>
          <w:rFonts w:ascii="宋体" w:eastAsia="宋体" w:hAnsi="宋体" w:cs="宋体"/>
          <w:vanish/>
        </w:rPr>
        <w:t>upMember2020-06-282020-09-260000050863intc:ClientComputingGroupMember2019-06-302019-09-280000050863intc:ClientComputingGroupMember2019-12-292020-09-260000050863intc:ClientComputingGroupMember2018-12-302019-09-280000050863us-gaap:AllOtherSegmentsMember2020-</w:t>
      </w:r>
      <w:r>
        <w:rPr>
          <w:rFonts w:ascii="宋体" w:eastAsia="宋体" w:hAnsi="宋体" w:cs="宋体"/>
          <w:vanish/>
        </w:rPr>
        <w:t>06-282020-09-260000050863us-gaap:AllOtherSegmentsMember2019-06-302019-09-280000050863us-gaap:AllOtherSegmentsMember2019-12-292020-09-260000050863us-gaap:AllOtherSegmentsMember2018-12-302019-09-280000050863intc:IOTGPlatformMember2020-06-282020-09-2600000508</w:t>
      </w:r>
      <w:r>
        <w:rPr>
          <w:rFonts w:ascii="宋体" w:eastAsia="宋体" w:hAnsi="宋体" w:cs="宋体"/>
          <w:vanish/>
        </w:rPr>
        <w:t>63intc:IOTGPlatformMember2019-06-302019-09-280000050863intc:IOTGPlatformMember2019-12-292020-09-260000050863intc:IOTGPlatformMember2018-12-302019-09-280000050863intc:DesktopPlatformMember2020-06-282020-09-260000050863intc:DesktopPlatformMember2019-06-30201</w:t>
      </w:r>
      <w:r>
        <w:rPr>
          <w:rFonts w:ascii="宋体" w:eastAsia="宋体" w:hAnsi="宋体" w:cs="宋体"/>
          <w:vanish/>
        </w:rPr>
        <w:t>9-09-280000050863intc:DesktopPlatformMember2019-12-292020-09-260000050863intc:DesktopPlatformMember2018-12-302019-09-280000050863intc:NotebookPlatformMember2020-06-282020-09-260000050863intc:NotebookPlatformMember2019-06-302019-09-280000050863intc:Notebook</w:t>
      </w:r>
      <w:r>
        <w:rPr>
          <w:rFonts w:ascii="宋体" w:eastAsia="宋体" w:hAnsi="宋体" w:cs="宋体"/>
          <w:vanish/>
        </w:rPr>
        <w:t>PlatformMember2019-12-292020-09-260000050863intc:NotebookPlatformMember2018-12-302019-09-280000050863intc:OtherPlatformMember2020-06-282020-09-260000050863intc:OtherPlatformMember2019-06-302019-09-280000050863intc:OtherPlatformMember2019-12-292020-09-26000</w:t>
      </w:r>
      <w:r>
        <w:rPr>
          <w:rFonts w:ascii="宋体" w:eastAsia="宋体" w:hAnsi="宋体" w:cs="宋体"/>
          <w:vanish/>
        </w:rPr>
        <w:t>0050863intc:OtherPlatformMember2018-12-302019-09-280000050863intc:PlatformMember2020-06-282020-09-260000050863intc:PlatformMember2019-06-302019-09-280000050863intc:PlatformMember2019-12-292020-09-260000050863intc:PlatformMember2018-12-302019-09-28000005086</w:t>
      </w:r>
      <w:r>
        <w:rPr>
          <w:rFonts w:ascii="宋体" w:eastAsia="宋体" w:hAnsi="宋体" w:cs="宋体"/>
          <w:vanish/>
        </w:rPr>
        <w:t>3intc:OtherProductOrServiceMember2020-06-282020-09-260000050863intc:OtherProductOrServiceMember2019-06-302019-09-280000050863intc:OtherProductOrServiceMember2019-12-292020-09-260000050863intc:OtherProductOrServiceMember2018-12-302019-09-280000050863us-gaap</w:t>
      </w:r>
      <w:r>
        <w:rPr>
          <w:rFonts w:ascii="宋体" w:eastAsia="宋体" w:hAnsi="宋体" w:cs="宋体"/>
          <w:vanish/>
        </w:rPr>
        <w:t>:SubsequentEventMember2020-10-192020-10-190000050863us-gaap:SubsequentEventMember2020-10-222020-10-220000050863srt:ScenarioForecastMember2025-03-012025-03-310000050863intc:PrepaidSupplyAgreementsMember2020-09-260000050863intc:PrepaidSupplyAgreementsMember2</w:t>
      </w:r>
      <w:r>
        <w:rPr>
          <w:rFonts w:ascii="宋体" w:eastAsia="宋体" w:hAnsi="宋体" w:cs="宋体"/>
          <w:vanish/>
        </w:rPr>
        <w:t>019-12-280000050863intc:SoftwareServicesandOtherMember2020-09-260000050863intc:SoftwareServicesandOtherMember2019-12-280000050863intc:PrepaidSupplyAgreementsMember2019-12-292020-09-2600000508632020-08-012020-08-310000050863intc:A2020RestructuringProgramMem</w:t>
      </w:r>
      <w:r>
        <w:rPr>
          <w:rFonts w:ascii="宋体" w:eastAsia="宋体" w:hAnsi="宋体" w:cs="宋体"/>
          <w:vanish/>
        </w:rPr>
        <w:t>ber2020-06-282020-09-260000050863intc:A2019RestructuringProgramMember2019-06-302019-09-280000050863intc:A2020RestructuringProgramMember2019-12-292020-09-260000050863intc:A2019RestructuringProgramMember2018-12-302019-09-280000050863us-gaap:DebtSecuritiesMem</w:t>
      </w:r>
      <w:r>
        <w:rPr>
          <w:rFonts w:ascii="宋体" w:eastAsia="宋体" w:hAnsi="宋体" w:cs="宋体"/>
          <w:vanish/>
        </w:rPr>
        <w:t>ber2020-06-282020-09-260000050863us-gaap:DebtSecuritiesMember2019-12-292020-09-260000050863us-gaap:DebtSecuritiesMember2018-12-302019-09-280000050863us-gaap:DebtSecuritiesMember2019-06-302019-09-280000050863us-gaap:CorporateDebtSecuritiesMember2020-09-2600</w:t>
      </w:r>
      <w:r>
        <w:rPr>
          <w:rFonts w:ascii="宋体" w:eastAsia="宋体" w:hAnsi="宋体" w:cs="宋体"/>
          <w:vanish/>
        </w:rPr>
        <w:t>00050863us-gaap:CorporateDebtSecuritiesMember2019-12-280000050863us-gaap:FixedIncomeSecuritiesMember2020-09-260000050863us-gaap:FixedIncomeSecuritiesMember2019-12-280000050863intc:GovernmentDebtSecuritiesMember2020-09-260000050863intc:GovernmentDebtSecurit</w:t>
      </w:r>
      <w:r>
        <w:rPr>
          <w:rFonts w:ascii="宋体" w:eastAsia="宋体" w:hAnsi="宋体" w:cs="宋体"/>
          <w:vanish/>
        </w:rPr>
        <w:t>iesMember2019-12-280000050863intc:ImFlashTechnologiesLlcMember2019-09-28xbrli:pure0000050863us-gaap:VariableInterestEntityNotPrimaryBeneficiaryMember2019-12-292020-09-260000050863intc:MoovitMember2020-05-042020-05-040000050863intc:MoovitMember2020-05-04000</w:t>
      </w:r>
      <w:r>
        <w:rPr>
          <w:rFonts w:ascii="宋体" w:eastAsia="宋体" w:hAnsi="宋体" w:cs="宋体"/>
          <w:vanish/>
        </w:rPr>
        <w:t>00508632020-07-312020-07-310000050863us-gaap:CommercialPaperMember2020-09-260000050863intc:DebtInstrumentThirtyEightMember2020-09-260000050863intc:DebtInstrumentThirtyEightMember2019-12-280000050863intc:DebtInstrumentFortyMember2020-09-260000050863intc:Deb</w:t>
      </w:r>
      <w:r>
        <w:rPr>
          <w:rFonts w:ascii="宋体" w:eastAsia="宋体" w:hAnsi="宋体" w:cs="宋体"/>
          <w:vanish/>
        </w:rPr>
        <w:t>tInstrumentFortyMember2019-12-280000050863intc:DebtinstrumentThirtySevenMember2020-09-260000050863intc:DebtinstrumentThirtySevenMember2019-12-280000050863intc:DebtInstrumentFourteenMember2020-09-260000050863intc:DebtInstrumentFourteenMember2019-12-28000005</w:t>
      </w:r>
      <w:r>
        <w:rPr>
          <w:rFonts w:ascii="宋体" w:eastAsia="宋体" w:hAnsi="宋体" w:cs="宋体"/>
          <w:vanish/>
        </w:rPr>
        <w:t>0863intc:DebtInstrumentThirtyOneMember2020-09-260000050863intc:DebtInstrumentThirtyOneMember2019-12-280000050863intc:DebtInstrumentSevenMember2020-09-260000050863intc:DebtInstrumentSevenMember2019-12-280000050863intc:DebtInstrumentThirtyNineMember2020-09-2</w:t>
      </w:r>
      <w:r>
        <w:rPr>
          <w:rFonts w:ascii="宋体" w:eastAsia="宋体" w:hAnsi="宋体" w:cs="宋体"/>
          <w:vanish/>
        </w:rPr>
        <w:t>60000050863intc:DebtInstrumentThirtyNineMember2019-12-280000050863intc:DebtInstrumentFifteenMember2020-09-260000050863intc:DebtInstrumentFifteenMember2019-12-280000050863intc:DebtInstrumentTwentyThreeMember2020-09-260000050863intc:DebtInstrumentTwentyThree</w:t>
      </w:r>
      <w:r>
        <w:rPr>
          <w:rFonts w:ascii="宋体" w:eastAsia="宋体" w:hAnsi="宋体" w:cs="宋体"/>
          <w:vanish/>
        </w:rPr>
        <w:t>Member2019-12-280000050863intc:DebtInstrumentTenMember2020-09-260000050863intc:DebtInstrumentTenMember2019-12-280000050863intc:DebtInstrumentTwentyNineMember2020-09-260000050863intc:DebtInstrumentTwentyNineMember2019-12-280000050863intc:DebtInstrumentForty</w:t>
      </w:r>
      <w:r>
        <w:rPr>
          <w:rFonts w:ascii="宋体" w:eastAsia="宋体" w:hAnsi="宋体" w:cs="宋体"/>
          <w:vanish/>
        </w:rPr>
        <w:t>OneMember2020-09-260000050863intc:DebtInstrumentFortyOneMember2019-12-280000050863intc:DebtInstrumentFortyFourMember2020-09-260000050863intc:DebtInstrumentFortyFourMember2019-12-280000050863intc:FixedrateSeniorNotes3.40dueMarch2025Member2020-09-26000005086</w:t>
      </w:r>
      <w:r>
        <w:rPr>
          <w:rFonts w:ascii="宋体" w:eastAsia="宋体" w:hAnsi="宋体" w:cs="宋体"/>
          <w:vanish/>
        </w:rPr>
        <w:t>3intc:FixedrateSeniorNotes3.40dueMarch2025Member2019-12-280000050863intc:DebtInstrumentSixteenMember2020-09-260000050863intc:DebtInstrumentSixteenMember2019-12-280000050863intc:DebtInstrumentThirtyTwoMember2020-09-260000050863intc:DebtInstrumentThirtyTwoMe</w:t>
      </w:r>
      <w:r>
        <w:rPr>
          <w:rFonts w:ascii="宋体" w:eastAsia="宋体" w:hAnsi="宋体" w:cs="宋体"/>
          <w:vanish/>
        </w:rPr>
        <w:t>mber2019-12-280000050863intc:FixedrateSeniorNotes3.75dueMarch2027Member2020-09-260000050863intc:FixedrateSeniorNotes3.75dueMarch2027Member2019-12-280000050863intc:DebtInstrumentFortyTwoMember2020-09-260000050863intc:DebtInstrumentFortyTwoMember2019-12-2800</w:t>
      </w:r>
      <w:r>
        <w:rPr>
          <w:rFonts w:ascii="宋体" w:eastAsia="宋体" w:hAnsi="宋体" w:cs="宋体"/>
          <w:vanish/>
        </w:rPr>
        <w:t>00050863intc:A2019SeniorNotesdueDecember2029at2.45Member2020-09-260000050863intc:A2019SeniorNotesdueDecember2029at2.45Member2019-12-280000050863intc:FixedrateSeniorNotes3.90dueMarch2030Member2020-09-260000050863intc:FixedrateSeniorNotes3.90dueMarch2030Memb</w:t>
      </w:r>
      <w:r>
        <w:rPr>
          <w:rFonts w:ascii="宋体" w:eastAsia="宋体" w:hAnsi="宋体" w:cs="宋体"/>
          <w:vanish/>
        </w:rPr>
        <w:t>er2019-12-280000050863intc:DebtInstrumentElevenMember2020-09-260000050863intc:DebtInstrumentElevenMember2019-12-280000050863intc:FixedrateSeniorNotes4.60dueMarch2040Member2020-09-260000050863intc:FixedrateSeniorNotes4.60dueMarch2040Member2019-12-2800000508</w:t>
      </w:r>
      <w:r>
        <w:rPr>
          <w:rFonts w:ascii="宋体" w:eastAsia="宋体" w:hAnsi="宋体" w:cs="宋体"/>
          <w:vanish/>
        </w:rPr>
        <w:t>63intc:DebtInstrumentEightMember2020-09-260000050863intc:DebtInstrumentEightMember2019-12-280000050863intc:DebtInstrumentTwelveMember2020-09-260000050863intc:DebtInstrumentTwelveMember2019-12-280000050863intc:DebtInstrumentSeventeenMember2020-09-2600000508</w:t>
      </w:r>
      <w:r>
        <w:rPr>
          <w:rFonts w:ascii="宋体" w:eastAsia="宋体" w:hAnsi="宋体" w:cs="宋体"/>
          <w:vanish/>
        </w:rPr>
        <w:t>63intc:DebtInstrumentSeventeenMember2019-12-280000050863intc:DebtInstrumentThirtyThreeMember2020-09-260000050863intc:DebtInstrumentThirtyThreeMember2019-12-280000050863intc:DebtInstrumentFortyThreeMember2020-09-260000050863intc:DebtInstrumentFortyThreeMemb</w:t>
      </w:r>
      <w:r>
        <w:rPr>
          <w:rFonts w:ascii="宋体" w:eastAsia="宋体" w:hAnsi="宋体" w:cs="宋体"/>
          <w:vanish/>
        </w:rPr>
        <w:t>er2019-12-280000050863intc:A6404.10SeniorNotesdueAugust2047Member2020-09-260000050863intc:A6404.10SeniorNotesdueAugust2047Member2019-12-280000050863intc:A2017SeniornotesdueDecember2047at3.73Member2020-09-260000050863intc:A2017SeniornotesdueDecember2047at3.</w:t>
      </w:r>
      <w:r>
        <w:rPr>
          <w:rFonts w:ascii="宋体" w:eastAsia="宋体" w:hAnsi="宋体" w:cs="宋体"/>
          <w:vanish/>
        </w:rPr>
        <w:t>73Member2019-12-280000050863intc:A2019SeniorNotesdueDecember2049at3.25Member2020-09-260000050863intc:A2019SeniorNotesdueDecember2049at3.25Member2019-12-280000050863intc:FixedrateSeniorNotes4.75dueMarch2050Member2020-09-260000050863intc:FixedrateSeniorNotes</w:t>
      </w:r>
      <w:r>
        <w:rPr>
          <w:rFonts w:ascii="宋体" w:eastAsia="宋体" w:hAnsi="宋体" w:cs="宋体"/>
          <w:vanish/>
        </w:rPr>
        <w:t>4.75dueMarch2050Member2019-12-280000050863intc:FixedrateSeniorNotes3.10dueFebruary2060Member2020-09-260000050863intc:FixedrateSeniorNotes3.10dueFebruary2060Member2019-12-280000050863intc:FixedrateSeniorNotes4.95dueMarch2060Member2020-09-260000050863intc:Fi</w:t>
      </w:r>
      <w:r>
        <w:rPr>
          <w:rFonts w:ascii="宋体" w:eastAsia="宋体" w:hAnsi="宋体" w:cs="宋体"/>
          <w:vanish/>
        </w:rPr>
        <w:t>xedrateSeniorNotes4.95dueMarch2060Member2019-12-280000050863intc:OregonandArizonaBondsMember2020-09-260000050863intc:OregonandArizonaBondsMember2019-12-280000050863intc:StateofOregonBusinessDevelopmentCommissionMember2020-09-260000050863intc:StateofOregonB</w:t>
      </w:r>
      <w:r>
        <w:rPr>
          <w:rFonts w:ascii="宋体" w:eastAsia="宋体" w:hAnsi="宋体" w:cs="宋体"/>
          <w:vanish/>
        </w:rPr>
        <w:t>usinessDevelopmentCommissionMember2019-12-280000050863intc:IndustrialAuthorityoftheCityofChandlerArizonaMember2020-09-260000050863intc:IndustrialAuthorityoftheCityofChandlerArizonaMember2019-12-280000050863intc:DebtInstrumentFourMember2020-09-260000050863i</w:t>
      </w:r>
      <w:r>
        <w:rPr>
          <w:rFonts w:ascii="宋体" w:eastAsia="宋体" w:hAnsi="宋体" w:cs="宋体"/>
          <w:vanish/>
        </w:rPr>
        <w:t>ntc:DebtInstrumentFourMember2019-12-280000050863us-gaap:FairValueHedgingMemberus-gaap:InterestRateSwapMember2019-12-292020-09-260000050863us-gaap:FairValueHedgingMemberus-gaap:InterestRateSwapMember2019-12-292020-06-270000050863intc:DebtInstrumentTwentyThr</w:t>
      </w:r>
      <w:r>
        <w:rPr>
          <w:rFonts w:ascii="宋体" w:eastAsia="宋体" w:hAnsi="宋体" w:cs="宋体"/>
          <w:vanish/>
        </w:rPr>
        <w:t>eeMemberus-gaap:CrossCurrencyInterestRateContractMember2020-09-260000050863intc:ConvertibleDebentures2009Memberus-gaap:ConvertibleDebtMember2020-03-292020-06-270000050863intc:SeniorNotesDueMay2020Memberus-gaap:SeniorNotesMember2020-03-292020-06-27000005086</w:t>
      </w:r>
      <w:r>
        <w:rPr>
          <w:rFonts w:ascii="宋体" w:eastAsia="宋体" w:hAnsi="宋体" w:cs="宋体"/>
          <w:vanish/>
        </w:rPr>
        <w:t>3us-gaap:SeniorNotesMemberintc:SeniorNotesDueJuly2020Member2020-06-282020-09-260000050863us-gaap:SeniorNotesMember2020-09-260000050863intc:DebtInstrumentThirtyEightMemberus-gaap:LondonInterbankOfferedRateLIBORMember2019-12-292020-09-260000050863us-gaap:Lon</w:t>
      </w:r>
      <w:r>
        <w:rPr>
          <w:rFonts w:ascii="宋体" w:eastAsia="宋体" w:hAnsi="宋体" w:cs="宋体"/>
          <w:vanish/>
        </w:rPr>
        <w:t>donInterbankOfferedRateLIBORMemberintc:DebtInstrumentFortyMember2019-12-292020-09-260000050863srt:MinimumMemberintc:OregonandArizonaBondsMember2020-09-260000050863srt:MaximumMemberintc:OregonandArizonaBondsMember2020-09-260000050863us-gaap:FairValueMeasure</w:t>
      </w:r>
      <w:r>
        <w:rPr>
          <w:rFonts w:ascii="宋体" w:eastAsia="宋体" w:hAnsi="宋体" w:cs="宋体"/>
          <w:vanish/>
        </w:rPr>
        <w:t>mentsRecurringMemberus-gaap:CashEquivalentsMemberus-gaap:CorporateDebtSecuritiesMemberus-gaap:FairValueInputsLevel1Member2020-09-260000050863us-gaap:FairValueMeasurementsRecurringMemberus-gaap:CashEquivalentsMemberus-gaap:CorporateDebtSecuritiesMemberus-ga</w:t>
      </w:r>
      <w:r>
        <w:rPr>
          <w:rFonts w:ascii="宋体" w:eastAsia="宋体" w:hAnsi="宋体" w:cs="宋体"/>
          <w:vanish/>
        </w:rPr>
        <w:t>ap:FairValueInputsLevel2Member2020-09-260000050863us-gaap:FairValueMeasurementsRecurringMemberus-gaap:FairValueInputsLevel3Memberus-gaap:CashEquivalentsMemberus-gaap:CorporateDebtSecuritiesMember2020-09-260000050863us-gaap:FairValueMeasurementsRecurringMem</w:t>
      </w:r>
      <w:r>
        <w:rPr>
          <w:rFonts w:ascii="宋体" w:eastAsia="宋体" w:hAnsi="宋体" w:cs="宋体"/>
          <w:vanish/>
        </w:rPr>
        <w:t>berus-gaap:CashEquivalentsMemberus-gaap:CorporateDebtSecuritiesMember2020-09-260000050863us-gaap:FairValueMeasurementsRecurringMemberus-gaap:CashEquivalentsMemberus-gaap:CorporateDebtSecuritiesMemberus-gaap:FairValueInputsLevel1Member2019-12-280000050863us</w:t>
      </w:r>
      <w:r>
        <w:rPr>
          <w:rFonts w:ascii="宋体" w:eastAsia="宋体" w:hAnsi="宋体" w:cs="宋体"/>
          <w:vanish/>
        </w:rPr>
        <w:t>-gaap:FairValueMeasurementsRecurringMemberus-gaap:CashEquivalentsMemberus-gaap:CorporateDebtSecuritiesMemberus-gaap:FairValueInputsLevel2Member2019-12-280000050863us-gaap:FairValueMeasurementsRecurringMemberus-gaap:FairValueInputsLevel3Memberus-gaap:CashEq</w:t>
      </w:r>
      <w:r>
        <w:rPr>
          <w:rFonts w:ascii="宋体" w:eastAsia="宋体" w:hAnsi="宋体" w:cs="宋体"/>
          <w:vanish/>
        </w:rPr>
        <w:t>uivalentsMemberus-gaap:CorporateDebtSecuritiesMember2019-12-280000050863us-gaap:FairValueMeasurementsRecurringMemberus-gaap:CashEquivalentsMemberus-gaap:CorporateDebtSecuritiesMember2019-12-280000050863us-gaap:FairValueMeasurementsRecurringMemberus-gaap:Ca</w:t>
      </w:r>
      <w:r>
        <w:rPr>
          <w:rFonts w:ascii="宋体" w:eastAsia="宋体" w:hAnsi="宋体" w:cs="宋体"/>
          <w:vanish/>
        </w:rPr>
        <w:t>shEquivalentsMemberus-gaap:FixedIncomeSecuritiesMemberus-gaap:FairValueInputsLevel1Member2020-09-260000050863us-gaap:FairValueMeasurementsRecurringMemberus-gaap:CashEquivalentsMemberus-gaap:FixedIncomeSecuritiesMemberus-gaap:FairValueInputsLevel2Member2020</w:t>
      </w:r>
      <w:r>
        <w:rPr>
          <w:rFonts w:ascii="宋体" w:eastAsia="宋体" w:hAnsi="宋体" w:cs="宋体"/>
          <w:vanish/>
        </w:rPr>
        <w:t>-09-260000050863us-gaap:FairValueMeasurementsRecurringMemberus-gaap:FairValueInputsLevel3Memberus-gaap:CashEquivalentsMemberus-gaap:FixedIncomeSecuritiesMember2020-09-260000050863us-gaap:FairValueMeasurementsRecurringMemberus-gaap:CashEquivalentsMemberus-g</w:t>
      </w:r>
      <w:r>
        <w:rPr>
          <w:rFonts w:ascii="宋体" w:eastAsia="宋体" w:hAnsi="宋体" w:cs="宋体"/>
          <w:vanish/>
        </w:rPr>
        <w:t>aap:FixedIncomeSecuritiesMember2020-09-260000050863us-gaap:FairValueMeasurementsRecurringMemberus-gaap:CashEquivalentsMemberus-gaap:FixedIncomeSecuritiesMemberus-gaap:FairValueInputsLevel1Member2019-12-280000050863us-gaap:FairValueMeasurementsRecurringMemb</w:t>
      </w:r>
      <w:r>
        <w:rPr>
          <w:rFonts w:ascii="宋体" w:eastAsia="宋体" w:hAnsi="宋体" w:cs="宋体"/>
          <w:vanish/>
        </w:rPr>
        <w:t>erus-gaap:CashEquivalentsMemberus-gaap:FixedIncomeSecuritiesMemberus-gaap:FairValueInputsLevel2Member2019-12-280000050863us-gaap:FairValueMeasurementsRecurringMemberus-gaap:FairValueInputsLevel3Memberus-gaap:CashEquivalentsMemberus-gaap:FixedIncomeSecuriti</w:t>
      </w:r>
      <w:r>
        <w:rPr>
          <w:rFonts w:ascii="宋体" w:eastAsia="宋体" w:hAnsi="宋体" w:cs="宋体"/>
          <w:vanish/>
        </w:rPr>
        <w:t>esMember2019-12-280000050863us-gaap:FairValueMeasurementsRecurringMemberus-gaap:CashEquivalentsMemberus-gaap:FixedIncomeSecuritiesMember2019-12-280000050863us-gaap:FairValueMeasurementsRecurringMemberus-gaap:CashEquivalentsMemberus-gaap:FairValueInputsLeve</w:t>
      </w:r>
      <w:r>
        <w:rPr>
          <w:rFonts w:ascii="宋体" w:eastAsia="宋体" w:hAnsi="宋体" w:cs="宋体"/>
          <w:vanish/>
        </w:rPr>
        <w:t>l1Memberintc:GovernmentDebtSecuritiesMember2020-09-260000050863us-gaap:FairValueMeasurementsRecurringMemberus-gaap:CashEquivalentsMemberus-gaap:FairValueInputsLevel2Memberintc:GovernmentDebtSecuritiesMember2020-09-260000050863us-gaap:FairValueMeasurementsR</w:t>
      </w:r>
      <w:r>
        <w:rPr>
          <w:rFonts w:ascii="宋体" w:eastAsia="宋体" w:hAnsi="宋体" w:cs="宋体"/>
          <w:vanish/>
        </w:rPr>
        <w:t>ecurringMemberus-gaap:FairValueInputsLevel3Memberus-gaap:CashEquivalentsMemberintc:GovernmentDebtSecuritiesMember2020-09-260000050863us-gaap:FairValueMeasurementsRecurringMemberus-gaap:CashEquivalentsMemberintc:GovernmentDebtSecuritiesMember2020-09-2600000</w:t>
      </w:r>
      <w:r>
        <w:rPr>
          <w:rFonts w:ascii="宋体" w:eastAsia="宋体" w:hAnsi="宋体" w:cs="宋体"/>
          <w:vanish/>
        </w:rPr>
        <w:t>50863us-gaap:FairValueMeasurementsRecurringMemberus-gaap:CashEquivalentsMemberus-gaap:FairValueInputsLevel1Memberintc:GovernmentDebtSecuritiesMember2019-12-280000050863us-gaap:FairValueMeasurementsRecurringMemberus-gaap:CashEquivalentsMemberus-gaap:FairVal</w:t>
      </w:r>
      <w:r>
        <w:rPr>
          <w:rFonts w:ascii="宋体" w:eastAsia="宋体" w:hAnsi="宋体" w:cs="宋体"/>
          <w:vanish/>
        </w:rPr>
        <w:t>ueInputsLevel2Memberintc:GovernmentDebtSecuritiesMember2019-12-280000050863us-gaap:FairValueMeasurementsRecurringMemberus-gaap:FairValueInputsLevel3Memberus-gaap:CashEquivalentsMemberintc:GovernmentDebtSecuritiesMember2019-12-280000050863us-gaap:FairValueM</w:t>
      </w:r>
      <w:r>
        <w:rPr>
          <w:rFonts w:ascii="宋体" w:eastAsia="宋体" w:hAnsi="宋体" w:cs="宋体"/>
          <w:vanish/>
        </w:rPr>
        <w:t>easurementsRecurringMemberus-gaap:CashEquivalentsMemberintc:GovernmentDebtSecuritiesMember2019-12-280000050863us-gaap:FairValueMeasurementsRecurringMemberus-gaap:CashEquivalentsMemberus-gaap:FairValueInputsLevel1Member2020-09-260000050863us-gaap:FairValueM</w:t>
      </w:r>
      <w:r>
        <w:rPr>
          <w:rFonts w:ascii="宋体" w:eastAsia="宋体" w:hAnsi="宋体" w:cs="宋体"/>
          <w:vanish/>
        </w:rPr>
        <w:t>easurementsRecurringMemberus-gaap:CashEquivalentsMemberus-gaap:FairValueInputsLevel2Member2020-09-260000050863us-gaap:FairValueMeasurementsRecurringMemberus-gaap:FairValueInputsLevel3Memberus-gaap:CashEquivalentsMember2020-09-260000050863us-gaap:FairValueM</w:t>
      </w:r>
      <w:r>
        <w:rPr>
          <w:rFonts w:ascii="宋体" w:eastAsia="宋体" w:hAnsi="宋体" w:cs="宋体"/>
          <w:vanish/>
        </w:rPr>
        <w:t>easurementsRecurringMemberus-gaap:CashEquivalentsMember2020-09-260000050863us-gaap:FairValueMeasurementsRecurringMemberus-gaap:CashEquivalentsMemberus-gaap:FairValueInputsLevel1Member2019-12-280000050863us-gaap:FairValueMeasurementsRecurringMemberus-gaap:C</w:t>
      </w:r>
      <w:r>
        <w:rPr>
          <w:rFonts w:ascii="宋体" w:eastAsia="宋体" w:hAnsi="宋体" w:cs="宋体"/>
          <w:vanish/>
        </w:rPr>
        <w:t>ashEquivalentsMemberus-gaap:FairValueInputsLevel2Member2019-12-280000050863us-gaap:FairValueMeasurementsRecurringMemberus-gaap:FairValueInputsLevel3Memberus-gaap:CashEquivalentsMember2019-12-280000050863us-gaap:FairValueMeasurementsRecurringMemberus-gaap:C</w:t>
      </w:r>
      <w:r>
        <w:rPr>
          <w:rFonts w:ascii="宋体" w:eastAsia="宋体" w:hAnsi="宋体" w:cs="宋体"/>
          <w:vanish/>
        </w:rPr>
        <w:t>ashEquivalentsMember2019-12-280000050863us-gaap:FairValueMeasurementsRecurringMemberus-gaap:ShortTermInvestmentsMemberus-gaap:CorporateDebtSecuritiesMemberus-gaap:FairValueInputsLevel1Member2020-09-260000050863us-gaap:FairValueMeasurementsRecurringMemberus</w:t>
      </w:r>
      <w:r>
        <w:rPr>
          <w:rFonts w:ascii="宋体" w:eastAsia="宋体" w:hAnsi="宋体" w:cs="宋体"/>
          <w:vanish/>
        </w:rPr>
        <w:t>-gaap:ShortTermInvestmentsMemberus-gaap:CorporateDebtSecuritiesMemberus-gaap:FairValueInputsLevel2Member2020-09-260000050863us-gaap:FairValueMeasurementsRecurringMemberus-gaap:FairValueInputsLevel3Memberus-gaap:ShortTermInvestmentsMemberus-gaap:CorporateDe</w:t>
      </w:r>
      <w:r>
        <w:rPr>
          <w:rFonts w:ascii="宋体" w:eastAsia="宋体" w:hAnsi="宋体" w:cs="宋体"/>
          <w:vanish/>
        </w:rPr>
        <w:t>btSecuritiesMember2020-09-260000050863us-gaap:FairValueMeasurementsRecurringMemberus-gaap:ShortTermInvestmentsMemberus-gaap:CorporateDebtSecuritiesMember2020-09-260000050863us-gaap:FairValueMeasurementsRecurringMemberus-gaap:ShortTermInvestmentsMemberus-ga</w:t>
      </w:r>
      <w:r>
        <w:rPr>
          <w:rFonts w:ascii="宋体" w:eastAsia="宋体" w:hAnsi="宋体" w:cs="宋体"/>
          <w:vanish/>
        </w:rPr>
        <w:t>ap:CorporateDebtSecuritiesMemberus-gaap:FairValueInputsLevel1Member2019-12-280000050863us-gaap:FairValueMeasurementsRecurringMemberus-gaap:ShortTermInvestmentsMemberus-gaap:CorporateDebtSecuritiesMemberus-gaap:FairValueInputsLevel2Member2019-12-28000005086</w:t>
      </w:r>
      <w:r>
        <w:rPr>
          <w:rFonts w:ascii="宋体" w:eastAsia="宋体" w:hAnsi="宋体" w:cs="宋体"/>
          <w:vanish/>
        </w:rPr>
        <w:t>3us-gaap:FairValueMeasurementsRecurringMemberus-gaap:FairValueInputsLevel3Memberus-gaap:ShortTermInvestmentsMemberus-gaap:CorporateDebtSecuritiesMember2019-12-280000050863us-gaap:FairValueMeasurementsRecurringMemberus-gaap:ShortTermInvestmentsMemberus-gaap</w:t>
      </w:r>
      <w:r>
        <w:rPr>
          <w:rFonts w:ascii="宋体" w:eastAsia="宋体" w:hAnsi="宋体" w:cs="宋体"/>
          <w:vanish/>
        </w:rPr>
        <w:t>:CorporateDebtSecuritiesMember2019-12-280000050863us-gaap:FairValueMeasurementsRecurringMemberus-gaap:ShortTermInvestmentsMemberus-gaap:FixedIncomeSecuritiesMemberus-gaap:FairValueInputsLevel1Member2020-09-260000050863us-gaap:FairValueMeasurementsRecurring</w:t>
      </w:r>
      <w:r>
        <w:rPr>
          <w:rFonts w:ascii="宋体" w:eastAsia="宋体" w:hAnsi="宋体" w:cs="宋体"/>
          <w:vanish/>
        </w:rPr>
        <w:t>Memberus-gaap:ShortTermInvestmentsMemberus-gaap:FixedIncomeSecuritiesMemberus-gaap:FairValueInputsLevel2Member2020-09-260000050863us-gaap:FairValueMeasurementsRecurringMemberus-gaap:FairValueInputsLevel3Memberus-gaap:ShortTermInvestmentsMemberus-gaap:Fixed</w:t>
      </w:r>
      <w:r>
        <w:rPr>
          <w:rFonts w:ascii="宋体" w:eastAsia="宋体" w:hAnsi="宋体" w:cs="宋体"/>
          <w:vanish/>
        </w:rPr>
        <w:t>IncomeSecuritiesMember2020-09-260000050863us-gaap:FairValueMeasurementsRecurringMemberus-gaap:ShortTermInvestmentsMemberus-gaap:FixedIncomeSecuritiesMember2020-09-260000050863us-gaap:FairValueMeasurementsRecurringMemberus-gaap:ShortTermInvestmentsMemberus-</w:t>
      </w:r>
      <w:r>
        <w:rPr>
          <w:rFonts w:ascii="宋体" w:eastAsia="宋体" w:hAnsi="宋体" w:cs="宋体"/>
          <w:vanish/>
        </w:rPr>
        <w:t>gaap:FixedIncomeSecuritiesMemberus-gaap:FairValueInputsLevel1Member2019-12-280000050863us-gaap:FairValueMeasurementsRecurringMemberus-gaap:ShortTermInvestmentsMemberus-gaap:FixedIncomeSecuritiesMemberus-gaap:FairValueInputsLevel2Member2019-12-280000050863u</w:t>
      </w:r>
      <w:r>
        <w:rPr>
          <w:rFonts w:ascii="宋体" w:eastAsia="宋体" w:hAnsi="宋体" w:cs="宋体"/>
          <w:vanish/>
        </w:rPr>
        <w:t>s-gaap:FairValueMeasurementsRecurringMemberus-gaap:FairValueInputsLevel3Memberus-gaap:ShortTermInvestmentsMemberus-gaap:FixedIncomeSecuritiesMember2019-12-280000050863us-gaap:FairValueMeasurementsRecurringMemberus-gaap:ShortTermInvestmentsMemberus-gaap:Fix</w:t>
      </w:r>
      <w:r>
        <w:rPr>
          <w:rFonts w:ascii="宋体" w:eastAsia="宋体" w:hAnsi="宋体" w:cs="宋体"/>
          <w:vanish/>
        </w:rPr>
        <w:t>edIncomeSecuritiesMember2019-12-280000050863us-gaap:FairValueMeasurementsRecurringMemberus-gaap:ShortTermInvestmentsMemberus-gaap:FairValueInputsLevel1Memberintc:GovernmentDebtSecuritiesMember2020-09-260000050863us-gaap:FairValueMeasurementsRecurringMember</w:t>
      </w:r>
      <w:r>
        <w:rPr>
          <w:rFonts w:ascii="宋体" w:eastAsia="宋体" w:hAnsi="宋体" w:cs="宋体"/>
          <w:vanish/>
        </w:rPr>
        <w:t>us-gaap:ShortTermInvestmentsMemberus-gaap:FairValueInputsLevel2Memberintc:GovernmentDebtSecuritiesMember2020-09-260000050863us-gaap:FairValueMeasurementsRecurringMemberus-gaap:FairValueInputsLevel3Memberus-gaap:ShortTermInvestmentsMemberintc:GovernmentDebt</w:t>
      </w:r>
      <w:r>
        <w:rPr>
          <w:rFonts w:ascii="宋体" w:eastAsia="宋体" w:hAnsi="宋体" w:cs="宋体"/>
          <w:vanish/>
        </w:rPr>
        <w:t>SecuritiesMember2020-09-260000050863us-gaap:FairValueMeasurementsRecurringMemberus-gaap:ShortTermInvestmentsMemberintc:GovernmentDebtSecuritiesMember2020-09-260000050863us-gaap:FairValueMeasurementsRecurringMemberus-gaap:ShortTermInvestmentsMemberus-gaap:F</w:t>
      </w:r>
      <w:r>
        <w:rPr>
          <w:rFonts w:ascii="宋体" w:eastAsia="宋体" w:hAnsi="宋体" w:cs="宋体"/>
          <w:vanish/>
        </w:rPr>
        <w:t>airValueInputsLevel1Memberintc:GovernmentDebtSecuritiesMember2019-12-280000050863us-gaap:FairValueMeasurementsRecurringMemberus-gaap:ShortTermInvestmentsMemberus-gaap:FairValueInputsLevel2Memberintc:GovernmentDebtSecuritiesMember2019-12-280000050863us-gaap</w:t>
      </w:r>
      <w:r>
        <w:rPr>
          <w:rFonts w:ascii="宋体" w:eastAsia="宋体" w:hAnsi="宋体" w:cs="宋体"/>
          <w:vanish/>
        </w:rPr>
        <w:t>:FairValueMeasurementsRecurringMemberus-gaap:FairValueInputsLevel3Memberus-gaap:ShortTermInvestmentsMemberintc:GovernmentDebtSecuritiesMember2019-12-280000050863us-gaap:FairValueMeasurementsRecurringMemberus-gaap:ShortTermInvestmentsMemberintc:GovernmentDe</w:t>
      </w:r>
      <w:r>
        <w:rPr>
          <w:rFonts w:ascii="宋体" w:eastAsia="宋体" w:hAnsi="宋体" w:cs="宋体"/>
          <w:vanish/>
        </w:rPr>
        <w:t>btSecuritiesMember2019-12-280000050863us-gaap:FairValueMeasurementsRecurringMemberus-gaap:CorporateDebtSecuritiesMemberus-gaap:FairValueInputsLevel1Member2020-09-260000050863us-gaap:FairValueMeasurementsRecurringMemberus-gaap:CorporateDebtSecuritiesMemberu</w:t>
      </w:r>
      <w:r>
        <w:rPr>
          <w:rFonts w:ascii="宋体" w:eastAsia="宋体" w:hAnsi="宋体" w:cs="宋体"/>
          <w:vanish/>
        </w:rPr>
        <w:t>s-gaap:FairValueInputsLevel2Member2020-09-260000050863us-gaap:FairValueMeasurementsRecurringMemberus-gaap:FairValueInputsLevel3Memberus-gaap:CorporateDebtSecuritiesMember2020-09-260000050863us-gaap:FairValueMeasurementsRecurringMemberus-gaap:CorporateDebtS</w:t>
      </w:r>
      <w:r>
        <w:rPr>
          <w:rFonts w:ascii="宋体" w:eastAsia="宋体" w:hAnsi="宋体" w:cs="宋体"/>
          <w:vanish/>
        </w:rPr>
        <w:t>ecuritiesMember2020-09-260000050863us-gaap:FairValueMeasurementsRecurringMemberus-gaap:CorporateDebtSecuritiesMemberus-gaap:FairValueInputsLevel1Member2019-12-280000050863us-gaap:FairValueMeasurementsRecurringMemberus-gaap:CorporateDebtSecuritiesMemberus-g</w:t>
      </w:r>
      <w:r>
        <w:rPr>
          <w:rFonts w:ascii="宋体" w:eastAsia="宋体" w:hAnsi="宋体" w:cs="宋体"/>
          <w:vanish/>
        </w:rPr>
        <w:t>aap:FairValueInputsLevel2Member2019-12-280000050863us-gaap:FairValueMeasurementsRecurringMemberus-gaap:FairValueInputsLevel3Memberus-gaap:CorporateDebtSecuritiesMember2019-12-280000050863us-gaap:FairValueMeasurementsRecurringMemberus-gaap:CorporateDebtSecu</w:t>
      </w:r>
      <w:r>
        <w:rPr>
          <w:rFonts w:ascii="宋体" w:eastAsia="宋体" w:hAnsi="宋体" w:cs="宋体"/>
          <w:vanish/>
        </w:rPr>
        <w:t>ritiesMember2019-12-280000050863us-gaap:FairValueMeasurementsRecurringMemberus-gaap:FixedIncomeSecuritiesMemberus-gaap:FairValueInputsLevel1Member2020-09-260000050863us-gaap:FairValueMeasurementsRecurringMemberus-gaap:FixedIncomeSecuritiesMemberus-gaap:Fai</w:t>
      </w:r>
      <w:r>
        <w:rPr>
          <w:rFonts w:ascii="宋体" w:eastAsia="宋体" w:hAnsi="宋体" w:cs="宋体"/>
          <w:vanish/>
        </w:rPr>
        <w:t>rValueInputsLevel2Member2020-09-260000050863us-gaap:FairValueMeasurementsRecurringMemberus-gaap:FairValueInputsLevel3Memberus-gaap:FixedIncomeSecuritiesMember2020-09-260000050863us-gaap:FairValueMeasurementsRecurringMemberus-gaap:FixedIncomeSecuritiesMembe</w:t>
      </w:r>
      <w:r>
        <w:rPr>
          <w:rFonts w:ascii="宋体" w:eastAsia="宋体" w:hAnsi="宋体" w:cs="宋体"/>
          <w:vanish/>
        </w:rPr>
        <w:t>r2020-09-260000050863us-gaap:FairValueMeasurementsRecurringMemberus-gaap:FixedIncomeSecuritiesMemberus-gaap:FairValueInputsLevel1Member2019-12-280000050863us-gaap:FairValueMeasurementsRecurringMemberus-gaap:FixedIncomeSecuritiesMemberus-gaap:FairValueInput</w:t>
      </w:r>
      <w:r>
        <w:rPr>
          <w:rFonts w:ascii="宋体" w:eastAsia="宋体" w:hAnsi="宋体" w:cs="宋体"/>
          <w:vanish/>
        </w:rPr>
        <w:t>sLevel2Member2019-12-280000050863us-gaap:FairValueMeasurementsRecurringMemberus-gaap:FairValueInputsLevel3Memberus-gaap:FixedIncomeSecuritiesMember2019-12-280000050863us-gaap:FairValueMeasurementsRecurringMemberus-gaap:FixedIncomeSecuritiesMember2019-12-28</w:t>
      </w:r>
      <w:r>
        <w:rPr>
          <w:rFonts w:ascii="宋体" w:eastAsia="宋体" w:hAnsi="宋体" w:cs="宋体"/>
          <w:vanish/>
        </w:rPr>
        <w:t>0000050863us-gaap:FairValueMeasurementsRecurringMemberus-gaap:FairValueInputsLevel1Memberintc:GovernmentDebtSecuritiesMember2020-09-260000050863us-gaap:FairValueMeasurementsRecurringMemberus-gaap:FairValueInputsLevel2Memberintc:GovernmentDebtSecuritiesMemb</w:t>
      </w:r>
      <w:r>
        <w:rPr>
          <w:rFonts w:ascii="宋体" w:eastAsia="宋体" w:hAnsi="宋体" w:cs="宋体"/>
          <w:vanish/>
        </w:rPr>
        <w:t>er2020-09-260000050863us-gaap:FairValueMeasurementsRecurringMemberus-gaap:FairValueInputsLevel3Memberintc:GovernmentDebtSecuritiesMember2020-09-260000050863us-gaap:FairValueMeasurementsRecurringMemberintc:GovernmentDebtSecuritiesMember2020-09-260000050863u</w:t>
      </w:r>
      <w:r>
        <w:rPr>
          <w:rFonts w:ascii="宋体" w:eastAsia="宋体" w:hAnsi="宋体" w:cs="宋体"/>
          <w:vanish/>
        </w:rPr>
        <w:t>s-gaap:FairValueMeasurementsRecurringMemberus-gaap:FairValueInputsLevel1Memberintc:GovernmentDebtSecuritiesMember2019-12-280000050863us-gaap:FairValueMeasurementsRecurringMemberus-gaap:FairValueInputsLevel2Memberintc:GovernmentDebtSecuritiesMember2019-12-2</w:t>
      </w:r>
      <w:r>
        <w:rPr>
          <w:rFonts w:ascii="宋体" w:eastAsia="宋体" w:hAnsi="宋体" w:cs="宋体"/>
          <w:vanish/>
        </w:rPr>
        <w:t>80000050863us-gaap:FairValueMeasurementsRecurringMemberus-gaap:FairValueInputsLevel3Memberintc:GovernmentDebtSecuritiesMember2019-12-280000050863us-gaap:FairValueMeasurementsRecurringMemberintc:GovernmentDebtSecuritiesMember2019-12-280000050863us-gaap:Othe</w:t>
      </w:r>
      <w:r>
        <w:rPr>
          <w:rFonts w:ascii="宋体" w:eastAsia="宋体" w:hAnsi="宋体" w:cs="宋体"/>
          <w:vanish/>
        </w:rPr>
        <w:t>rCurrentAssetsMemberus-gaap:FairValueMeasurementsRecurringMemberus-gaap:FairValueInputsLevel1Member2020-09-260000050863us-gaap:OtherCurrentAssetsMemberus-gaap:FairValueMeasurementsRecurringMemberus-gaap:FairValueInputsLevel2Member2020-09-260000050863us-gaa</w:t>
      </w:r>
      <w:r>
        <w:rPr>
          <w:rFonts w:ascii="宋体" w:eastAsia="宋体" w:hAnsi="宋体" w:cs="宋体"/>
          <w:vanish/>
        </w:rPr>
        <w:t>p:OtherCurrentAssetsMemberus-gaap:FairValueMeasurementsRecurringMemberus-gaap:FairValueInputsLevel3Member2020-09-260000050863us-gaap:OtherCurrentAssetsMemberus-gaap:FairValueMeasurementsRecurringMember2020-09-260000050863us-gaap:OtherCurrentAssetsMemberus-</w:t>
      </w:r>
      <w:r>
        <w:rPr>
          <w:rFonts w:ascii="宋体" w:eastAsia="宋体" w:hAnsi="宋体" w:cs="宋体"/>
          <w:vanish/>
        </w:rPr>
        <w:t>gaap:FairValueMeasurementsRecurringMemberus-gaap:FairValueInputsLevel1Member2019-12-280000050863us-gaap:OtherCurrentAssetsMemberus-gaap:FairValueMeasurementsRecurringMemberus-gaap:FairValueInputsLevel2Member2019-12-280000050863us-gaap:OtherCurrentAssetsMem</w:t>
      </w:r>
      <w:r>
        <w:rPr>
          <w:rFonts w:ascii="宋体" w:eastAsia="宋体" w:hAnsi="宋体" w:cs="宋体"/>
          <w:vanish/>
        </w:rPr>
        <w:t>berus-gaap:FairValueMeasurementsRecurringMemberus-gaap:FairValueInputsLevel3Member2019-12-280000050863us-gaap:OtherCurrentAssetsMemberus-gaap:FairValueMeasurementsRecurringMember2019-12-280000050863us-gaap:FairValueMeasurementsRecurringMemberus-gaap:Equity</w:t>
      </w:r>
      <w:r>
        <w:rPr>
          <w:rFonts w:ascii="宋体" w:eastAsia="宋体" w:hAnsi="宋体" w:cs="宋体"/>
          <w:vanish/>
        </w:rPr>
        <w:t>SecuritiesMemberus-gaap:FairValueInputsLevel1Member2020-09-260000050863us-gaap:FairValueMeasurementsRecurringMemberus-gaap:EquitySecuritiesMemberus-gaap:FairValueInputsLevel2Member2020-09-260000050863us-gaap:FairValueMeasurementsRecurringMemberus-gaap:Fair</w:t>
      </w:r>
      <w:r>
        <w:rPr>
          <w:rFonts w:ascii="宋体" w:eastAsia="宋体" w:hAnsi="宋体" w:cs="宋体"/>
          <w:vanish/>
        </w:rPr>
        <w:t>ValueInputsLevel3Memberus-gaap:EquitySecuritiesMember2020-09-260000050863us-gaap:FairValueMeasurementsRecurringMemberus-gaap:EquitySecuritiesMember2020-09-260000050863us-gaap:FairValueMeasurementsRecurringMemberus-gaap:EquitySecuritiesMemberus-gaap:FairVal</w:t>
      </w:r>
      <w:r>
        <w:rPr>
          <w:rFonts w:ascii="宋体" w:eastAsia="宋体" w:hAnsi="宋体" w:cs="宋体"/>
          <w:vanish/>
        </w:rPr>
        <w:t>ueInputsLevel1Member2019-12-280000050863us-gaap:FairValueMeasurementsRecurringMemberus-gaap:EquitySecuritiesMemberus-gaap:FairValueInputsLevel2Member2019-12-280000050863us-gaap:FairValueMeasurementsRecurringMemberus-gaap:FairValueInputsLevel3Memberus-gaap:</w:t>
      </w:r>
      <w:r>
        <w:rPr>
          <w:rFonts w:ascii="宋体" w:eastAsia="宋体" w:hAnsi="宋体" w:cs="宋体"/>
          <w:vanish/>
        </w:rPr>
        <w:t>EquitySecuritiesMember2019-12-280000050863us-gaap:FairValueMeasurementsRecurringMemberus-gaap:EquitySecuritiesMember2019-12-280000050863us-gaap:OtherLongTermInvestmentsMemberus-gaap:FairValueMeasurementsRecurringMemberus-gaap:CorporateDebtSecuritiesMemberu</w:t>
      </w:r>
      <w:r>
        <w:rPr>
          <w:rFonts w:ascii="宋体" w:eastAsia="宋体" w:hAnsi="宋体" w:cs="宋体"/>
          <w:vanish/>
        </w:rPr>
        <w:t>s-gaap:FairValueInputsLevel1Member2020-09-260000050863us-gaap:OtherLongTermInvestmentsMemberus-gaap:FairValueMeasurementsRecurringMemberus-gaap:CorporateDebtSecuritiesMemberus-gaap:FairValueInputsLevel2Member2020-09-260000050863us-gaap:OtherLongTermInvestm</w:t>
      </w:r>
      <w:r>
        <w:rPr>
          <w:rFonts w:ascii="宋体" w:eastAsia="宋体" w:hAnsi="宋体" w:cs="宋体"/>
          <w:vanish/>
        </w:rPr>
        <w:t>entsMemberus-gaap:FairValueMeasurementsRecurringMemberus-gaap:FairValueInputsLevel3Memberus-gaap:CorporateDebtSecuritiesMember2020-09-260000050863us-gaap:OtherLongTermInvestmentsMemberus-gaap:FairValueMeasurementsRecurringMemberus-gaap:CorporateDebtSecurit</w:t>
      </w:r>
      <w:r>
        <w:rPr>
          <w:rFonts w:ascii="宋体" w:eastAsia="宋体" w:hAnsi="宋体" w:cs="宋体"/>
          <w:vanish/>
        </w:rPr>
        <w:t>iesMember2020-09-260000050863us-gaap:OtherLongTermInvestmentsMemberus-gaap:FairValueMeasurementsRecurringMemberus-gaap:CorporateDebtSecuritiesMemberus-gaap:FairValueInputsLevel1Member2019-12-280000050863us-gaap:OtherLongTermInvestmentsMemberus-gaap:FairVal</w:t>
      </w:r>
      <w:r>
        <w:rPr>
          <w:rFonts w:ascii="宋体" w:eastAsia="宋体" w:hAnsi="宋体" w:cs="宋体"/>
          <w:vanish/>
        </w:rPr>
        <w:t>ueMeasurementsRecurringMemberus-gaap:CorporateDebtSecuritiesMemberus-gaap:FairValueInputsLevel2Member2019-12-280000050863us-gaap:OtherLongTermInvestmentsMemberus-gaap:FairValueMeasurementsRecurringMemberus-gaap:FairValueInputsLevel3Memberus-gaap:CorporateD</w:t>
      </w:r>
      <w:r>
        <w:rPr>
          <w:rFonts w:ascii="宋体" w:eastAsia="宋体" w:hAnsi="宋体" w:cs="宋体"/>
          <w:vanish/>
        </w:rPr>
        <w:t>ebtSecuritiesMember2019-12-280000050863us-gaap:OtherLongTermInvestmentsMemberus-gaap:FairValueMeasurementsRecurringMemberus-gaap:CorporateDebtSecuritiesMember2019-12-280000050863us-gaap:OtherLongTermInvestmentsMemberus-gaap:FairValueMeasurementsRecurringMe</w:t>
      </w:r>
      <w:r>
        <w:rPr>
          <w:rFonts w:ascii="宋体" w:eastAsia="宋体" w:hAnsi="宋体" w:cs="宋体"/>
          <w:vanish/>
        </w:rPr>
        <w:t>mberus-gaap:FixedIncomeSecuritiesMemberus-gaap:FairValueInputsLevel1Member2020-09-260000050863us-gaap:OtherLongTermInvestmentsMemberus-gaap:FairValueMeasurementsRecurringMemberus-gaap:FixedIncomeSecuritiesMemberus-gaap:FairValueInputsLevel2Member2020-09-26</w:t>
      </w:r>
      <w:r>
        <w:rPr>
          <w:rFonts w:ascii="宋体" w:eastAsia="宋体" w:hAnsi="宋体" w:cs="宋体"/>
          <w:vanish/>
        </w:rPr>
        <w:t>0000050863us-gaap:OtherLongTermInvestmentsMemberus-gaap:FairValueMeasurementsRecurringMemberus-gaap:FairValueInputsLevel3Memberus-gaap:FixedIncomeSecuritiesMember2020-09-260000050863us-gaap:OtherLongTermInvestmentsMemberus-gaap:FairValueMeasurementsRecurri</w:t>
      </w:r>
      <w:r>
        <w:rPr>
          <w:rFonts w:ascii="宋体" w:eastAsia="宋体" w:hAnsi="宋体" w:cs="宋体"/>
          <w:vanish/>
        </w:rPr>
        <w:t>ngMemberus-gaap:FixedIncomeSecuritiesMember2020-09-260000050863us-gaap:OtherLongTermInvestmentsMemberus-gaap:FairValueMeasurementsRecurringMemberus-gaap:FixedIncomeSecuritiesMemberus-gaap:FairValueInputsLevel1Member2019-12-280000050863us-gaap:OtherLongTerm</w:t>
      </w:r>
      <w:r>
        <w:rPr>
          <w:rFonts w:ascii="宋体" w:eastAsia="宋体" w:hAnsi="宋体" w:cs="宋体"/>
          <w:vanish/>
        </w:rPr>
        <w:t>InvestmentsMemberus-gaap:FairValueMeasurementsRecurringMemberus-gaap:FixedIncomeSecuritiesMemberus-gaap:FairValueInputsLevel2Member2019-12-280000050863us-gaap:OtherLongTermInvestmentsMemberus-gaap:FairValueMeasurementsRecurringMemberus-gaap:FairValueInputs</w:t>
      </w:r>
      <w:r>
        <w:rPr>
          <w:rFonts w:ascii="宋体" w:eastAsia="宋体" w:hAnsi="宋体" w:cs="宋体"/>
          <w:vanish/>
        </w:rPr>
        <w:t>Level3Memberus-gaap:FixedIncomeSecuritiesMember2019-12-280000050863us-gaap:OtherLongTermInvestmentsMemberus-gaap:FairValueMeasurementsRecurringMemberus-gaap:FixedIncomeSecuritiesMember2019-12-280000050863us-gaap:OtherLongTermInvestmentsMemberus-gaap:FairVa</w:t>
      </w:r>
      <w:r>
        <w:rPr>
          <w:rFonts w:ascii="宋体" w:eastAsia="宋体" w:hAnsi="宋体" w:cs="宋体"/>
          <w:vanish/>
        </w:rPr>
        <w:t>lueMeasurementsRecurringMemberus-gaap:FairValueInputsLevel1Memberintc:GovernmentDebtSecuritiesMember2020-09-260000050863us-gaap:OtherLongTermInvestmentsMemberus-gaap:FairValueMeasurementsRecurringMemberus-gaap:FairValueInputsLevel2Memberintc:GovernmentDebt</w:t>
      </w:r>
      <w:r>
        <w:rPr>
          <w:rFonts w:ascii="宋体" w:eastAsia="宋体" w:hAnsi="宋体" w:cs="宋体"/>
          <w:vanish/>
        </w:rPr>
        <w:t>SecuritiesMember2020-09-260000050863us-gaap:OtherLongTermInvestmentsMemberus-gaap:FairValueMeasurementsRecurringMemberus-gaap:FairValueInputsLevel3Memberintc:GovernmentDebtSecuritiesMember2020-09-260000050863us-gaap:OtherLongTermInvestmentsMemberus-gaap:Fa</w:t>
      </w:r>
      <w:r>
        <w:rPr>
          <w:rFonts w:ascii="宋体" w:eastAsia="宋体" w:hAnsi="宋体" w:cs="宋体"/>
          <w:vanish/>
        </w:rPr>
        <w:t>irValueMeasurementsRecurringMemberintc:GovernmentDebtSecuritiesMember2020-09-260000050863us-gaap:OtherLongTermInvestmentsMemberus-gaap:FairValueMeasurementsRecurringMemberus-gaap:FairValueInputsLevel1Memberintc:GovernmentDebtSecuritiesMember2019-12-2800000</w:t>
      </w:r>
      <w:r>
        <w:rPr>
          <w:rFonts w:ascii="宋体" w:eastAsia="宋体" w:hAnsi="宋体" w:cs="宋体"/>
          <w:vanish/>
        </w:rPr>
        <w:t>50863us-gaap:OtherLongTermInvestmentsMemberus-gaap:FairValueMeasurementsRecurringMemberus-gaap:FairValueInputsLevel2Memberintc:GovernmentDebtSecuritiesMember2019-12-280000050863us-gaap:OtherLongTermInvestmentsMemberus-gaap:FairValueMeasurementsRecurringMem</w:t>
      </w:r>
      <w:r>
        <w:rPr>
          <w:rFonts w:ascii="宋体" w:eastAsia="宋体" w:hAnsi="宋体" w:cs="宋体"/>
          <w:vanish/>
        </w:rPr>
        <w:t>berus-gaap:FairValueInputsLevel3Memberintc:GovernmentDebtSecuritiesMember2019-12-280000050863us-gaap:OtherLongTermInvestmentsMemberus-gaap:FairValueMeasurementsRecurringMemberintc:GovernmentDebtSecuritiesMember2019-12-280000050863us-gaap:FairValueMeasureme</w:t>
      </w:r>
      <w:r>
        <w:rPr>
          <w:rFonts w:ascii="宋体" w:eastAsia="宋体" w:hAnsi="宋体" w:cs="宋体"/>
          <w:vanish/>
        </w:rPr>
        <w:t>ntsRecurringMemberus-gaap:OtherNoncurrentAssetsMemberus-gaap:FairValueInputsLevel1Member2020-09-260000050863us-gaap:FairValueMeasurementsRecurringMemberus-gaap:OtherNoncurrentAssetsMemberus-gaap:FairValueInputsLevel2Member2020-09-260000050863us-gaap:FairVa</w:t>
      </w:r>
      <w:r>
        <w:rPr>
          <w:rFonts w:ascii="宋体" w:eastAsia="宋体" w:hAnsi="宋体" w:cs="宋体"/>
          <w:vanish/>
        </w:rPr>
        <w:t>lueMeasurementsRecurringMemberus-gaap:OtherNoncurrentAssetsMemberus-gaap:FairValueInputsLevel3Member2020-09-260000050863us-gaap:FairValueMeasurementsRecurringMemberus-gaap:OtherNoncurrentAssetsMember2020-09-260000050863us-gaap:FairValueMeasurementsRecurrin</w:t>
      </w:r>
      <w:r>
        <w:rPr>
          <w:rFonts w:ascii="宋体" w:eastAsia="宋体" w:hAnsi="宋体" w:cs="宋体"/>
          <w:vanish/>
        </w:rPr>
        <w:t>gMemberus-gaap:OtherNoncurrentAssetsMemberus-gaap:FairValueInputsLevel1Member2019-12-280000050863us-gaap:FairValueMeasurementsRecurringMemberus-gaap:OtherNoncurrentAssetsMemberus-gaap:FairValueInputsLevel2Member2019-12-280000050863us-gaap:FairValueMeasurem</w:t>
      </w:r>
      <w:r>
        <w:rPr>
          <w:rFonts w:ascii="宋体" w:eastAsia="宋体" w:hAnsi="宋体" w:cs="宋体"/>
          <w:vanish/>
        </w:rPr>
        <w:t>entsRecurringMemberus-gaap:OtherNoncurrentAssetsMemberus-gaap:FairValueInputsLevel3Member2019-12-280000050863us-gaap:FairValueMeasurementsRecurringMemberus-gaap:OtherNoncurrentAssetsMember2019-12-280000050863us-gaap:FairValueMeasurementsRecurringMemberus-g</w:t>
      </w:r>
      <w:r>
        <w:rPr>
          <w:rFonts w:ascii="宋体" w:eastAsia="宋体" w:hAnsi="宋体" w:cs="宋体"/>
          <w:vanish/>
        </w:rPr>
        <w:t>aap:FairValueInputsLevel1Member2020-09-260000050863us-gaap:FairValueMeasurementsRecurringMemberus-gaap:FairValueInputsLevel2Member2020-09-260000050863us-gaap:FairValueMeasurementsRecurringMemberus-gaap:FairValueInputsLevel3Member2020-09-260000050863us-gaap</w:t>
      </w:r>
      <w:r>
        <w:rPr>
          <w:rFonts w:ascii="宋体" w:eastAsia="宋体" w:hAnsi="宋体" w:cs="宋体"/>
          <w:vanish/>
        </w:rPr>
        <w:t>:FairValueMeasurementsRecurringMember2020-09-260000050863us-gaap:FairValueMeasurementsRecurringMemberus-gaap:FairValueInputsLevel1Member2019-12-280000050863us-gaap:FairValueMeasurementsRecurringMemberus-gaap:FairValueInputsLevel2Member2019-12-280000050863u</w:t>
      </w:r>
      <w:r>
        <w:rPr>
          <w:rFonts w:ascii="宋体" w:eastAsia="宋体" w:hAnsi="宋体" w:cs="宋体"/>
          <w:vanish/>
        </w:rPr>
        <w:t>s-gaap:FairValueMeasurementsRecurringMemberus-gaap:FairValueInputsLevel3Member2019-12-280000050863us-gaap:FairValueMeasurementsRecurringMember2019-12-280000050863us-gaap:FairValueMeasurementsRecurringMemberus-gaap:OtherCurrentLiabilitiesMemberus-gaap:FairV</w:t>
      </w:r>
      <w:r>
        <w:rPr>
          <w:rFonts w:ascii="宋体" w:eastAsia="宋体" w:hAnsi="宋体" w:cs="宋体"/>
          <w:vanish/>
        </w:rPr>
        <w:t>alueInputsLevel1Member2020-09-260000050863us-gaap:FairValueMeasurementsRecurringMemberus-gaap:OtherCurrentLiabilitiesMemberus-gaap:FairValueInputsLevel2Member2020-09-260000050863us-gaap:FairValueMeasurementsRecurringMemberus-gaap:FairValueInputsLevel3Membe</w:t>
      </w:r>
      <w:r>
        <w:rPr>
          <w:rFonts w:ascii="宋体" w:eastAsia="宋体" w:hAnsi="宋体" w:cs="宋体"/>
          <w:vanish/>
        </w:rPr>
        <w:t>rus-gaap:OtherCurrentLiabilitiesMember2020-09-260000050863us-gaap:FairValueMeasurementsRecurringMemberus-gaap:OtherCurrentLiabilitiesMember2020-09-260000050863us-gaap:FairValueMeasurementsRecurringMemberus-gaap:OtherCurrentLiabilitiesMemberus-gaap:FairValu</w:t>
      </w:r>
      <w:r>
        <w:rPr>
          <w:rFonts w:ascii="宋体" w:eastAsia="宋体" w:hAnsi="宋体" w:cs="宋体"/>
          <w:vanish/>
        </w:rPr>
        <w:t>eInputsLevel1Member2019-12-280000050863us-gaap:FairValueMeasurementsRecurringMemberus-gaap:OtherCurrentLiabilitiesMemberus-gaap:FairValueInputsLevel2Member2019-12-280000050863us-gaap:FairValueMeasurementsRecurringMemberus-gaap:FairValueInputsLevel3Memberus</w:t>
      </w:r>
      <w:r>
        <w:rPr>
          <w:rFonts w:ascii="宋体" w:eastAsia="宋体" w:hAnsi="宋体" w:cs="宋体"/>
          <w:vanish/>
        </w:rPr>
        <w:t>-gaap:OtherCurrentLiabilitiesMember2019-12-280000050863us-gaap:FairValueMeasurementsRecurringMemberus-gaap:OtherCurrentLiabilitiesMember2019-12-280000050863us-gaap:FairValueMeasurementsRecurringMemberus-gaap:OtherNoncurrentLiabilitiesMemberus-gaap:FairValu</w:t>
      </w:r>
      <w:r>
        <w:rPr>
          <w:rFonts w:ascii="宋体" w:eastAsia="宋体" w:hAnsi="宋体" w:cs="宋体"/>
          <w:vanish/>
        </w:rPr>
        <w:t>eInputsLevel1Member2020-09-260000050863us-gaap:FairValueMeasurementsRecurringMemberus-gaap:OtherNoncurrentLiabilitiesMemberus-gaap:FairValueInputsLevel2Member2020-09-260000050863us-gaap:FairValueMeasurementsRecurringMemberus-gaap:OtherNoncurrentLiabilities</w:t>
      </w:r>
      <w:r>
        <w:rPr>
          <w:rFonts w:ascii="宋体" w:eastAsia="宋体" w:hAnsi="宋体" w:cs="宋体"/>
          <w:vanish/>
        </w:rPr>
        <w:t>Memberus-gaap:FairValueInputsLevel3Member2020-09-260000050863us-gaap:FairValueMeasurementsRecurringMemberus-gaap:OtherNoncurrentLiabilitiesMember2020-09-260000050863us-gaap:FairValueMeasurementsRecurringMemberus-gaap:OtherNoncurrentLiabilitiesMemberus-gaap</w:t>
      </w:r>
      <w:r>
        <w:rPr>
          <w:rFonts w:ascii="宋体" w:eastAsia="宋体" w:hAnsi="宋体" w:cs="宋体"/>
          <w:vanish/>
        </w:rPr>
        <w:t>:FairValueInputsLevel1Member2019-12-280000050863us-gaap:FairValueMeasurementsRecurringMemberus-gaap:OtherNoncurrentLiabilitiesMemberus-gaap:FairValueInputsLevel2Member2019-12-280000050863us-gaap:FairValueMeasurementsRecurringMemberus-gaap:OtherNoncurrentLi</w:t>
      </w:r>
      <w:r>
        <w:rPr>
          <w:rFonts w:ascii="宋体" w:eastAsia="宋体" w:hAnsi="宋体" w:cs="宋体"/>
          <w:vanish/>
        </w:rPr>
        <w:t>abilitiesMemberus-gaap:FairValueInputsLevel3Member2019-12-280000050863us-gaap:FairValueMeasurementsRecurringMemberus-gaap:OtherNoncurrentLiabilitiesMember2019-12-280000050863us-gaap:FairValueMeasurementsNonrecurringMember2020-09-260000050863us-gaap:FairVal</w:t>
      </w:r>
      <w:r>
        <w:rPr>
          <w:rFonts w:ascii="宋体" w:eastAsia="宋体" w:hAnsi="宋体" w:cs="宋体"/>
          <w:vanish/>
        </w:rPr>
        <w:t>ueMeasurementsNonrecurringMember2019-12-280000050863us-gaap:AccumulatedNetInvestmentGainLossIncludingPortionAttributableToNoncontrollingInterestMember2019-12-280000050863us-gaap:AccumulatedNetGainLossFromCashFlowHedgesIncludingPortionAttributableToNoncontr</w:t>
      </w:r>
      <w:r>
        <w:rPr>
          <w:rFonts w:ascii="宋体" w:eastAsia="宋体" w:hAnsi="宋体" w:cs="宋体"/>
          <w:vanish/>
        </w:rPr>
        <w:t>ollingInterestMember2019-12-280000050863us-gaap:AccumulatedDefinedBenefitPlansAdjustmentNetGainLossIncludingPortionAttributableToNoncontrollingInterestMember2019-12-280000050863us-gaap:AccumulatedTranslationAdjustmentMember2019-12-280000050863us-gaap:Accum</w:t>
      </w:r>
      <w:r>
        <w:rPr>
          <w:rFonts w:ascii="宋体" w:eastAsia="宋体" w:hAnsi="宋体" w:cs="宋体"/>
          <w:vanish/>
        </w:rPr>
        <w:t>ulatedNetInvestmentGainLossIncludingPortionAttributableToNoncontrollingInterestMember2019-12-292020-09-260000050863us-gaap:AccumulatedNetGainLossFromCashFlowHedgesIncludingPortionAttributableToNoncontrollingInterestMember2019-12-292020-09-260000050863us-ga</w:t>
      </w:r>
      <w:r>
        <w:rPr>
          <w:rFonts w:ascii="宋体" w:eastAsia="宋体" w:hAnsi="宋体" w:cs="宋体"/>
          <w:vanish/>
        </w:rPr>
        <w:t>ap:AccumulatedDefinedBenefitPlansAdjustmentNetGainLossIncludingPortionAttributableToNoncontrollingInterestMember2019-12-292020-09-260000050863us-gaap:AccumulatedTranslationAdjustmentMember2019-12-292020-09-260000050863us-gaap:AccumulatedNetInvestmentGainLo</w:t>
      </w:r>
      <w:r>
        <w:rPr>
          <w:rFonts w:ascii="宋体" w:eastAsia="宋体" w:hAnsi="宋体" w:cs="宋体"/>
          <w:vanish/>
        </w:rPr>
        <w:t>ssIncludingPortionAttributableToNoncontrollingInterestMember2020-09-260000050863us-gaap:AccumulatedNetGainLossFromCashFlowHedgesIncludingPortionAttributableToNoncontrollingInterestMember2020-09-260000050863us-gaap:AccumulatedDefinedBenefitPlansAdjustmentNe</w:t>
      </w:r>
      <w:r>
        <w:rPr>
          <w:rFonts w:ascii="宋体" w:eastAsia="宋体" w:hAnsi="宋体" w:cs="宋体"/>
          <w:vanish/>
        </w:rPr>
        <w:t>tGainLossIncludingPortionAttributableToNoncontrollingInterestMember2020-09-260000050863us-gaap:AccumulatedTranslationAdjustmentMember2020-09-260000050863us-gaap:ForeignExchangeContractMember2020-09-260000050863us-gaap:ForeignExchangeContractMember2019-12-2</w:t>
      </w:r>
      <w:r>
        <w:rPr>
          <w:rFonts w:ascii="宋体" w:eastAsia="宋体" w:hAnsi="宋体" w:cs="宋体"/>
          <w:vanish/>
        </w:rPr>
        <w:t>80000050863us-gaap:InterestRateContractMember2020-09-260000050863us-gaap:InterestRateContractMember2019-12-280000050863us-gaap:OtherContractMember2020-09-260000050863us-gaap:OtherContractMember2019-12-280000050863us-gaap:OtherAssetsMemberus-gaap:Designated</w:t>
      </w:r>
      <w:r>
        <w:rPr>
          <w:rFonts w:ascii="宋体" w:eastAsia="宋体" w:hAnsi="宋体" w:cs="宋体"/>
          <w:vanish/>
        </w:rPr>
        <w:t>AsHedgingInstrumentMemberus-gaap:ForeignExchangeContractMember2020-09-260000050863us-gaap:DesignatedAsHedgingInstrumentMemberus-gaap:ForeignExchangeContractMemberus-gaap:OtherLiabilitiesMember2020-09-260000050863us-gaap:OtherAssetsMemberus-gaap:DesignatedA</w:t>
      </w:r>
      <w:r>
        <w:rPr>
          <w:rFonts w:ascii="宋体" w:eastAsia="宋体" w:hAnsi="宋体" w:cs="宋体"/>
          <w:vanish/>
        </w:rPr>
        <w:t>sHedgingInstrumentMemberus-gaap:ForeignExchangeContractMember2019-12-280000050863us-gaap:DesignatedAsHedgingInstrumentMemberus-gaap:ForeignExchangeContractMemberus-gaap:OtherLiabilitiesMember2019-12-280000050863us-gaap:OtherAssetsMemberus-gaap:InterestRate</w:t>
      </w:r>
      <w:r>
        <w:rPr>
          <w:rFonts w:ascii="宋体" w:eastAsia="宋体" w:hAnsi="宋体" w:cs="宋体"/>
          <w:vanish/>
        </w:rPr>
        <w:t>ContractMemberus-gaap:DesignatedAsHedgingInstrumentMember2020-09-260000050863us-gaap:InterestRateContractMemberus-gaap:DesignatedAsHedgingInstrumentMemberus-gaap:OtherLiabilitiesMember2020-09-260000050863us-gaap:OtherAssetsMemberus-gaap:InterestRateContrac</w:t>
      </w:r>
      <w:r>
        <w:rPr>
          <w:rFonts w:ascii="宋体" w:eastAsia="宋体" w:hAnsi="宋体" w:cs="宋体"/>
          <w:vanish/>
        </w:rPr>
        <w:t>tMemberus-gaap:DesignatedAsHedgingInstrumentMember2019-12-280000050863us-gaap:InterestRateContractMemberus-gaap:DesignatedAsHedgingInstrumentMemberus-gaap:OtherLiabilitiesMember2019-12-280000050863us-gaap:OtherAssetsMemberus-gaap:DesignatedAsHedgingInstrum</w:t>
      </w:r>
      <w:r>
        <w:rPr>
          <w:rFonts w:ascii="宋体" w:eastAsia="宋体" w:hAnsi="宋体" w:cs="宋体"/>
          <w:vanish/>
        </w:rPr>
        <w:t>entMember2020-09-260000050863us-gaap:DesignatedAsHedgingInstrumentMemberus-gaap:OtherLiabilitiesMember2020-09-260000050863us-gaap:OtherAssetsMemberus-gaap:DesignatedAsHedgingInstrumentMember2019-12-280000050863us-gaap:DesignatedAsHedgingInstrumentMemberus-</w:t>
      </w:r>
      <w:r>
        <w:rPr>
          <w:rFonts w:ascii="宋体" w:eastAsia="宋体" w:hAnsi="宋体" w:cs="宋体"/>
          <w:vanish/>
        </w:rPr>
        <w:t>gaap:OtherLiabilitiesMember2019-12-280000050863us-gaap:OtherAssetsMemberus-gaap:ForeignExchangeContractMemberus-gaap:NondesignatedMember2020-09-260000050863us-gaap:ForeignExchangeContractMemberus-gaap:OtherLiabilitiesMemberus-gaap:NondesignatedMember2020-0</w:t>
      </w:r>
      <w:r>
        <w:rPr>
          <w:rFonts w:ascii="宋体" w:eastAsia="宋体" w:hAnsi="宋体" w:cs="宋体"/>
          <w:vanish/>
        </w:rPr>
        <w:t>9-260000050863us-gaap:OtherAssetsMemberus-gaap:ForeignExchangeContractMemberus-gaap:NondesignatedMember2019-12-280000050863us-gaap:ForeignExchangeContractMemberus-gaap:OtherLiabilitiesMemberus-gaap:NondesignatedMember2019-12-280000050863us-gaap:OtherAssets</w:t>
      </w:r>
      <w:r>
        <w:rPr>
          <w:rFonts w:ascii="宋体" w:eastAsia="宋体" w:hAnsi="宋体" w:cs="宋体"/>
          <w:vanish/>
        </w:rPr>
        <w:t>Memberus-gaap:InterestRateContractMemberus-gaap:NondesignatedMember2020-09-260000050863us-gaap:InterestRateContractMemberus-gaap:OtherLiabilitiesMemberus-gaap:NondesignatedMember2020-09-260000050863us-gaap:OtherAssetsMemberus-gaap:InterestRateContractMembe</w:t>
      </w:r>
      <w:r>
        <w:rPr>
          <w:rFonts w:ascii="宋体" w:eastAsia="宋体" w:hAnsi="宋体" w:cs="宋体"/>
          <w:vanish/>
        </w:rPr>
        <w:t>rus-gaap:NondesignatedMember2019-12-280000050863us-gaap:InterestRateContractMemberus-gaap:OtherLiabilitiesMemberus-gaap:NondesignatedMember2019-12-280000050863us-gaap:OtherAssetsMemberus-gaap:OtherContractMemberus-gaap:NondesignatedMember2020-09-2600000508</w:t>
      </w:r>
      <w:r>
        <w:rPr>
          <w:rFonts w:ascii="宋体" w:eastAsia="宋体" w:hAnsi="宋体" w:cs="宋体"/>
          <w:vanish/>
        </w:rPr>
        <w:t>63us-gaap:OtherContractMemberus-gaap:OtherLiabilitiesMemberus-gaap:NondesignatedMember2020-09-260000050863us-gaap:OtherAssetsMemberus-gaap:OtherContractMemberus-gaap:NondesignatedMember2019-12-280000050863us-gaap:OtherContractMemberus-gaap:OtherLiabilities</w:t>
      </w:r>
      <w:r>
        <w:rPr>
          <w:rFonts w:ascii="宋体" w:eastAsia="宋体" w:hAnsi="宋体" w:cs="宋体"/>
          <w:vanish/>
        </w:rPr>
        <w:t>Memberus-gaap:NondesignatedMember2019-12-280000050863us-gaap:OtherAssetsMemberus-gaap:NondesignatedMember2020-09-260000050863us-gaap:OtherLiabilitiesMemberus-gaap:NondesignatedMember2020-09-260000050863us-gaap:OtherAssetsMemberus-gaap:NondesignatedMember20</w:t>
      </w:r>
      <w:r>
        <w:rPr>
          <w:rFonts w:ascii="宋体" w:eastAsia="宋体" w:hAnsi="宋体" w:cs="宋体"/>
          <w:vanish/>
        </w:rPr>
        <w:t>19-12-280000050863us-gaap:OtherLiabilitiesMemberus-gaap:NondesignatedMember2019-12-280000050863us-gaap:OtherAssetsMember2020-09-260000050863us-gaap:OtherLiabilitiesMember2020-09-260000050863us-gaap:OtherAssetsMember2019-12-280000050863us-gaap:OtherLiabilit</w:t>
      </w:r>
      <w:r>
        <w:rPr>
          <w:rFonts w:ascii="宋体" w:eastAsia="宋体" w:hAnsi="宋体" w:cs="宋体"/>
          <w:vanish/>
        </w:rPr>
        <w:t>iesMember2019-12-280000050863us-gaap:ForeignExchangeContractMember2020-06-282020-09-260000050863us-gaap:ForeignExchangeContractMember2019-12-292020-09-260000050863us-gaap:ForeignExchangeContractMember2019-06-302019-09-280000050863us-gaap:ForeignExchangeCon</w:t>
      </w:r>
      <w:r>
        <w:rPr>
          <w:rFonts w:ascii="宋体" w:eastAsia="宋体" w:hAnsi="宋体" w:cs="宋体"/>
          <w:vanish/>
        </w:rPr>
        <w:t>tractMember2018-12-302019-09-280000050863us-gaap:OtherNonoperatingIncomeExpenseMemberus-gaap:FairValueHedgingMember2019-12-292020-09-260000050863us-gaap:InterestRateContractMember2020-06-282020-09-260000050863us-gaap:InterestRateContractMember2019-06-30201</w:t>
      </w:r>
      <w:r>
        <w:rPr>
          <w:rFonts w:ascii="宋体" w:eastAsia="宋体" w:hAnsi="宋体" w:cs="宋体"/>
          <w:vanish/>
        </w:rPr>
        <w:t>9-09-280000050863us-gaap:InterestRateContractMember2019-12-292020-09-260000050863us-gaap:InterestRateContractMember2018-12-302019-09-280000050863us-gaap:LongTermDebtMemberus-gaap:FairValueHedgingMemberus-gaap:InterestRateSwapMember2020-09-260000050863us-ga</w:t>
      </w:r>
      <w:r>
        <w:rPr>
          <w:rFonts w:ascii="宋体" w:eastAsia="宋体" w:hAnsi="宋体" w:cs="宋体"/>
          <w:vanish/>
        </w:rPr>
        <w:t>ap:LongTermDebtMemberus-gaap:FairValueHedgingMemberus-gaap:InterestRateSwapMember2019-12-280000050863us-gaap:LongTermDebtMemberus-gaap:FairValueHedgingMemberus-gaap:InterestRateSwapMember2019-12-292020-09-260000050863us-gaap:LongTermDebtMemberus-gaap:FairV</w:t>
      </w:r>
      <w:r>
        <w:rPr>
          <w:rFonts w:ascii="宋体" w:eastAsia="宋体" w:hAnsi="宋体" w:cs="宋体"/>
          <w:vanish/>
        </w:rPr>
        <w:t>alueHedgingMemberus-gaap:InterestRateSwapMember2019-12-292020-06-270000050863us-gaap:NondesignatedMember2019-12-292020-09-260000050863us-gaap:OtherNonoperatingIncomeExpenseMemberus-gaap:ForeignExchangeContractMemberus-gaap:NondesignatedMember2020-06-282020</w:t>
      </w:r>
      <w:r>
        <w:rPr>
          <w:rFonts w:ascii="宋体" w:eastAsia="宋体" w:hAnsi="宋体" w:cs="宋体"/>
          <w:vanish/>
        </w:rPr>
        <w:t>-09-260000050863us-gaap:OtherNonoperatingIncomeExpenseMemberus-gaap:ForeignExchangeContractMemberus-gaap:NondesignatedMember2019-06-302019-09-280000050863us-gaap:OtherNonoperatingIncomeExpenseMemberus-gaap:ForeignExchangeContractMemberus-gaap:Nondesignated</w:t>
      </w:r>
      <w:r>
        <w:rPr>
          <w:rFonts w:ascii="宋体" w:eastAsia="宋体" w:hAnsi="宋体" w:cs="宋体"/>
          <w:vanish/>
        </w:rPr>
        <w:t>Member2019-12-292020-09-260000050863us-gaap:OtherNonoperatingIncomeExpenseMemberus-gaap:ForeignExchangeContractMemberus-gaap:NondesignatedMember2018-12-302019-09-280000050863us-gaap:OtherNonoperatingIncomeExpenseMemberus-gaap:InterestRateContractMemberus-g</w:t>
      </w:r>
      <w:r>
        <w:rPr>
          <w:rFonts w:ascii="宋体" w:eastAsia="宋体" w:hAnsi="宋体" w:cs="宋体"/>
          <w:vanish/>
        </w:rPr>
        <w:t>aap:NondesignatedMember2020-06-282020-09-260000050863us-gaap:OtherNonoperatingIncomeExpenseMemberus-gaap:InterestRateContractMemberus-gaap:NondesignatedMember2019-06-302019-09-280000050863us-gaap:OtherNonoperatingIncomeExpenseMemberus-gaap:InterestRateCont</w:t>
      </w:r>
      <w:r>
        <w:rPr>
          <w:rFonts w:ascii="宋体" w:eastAsia="宋体" w:hAnsi="宋体" w:cs="宋体"/>
          <w:vanish/>
        </w:rPr>
        <w:t>ractMemberus-gaap:NondesignatedMember2019-12-292020-09-260000050863us-gaap:OtherNonoperatingIncomeExpenseMemberus-gaap:InterestRateContractMemberus-gaap:NondesignatedMember2018-12-302019-09-280000050863intc:VariousMemberus-gaap:OtherContractMemberus-gaap:N</w:t>
      </w:r>
      <w:r>
        <w:rPr>
          <w:rFonts w:ascii="宋体" w:eastAsia="宋体" w:hAnsi="宋体" w:cs="宋体"/>
          <w:vanish/>
        </w:rPr>
        <w:t>ondesignatedMember2020-06-282020-09-260000050863intc:VariousMemberus-gaap:OtherContractMemberus-gaap:NondesignatedMember2019-06-302019-09-280000050863intc:VariousMemberus-gaap:OtherContractMemberus-gaap:NondesignatedMember2019-12-292020-09-260000050863intc</w:t>
      </w:r>
      <w:r>
        <w:rPr>
          <w:rFonts w:ascii="宋体" w:eastAsia="宋体" w:hAnsi="宋体" w:cs="宋体"/>
          <w:vanish/>
        </w:rPr>
        <w:t>:VariousMemberus-gaap:OtherContractMemberus-gaap:NondesignatedMember2018-12-302019-09-280000050863us-gaap:NondesignatedMember2020-06-282020-09-260000050863us-gaap:NondesignatedMember2019-06-302019-09-280000050863us-gaap:NondesignatedMember2018-12-302019-09</w:t>
      </w:r>
      <w:r>
        <w:rPr>
          <w:rFonts w:ascii="宋体" w:eastAsia="宋体" w:hAnsi="宋体" w:cs="宋体"/>
          <w:vanish/>
        </w:rPr>
        <w:t>-28iso4217:EUR0000050863intc:EcFineMember2009-05-012009-05-31</w:t>
      </w:r>
    </w:p>
    <w:p w14:paraId="36CA1443" w14:textId="77777777" w:rsidR="00787570" w:rsidRDefault="00787570">
      <w:pPr>
        <w:spacing w:after="180"/>
      </w:pPr>
    </w:p>
    <w:p w14:paraId="36CA1444" w14:textId="77777777" w:rsidR="00787570" w:rsidRDefault="000D56E2">
      <w:pPr>
        <w:jc w:val="center"/>
      </w:pPr>
      <w:r>
        <w:rPr>
          <w:rFonts w:ascii="Arial" w:eastAsia="宋体" w:hAnsi="Arial" w:cs="Arial"/>
          <w:b/>
          <w:bCs/>
          <w:color w:val="333333"/>
          <w:sz w:val="28"/>
          <w:szCs w:val="28"/>
        </w:rPr>
        <w:t>UNITED STATES SECURITIES AND EXCHANGE COMMISSION</w:t>
      </w:r>
    </w:p>
    <w:p w14:paraId="36CA1445" w14:textId="77777777" w:rsidR="00787570" w:rsidRDefault="000D56E2">
      <w:pPr>
        <w:spacing w:after="180"/>
        <w:jc w:val="center"/>
      </w:pPr>
      <w:r>
        <w:rPr>
          <w:rFonts w:ascii="Arial" w:eastAsia="宋体" w:hAnsi="Arial" w:cs="Arial"/>
          <w:color w:val="333333"/>
          <w:sz w:val="18"/>
          <w:szCs w:val="18"/>
        </w:rPr>
        <w:t>Washington, D.C. 20549</w:t>
      </w:r>
    </w:p>
    <w:p w14:paraId="36CA1446" w14:textId="77777777" w:rsidR="00787570" w:rsidRDefault="000D56E2">
      <w:pPr>
        <w:spacing w:before="120" w:after="120"/>
        <w:jc w:val="center"/>
      </w:pPr>
      <w:r>
        <w:rPr>
          <w:rFonts w:ascii="Arial" w:eastAsia="宋体" w:hAnsi="Arial" w:cs="Arial"/>
          <w:b/>
          <w:bCs/>
          <w:color w:val="333333"/>
          <w:sz w:val="36"/>
          <w:szCs w:val="36"/>
        </w:rPr>
        <w:t xml:space="preserve">FORM 10-Q </w:t>
      </w:r>
    </w:p>
    <w:p w14:paraId="36CA1447" w14:textId="77777777" w:rsidR="00787570" w:rsidRDefault="000D56E2">
      <w:pPr>
        <w:spacing w:before="180" w:after="180"/>
      </w:pPr>
      <w:r>
        <w:rPr>
          <w:rFonts w:ascii="Arial" w:eastAsia="宋体" w:hAnsi="Arial" w:cs="Arial"/>
          <w:color w:val="333333"/>
          <w:sz w:val="16"/>
          <w:szCs w:val="16"/>
        </w:rPr>
        <w:t>(Mark One)</w:t>
      </w:r>
    </w:p>
    <w:tbl>
      <w:tblPr>
        <w:tblW w:w="5000" w:type="pct"/>
        <w:tblCellMar>
          <w:top w:w="15" w:type="dxa"/>
          <w:left w:w="15" w:type="dxa"/>
          <w:bottom w:w="15" w:type="dxa"/>
          <w:right w:w="15" w:type="dxa"/>
        </w:tblCellMar>
        <w:tblLook w:val="04A0" w:firstRow="1" w:lastRow="0" w:firstColumn="1" w:lastColumn="0" w:noHBand="0" w:noVBand="1"/>
      </w:tblPr>
      <w:tblGrid>
        <w:gridCol w:w="36"/>
        <w:gridCol w:w="113"/>
        <w:gridCol w:w="36"/>
        <w:gridCol w:w="118"/>
        <w:gridCol w:w="241"/>
        <w:gridCol w:w="36"/>
        <w:gridCol w:w="38"/>
        <w:gridCol w:w="1888"/>
        <w:gridCol w:w="37"/>
        <w:gridCol w:w="37"/>
        <w:gridCol w:w="5611"/>
        <w:gridCol w:w="37"/>
        <w:gridCol w:w="36"/>
        <w:gridCol w:w="36"/>
        <w:gridCol w:w="36"/>
      </w:tblGrid>
      <w:tr w:rsidR="00787570" w14:paraId="36CA1454" w14:textId="77777777">
        <w:trPr>
          <w:gridAfter w:val="3"/>
        </w:trPr>
        <w:tc>
          <w:tcPr>
            <w:tcW w:w="5" w:type="pct"/>
            <w:shd w:val="clear" w:color="auto" w:fill="auto"/>
          </w:tcPr>
          <w:p w14:paraId="36CA1448" w14:textId="77777777" w:rsidR="00787570" w:rsidRDefault="00787570">
            <w:pPr>
              <w:rPr>
                <w:rFonts w:ascii="宋体"/>
              </w:rPr>
            </w:pPr>
          </w:p>
        </w:tc>
        <w:tc>
          <w:tcPr>
            <w:tcW w:w="99" w:type="pct"/>
            <w:shd w:val="clear" w:color="auto" w:fill="auto"/>
          </w:tcPr>
          <w:p w14:paraId="36CA1449" w14:textId="77777777" w:rsidR="00787570" w:rsidRDefault="00787570">
            <w:pPr>
              <w:rPr>
                <w:rFonts w:ascii="宋体"/>
              </w:rPr>
            </w:pPr>
          </w:p>
        </w:tc>
        <w:tc>
          <w:tcPr>
            <w:tcW w:w="5" w:type="pct"/>
            <w:shd w:val="clear" w:color="auto" w:fill="auto"/>
          </w:tcPr>
          <w:p w14:paraId="36CA144A" w14:textId="77777777" w:rsidR="00787570" w:rsidRDefault="00787570">
            <w:pPr>
              <w:rPr>
                <w:rFonts w:ascii="宋体"/>
              </w:rPr>
            </w:pPr>
          </w:p>
        </w:tc>
        <w:tc>
          <w:tcPr>
            <w:tcW w:w="50" w:type="pct"/>
            <w:shd w:val="clear" w:color="auto" w:fill="auto"/>
          </w:tcPr>
          <w:p w14:paraId="36CA144B" w14:textId="77777777" w:rsidR="00787570" w:rsidRDefault="00787570">
            <w:pPr>
              <w:rPr>
                <w:rFonts w:ascii="宋体"/>
              </w:rPr>
            </w:pPr>
          </w:p>
        </w:tc>
        <w:tc>
          <w:tcPr>
            <w:tcW w:w="102" w:type="pct"/>
            <w:shd w:val="clear" w:color="auto" w:fill="auto"/>
          </w:tcPr>
          <w:p w14:paraId="36CA144C" w14:textId="77777777" w:rsidR="00787570" w:rsidRDefault="00787570">
            <w:pPr>
              <w:rPr>
                <w:rFonts w:ascii="宋体"/>
              </w:rPr>
            </w:pPr>
          </w:p>
        </w:tc>
        <w:tc>
          <w:tcPr>
            <w:tcW w:w="5" w:type="pct"/>
            <w:shd w:val="clear" w:color="auto" w:fill="auto"/>
          </w:tcPr>
          <w:p w14:paraId="36CA144D" w14:textId="77777777" w:rsidR="00787570" w:rsidRDefault="00787570">
            <w:pPr>
              <w:rPr>
                <w:rFonts w:ascii="宋体"/>
              </w:rPr>
            </w:pPr>
          </w:p>
        </w:tc>
        <w:tc>
          <w:tcPr>
            <w:tcW w:w="50" w:type="pct"/>
            <w:shd w:val="clear" w:color="auto" w:fill="auto"/>
          </w:tcPr>
          <w:p w14:paraId="36CA144E" w14:textId="77777777" w:rsidR="00787570" w:rsidRDefault="00787570">
            <w:pPr>
              <w:rPr>
                <w:rFonts w:ascii="宋体"/>
              </w:rPr>
            </w:pPr>
          </w:p>
        </w:tc>
        <w:tc>
          <w:tcPr>
            <w:tcW w:w="1181" w:type="pct"/>
            <w:shd w:val="clear" w:color="auto" w:fill="auto"/>
          </w:tcPr>
          <w:p w14:paraId="36CA144F" w14:textId="77777777" w:rsidR="00787570" w:rsidRDefault="00787570">
            <w:pPr>
              <w:rPr>
                <w:rFonts w:ascii="宋体"/>
              </w:rPr>
            </w:pPr>
          </w:p>
        </w:tc>
        <w:tc>
          <w:tcPr>
            <w:tcW w:w="5" w:type="pct"/>
            <w:shd w:val="clear" w:color="auto" w:fill="auto"/>
          </w:tcPr>
          <w:p w14:paraId="36CA1450" w14:textId="77777777" w:rsidR="00787570" w:rsidRDefault="00787570">
            <w:pPr>
              <w:rPr>
                <w:rFonts w:ascii="宋体"/>
              </w:rPr>
            </w:pPr>
          </w:p>
        </w:tc>
        <w:tc>
          <w:tcPr>
            <w:tcW w:w="50" w:type="pct"/>
            <w:shd w:val="clear" w:color="auto" w:fill="auto"/>
          </w:tcPr>
          <w:p w14:paraId="36CA1451" w14:textId="77777777" w:rsidR="00787570" w:rsidRDefault="00787570">
            <w:pPr>
              <w:rPr>
                <w:rFonts w:ascii="宋体"/>
              </w:rPr>
            </w:pPr>
          </w:p>
        </w:tc>
        <w:tc>
          <w:tcPr>
            <w:tcW w:w="3442" w:type="pct"/>
            <w:shd w:val="clear" w:color="auto" w:fill="auto"/>
          </w:tcPr>
          <w:p w14:paraId="36CA1452" w14:textId="77777777" w:rsidR="00787570" w:rsidRDefault="00787570">
            <w:pPr>
              <w:rPr>
                <w:rFonts w:ascii="宋体"/>
              </w:rPr>
            </w:pPr>
          </w:p>
        </w:tc>
        <w:tc>
          <w:tcPr>
            <w:tcW w:w="5" w:type="pct"/>
            <w:shd w:val="clear" w:color="auto" w:fill="auto"/>
          </w:tcPr>
          <w:p w14:paraId="36CA1453" w14:textId="77777777" w:rsidR="00787570" w:rsidRDefault="00787570">
            <w:pPr>
              <w:rPr>
                <w:rFonts w:ascii="宋体"/>
              </w:rPr>
            </w:pPr>
          </w:p>
        </w:tc>
      </w:tr>
      <w:tr w:rsidR="00787570" w14:paraId="36CA1459" w14:textId="77777777">
        <w:tc>
          <w:tcPr>
            <w:tcW w:w="0" w:type="auto"/>
            <w:gridSpan w:val="3"/>
            <w:shd w:val="clear" w:color="auto" w:fill="auto"/>
            <w:tcMar>
              <w:top w:w="40" w:type="dxa"/>
              <w:left w:w="20" w:type="dxa"/>
              <w:bottom w:w="40" w:type="dxa"/>
              <w:right w:w="20" w:type="dxa"/>
            </w:tcMar>
            <w:vAlign w:val="bottom"/>
          </w:tcPr>
          <w:p w14:paraId="36CA1455" w14:textId="77777777" w:rsidR="00787570" w:rsidRDefault="000D56E2">
            <w:pPr>
              <w:textAlignment w:val="bottom"/>
            </w:pPr>
            <w:r>
              <w:rPr>
                <w:rFonts w:ascii="Arial" w:eastAsia="宋体" w:hAnsi="Arial" w:cs="Arial"/>
                <w:color w:val="333333"/>
                <w:sz w:val="16"/>
                <w:szCs w:val="16"/>
              </w:rPr>
              <w:t> </w:t>
            </w:r>
          </w:p>
        </w:tc>
        <w:tc>
          <w:tcPr>
            <w:tcW w:w="0" w:type="auto"/>
            <w:gridSpan w:val="3"/>
            <w:shd w:val="clear" w:color="auto" w:fill="auto"/>
            <w:tcMar>
              <w:top w:w="40" w:type="dxa"/>
              <w:left w:w="20" w:type="dxa"/>
              <w:bottom w:w="40" w:type="dxa"/>
              <w:right w:w="20" w:type="dxa"/>
            </w:tcMar>
          </w:tcPr>
          <w:p w14:paraId="36CA1456" w14:textId="77777777" w:rsidR="00787570" w:rsidRDefault="000D56E2">
            <w:pPr>
              <w:textAlignment w:val="top"/>
            </w:pPr>
            <w:r>
              <w:rPr>
                <w:rFonts w:ascii="Arial Unicode MS" w:eastAsia="Arial Unicode MS" w:hAnsi="Arial Unicode MS" w:cs="Arial Unicode MS"/>
                <w:b/>
                <w:bCs/>
                <w:color w:val="333333"/>
              </w:rPr>
              <w:t>☑</w:t>
            </w:r>
          </w:p>
        </w:tc>
        <w:tc>
          <w:tcPr>
            <w:tcW w:w="0" w:type="auto"/>
            <w:gridSpan w:val="6"/>
            <w:shd w:val="clear" w:color="auto" w:fill="auto"/>
            <w:tcMar>
              <w:top w:w="40" w:type="dxa"/>
              <w:left w:w="20" w:type="dxa"/>
              <w:bottom w:w="40" w:type="dxa"/>
              <w:right w:w="20" w:type="dxa"/>
            </w:tcMar>
          </w:tcPr>
          <w:p w14:paraId="36CA1457" w14:textId="77777777" w:rsidR="00787570" w:rsidRDefault="000D56E2">
            <w:pPr>
              <w:textAlignment w:val="top"/>
            </w:pPr>
            <w:r>
              <w:rPr>
                <w:rFonts w:ascii="Arial" w:eastAsia="宋体" w:hAnsi="Arial" w:cs="Arial"/>
                <w:color w:val="333333"/>
                <w:sz w:val="18"/>
                <w:szCs w:val="18"/>
              </w:rPr>
              <w:t xml:space="preserve">QUARTERLY REPORT PURSUANT TO SECTION 13 OR 15(d) OF THE SECURITIES </w:t>
            </w:r>
            <w:r>
              <w:rPr>
                <w:rFonts w:ascii="Arial" w:eastAsia="宋体" w:hAnsi="Arial" w:cs="Arial"/>
                <w:color w:val="333333"/>
                <w:sz w:val="18"/>
                <w:szCs w:val="18"/>
              </w:rPr>
              <w:t>EXCHANGE ACT OF 1934</w:t>
            </w:r>
          </w:p>
        </w:tc>
        <w:tc>
          <w:tcPr>
            <w:tcW w:w="0" w:type="auto"/>
            <w:gridSpan w:val="3"/>
            <w:shd w:val="clear" w:color="auto" w:fill="auto"/>
          </w:tcPr>
          <w:p w14:paraId="36CA1458" w14:textId="77777777" w:rsidR="00787570" w:rsidRDefault="00787570">
            <w:pPr>
              <w:rPr>
                <w:rFonts w:ascii="宋体"/>
                <w:vanish/>
              </w:rPr>
            </w:pPr>
          </w:p>
        </w:tc>
      </w:tr>
      <w:tr w:rsidR="00787570" w14:paraId="36CA1461" w14:textId="77777777">
        <w:tc>
          <w:tcPr>
            <w:tcW w:w="0" w:type="auto"/>
            <w:gridSpan w:val="3"/>
            <w:shd w:val="clear" w:color="auto" w:fill="auto"/>
            <w:tcMar>
              <w:left w:w="20" w:type="dxa"/>
              <w:right w:w="20" w:type="dxa"/>
            </w:tcMar>
            <w:vAlign w:val="bottom"/>
          </w:tcPr>
          <w:p w14:paraId="36CA145A"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145B" w14:textId="77777777" w:rsidR="00787570" w:rsidRDefault="00787570">
            <w:pPr>
              <w:rPr>
                <w:rFonts w:ascii="宋体"/>
              </w:rPr>
            </w:pPr>
          </w:p>
        </w:tc>
        <w:tc>
          <w:tcPr>
            <w:tcW w:w="0" w:type="auto"/>
            <w:gridSpan w:val="3"/>
            <w:shd w:val="clear" w:color="auto" w:fill="auto"/>
            <w:tcMar>
              <w:top w:w="40" w:type="dxa"/>
              <w:left w:w="20" w:type="dxa"/>
              <w:bottom w:w="40" w:type="dxa"/>
              <w:right w:w="20" w:type="dxa"/>
            </w:tcMar>
            <w:vAlign w:val="bottom"/>
          </w:tcPr>
          <w:p w14:paraId="36CA145C" w14:textId="77777777" w:rsidR="00787570" w:rsidRDefault="000D56E2">
            <w:pPr>
              <w:textAlignment w:val="bottom"/>
            </w:pPr>
            <w:r>
              <w:rPr>
                <w:rFonts w:ascii="Arial" w:eastAsia="宋体" w:hAnsi="Arial" w:cs="Arial"/>
                <w:color w:val="333333"/>
                <w:sz w:val="18"/>
                <w:szCs w:val="18"/>
              </w:rPr>
              <w:t>For the quarterly period ended</w:t>
            </w:r>
          </w:p>
        </w:tc>
        <w:tc>
          <w:tcPr>
            <w:tcW w:w="0" w:type="auto"/>
            <w:gridSpan w:val="3"/>
            <w:shd w:val="clear" w:color="auto" w:fill="auto"/>
            <w:tcMar>
              <w:top w:w="40" w:type="dxa"/>
              <w:left w:w="20" w:type="dxa"/>
              <w:bottom w:w="40" w:type="dxa"/>
              <w:right w:w="20" w:type="dxa"/>
            </w:tcMar>
            <w:vAlign w:val="bottom"/>
          </w:tcPr>
          <w:p w14:paraId="36CA145D" w14:textId="77777777" w:rsidR="00787570" w:rsidRDefault="000D56E2">
            <w:pPr>
              <w:textAlignment w:val="bottom"/>
            </w:pPr>
            <w:r>
              <w:rPr>
                <w:rFonts w:ascii="Arial" w:eastAsia="宋体" w:hAnsi="Arial" w:cs="Arial"/>
                <w:color w:val="333333"/>
                <w:sz w:val="18"/>
                <w:szCs w:val="18"/>
              </w:rPr>
              <w:t>September 26, 2020</w:t>
            </w:r>
          </w:p>
        </w:tc>
        <w:tc>
          <w:tcPr>
            <w:tcW w:w="0" w:type="auto"/>
            <w:shd w:val="clear" w:color="auto" w:fill="auto"/>
          </w:tcPr>
          <w:p w14:paraId="36CA145E" w14:textId="77777777" w:rsidR="00787570" w:rsidRDefault="00787570">
            <w:pPr>
              <w:rPr>
                <w:rFonts w:ascii="宋体"/>
              </w:rPr>
            </w:pPr>
          </w:p>
        </w:tc>
        <w:tc>
          <w:tcPr>
            <w:tcW w:w="0" w:type="auto"/>
            <w:shd w:val="clear" w:color="auto" w:fill="auto"/>
          </w:tcPr>
          <w:p w14:paraId="36CA145F" w14:textId="77777777" w:rsidR="00787570" w:rsidRDefault="00787570">
            <w:pPr>
              <w:rPr>
                <w:rFonts w:ascii="宋体"/>
              </w:rPr>
            </w:pPr>
          </w:p>
        </w:tc>
        <w:tc>
          <w:tcPr>
            <w:tcW w:w="0" w:type="auto"/>
            <w:shd w:val="clear" w:color="auto" w:fill="auto"/>
          </w:tcPr>
          <w:p w14:paraId="36CA1460" w14:textId="77777777" w:rsidR="00787570" w:rsidRDefault="00787570">
            <w:pPr>
              <w:rPr>
                <w:rFonts w:ascii="宋体"/>
              </w:rPr>
            </w:pPr>
          </w:p>
        </w:tc>
      </w:tr>
    </w:tbl>
    <w:p w14:paraId="36CA1462" w14:textId="77777777" w:rsidR="00787570" w:rsidRDefault="000D56E2">
      <w:pPr>
        <w:jc w:val="center"/>
      </w:pPr>
      <w:r>
        <w:rPr>
          <w:rFonts w:ascii="Arial" w:eastAsia="宋体" w:hAnsi="Arial" w:cs="Arial"/>
          <w:color w:val="333333"/>
          <w:sz w:val="16"/>
          <w:szCs w:val="16"/>
        </w:rPr>
        <w:t>Or</w:t>
      </w:r>
    </w:p>
    <w:tbl>
      <w:tblPr>
        <w:tblW w:w="5000" w:type="pct"/>
        <w:tblCellMar>
          <w:top w:w="15" w:type="dxa"/>
          <w:left w:w="15" w:type="dxa"/>
          <w:bottom w:w="15" w:type="dxa"/>
          <w:right w:w="15" w:type="dxa"/>
        </w:tblCellMar>
        <w:tblLook w:val="04A0" w:firstRow="1" w:lastRow="0" w:firstColumn="1" w:lastColumn="0" w:noHBand="0" w:noVBand="1"/>
      </w:tblPr>
      <w:tblGrid>
        <w:gridCol w:w="36"/>
        <w:gridCol w:w="142"/>
        <w:gridCol w:w="36"/>
        <w:gridCol w:w="79"/>
        <w:gridCol w:w="161"/>
        <w:gridCol w:w="36"/>
        <w:gridCol w:w="38"/>
        <w:gridCol w:w="7771"/>
        <w:gridCol w:w="37"/>
      </w:tblGrid>
      <w:tr w:rsidR="00787570" w14:paraId="36CA146C" w14:textId="77777777">
        <w:tc>
          <w:tcPr>
            <w:tcW w:w="5" w:type="pct"/>
            <w:shd w:val="clear" w:color="auto" w:fill="auto"/>
          </w:tcPr>
          <w:p w14:paraId="36CA1463" w14:textId="77777777" w:rsidR="00787570" w:rsidRDefault="00787570">
            <w:pPr>
              <w:rPr>
                <w:rFonts w:ascii="宋体"/>
              </w:rPr>
            </w:pPr>
          </w:p>
        </w:tc>
        <w:tc>
          <w:tcPr>
            <w:tcW w:w="99" w:type="pct"/>
            <w:shd w:val="clear" w:color="auto" w:fill="auto"/>
          </w:tcPr>
          <w:p w14:paraId="36CA1464" w14:textId="77777777" w:rsidR="00787570" w:rsidRDefault="00787570">
            <w:pPr>
              <w:rPr>
                <w:rFonts w:ascii="宋体"/>
              </w:rPr>
            </w:pPr>
          </w:p>
        </w:tc>
        <w:tc>
          <w:tcPr>
            <w:tcW w:w="5" w:type="pct"/>
            <w:shd w:val="clear" w:color="auto" w:fill="auto"/>
          </w:tcPr>
          <w:p w14:paraId="36CA1465" w14:textId="77777777" w:rsidR="00787570" w:rsidRDefault="00787570">
            <w:pPr>
              <w:rPr>
                <w:rFonts w:ascii="宋体"/>
              </w:rPr>
            </w:pPr>
          </w:p>
        </w:tc>
        <w:tc>
          <w:tcPr>
            <w:tcW w:w="50" w:type="pct"/>
            <w:shd w:val="clear" w:color="auto" w:fill="auto"/>
          </w:tcPr>
          <w:p w14:paraId="36CA1466" w14:textId="77777777" w:rsidR="00787570" w:rsidRDefault="00787570">
            <w:pPr>
              <w:rPr>
                <w:rFonts w:ascii="宋体"/>
              </w:rPr>
            </w:pPr>
          </w:p>
        </w:tc>
        <w:tc>
          <w:tcPr>
            <w:tcW w:w="102" w:type="pct"/>
            <w:shd w:val="clear" w:color="auto" w:fill="auto"/>
          </w:tcPr>
          <w:p w14:paraId="36CA1467" w14:textId="77777777" w:rsidR="00787570" w:rsidRDefault="00787570">
            <w:pPr>
              <w:rPr>
                <w:rFonts w:ascii="宋体"/>
              </w:rPr>
            </w:pPr>
          </w:p>
        </w:tc>
        <w:tc>
          <w:tcPr>
            <w:tcW w:w="5" w:type="pct"/>
            <w:shd w:val="clear" w:color="auto" w:fill="auto"/>
          </w:tcPr>
          <w:p w14:paraId="36CA1468" w14:textId="77777777" w:rsidR="00787570" w:rsidRDefault="00787570">
            <w:pPr>
              <w:rPr>
                <w:rFonts w:ascii="宋体"/>
              </w:rPr>
            </w:pPr>
          </w:p>
        </w:tc>
        <w:tc>
          <w:tcPr>
            <w:tcW w:w="50" w:type="pct"/>
            <w:shd w:val="clear" w:color="auto" w:fill="auto"/>
          </w:tcPr>
          <w:p w14:paraId="36CA1469" w14:textId="77777777" w:rsidR="00787570" w:rsidRDefault="00787570">
            <w:pPr>
              <w:rPr>
                <w:rFonts w:ascii="宋体"/>
              </w:rPr>
            </w:pPr>
          </w:p>
        </w:tc>
        <w:tc>
          <w:tcPr>
            <w:tcW w:w="4678" w:type="pct"/>
            <w:shd w:val="clear" w:color="auto" w:fill="auto"/>
          </w:tcPr>
          <w:p w14:paraId="36CA146A" w14:textId="77777777" w:rsidR="00787570" w:rsidRDefault="00787570">
            <w:pPr>
              <w:rPr>
                <w:rFonts w:ascii="宋体"/>
              </w:rPr>
            </w:pPr>
          </w:p>
        </w:tc>
        <w:tc>
          <w:tcPr>
            <w:tcW w:w="5" w:type="pct"/>
            <w:shd w:val="clear" w:color="auto" w:fill="auto"/>
          </w:tcPr>
          <w:p w14:paraId="36CA146B" w14:textId="77777777" w:rsidR="00787570" w:rsidRDefault="00787570">
            <w:pPr>
              <w:rPr>
                <w:rFonts w:ascii="宋体"/>
              </w:rPr>
            </w:pPr>
          </w:p>
        </w:tc>
      </w:tr>
      <w:tr w:rsidR="00787570" w14:paraId="36CA1470" w14:textId="77777777">
        <w:tc>
          <w:tcPr>
            <w:tcW w:w="0" w:type="auto"/>
            <w:gridSpan w:val="3"/>
            <w:shd w:val="clear" w:color="auto" w:fill="auto"/>
            <w:tcMar>
              <w:top w:w="40" w:type="dxa"/>
              <w:left w:w="20" w:type="dxa"/>
              <w:bottom w:w="40" w:type="dxa"/>
              <w:right w:w="20" w:type="dxa"/>
            </w:tcMar>
            <w:vAlign w:val="bottom"/>
          </w:tcPr>
          <w:p w14:paraId="36CA146D" w14:textId="77777777" w:rsidR="00787570" w:rsidRDefault="000D56E2">
            <w:pPr>
              <w:textAlignment w:val="bottom"/>
            </w:pPr>
            <w:r>
              <w:rPr>
                <w:rFonts w:ascii="Arial" w:eastAsia="宋体" w:hAnsi="Arial" w:cs="Arial"/>
                <w:color w:val="333333"/>
                <w:sz w:val="16"/>
                <w:szCs w:val="16"/>
              </w:rPr>
              <w:t> </w:t>
            </w:r>
          </w:p>
        </w:tc>
        <w:tc>
          <w:tcPr>
            <w:tcW w:w="0" w:type="auto"/>
            <w:gridSpan w:val="3"/>
            <w:shd w:val="clear" w:color="auto" w:fill="auto"/>
            <w:tcMar>
              <w:top w:w="40" w:type="dxa"/>
              <w:left w:w="20" w:type="dxa"/>
              <w:bottom w:w="40" w:type="dxa"/>
              <w:right w:w="20" w:type="dxa"/>
            </w:tcMar>
          </w:tcPr>
          <w:p w14:paraId="36CA146E" w14:textId="77777777" w:rsidR="00787570" w:rsidRDefault="000D56E2">
            <w:pPr>
              <w:textAlignment w:val="top"/>
            </w:pPr>
            <w:r>
              <w:rPr>
                <w:rFonts w:ascii="Arial Unicode MS" w:eastAsia="Arial Unicode MS" w:hAnsi="Arial Unicode MS" w:cs="Arial Unicode MS" w:hint="eastAsia"/>
                <w:color w:val="333333"/>
              </w:rPr>
              <w:t>☐</w:t>
            </w:r>
          </w:p>
        </w:tc>
        <w:tc>
          <w:tcPr>
            <w:tcW w:w="0" w:type="auto"/>
            <w:gridSpan w:val="3"/>
            <w:shd w:val="clear" w:color="auto" w:fill="auto"/>
            <w:tcMar>
              <w:top w:w="40" w:type="dxa"/>
              <w:left w:w="20" w:type="dxa"/>
              <w:bottom w:w="40" w:type="dxa"/>
              <w:right w:w="20" w:type="dxa"/>
            </w:tcMar>
          </w:tcPr>
          <w:p w14:paraId="36CA146F" w14:textId="77777777" w:rsidR="00787570" w:rsidRDefault="000D56E2">
            <w:pPr>
              <w:textAlignment w:val="top"/>
            </w:pPr>
            <w:r>
              <w:rPr>
                <w:rFonts w:ascii="Arial" w:eastAsia="宋体" w:hAnsi="Arial" w:cs="Arial"/>
                <w:color w:val="333333"/>
                <w:sz w:val="18"/>
                <w:szCs w:val="18"/>
              </w:rPr>
              <w:t>TRANSITION REPORT PURSUANT TO SECTION 13 OR 15(d) OF THE SECURITIES EXCHANGE ACT OF 1934</w:t>
            </w:r>
          </w:p>
        </w:tc>
      </w:tr>
      <w:tr w:rsidR="00787570" w14:paraId="36CA1474" w14:textId="77777777">
        <w:tc>
          <w:tcPr>
            <w:tcW w:w="0" w:type="auto"/>
            <w:gridSpan w:val="3"/>
            <w:shd w:val="clear" w:color="auto" w:fill="auto"/>
            <w:tcMar>
              <w:left w:w="20" w:type="dxa"/>
              <w:right w:w="20" w:type="dxa"/>
            </w:tcMar>
            <w:vAlign w:val="bottom"/>
          </w:tcPr>
          <w:p w14:paraId="36CA1471"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1472" w14:textId="77777777" w:rsidR="00787570" w:rsidRDefault="00787570">
            <w:pPr>
              <w:rPr>
                <w:rFonts w:ascii="宋体"/>
              </w:rPr>
            </w:pPr>
          </w:p>
        </w:tc>
        <w:tc>
          <w:tcPr>
            <w:tcW w:w="0" w:type="auto"/>
            <w:gridSpan w:val="3"/>
            <w:shd w:val="clear" w:color="auto" w:fill="auto"/>
            <w:tcMar>
              <w:top w:w="40" w:type="dxa"/>
              <w:left w:w="20" w:type="dxa"/>
              <w:bottom w:w="40" w:type="dxa"/>
              <w:right w:w="20" w:type="dxa"/>
            </w:tcMar>
            <w:vAlign w:val="bottom"/>
          </w:tcPr>
          <w:p w14:paraId="36CA1473" w14:textId="77777777" w:rsidR="00787570" w:rsidRDefault="000D56E2">
            <w:pPr>
              <w:spacing w:before="100"/>
              <w:textAlignment w:val="bottom"/>
            </w:pPr>
            <w:r>
              <w:rPr>
                <w:rFonts w:ascii="Arial" w:eastAsia="宋体" w:hAnsi="Arial" w:cs="Arial"/>
                <w:color w:val="333333"/>
                <w:sz w:val="18"/>
                <w:szCs w:val="18"/>
              </w:rPr>
              <w:t xml:space="preserve">For the transition period from </w:t>
            </w:r>
            <w:r>
              <w:rPr>
                <w:rFonts w:ascii="Arial" w:eastAsia="宋体" w:hAnsi="Arial" w:cs="Arial"/>
                <w:color w:val="333333"/>
                <w:sz w:val="18"/>
                <w:szCs w:val="18"/>
                <w:u w:val="single"/>
              </w:rPr>
              <w:t>                </w:t>
            </w:r>
            <w:r>
              <w:rPr>
                <w:rFonts w:ascii="Arial" w:eastAsia="宋体" w:hAnsi="Arial" w:cs="Arial"/>
                <w:color w:val="333333"/>
                <w:sz w:val="18"/>
                <w:szCs w:val="18"/>
              </w:rPr>
              <w:t xml:space="preserve"> to </w:t>
            </w:r>
            <w:r>
              <w:rPr>
                <w:rFonts w:ascii="Arial" w:eastAsia="宋体" w:hAnsi="Arial" w:cs="Arial"/>
                <w:color w:val="333333"/>
                <w:sz w:val="18"/>
                <w:szCs w:val="18"/>
                <w:u w:val="single"/>
              </w:rPr>
              <w:t>                </w:t>
            </w:r>
          </w:p>
        </w:tc>
      </w:tr>
    </w:tbl>
    <w:p w14:paraId="36CA1475" w14:textId="77777777" w:rsidR="00787570" w:rsidRDefault="000D56E2">
      <w:pPr>
        <w:spacing w:before="120" w:after="120"/>
        <w:jc w:val="center"/>
      </w:pPr>
      <w:r>
        <w:rPr>
          <w:rFonts w:ascii="Arial" w:eastAsia="宋体" w:hAnsi="Arial" w:cs="Arial"/>
          <w:color w:val="333333"/>
          <w:sz w:val="18"/>
          <w:szCs w:val="18"/>
        </w:rPr>
        <w:t xml:space="preserve">Commission File Number </w:t>
      </w:r>
      <w:r>
        <w:rPr>
          <w:rFonts w:ascii="Arial" w:eastAsia="宋体" w:hAnsi="Arial" w:cs="Arial"/>
          <w:color w:val="333333"/>
          <w:sz w:val="18"/>
          <w:szCs w:val="18"/>
          <w:u w:val="single"/>
        </w:rPr>
        <w:t xml:space="preserve">000-06217 </w:t>
      </w:r>
    </w:p>
    <w:p w14:paraId="36CA1476" w14:textId="77777777" w:rsidR="00787570" w:rsidRDefault="000D56E2">
      <w:pPr>
        <w:spacing w:before="120" w:after="120"/>
        <w:jc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Viewer9_files/intc-20200926_g1.jpg"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36CA5BDC" wp14:editId="36CA5BDD">
            <wp:extent cx="304800" cy="304800"/>
            <wp:effectExtent l="0" t="0" r="0" b="0"/>
            <wp:docPr id="40" name="图片 3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34" descr="IMG_256"/>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p w14:paraId="36CA1477" w14:textId="77777777" w:rsidR="00787570" w:rsidRDefault="000D56E2">
      <w:pPr>
        <w:jc w:val="center"/>
      </w:pPr>
      <w:r>
        <w:rPr>
          <w:rFonts w:ascii="Arial" w:eastAsia="宋体" w:hAnsi="Arial" w:cs="Arial"/>
          <w:b/>
          <w:bCs/>
          <w:color w:val="333333"/>
          <w:sz w:val="36"/>
          <w:szCs w:val="36"/>
        </w:rPr>
        <w:t xml:space="preserve">INTEL CORPORATION </w:t>
      </w:r>
    </w:p>
    <w:p w14:paraId="36CA1478" w14:textId="77777777" w:rsidR="00787570" w:rsidRDefault="000D56E2">
      <w:pPr>
        <w:jc w:val="center"/>
      </w:pPr>
      <w:r>
        <w:rPr>
          <w:rFonts w:ascii="Arial" w:eastAsia="宋体" w:hAnsi="Arial" w:cs="Arial"/>
          <w:color w:val="333333"/>
          <w:sz w:val="18"/>
          <w:szCs w:val="18"/>
        </w:rPr>
        <w:t xml:space="preserve">(Exact name of registrant as </w:t>
      </w:r>
      <w:r>
        <w:rPr>
          <w:rFonts w:ascii="Arial" w:eastAsia="宋体" w:hAnsi="Arial" w:cs="Arial"/>
          <w:color w:val="333333"/>
          <w:sz w:val="18"/>
          <w:szCs w:val="18"/>
        </w:rPr>
        <w:t>specified in its charter)</w:t>
      </w:r>
    </w:p>
    <w:tbl>
      <w:tblPr>
        <w:tblW w:w="4706" w:type="pct"/>
        <w:jc w:val="center"/>
        <w:tblCellMar>
          <w:top w:w="15" w:type="dxa"/>
          <w:left w:w="15" w:type="dxa"/>
          <w:bottom w:w="15" w:type="dxa"/>
          <w:right w:w="15" w:type="dxa"/>
        </w:tblCellMar>
        <w:tblLook w:val="04A0" w:firstRow="1" w:lastRow="0" w:firstColumn="1" w:lastColumn="0" w:noHBand="0" w:noVBand="1"/>
      </w:tblPr>
      <w:tblGrid>
        <w:gridCol w:w="44"/>
        <w:gridCol w:w="1893"/>
        <w:gridCol w:w="38"/>
        <w:gridCol w:w="44"/>
        <w:gridCol w:w="1485"/>
        <w:gridCol w:w="37"/>
        <w:gridCol w:w="56"/>
        <w:gridCol w:w="854"/>
        <w:gridCol w:w="37"/>
        <w:gridCol w:w="36"/>
        <w:gridCol w:w="36"/>
        <w:gridCol w:w="36"/>
        <w:gridCol w:w="45"/>
        <w:gridCol w:w="2010"/>
        <w:gridCol w:w="36"/>
        <w:gridCol w:w="36"/>
        <w:gridCol w:w="36"/>
        <w:gridCol w:w="36"/>
        <w:gridCol w:w="351"/>
        <w:gridCol w:w="350"/>
        <w:gridCol w:w="350"/>
      </w:tblGrid>
      <w:tr w:rsidR="00787570" w14:paraId="36CA1488" w14:textId="77777777">
        <w:trPr>
          <w:gridAfter w:val="6"/>
          <w:jc w:val="center"/>
        </w:trPr>
        <w:tc>
          <w:tcPr>
            <w:tcW w:w="50" w:type="pct"/>
            <w:shd w:val="clear" w:color="auto" w:fill="auto"/>
          </w:tcPr>
          <w:p w14:paraId="36CA1479" w14:textId="77777777" w:rsidR="00787570" w:rsidRDefault="00787570">
            <w:pPr>
              <w:rPr>
                <w:rFonts w:ascii="宋体"/>
              </w:rPr>
            </w:pPr>
          </w:p>
        </w:tc>
        <w:tc>
          <w:tcPr>
            <w:tcW w:w="1432" w:type="pct"/>
            <w:shd w:val="clear" w:color="auto" w:fill="auto"/>
          </w:tcPr>
          <w:p w14:paraId="36CA147A" w14:textId="77777777" w:rsidR="00787570" w:rsidRDefault="00787570">
            <w:pPr>
              <w:rPr>
                <w:rFonts w:ascii="宋体"/>
              </w:rPr>
            </w:pPr>
          </w:p>
        </w:tc>
        <w:tc>
          <w:tcPr>
            <w:tcW w:w="5" w:type="pct"/>
            <w:shd w:val="clear" w:color="auto" w:fill="auto"/>
          </w:tcPr>
          <w:p w14:paraId="36CA147B" w14:textId="77777777" w:rsidR="00787570" w:rsidRDefault="00787570">
            <w:pPr>
              <w:rPr>
                <w:rFonts w:ascii="宋体"/>
              </w:rPr>
            </w:pPr>
          </w:p>
        </w:tc>
        <w:tc>
          <w:tcPr>
            <w:tcW w:w="50" w:type="pct"/>
            <w:shd w:val="clear" w:color="auto" w:fill="auto"/>
          </w:tcPr>
          <w:p w14:paraId="36CA147C" w14:textId="77777777" w:rsidR="00787570" w:rsidRDefault="00787570">
            <w:pPr>
              <w:rPr>
                <w:rFonts w:ascii="宋体"/>
              </w:rPr>
            </w:pPr>
          </w:p>
        </w:tc>
        <w:tc>
          <w:tcPr>
            <w:tcW w:w="1127" w:type="pct"/>
            <w:shd w:val="clear" w:color="auto" w:fill="auto"/>
          </w:tcPr>
          <w:p w14:paraId="36CA147D" w14:textId="77777777" w:rsidR="00787570" w:rsidRDefault="00787570">
            <w:pPr>
              <w:rPr>
                <w:rFonts w:ascii="宋体"/>
              </w:rPr>
            </w:pPr>
          </w:p>
        </w:tc>
        <w:tc>
          <w:tcPr>
            <w:tcW w:w="5" w:type="pct"/>
            <w:shd w:val="clear" w:color="auto" w:fill="auto"/>
          </w:tcPr>
          <w:p w14:paraId="36CA147E" w14:textId="77777777" w:rsidR="00787570" w:rsidRDefault="00787570">
            <w:pPr>
              <w:rPr>
                <w:rFonts w:ascii="宋体"/>
              </w:rPr>
            </w:pPr>
          </w:p>
        </w:tc>
        <w:tc>
          <w:tcPr>
            <w:tcW w:w="50" w:type="pct"/>
            <w:shd w:val="clear" w:color="auto" w:fill="auto"/>
          </w:tcPr>
          <w:p w14:paraId="36CA147F" w14:textId="77777777" w:rsidR="00787570" w:rsidRDefault="00787570">
            <w:pPr>
              <w:rPr>
                <w:rFonts w:ascii="宋体"/>
              </w:rPr>
            </w:pPr>
          </w:p>
        </w:tc>
        <w:tc>
          <w:tcPr>
            <w:tcW w:w="663" w:type="pct"/>
            <w:shd w:val="clear" w:color="auto" w:fill="auto"/>
          </w:tcPr>
          <w:p w14:paraId="36CA1480" w14:textId="77777777" w:rsidR="00787570" w:rsidRDefault="00787570">
            <w:pPr>
              <w:rPr>
                <w:rFonts w:ascii="宋体"/>
              </w:rPr>
            </w:pPr>
          </w:p>
        </w:tc>
        <w:tc>
          <w:tcPr>
            <w:tcW w:w="5" w:type="pct"/>
            <w:shd w:val="clear" w:color="auto" w:fill="auto"/>
          </w:tcPr>
          <w:p w14:paraId="36CA1481" w14:textId="77777777" w:rsidR="00787570" w:rsidRDefault="00787570">
            <w:pPr>
              <w:rPr>
                <w:rFonts w:ascii="宋体"/>
              </w:rPr>
            </w:pPr>
          </w:p>
        </w:tc>
        <w:tc>
          <w:tcPr>
            <w:tcW w:w="5" w:type="pct"/>
            <w:shd w:val="clear" w:color="auto" w:fill="auto"/>
          </w:tcPr>
          <w:p w14:paraId="36CA1482" w14:textId="77777777" w:rsidR="00787570" w:rsidRDefault="00787570">
            <w:pPr>
              <w:rPr>
                <w:rFonts w:ascii="宋体"/>
              </w:rPr>
            </w:pPr>
          </w:p>
        </w:tc>
        <w:tc>
          <w:tcPr>
            <w:tcW w:w="26" w:type="pct"/>
            <w:shd w:val="clear" w:color="auto" w:fill="auto"/>
          </w:tcPr>
          <w:p w14:paraId="36CA1483" w14:textId="77777777" w:rsidR="00787570" w:rsidRDefault="00787570">
            <w:pPr>
              <w:rPr>
                <w:rFonts w:ascii="宋体"/>
              </w:rPr>
            </w:pPr>
          </w:p>
        </w:tc>
        <w:tc>
          <w:tcPr>
            <w:tcW w:w="5" w:type="pct"/>
            <w:shd w:val="clear" w:color="auto" w:fill="auto"/>
          </w:tcPr>
          <w:p w14:paraId="36CA1484" w14:textId="77777777" w:rsidR="00787570" w:rsidRDefault="00787570">
            <w:pPr>
              <w:rPr>
                <w:rFonts w:ascii="宋体"/>
              </w:rPr>
            </w:pPr>
          </w:p>
        </w:tc>
        <w:tc>
          <w:tcPr>
            <w:tcW w:w="50" w:type="pct"/>
            <w:shd w:val="clear" w:color="auto" w:fill="auto"/>
          </w:tcPr>
          <w:p w14:paraId="36CA1485" w14:textId="77777777" w:rsidR="00787570" w:rsidRDefault="00787570">
            <w:pPr>
              <w:rPr>
                <w:rFonts w:ascii="宋体"/>
              </w:rPr>
            </w:pPr>
          </w:p>
        </w:tc>
        <w:tc>
          <w:tcPr>
            <w:tcW w:w="1519" w:type="pct"/>
            <w:shd w:val="clear" w:color="auto" w:fill="auto"/>
          </w:tcPr>
          <w:p w14:paraId="36CA1486" w14:textId="77777777" w:rsidR="00787570" w:rsidRDefault="00787570">
            <w:pPr>
              <w:rPr>
                <w:rFonts w:ascii="宋体"/>
              </w:rPr>
            </w:pPr>
          </w:p>
        </w:tc>
        <w:tc>
          <w:tcPr>
            <w:tcW w:w="5" w:type="pct"/>
            <w:shd w:val="clear" w:color="auto" w:fill="auto"/>
          </w:tcPr>
          <w:p w14:paraId="36CA1487" w14:textId="77777777" w:rsidR="00787570" w:rsidRDefault="00787570">
            <w:pPr>
              <w:rPr>
                <w:rFonts w:ascii="宋体"/>
              </w:rPr>
            </w:pPr>
          </w:p>
        </w:tc>
      </w:tr>
      <w:tr w:rsidR="00787570" w14:paraId="36CA148E" w14:textId="77777777">
        <w:trPr>
          <w:gridAfter w:val="6"/>
          <w:jc w:val="center"/>
        </w:trPr>
        <w:tc>
          <w:tcPr>
            <w:tcW w:w="0" w:type="auto"/>
            <w:gridSpan w:val="3"/>
            <w:shd w:val="clear" w:color="auto" w:fill="auto"/>
            <w:tcMar>
              <w:left w:w="20" w:type="dxa"/>
              <w:right w:w="20" w:type="dxa"/>
            </w:tcMar>
            <w:vAlign w:val="bottom"/>
          </w:tcPr>
          <w:p w14:paraId="36CA1489" w14:textId="77777777" w:rsidR="00787570" w:rsidRDefault="00787570">
            <w:pPr>
              <w:jc w:val="center"/>
              <w:rPr>
                <w:rFonts w:ascii="宋体"/>
              </w:rPr>
            </w:pPr>
          </w:p>
        </w:tc>
        <w:tc>
          <w:tcPr>
            <w:tcW w:w="0" w:type="auto"/>
            <w:gridSpan w:val="3"/>
            <w:shd w:val="clear" w:color="auto" w:fill="auto"/>
            <w:tcMar>
              <w:top w:w="40" w:type="dxa"/>
              <w:left w:w="20" w:type="dxa"/>
              <w:bottom w:w="40" w:type="dxa"/>
              <w:right w:w="20" w:type="dxa"/>
            </w:tcMar>
            <w:vAlign w:val="bottom"/>
          </w:tcPr>
          <w:p w14:paraId="36CA148A" w14:textId="77777777" w:rsidR="00787570" w:rsidRDefault="000D56E2">
            <w:pPr>
              <w:textAlignment w:val="bottom"/>
            </w:pPr>
            <w:r>
              <w:rPr>
                <w:rFonts w:ascii="Arial" w:eastAsia="宋体" w:hAnsi="Arial" w:cs="Arial"/>
                <w:color w:val="333333"/>
                <w:sz w:val="18"/>
                <w:szCs w:val="18"/>
                <w:u w:val="single"/>
              </w:rPr>
              <w:t>Delaware</w:t>
            </w:r>
          </w:p>
        </w:tc>
        <w:tc>
          <w:tcPr>
            <w:tcW w:w="0" w:type="auto"/>
            <w:gridSpan w:val="3"/>
            <w:shd w:val="clear" w:color="auto" w:fill="auto"/>
            <w:tcMar>
              <w:left w:w="20" w:type="dxa"/>
              <w:right w:w="20" w:type="dxa"/>
            </w:tcMar>
            <w:vAlign w:val="bottom"/>
          </w:tcPr>
          <w:p w14:paraId="36CA148B"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148C" w14:textId="77777777" w:rsidR="00787570" w:rsidRDefault="00787570">
            <w:pPr>
              <w:rPr>
                <w:rFonts w:ascii="宋体"/>
              </w:rPr>
            </w:pPr>
          </w:p>
        </w:tc>
        <w:tc>
          <w:tcPr>
            <w:tcW w:w="0" w:type="auto"/>
            <w:gridSpan w:val="3"/>
            <w:shd w:val="clear" w:color="auto" w:fill="auto"/>
            <w:tcMar>
              <w:top w:w="40" w:type="dxa"/>
              <w:left w:w="20" w:type="dxa"/>
              <w:bottom w:w="40" w:type="dxa"/>
              <w:right w:w="20" w:type="dxa"/>
            </w:tcMar>
            <w:vAlign w:val="bottom"/>
          </w:tcPr>
          <w:p w14:paraId="36CA148D" w14:textId="77777777" w:rsidR="00787570" w:rsidRDefault="000D56E2">
            <w:pPr>
              <w:jc w:val="center"/>
              <w:textAlignment w:val="bottom"/>
            </w:pPr>
            <w:r>
              <w:rPr>
                <w:rFonts w:ascii="Arial" w:eastAsia="宋体" w:hAnsi="Arial" w:cs="Arial"/>
                <w:color w:val="333333"/>
                <w:sz w:val="18"/>
                <w:szCs w:val="18"/>
                <w:u w:val="single"/>
              </w:rPr>
              <w:t>94-1672743</w:t>
            </w:r>
          </w:p>
        </w:tc>
      </w:tr>
      <w:tr w:rsidR="00787570" w14:paraId="36CA1494" w14:textId="77777777">
        <w:trPr>
          <w:jc w:val="center"/>
        </w:trPr>
        <w:tc>
          <w:tcPr>
            <w:tcW w:w="0" w:type="auto"/>
            <w:gridSpan w:val="9"/>
            <w:shd w:val="clear" w:color="auto" w:fill="auto"/>
            <w:tcMar>
              <w:top w:w="40" w:type="dxa"/>
              <w:left w:w="20" w:type="dxa"/>
              <w:bottom w:w="40" w:type="dxa"/>
              <w:right w:w="20" w:type="dxa"/>
            </w:tcMar>
            <w:vAlign w:val="bottom"/>
          </w:tcPr>
          <w:p w14:paraId="36CA148F" w14:textId="77777777" w:rsidR="00787570" w:rsidRDefault="000D56E2">
            <w:pPr>
              <w:jc w:val="center"/>
              <w:textAlignment w:val="bottom"/>
            </w:pPr>
            <w:r>
              <w:rPr>
                <w:rFonts w:ascii="Arial" w:eastAsia="宋体" w:hAnsi="Arial" w:cs="Arial"/>
                <w:color w:val="333333"/>
                <w:sz w:val="18"/>
                <w:szCs w:val="18"/>
              </w:rPr>
              <w:t>(State or other jurisdiction of incorporation or organization)</w:t>
            </w:r>
          </w:p>
        </w:tc>
        <w:tc>
          <w:tcPr>
            <w:tcW w:w="0" w:type="auto"/>
            <w:gridSpan w:val="3"/>
            <w:shd w:val="clear" w:color="auto" w:fill="auto"/>
          </w:tcPr>
          <w:p w14:paraId="36CA1490" w14:textId="77777777" w:rsidR="00787570" w:rsidRDefault="00787570">
            <w:pPr>
              <w:rPr>
                <w:rFonts w:ascii="宋体"/>
                <w:vanish/>
              </w:rPr>
            </w:pPr>
          </w:p>
        </w:tc>
        <w:tc>
          <w:tcPr>
            <w:tcW w:w="0" w:type="auto"/>
            <w:gridSpan w:val="3"/>
            <w:shd w:val="clear" w:color="auto" w:fill="auto"/>
          </w:tcPr>
          <w:p w14:paraId="36CA1491" w14:textId="77777777" w:rsidR="00787570" w:rsidRDefault="00787570">
            <w:pPr>
              <w:rPr>
                <w:rFonts w:ascii="宋体"/>
                <w:vanish/>
              </w:rPr>
            </w:pPr>
          </w:p>
        </w:tc>
        <w:tc>
          <w:tcPr>
            <w:tcW w:w="0" w:type="auto"/>
            <w:gridSpan w:val="3"/>
            <w:shd w:val="clear" w:color="auto" w:fill="auto"/>
            <w:tcMar>
              <w:left w:w="20" w:type="dxa"/>
              <w:right w:w="20" w:type="dxa"/>
            </w:tcMar>
            <w:vAlign w:val="bottom"/>
          </w:tcPr>
          <w:p w14:paraId="36CA1492" w14:textId="77777777" w:rsidR="00787570" w:rsidRDefault="00787570">
            <w:pPr>
              <w:rPr>
                <w:rFonts w:ascii="宋体"/>
              </w:rPr>
            </w:pPr>
          </w:p>
        </w:tc>
        <w:tc>
          <w:tcPr>
            <w:tcW w:w="0" w:type="auto"/>
            <w:gridSpan w:val="3"/>
            <w:shd w:val="clear" w:color="auto" w:fill="auto"/>
            <w:tcMar>
              <w:top w:w="40" w:type="dxa"/>
              <w:left w:w="20" w:type="dxa"/>
              <w:bottom w:w="40" w:type="dxa"/>
              <w:right w:w="20" w:type="dxa"/>
            </w:tcMar>
            <w:vAlign w:val="bottom"/>
          </w:tcPr>
          <w:p w14:paraId="36CA1493" w14:textId="77777777" w:rsidR="00787570" w:rsidRDefault="000D56E2">
            <w:pPr>
              <w:jc w:val="center"/>
              <w:textAlignment w:val="bottom"/>
            </w:pPr>
            <w:r>
              <w:rPr>
                <w:rFonts w:ascii="Arial" w:eastAsia="宋体" w:hAnsi="Arial" w:cs="Arial"/>
                <w:color w:val="333333"/>
                <w:sz w:val="18"/>
                <w:szCs w:val="18"/>
              </w:rPr>
              <w:t>(I.R.S. Employer Identification No.)</w:t>
            </w:r>
          </w:p>
        </w:tc>
      </w:tr>
      <w:tr w:rsidR="00787570" w14:paraId="36CA14A0" w14:textId="77777777">
        <w:trPr>
          <w:jc w:val="center"/>
          <w:hidden/>
        </w:trPr>
        <w:tc>
          <w:tcPr>
            <w:tcW w:w="0" w:type="auto"/>
            <w:gridSpan w:val="3"/>
            <w:shd w:val="clear" w:color="auto" w:fill="auto"/>
          </w:tcPr>
          <w:p w14:paraId="36CA1495" w14:textId="77777777" w:rsidR="00787570" w:rsidRDefault="00787570">
            <w:pPr>
              <w:rPr>
                <w:rFonts w:ascii="宋体"/>
                <w:vanish/>
              </w:rPr>
            </w:pPr>
          </w:p>
        </w:tc>
        <w:tc>
          <w:tcPr>
            <w:tcW w:w="0" w:type="auto"/>
            <w:gridSpan w:val="3"/>
            <w:shd w:val="clear" w:color="auto" w:fill="auto"/>
          </w:tcPr>
          <w:p w14:paraId="36CA1496" w14:textId="77777777" w:rsidR="00787570" w:rsidRDefault="00787570">
            <w:pPr>
              <w:rPr>
                <w:rFonts w:ascii="宋体"/>
                <w:vanish/>
              </w:rPr>
            </w:pPr>
          </w:p>
        </w:tc>
        <w:tc>
          <w:tcPr>
            <w:tcW w:w="0" w:type="auto"/>
            <w:gridSpan w:val="3"/>
            <w:shd w:val="clear" w:color="auto" w:fill="auto"/>
          </w:tcPr>
          <w:p w14:paraId="36CA1497" w14:textId="77777777" w:rsidR="00787570" w:rsidRDefault="00787570">
            <w:pPr>
              <w:rPr>
                <w:rFonts w:ascii="宋体"/>
                <w:vanish/>
              </w:rPr>
            </w:pPr>
          </w:p>
        </w:tc>
        <w:tc>
          <w:tcPr>
            <w:tcW w:w="0" w:type="auto"/>
            <w:gridSpan w:val="3"/>
            <w:shd w:val="clear" w:color="auto" w:fill="auto"/>
          </w:tcPr>
          <w:p w14:paraId="36CA1498" w14:textId="77777777" w:rsidR="00787570" w:rsidRDefault="00787570">
            <w:pPr>
              <w:rPr>
                <w:rFonts w:ascii="宋体"/>
                <w:vanish/>
              </w:rPr>
            </w:pPr>
          </w:p>
        </w:tc>
        <w:tc>
          <w:tcPr>
            <w:tcW w:w="0" w:type="auto"/>
            <w:gridSpan w:val="3"/>
            <w:shd w:val="clear" w:color="auto" w:fill="auto"/>
          </w:tcPr>
          <w:p w14:paraId="36CA1499" w14:textId="77777777" w:rsidR="00787570" w:rsidRDefault="00787570">
            <w:pPr>
              <w:rPr>
                <w:rFonts w:ascii="宋体"/>
                <w:vanish/>
              </w:rPr>
            </w:pPr>
          </w:p>
        </w:tc>
        <w:tc>
          <w:tcPr>
            <w:tcW w:w="0" w:type="auto"/>
            <w:shd w:val="clear" w:color="auto" w:fill="auto"/>
          </w:tcPr>
          <w:p w14:paraId="36CA149A" w14:textId="77777777" w:rsidR="00787570" w:rsidRDefault="00787570">
            <w:pPr>
              <w:rPr>
                <w:rFonts w:ascii="宋体"/>
              </w:rPr>
            </w:pPr>
          </w:p>
        </w:tc>
        <w:tc>
          <w:tcPr>
            <w:tcW w:w="0" w:type="auto"/>
            <w:shd w:val="clear" w:color="auto" w:fill="auto"/>
          </w:tcPr>
          <w:p w14:paraId="36CA149B" w14:textId="77777777" w:rsidR="00787570" w:rsidRDefault="00787570">
            <w:pPr>
              <w:rPr>
                <w:rFonts w:ascii="宋体"/>
              </w:rPr>
            </w:pPr>
          </w:p>
        </w:tc>
        <w:tc>
          <w:tcPr>
            <w:tcW w:w="0" w:type="auto"/>
            <w:shd w:val="clear" w:color="auto" w:fill="auto"/>
          </w:tcPr>
          <w:p w14:paraId="36CA149C" w14:textId="77777777" w:rsidR="00787570" w:rsidRDefault="00787570">
            <w:pPr>
              <w:rPr>
                <w:rFonts w:ascii="宋体"/>
              </w:rPr>
            </w:pPr>
          </w:p>
        </w:tc>
        <w:tc>
          <w:tcPr>
            <w:tcW w:w="0" w:type="auto"/>
            <w:shd w:val="clear" w:color="auto" w:fill="auto"/>
          </w:tcPr>
          <w:p w14:paraId="36CA149D" w14:textId="77777777" w:rsidR="00787570" w:rsidRDefault="00787570">
            <w:pPr>
              <w:rPr>
                <w:rFonts w:ascii="宋体"/>
              </w:rPr>
            </w:pPr>
          </w:p>
        </w:tc>
        <w:tc>
          <w:tcPr>
            <w:tcW w:w="0" w:type="auto"/>
            <w:shd w:val="clear" w:color="auto" w:fill="auto"/>
          </w:tcPr>
          <w:p w14:paraId="36CA149E" w14:textId="77777777" w:rsidR="00787570" w:rsidRDefault="00787570">
            <w:pPr>
              <w:rPr>
                <w:rFonts w:ascii="宋体"/>
              </w:rPr>
            </w:pPr>
          </w:p>
        </w:tc>
        <w:tc>
          <w:tcPr>
            <w:tcW w:w="0" w:type="auto"/>
            <w:shd w:val="clear" w:color="auto" w:fill="auto"/>
          </w:tcPr>
          <w:p w14:paraId="36CA149F" w14:textId="77777777" w:rsidR="00787570" w:rsidRDefault="00787570">
            <w:pPr>
              <w:rPr>
                <w:rFonts w:ascii="宋体"/>
              </w:rPr>
            </w:pPr>
          </w:p>
        </w:tc>
      </w:tr>
      <w:tr w:rsidR="00787570" w14:paraId="36CA14AC" w14:textId="77777777">
        <w:trPr>
          <w:jc w:val="center"/>
        </w:trPr>
        <w:tc>
          <w:tcPr>
            <w:tcW w:w="0" w:type="auto"/>
            <w:gridSpan w:val="3"/>
            <w:shd w:val="clear" w:color="auto" w:fill="auto"/>
            <w:tcMar>
              <w:top w:w="40" w:type="dxa"/>
              <w:left w:w="20" w:type="dxa"/>
              <w:bottom w:w="40" w:type="dxa"/>
              <w:right w:w="20" w:type="dxa"/>
            </w:tcMar>
          </w:tcPr>
          <w:p w14:paraId="36CA14A1" w14:textId="77777777" w:rsidR="00787570" w:rsidRDefault="000D56E2">
            <w:pPr>
              <w:jc w:val="center"/>
              <w:textAlignment w:val="top"/>
            </w:pPr>
            <w:r>
              <w:rPr>
                <w:rFonts w:ascii="Arial" w:eastAsia="宋体" w:hAnsi="Arial" w:cs="Arial"/>
                <w:color w:val="333333"/>
                <w:sz w:val="18"/>
                <w:szCs w:val="18"/>
                <w:u w:val="single"/>
              </w:rPr>
              <w:t xml:space="preserve">2200 Mission College Boulevard, </w:t>
            </w:r>
          </w:p>
        </w:tc>
        <w:tc>
          <w:tcPr>
            <w:tcW w:w="0" w:type="auto"/>
            <w:gridSpan w:val="3"/>
            <w:shd w:val="clear" w:color="auto" w:fill="auto"/>
            <w:tcMar>
              <w:top w:w="40" w:type="dxa"/>
              <w:left w:w="20" w:type="dxa"/>
              <w:bottom w:w="40" w:type="dxa"/>
              <w:right w:w="20" w:type="dxa"/>
            </w:tcMar>
          </w:tcPr>
          <w:p w14:paraId="36CA14A2" w14:textId="77777777" w:rsidR="00787570" w:rsidRDefault="000D56E2">
            <w:pPr>
              <w:jc w:val="center"/>
              <w:textAlignment w:val="top"/>
            </w:pPr>
            <w:r>
              <w:rPr>
                <w:rFonts w:ascii="Arial" w:eastAsia="宋体" w:hAnsi="Arial" w:cs="Arial"/>
                <w:color w:val="333333"/>
                <w:sz w:val="18"/>
                <w:szCs w:val="18"/>
                <w:u w:val="single"/>
              </w:rPr>
              <w:t xml:space="preserve">Santa Clara, </w:t>
            </w:r>
          </w:p>
        </w:tc>
        <w:tc>
          <w:tcPr>
            <w:tcW w:w="0" w:type="auto"/>
            <w:gridSpan w:val="3"/>
            <w:shd w:val="clear" w:color="auto" w:fill="auto"/>
            <w:tcMar>
              <w:top w:w="40" w:type="dxa"/>
              <w:left w:w="20" w:type="dxa"/>
              <w:bottom w:w="40" w:type="dxa"/>
              <w:right w:w="20" w:type="dxa"/>
            </w:tcMar>
          </w:tcPr>
          <w:p w14:paraId="36CA14A3" w14:textId="77777777" w:rsidR="00787570" w:rsidRDefault="000D56E2">
            <w:pPr>
              <w:jc w:val="center"/>
              <w:textAlignment w:val="top"/>
            </w:pPr>
            <w:r>
              <w:rPr>
                <w:rFonts w:ascii="Arial" w:eastAsia="宋体" w:hAnsi="Arial" w:cs="Arial"/>
                <w:color w:val="333333"/>
                <w:sz w:val="18"/>
                <w:szCs w:val="18"/>
                <w:u w:val="single"/>
              </w:rPr>
              <w:t>California</w:t>
            </w:r>
          </w:p>
        </w:tc>
        <w:tc>
          <w:tcPr>
            <w:tcW w:w="0" w:type="auto"/>
            <w:gridSpan w:val="3"/>
            <w:shd w:val="clear" w:color="auto" w:fill="auto"/>
            <w:tcMar>
              <w:left w:w="20" w:type="dxa"/>
              <w:right w:w="20" w:type="dxa"/>
            </w:tcMar>
            <w:vAlign w:val="bottom"/>
          </w:tcPr>
          <w:p w14:paraId="36CA14A4" w14:textId="77777777" w:rsidR="00787570" w:rsidRDefault="00787570">
            <w:pPr>
              <w:rPr>
                <w:rFonts w:ascii="宋体"/>
              </w:rPr>
            </w:pPr>
          </w:p>
        </w:tc>
        <w:tc>
          <w:tcPr>
            <w:tcW w:w="0" w:type="auto"/>
            <w:gridSpan w:val="3"/>
            <w:shd w:val="clear" w:color="auto" w:fill="auto"/>
            <w:tcMar>
              <w:top w:w="40" w:type="dxa"/>
              <w:left w:w="20" w:type="dxa"/>
              <w:bottom w:w="40" w:type="dxa"/>
              <w:right w:w="20" w:type="dxa"/>
            </w:tcMar>
          </w:tcPr>
          <w:p w14:paraId="36CA14A5" w14:textId="77777777" w:rsidR="00787570" w:rsidRDefault="000D56E2">
            <w:pPr>
              <w:jc w:val="center"/>
              <w:textAlignment w:val="top"/>
            </w:pPr>
            <w:r>
              <w:rPr>
                <w:rFonts w:ascii="Arial" w:eastAsia="宋体" w:hAnsi="Arial" w:cs="Arial"/>
                <w:color w:val="333333"/>
                <w:sz w:val="18"/>
                <w:szCs w:val="18"/>
                <w:u w:val="single"/>
              </w:rPr>
              <w:t>95054-1549</w:t>
            </w:r>
          </w:p>
        </w:tc>
        <w:tc>
          <w:tcPr>
            <w:tcW w:w="0" w:type="auto"/>
            <w:shd w:val="clear" w:color="auto" w:fill="auto"/>
          </w:tcPr>
          <w:p w14:paraId="36CA14A6" w14:textId="77777777" w:rsidR="00787570" w:rsidRDefault="00787570">
            <w:pPr>
              <w:rPr>
                <w:rFonts w:ascii="宋体"/>
              </w:rPr>
            </w:pPr>
          </w:p>
        </w:tc>
        <w:tc>
          <w:tcPr>
            <w:tcW w:w="0" w:type="auto"/>
            <w:shd w:val="clear" w:color="auto" w:fill="auto"/>
          </w:tcPr>
          <w:p w14:paraId="36CA14A7" w14:textId="77777777" w:rsidR="00787570" w:rsidRDefault="00787570">
            <w:pPr>
              <w:rPr>
                <w:rFonts w:ascii="宋体"/>
              </w:rPr>
            </w:pPr>
          </w:p>
        </w:tc>
        <w:tc>
          <w:tcPr>
            <w:tcW w:w="0" w:type="auto"/>
            <w:shd w:val="clear" w:color="auto" w:fill="auto"/>
          </w:tcPr>
          <w:p w14:paraId="36CA14A8" w14:textId="77777777" w:rsidR="00787570" w:rsidRDefault="00787570">
            <w:pPr>
              <w:rPr>
                <w:rFonts w:ascii="宋体"/>
              </w:rPr>
            </w:pPr>
          </w:p>
        </w:tc>
        <w:tc>
          <w:tcPr>
            <w:tcW w:w="0" w:type="auto"/>
            <w:shd w:val="clear" w:color="auto" w:fill="auto"/>
          </w:tcPr>
          <w:p w14:paraId="36CA14A9" w14:textId="77777777" w:rsidR="00787570" w:rsidRDefault="00787570">
            <w:pPr>
              <w:rPr>
                <w:rFonts w:ascii="宋体"/>
              </w:rPr>
            </w:pPr>
          </w:p>
        </w:tc>
        <w:tc>
          <w:tcPr>
            <w:tcW w:w="0" w:type="auto"/>
            <w:shd w:val="clear" w:color="auto" w:fill="auto"/>
          </w:tcPr>
          <w:p w14:paraId="36CA14AA" w14:textId="77777777" w:rsidR="00787570" w:rsidRDefault="00787570">
            <w:pPr>
              <w:rPr>
                <w:rFonts w:ascii="宋体"/>
              </w:rPr>
            </w:pPr>
          </w:p>
        </w:tc>
        <w:tc>
          <w:tcPr>
            <w:tcW w:w="0" w:type="auto"/>
            <w:shd w:val="clear" w:color="auto" w:fill="auto"/>
          </w:tcPr>
          <w:p w14:paraId="36CA14AB" w14:textId="77777777" w:rsidR="00787570" w:rsidRDefault="00787570">
            <w:pPr>
              <w:rPr>
                <w:rFonts w:ascii="宋体"/>
              </w:rPr>
            </w:pPr>
          </w:p>
        </w:tc>
      </w:tr>
      <w:tr w:rsidR="00787570" w14:paraId="36CA14B2" w14:textId="77777777">
        <w:trPr>
          <w:jc w:val="center"/>
        </w:trPr>
        <w:tc>
          <w:tcPr>
            <w:tcW w:w="0" w:type="auto"/>
            <w:gridSpan w:val="9"/>
            <w:shd w:val="clear" w:color="auto" w:fill="auto"/>
            <w:tcMar>
              <w:top w:w="40" w:type="dxa"/>
              <w:left w:w="20" w:type="dxa"/>
              <w:bottom w:w="40" w:type="dxa"/>
              <w:right w:w="20" w:type="dxa"/>
            </w:tcMar>
          </w:tcPr>
          <w:p w14:paraId="36CA14AD" w14:textId="77777777" w:rsidR="00787570" w:rsidRDefault="000D56E2">
            <w:pPr>
              <w:jc w:val="center"/>
              <w:textAlignment w:val="top"/>
            </w:pPr>
            <w:r>
              <w:rPr>
                <w:rFonts w:ascii="Arial" w:eastAsia="宋体" w:hAnsi="Arial" w:cs="Arial"/>
                <w:color w:val="333333"/>
                <w:sz w:val="18"/>
                <w:szCs w:val="18"/>
              </w:rPr>
              <w:t>(Address of principal executive offices)</w:t>
            </w:r>
          </w:p>
        </w:tc>
        <w:tc>
          <w:tcPr>
            <w:tcW w:w="0" w:type="auto"/>
            <w:gridSpan w:val="3"/>
            <w:shd w:val="clear" w:color="auto" w:fill="auto"/>
          </w:tcPr>
          <w:p w14:paraId="36CA14AE" w14:textId="77777777" w:rsidR="00787570" w:rsidRDefault="00787570">
            <w:pPr>
              <w:rPr>
                <w:rFonts w:ascii="宋体"/>
                <w:vanish/>
              </w:rPr>
            </w:pPr>
          </w:p>
        </w:tc>
        <w:tc>
          <w:tcPr>
            <w:tcW w:w="0" w:type="auto"/>
            <w:gridSpan w:val="3"/>
            <w:shd w:val="clear" w:color="auto" w:fill="auto"/>
          </w:tcPr>
          <w:p w14:paraId="36CA14AF" w14:textId="77777777" w:rsidR="00787570" w:rsidRDefault="00787570">
            <w:pPr>
              <w:rPr>
                <w:rFonts w:ascii="宋体"/>
                <w:vanish/>
              </w:rPr>
            </w:pPr>
          </w:p>
        </w:tc>
        <w:tc>
          <w:tcPr>
            <w:tcW w:w="0" w:type="auto"/>
            <w:gridSpan w:val="3"/>
            <w:shd w:val="clear" w:color="auto" w:fill="auto"/>
            <w:tcMar>
              <w:left w:w="20" w:type="dxa"/>
              <w:right w:w="20" w:type="dxa"/>
            </w:tcMar>
            <w:vAlign w:val="bottom"/>
          </w:tcPr>
          <w:p w14:paraId="36CA14B0" w14:textId="77777777" w:rsidR="00787570" w:rsidRDefault="00787570">
            <w:pPr>
              <w:rPr>
                <w:rFonts w:ascii="宋体"/>
              </w:rPr>
            </w:pPr>
          </w:p>
        </w:tc>
        <w:tc>
          <w:tcPr>
            <w:tcW w:w="0" w:type="auto"/>
            <w:gridSpan w:val="3"/>
            <w:shd w:val="clear" w:color="auto" w:fill="auto"/>
            <w:tcMar>
              <w:top w:w="40" w:type="dxa"/>
              <w:left w:w="20" w:type="dxa"/>
              <w:bottom w:w="40" w:type="dxa"/>
              <w:right w:w="20" w:type="dxa"/>
            </w:tcMar>
          </w:tcPr>
          <w:p w14:paraId="36CA14B1" w14:textId="77777777" w:rsidR="00787570" w:rsidRDefault="000D56E2">
            <w:pPr>
              <w:jc w:val="center"/>
              <w:textAlignment w:val="top"/>
            </w:pPr>
            <w:r>
              <w:rPr>
                <w:rFonts w:ascii="Arial" w:eastAsia="宋体" w:hAnsi="Arial" w:cs="Arial"/>
                <w:color w:val="333333"/>
                <w:sz w:val="18"/>
                <w:szCs w:val="18"/>
              </w:rPr>
              <w:t>(Zip Code)</w:t>
            </w:r>
          </w:p>
        </w:tc>
      </w:tr>
    </w:tbl>
    <w:p w14:paraId="36CA14B3" w14:textId="77777777" w:rsidR="00787570" w:rsidRDefault="000D56E2">
      <w:pPr>
        <w:spacing w:before="180"/>
        <w:jc w:val="center"/>
      </w:pPr>
      <w:r>
        <w:rPr>
          <w:rFonts w:ascii="Arial" w:eastAsia="宋体" w:hAnsi="Arial" w:cs="Arial"/>
          <w:color w:val="333333"/>
          <w:sz w:val="18"/>
          <w:szCs w:val="18"/>
          <w:u w:val="single"/>
        </w:rPr>
        <w:t xml:space="preserve">(408) 765-8080 </w:t>
      </w:r>
    </w:p>
    <w:p w14:paraId="36CA14B4" w14:textId="77777777" w:rsidR="00787570" w:rsidRDefault="000D56E2">
      <w:pPr>
        <w:spacing w:after="120"/>
        <w:jc w:val="center"/>
      </w:pPr>
      <w:r>
        <w:rPr>
          <w:rFonts w:ascii="Arial" w:eastAsia="宋体" w:hAnsi="Arial" w:cs="Arial"/>
          <w:color w:val="333333"/>
          <w:sz w:val="18"/>
          <w:szCs w:val="18"/>
        </w:rPr>
        <w:t>(Registrant’s telephone number, including area code)</w:t>
      </w:r>
    </w:p>
    <w:p w14:paraId="36CA14B5" w14:textId="77777777" w:rsidR="00787570" w:rsidRDefault="000D56E2">
      <w:pPr>
        <w:spacing w:before="120"/>
        <w:jc w:val="center"/>
      </w:pPr>
      <w:r>
        <w:rPr>
          <w:rFonts w:ascii="Arial" w:eastAsia="宋体" w:hAnsi="Arial" w:cs="Arial"/>
          <w:color w:val="333333"/>
          <w:sz w:val="18"/>
          <w:szCs w:val="18"/>
          <w:u w:val="single"/>
        </w:rPr>
        <w:t>N/A</w:t>
      </w:r>
    </w:p>
    <w:p w14:paraId="36CA14B6" w14:textId="77777777" w:rsidR="00787570" w:rsidRDefault="000D56E2">
      <w:pPr>
        <w:spacing w:after="180"/>
        <w:jc w:val="center"/>
      </w:pPr>
      <w:r>
        <w:rPr>
          <w:rFonts w:ascii="Arial" w:eastAsia="宋体" w:hAnsi="Arial" w:cs="Arial"/>
          <w:color w:val="333333"/>
          <w:sz w:val="18"/>
          <w:szCs w:val="18"/>
        </w:rPr>
        <w:t>(Former name, former address and former fiscal year, if changed since last report)</w:t>
      </w:r>
    </w:p>
    <w:p w14:paraId="36CA14B7" w14:textId="77777777" w:rsidR="00787570" w:rsidRDefault="000D56E2">
      <w:r>
        <w:rPr>
          <w:rFonts w:ascii="Arial" w:eastAsia="宋体" w:hAnsi="Arial" w:cs="Arial"/>
          <w:color w:val="333333"/>
          <w:sz w:val="18"/>
          <w:szCs w:val="18"/>
        </w:rPr>
        <w:t xml:space="preserve">Securities </w:t>
      </w:r>
      <w:r>
        <w:rPr>
          <w:rFonts w:ascii="Arial" w:eastAsia="宋体" w:hAnsi="Arial" w:cs="Arial"/>
          <w:color w:val="333333"/>
          <w:sz w:val="18"/>
          <w:szCs w:val="18"/>
        </w:rPr>
        <w:t>registered pursuant to Section 12(b) of the Act:</w:t>
      </w:r>
    </w:p>
    <w:tbl>
      <w:tblPr>
        <w:tblW w:w="5000" w:type="pct"/>
        <w:tblCellMar>
          <w:top w:w="15" w:type="dxa"/>
          <w:left w:w="15" w:type="dxa"/>
          <w:bottom w:w="15" w:type="dxa"/>
          <w:right w:w="15" w:type="dxa"/>
        </w:tblCellMar>
        <w:tblLook w:val="04A0" w:firstRow="1" w:lastRow="0" w:firstColumn="1" w:lastColumn="0" w:noHBand="0" w:noVBand="1"/>
      </w:tblPr>
      <w:tblGrid>
        <w:gridCol w:w="69"/>
        <w:gridCol w:w="2492"/>
        <w:gridCol w:w="37"/>
        <w:gridCol w:w="69"/>
        <w:gridCol w:w="1852"/>
        <w:gridCol w:w="36"/>
        <w:gridCol w:w="69"/>
        <w:gridCol w:w="3676"/>
        <w:gridCol w:w="36"/>
      </w:tblGrid>
      <w:tr w:rsidR="00787570" w14:paraId="36CA14C1" w14:textId="77777777">
        <w:tc>
          <w:tcPr>
            <w:tcW w:w="50" w:type="pct"/>
            <w:shd w:val="clear" w:color="auto" w:fill="auto"/>
          </w:tcPr>
          <w:p w14:paraId="36CA14B8" w14:textId="77777777" w:rsidR="00787570" w:rsidRDefault="00787570">
            <w:pPr>
              <w:rPr>
                <w:rFonts w:ascii="宋体"/>
              </w:rPr>
            </w:pPr>
          </w:p>
        </w:tc>
        <w:tc>
          <w:tcPr>
            <w:tcW w:w="1502" w:type="pct"/>
            <w:shd w:val="clear" w:color="auto" w:fill="auto"/>
          </w:tcPr>
          <w:p w14:paraId="36CA14B9" w14:textId="77777777" w:rsidR="00787570" w:rsidRDefault="00787570">
            <w:pPr>
              <w:rPr>
                <w:rFonts w:ascii="宋体"/>
              </w:rPr>
            </w:pPr>
          </w:p>
        </w:tc>
        <w:tc>
          <w:tcPr>
            <w:tcW w:w="5" w:type="pct"/>
            <w:shd w:val="clear" w:color="auto" w:fill="auto"/>
          </w:tcPr>
          <w:p w14:paraId="36CA14BA" w14:textId="77777777" w:rsidR="00787570" w:rsidRDefault="00787570">
            <w:pPr>
              <w:rPr>
                <w:rFonts w:ascii="宋体"/>
              </w:rPr>
            </w:pPr>
          </w:p>
        </w:tc>
        <w:tc>
          <w:tcPr>
            <w:tcW w:w="50" w:type="pct"/>
            <w:shd w:val="clear" w:color="auto" w:fill="auto"/>
          </w:tcPr>
          <w:p w14:paraId="36CA14BB" w14:textId="77777777" w:rsidR="00787570" w:rsidRDefault="00787570">
            <w:pPr>
              <w:rPr>
                <w:rFonts w:ascii="宋体"/>
              </w:rPr>
            </w:pPr>
          </w:p>
        </w:tc>
        <w:tc>
          <w:tcPr>
            <w:tcW w:w="1119" w:type="pct"/>
            <w:shd w:val="clear" w:color="auto" w:fill="auto"/>
          </w:tcPr>
          <w:p w14:paraId="36CA14BC" w14:textId="77777777" w:rsidR="00787570" w:rsidRDefault="00787570">
            <w:pPr>
              <w:rPr>
                <w:rFonts w:ascii="宋体"/>
              </w:rPr>
            </w:pPr>
          </w:p>
        </w:tc>
        <w:tc>
          <w:tcPr>
            <w:tcW w:w="5" w:type="pct"/>
            <w:shd w:val="clear" w:color="auto" w:fill="auto"/>
          </w:tcPr>
          <w:p w14:paraId="36CA14BD" w14:textId="77777777" w:rsidR="00787570" w:rsidRDefault="00787570">
            <w:pPr>
              <w:rPr>
                <w:rFonts w:ascii="宋体"/>
              </w:rPr>
            </w:pPr>
          </w:p>
        </w:tc>
        <w:tc>
          <w:tcPr>
            <w:tcW w:w="50" w:type="pct"/>
            <w:shd w:val="clear" w:color="auto" w:fill="auto"/>
          </w:tcPr>
          <w:p w14:paraId="36CA14BE" w14:textId="77777777" w:rsidR="00787570" w:rsidRDefault="00787570">
            <w:pPr>
              <w:rPr>
                <w:rFonts w:ascii="宋体"/>
              </w:rPr>
            </w:pPr>
          </w:p>
        </w:tc>
        <w:tc>
          <w:tcPr>
            <w:tcW w:w="2212" w:type="pct"/>
            <w:shd w:val="clear" w:color="auto" w:fill="auto"/>
          </w:tcPr>
          <w:p w14:paraId="36CA14BF" w14:textId="77777777" w:rsidR="00787570" w:rsidRDefault="00787570">
            <w:pPr>
              <w:rPr>
                <w:rFonts w:ascii="宋体"/>
              </w:rPr>
            </w:pPr>
          </w:p>
        </w:tc>
        <w:tc>
          <w:tcPr>
            <w:tcW w:w="5" w:type="pct"/>
            <w:shd w:val="clear" w:color="auto" w:fill="auto"/>
          </w:tcPr>
          <w:p w14:paraId="36CA14C0" w14:textId="77777777" w:rsidR="00787570" w:rsidRDefault="00787570">
            <w:pPr>
              <w:rPr>
                <w:rFonts w:ascii="宋体"/>
              </w:rPr>
            </w:pPr>
          </w:p>
        </w:tc>
      </w:tr>
      <w:tr w:rsidR="00787570" w14:paraId="36CA14C5" w14:textId="77777777">
        <w:tc>
          <w:tcPr>
            <w:tcW w:w="0" w:type="auto"/>
            <w:gridSpan w:val="3"/>
            <w:shd w:val="clear" w:color="auto" w:fill="auto"/>
            <w:tcMar>
              <w:top w:w="40" w:type="dxa"/>
              <w:left w:w="20" w:type="dxa"/>
              <w:bottom w:w="40" w:type="dxa"/>
              <w:right w:w="20" w:type="dxa"/>
            </w:tcMar>
          </w:tcPr>
          <w:p w14:paraId="36CA14C2" w14:textId="77777777" w:rsidR="00787570" w:rsidRDefault="000D56E2">
            <w:pPr>
              <w:jc w:val="center"/>
              <w:textAlignment w:val="top"/>
            </w:pPr>
            <w:r>
              <w:rPr>
                <w:rFonts w:ascii="Arial" w:eastAsia="宋体" w:hAnsi="Arial" w:cs="Arial"/>
                <w:color w:val="333333"/>
                <w:sz w:val="18"/>
                <w:szCs w:val="18"/>
              </w:rPr>
              <w:t>Title of each class</w:t>
            </w:r>
          </w:p>
        </w:tc>
        <w:tc>
          <w:tcPr>
            <w:tcW w:w="0" w:type="auto"/>
            <w:gridSpan w:val="3"/>
            <w:shd w:val="clear" w:color="auto" w:fill="auto"/>
            <w:tcMar>
              <w:top w:w="40" w:type="dxa"/>
              <w:left w:w="20" w:type="dxa"/>
              <w:bottom w:w="40" w:type="dxa"/>
              <w:right w:w="20" w:type="dxa"/>
            </w:tcMar>
          </w:tcPr>
          <w:p w14:paraId="36CA14C3" w14:textId="77777777" w:rsidR="00787570" w:rsidRDefault="000D56E2">
            <w:pPr>
              <w:jc w:val="center"/>
              <w:textAlignment w:val="top"/>
            </w:pPr>
            <w:r>
              <w:rPr>
                <w:rFonts w:ascii="Arial" w:eastAsia="宋体" w:hAnsi="Arial" w:cs="Arial"/>
                <w:color w:val="333333"/>
                <w:sz w:val="18"/>
                <w:szCs w:val="18"/>
              </w:rPr>
              <w:t>Trading Symbol(s)</w:t>
            </w:r>
          </w:p>
        </w:tc>
        <w:tc>
          <w:tcPr>
            <w:tcW w:w="0" w:type="auto"/>
            <w:gridSpan w:val="3"/>
            <w:shd w:val="clear" w:color="auto" w:fill="auto"/>
            <w:tcMar>
              <w:top w:w="40" w:type="dxa"/>
              <w:left w:w="20" w:type="dxa"/>
              <w:bottom w:w="40" w:type="dxa"/>
              <w:right w:w="20" w:type="dxa"/>
            </w:tcMar>
          </w:tcPr>
          <w:p w14:paraId="36CA14C4" w14:textId="77777777" w:rsidR="00787570" w:rsidRDefault="000D56E2">
            <w:pPr>
              <w:jc w:val="center"/>
              <w:textAlignment w:val="top"/>
            </w:pPr>
            <w:r>
              <w:rPr>
                <w:rFonts w:ascii="Arial" w:eastAsia="宋体" w:hAnsi="Arial" w:cs="Arial"/>
                <w:color w:val="333333"/>
                <w:sz w:val="18"/>
                <w:szCs w:val="18"/>
              </w:rPr>
              <w:t>Name of each exchange on which registered</w:t>
            </w:r>
          </w:p>
        </w:tc>
      </w:tr>
      <w:tr w:rsidR="00787570" w14:paraId="36CA14C9" w14:textId="77777777">
        <w:tc>
          <w:tcPr>
            <w:tcW w:w="0" w:type="auto"/>
            <w:gridSpan w:val="3"/>
            <w:shd w:val="clear" w:color="auto" w:fill="auto"/>
            <w:tcMar>
              <w:top w:w="40" w:type="dxa"/>
              <w:left w:w="20" w:type="dxa"/>
              <w:bottom w:w="40" w:type="dxa"/>
              <w:right w:w="20" w:type="dxa"/>
            </w:tcMar>
            <w:vAlign w:val="bottom"/>
          </w:tcPr>
          <w:p w14:paraId="36CA14C6" w14:textId="77777777" w:rsidR="00787570" w:rsidRDefault="000D56E2">
            <w:pPr>
              <w:jc w:val="center"/>
              <w:textAlignment w:val="bottom"/>
            </w:pPr>
            <w:r>
              <w:rPr>
                <w:rFonts w:ascii="Arial" w:eastAsia="宋体" w:hAnsi="Arial" w:cs="Arial"/>
                <w:color w:val="333333"/>
                <w:sz w:val="18"/>
                <w:szCs w:val="18"/>
              </w:rPr>
              <w:t>Common stock, $0.001 par value</w:t>
            </w:r>
          </w:p>
        </w:tc>
        <w:tc>
          <w:tcPr>
            <w:tcW w:w="0" w:type="auto"/>
            <w:gridSpan w:val="3"/>
            <w:shd w:val="clear" w:color="auto" w:fill="auto"/>
            <w:tcMar>
              <w:top w:w="40" w:type="dxa"/>
              <w:left w:w="20" w:type="dxa"/>
              <w:bottom w:w="40" w:type="dxa"/>
              <w:right w:w="20" w:type="dxa"/>
            </w:tcMar>
            <w:vAlign w:val="bottom"/>
          </w:tcPr>
          <w:p w14:paraId="36CA14C7" w14:textId="77777777" w:rsidR="00787570" w:rsidRDefault="000D56E2">
            <w:pPr>
              <w:jc w:val="center"/>
              <w:textAlignment w:val="bottom"/>
            </w:pPr>
            <w:r>
              <w:rPr>
                <w:rFonts w:ascii="Arial" w:eastAsia="宋体" w:hAnsi="Arial" w:cs="Arial"/>
                <w:color w:val="333333"/>
                <w:sz w:val="18"/>
                <w:szCs w:val="18"/>
              </w:rPr>
              <w:t>INTC</w:t>
            </w:r>
          </w:p>
        </w:tc>
        <w:tc>
          <w:tcPr>
            <w:tcW w:w="0" w:type="auto"/>
            <w:gridSpan w:val="3"/>
            <w:shd w:val="clear" w:color="auto" w:fill="auto"/>
            <w:tcMar>
              <w:top w:w="40" w:type="dxa"/>
              <w:left w:w="20" w:type="dxa"/>
              <w:bottom w:w="40" w:type="dxa"/>
              <w:right w:w="20" w:type="dxa"/>
            </w:tcMar>
            <w:vAlign w:val="bottom"/>
          </w:tcPr>
          <w:p w14:paraId="36CA14C8" w14:textId="77777777" w:rsidR="00787570" w:rsidRDefault="000D56E2">
            <w:pPr>
              <w:jc w:val="center"/>
              <w:textAlignment w:val="bottom"/>
            </w:pPr>
            <w:r>
              <w:rPr>
                <w:rFonts w:ascii="Arial" w:eastAsia="宋体" w:hAnsi="Arial" w:cs="Arial"/>
                <w:color w:val="333333"/>
                <w:sz w:val="18"/>
                <w:szCs w:val="18"/>
              </w:rPr>
              <w:t>Nasdaq Global Select Market</w:t>
            </w:r>
          </w:p>
        </w:tc>
      </w:tr>
    </w:tbl>
    <w:p w14:paraId="36CA14CA" w14:textId="77777777" w:rsidR="00787570" w:rsidRDefault="000D56E2">
      <w:pPr>
        <w:spacing w:before="60" w:after="180"/>
      </w:pPr>
      <w:r>
        <w:rPr>
          <w:rFonts w:ascii="Arial" w:eastAsia="宋体" w:hAnsi="Arial" w:cs="Arial"/>
          <w:color w:val="333333"/>
          <w:sz w:val="18"/>
          <w:szCs w:val="18"/>
        </w:rPr>
        <w:t xml:space="preserve">Indicate by check mark whether the </w:t>
      </w:r>
      <w:r>
        <w:rPr>
          <w:rFonts w:ascii="Arial" w:eastAsia="宋体" w:hAnsi="Arial" w:cs="Arial"/>
          <w:color w:val="333333"/>
          <w:sz w:val="18"/>
          <w:szCs w:val="18"/>
        </w:rPr>
        <w:t>registrant (1) has filed all reports required to be filed by Section 13 or 15(d) of the Securities Exchange Act of 1934 during the preceding 12 months (or for such shorter period that the registrant was required to file such reports), and (2) has been subj</w:t>
      </w:r>
      <w:r>
        <w:rPr>
          <w:rFonts w:ascii="Arial" w:eastAsia="宋体" w:hAnsi="Arial" w:cs="Arial"/>
          <w:color w:val="333333"/>
          <w:sz w:val="18"/>
          <w:szCs w:val="18"/>
        </w:rPr>
        <w:t>ect to such filing requirements for the past 90 days. Yes  </w:t>
      </w:r>
      <w:r>
        <w:rPr>
          <w:rFonts w:ascii="Arial Unicode MS" w:eastAsia="Arial Unicode MS" w:hAnsi="Arial Unicode MS" w:cs="Arial Unicode MS" w:hint="eastAsia"/>
          <w:color w:val="333333"/>
        </w:rPr>
        <w:t>☑</w:t>
      </w:r>
      <w:r>
        <w:rPr>
          <w:rFonts w:ascii="Arial" w:eastAsia="宋体" w:hAnsi="Arial" w:cs="Arial"/>
          <w:color w:val="333333"/>
          <w:sz w:val="18"/>
          <w:szCs w:val="18"/>
        </w:rPr>
        <w:t xml:space="preserve">    No  </w:t>
      </w:r>
      <w:r>
        <w:rPr>
          <w:rFonts w:ascii="Wingdings" w:eastAsia="宋体" w:hAnsi="Wingdings" w:cs="Wingdings"/>
          <w:color w:val="333333"/>
          <w:sz w:val="18"/>
          <w:szCs w:val="18"/>
        </w:rPr>
        <w:t>¨</w:t>
      </w:r>
    </w:p>
    <w:p w14:paraId="36CA14CB" w14:textId="77777777" w:rsidR="00787570" w:rsidRDefault="000D56E2">
      <w:pPr>
        <w:spacing w:before="60" w:after="180"/>
      </w:pPr>
      <w:r>
        <w:rPr>
          <w:rFonts w:ascii="Arial" w:eastAsia="宋体" w:hAnsi="Arial" w:cs="Arial"/>
          <w:color w:val="333333"/>
          <w:sz w:val="18"/>
          <w:szCs w:val="18"/>
        </w:rPr>
        <w:t>Indicate by check mark whether the registrant has submitted electronically every Interactive Data File required to be submitted pursuant to Rule 405 of Regulation S-T (§232.405 of this c</w:t>
      </w:r>
      <w:r>
        <w:rPr>
          <w:rFonts w:ascii="Arial" w:eastAsia="宋体" w:hAnsi="Arial" w:cs="Arial"/>
          <w:color w:val="333333"/>
          <w:sz w:val="18"/>
          <w:szCs w:val="18"/>
        </w:rPr>
        <w:t xml:space="preserve">hapter) during the </w:t>
      </w:r>
      <w:r>
        <w:rPr>
          <w:rFonts w:ascii="Arial" w:eastAsia="宋体" w:hAnsi="Arial" w:cs="Arial"/>
          <w:color w:val="333333"/>
          <w:sz w:val="18"/>
          <w:szCs w:val="18"/>
        </w:rPr>
        <w:lastRenderedPageBreak/>
        <w:t>preceding 12 months (or for such shorter period that the registrant was required to submit such files).  Yes  </w:t>
      </w:r>
      <w:r>
        <w:rPr>
          <w:rFonts w:ascii="Arial Unicode MS" w:eastAsia="Arial Unicode MS" w:hAnsi="Arial Unicode MS" w:cs="Arial Unicode MS" w:hint="eastAsia"/>
          <w:color w:val="333333"/>
        </w:rPr>
        <w:t>☑</w:t>
      </w:r>
      <w:r>
        <w:rPr>
          <w:rFonts w:ascii="Arial" w:eastAsia="宋体" w:hAnsi="Arial" w:cs="Arial"/>
          <w:color w:val="333333"/>
          <w:sz w:val="18"/>
          <w:szCs w:val="18"/>
        </w:rPr>
        <w:t xml:space="preserve">    No  </w:t>
      </w:r>
      <w:r>
        <w:rPr>
          <w:rFonts w:ascii="Wingdings" w:eastAsia="宋体" w:hAnsi="Wingdings" w:cs="Wingdings"/>
          <w:color w:val="333333"/>
          <w:sz w:val="18"/>
          <w:szCs w:val="18"/>
        </w:rPr>
        <w:t>¨</w:t>
      </w:r>
    </w:p>
    <w:p w14:paraId="36CA14CC" w14:textId="77777777" w:rsidR="00787570" w:rsidRDefault="000D56E2">
      <w:pPr>
        <w:spacing w:before="60" w:after="120"/>
      </w:pPr>
      <w:r>
        <w:rPr>
          <w:rFonts w:ascii="Arial" w:eastAsia="宋体" w:hAnsi="Arial" w:cs="Arial"/>
          <w:color w:val="333333"/>
          <w:sz w:val="18"/>
          <w:szCs w:val="18"/>
        </w:rPr>
        <w:t xml:space="preserve">Indicate by check mark whether the registrant is a large accelerated filer, an accelerated filer, a non-accelerated </w:t>
      </w:r>
      <w:r>
        <w:rPr>
          <w:rFonts w:ascii="Arial" w:eastAsia="宋体" w:hAnsi="Arial" w:cs="Arial"/>
          <w:color w:val="333333"/>
          <w:sz w:val="18"/>
          <w:szCs w:val="18"/>
        </w:rPr>
        <w:t>filer, a smaller reporting company, or an emerging growth company. See the definitions of “large accelerated filer,” “accelerated filer,” “smaller reporting company,” and "emerging growth company" in Rule 12b-2 of the Exchange Act.</w:t>
      </w:r>
    </w:p>
    <w:tbl>
      <w:tblPr>
        <w:tblW w:w="5000" w:type="pct"/>
        <w:tblCellMar>
          <w:top w:w="15" w:type="dxa"/>
          <w:left w:w="15" w:type="dxa"/>
          <w:bottom w:w="15" w:type="dxa"/>
          <w:right w:w="15" w:type="dxa"/>
        </w:tblCellMar>
        <w:tblLook w:val="04A0" w:firstRow="1" w:lastRow="0" w:firstColumn="1" w:lastColumn="0" w:noHBand="0" w:noVBand="1"/>
      </w:tblPr>
      <w:tblGrid>
        <w:gridCol w:w="55"/>
        <w:gridCol w:w="1111"/>
        <w:gridCol w:w="36"/>
        <w:gridCol w:w="36"/>
        <w:gridCol w:w="104"/>
        <w:gridCol w:w="1317"/>
        <w:gridCol w:w="36"/>
        <w:gridCol w:w="36"/>
        <w:gridCol w:w="53"/>
        <w:gridCol w:w="1743"/>
        <w:gridCol w:w="36"/>
        <w:gridCol w:w="36"/>
        <w:gridCol w:w="106"/>
        <w:gridCol w:w="2125"/>
        <w:gridCol w:w="36"/>
        <w:gridCol w:w="43"/>
        <w:gridCol w:w="1391"/>
        <w:gridCol w:w="36"/>
      </w:tblGrid>
      <w:tr w:rsidR="00787570" w14:paraId="36CA14DF" w14:textId="77777777">
        <w:tc>
          <w:tcPr>
            <w:tcW w:w="50" w:type="pct"/>
            <w:shd w:val="clear" w:color="auto" w:fill="auto"/>
          </w:tcPr>
          <w:p w14:paraId="36CA14CD" w14:textId="77777777" w:rsidR="00787570" w:rsidRDefault="00787570">
            <w:pPr>
              <w:rPr>
                <w:rFonts w:ascii="宋体"/>
              </w:rPr>
            </w:pPr>
          </w:p>
        </w:tc>
        <w:tc>
          <w:tcPr>
            <w:tcW w:w="846" w:type="pct"/>
            <w:shd w:val="clear" w:color="auto" w:fill="auto"/>
          </w:tcPr>
          <w:p w14:paraId="36CA14CE" w14:textId="77777777" w:rsidR="00787570" w:rsidRDefault="00787570">
            <w:pPr>
              <w:rPr>
                <w:rFonts w:ascii="宋体"/>
              </w:rPr>
            </w:pPr>
          </w:p>
        </w:tc>
        <w:tc>
          <w:tcPr>
            <w:tcW w:w="5" w:type="pct"/>
            <w:shd w:val="clear" w:color="auto" w:fill="auto"/>
          </w:tcPr>
          <w:p w14:paraId="36CA14CF" w14:textId="77777777" w:rsidR="00787570" w:rsidRDefault="00787570">
            <w:pPr>
              <w:rPr>
                <w:rFonts w:ascii="宋体"/>
              </w:rPr>
            </w:pPr>
          </w:p>
        </w:tc>
        <w:tc>
          <w:tcPr>
            <w:tcW w:w="0" w:type="auto"/>
            <w:shd w:val="clear" w:color="auto" w:fill="auto"/>
          </w:tcPr>
          <w:p w14:paraId="36CA14D0" w14:textId="77777777" w:rsidR="00787570" w:rsidRDefault="00787570">
            <w:pPr>
              <w:rPr>
                <w:rFonts w:ascii="宋体"/>
                <w:vanish/>
              </w:rPr>
            </w:pPr>
          </w:p>
        </w:tc>
        <w:tc>
          <w:tcPr>
            <w:tcW w:w="50" w:type="pct"/>
            <w:shd w:val="clear" w:color="auto" w:fill="auto"/>
          </w:tcPr>
          <w:p w14:paraId="36CA14D1" w14:textId="77777777" w:rsidR="00787570" w:rsidRDefault="00787570">
            <w:pPr>
              <w:rPr>
                <w:rFonts w:ascii="宋体"/>
              </w:rPr>
            </w:pPr>
          </w:p>
        </w:tc>
        <w:tc>
          <w:tcPr>
            <w:tcW w:w="634" w:type="pct"/>
            <w:shd w:val="clear" w:color="auto" w:fill="auto"/>
          </w:tcPr>
          <w:p w14:paraId="36CA14D2" w14:textId="77777777" w:rsidR="00787570" w:rsidRDefault="00787570">
            <w:pPr>
              <w:rPr>
                <w:rFonts w:ascii="宋体"/>
              </w:rPr>
            </w:pPr>
          </w:p>
        </w:tc>
        <w:tc>
          <w:tcPr>
            <w:tcW w:w="5" w:type="pct"/>
            <w:shd w:val="clear" w:color="auto" w:fill="auto"/>
          </w:tcPr>
          <w:p w14:paraId="36CA14D3" w14:textId="77777777" w:rsidR="00787570" w:rsidRDefault="00787570">
            <w:pPr>
              <w:rPr>
                <w:rFonts w:ascii="宋体"/>
              </w:rPr>
            </w:pPr>
          </w:p>
        </w:tc>
        <w:tc>
          <w:tcPr>
            <w:tcW w:w="0" w:type="auto"/>
            <w:shd w:val="clear" w:color="auto" w:fill="auto"/>
          </w:tcPr>
          <w:p w14:paraId="36CA14D4" w14:textId="77777777" w:rsidR="00787570" w:rsidRDefault="00787570">
            <w:pPr>
              <w:rPr>
                <w:rFonts w:ascii="宋体"/>
                <w:vanish/>
              </w:rPr>
            </w:pPr>
          </w:p>
        </w:tc>
        <w:tc>
          <w:tcPr>
            <w:tcW w:w="50" w:type="pct"/>
            <w:shd w:val="clear" w:color="auto" w:fill="auto"/>
          </w:tcPr>
          <w:p w14:paraId="36CA14D5" w14:textId="77777777" w:rsidR="00787570" w:rsidRDefault="00787570">
            <w:pPr>
              <w:rPr>
                <w:rFonts w:ascii="宋体"/>
              </w:rPr>
            </w:pPr>
          </w:p>
        </w:tc>
        <w:tc>
          <w:tcPr>
            <w:tcW w:w="1229" w:type="pct"/>
            <w:shd w:val="clear" w:color="auto" w:fill="auto"/>
          </w:tcPr>
          <w:p w14:paraId="36CA14D6" w14:textId="77777777" w:rsidR="00787570" w:rsidRDefault="00787570">
            <w:pPr>
              <w:rPr>
                <w:rFonts w:ascii="宋体"/>
              </w:rPr>
            </w:pPr>
          </w:p>
        </w:tc>
        <w:tc>
          <w:tcPr>
            <w:tcW w:w="5" w:type="pct"/>
            <w:shd w:val="clear" w:color="auto" w:fill="auto"/>
          </w:tcPr>
          <w:p w14:paraId="36CA14D7" w14:textId="77777777" w:rsidR="00787570" w:rsidRDefault="00787570">
            <w:pPr>
              <w:rPr>
                <w:rFonts w:ascii="宋体"/>
              </w:rPr>
            </w:pPr>
          </w:p>
        </w:tc>
        <w:tc>
          <w:tcPr>
            <w:tcW w:w="0" w:type="auto"/>
            <w:shd w:val="clear" w:color="auto" w:fill="auto"/>
          </w:tcPr>
          <w:p w14:paraId="36CA14D8" w14:textId="77777777" w:rsidR="00787570" w:rsidRDefault="00787570">
            <w:pPr>
              <w:rPr>
                <w:rFonts w:ascii="宋体"/>
                <w:vanish/>
              </w:rPr>
            </w:pPr>
          </w:p>
        </w:tc>
        <w:tc>
          <w:tcPr>
            <w:tcW w:w="50" w:type="pct"/>
            <w:shd w:val="clear" w:color="auto" w:fill="auto"/>
          </w:tcPr>
          <w:p w14:paraId="36CA14D9" w14:textId="77777777" w:rsidR="00787570" w:rsidRDefault="00787570">
            <w:pPr>
              <w:rPr>
                <w:rFonts w:ascii="宋体"/>
              </w:rPr>
            </w:pPr>
          </w:p>
        </w:tc>
        <w:tc>
          <w:tcPr>
            <w:tcW w:w="1003" w:type="pct"/>
            <w:shd w:val="clear" w:color="auto" w:fill="auto"/>
          </w:tcPr>
          <w:p w14:paraId="36CA14DA" w14:textId="77777777" w:rsidR="00787570" w:rsidRDefault="00787570">
            <w:pPr>
              <w:rPr>
                <w:rFonts w:ascii="宋体"/>
              </w:rPr>
            </w:pPr>
          </w:p>
        </w:tc>
        <w:tc>
          <w:tcPr>
            <w:tcW w:w="5" w:type="pct"/>
            <w:shd w:val="clear" w:color="auto" w:fill="auto"/>
          </w:tcPr>
          <w:p w14:paraId="36CA14DB" w14:textId="77777777" w:rsidR="00787570" w:rsidRDefault="00787570">
            <w:pPr>
              <w:rPr>
                <w:rFonts w:ascii="宋体"/>
              </w:rPr>
            </w:pPr>
          </w:p>
        </w:tc>
        <w:tc>
          <w:tcPr>
            <w:tcW w:w="50" w:type="pct"/>
            <w:shd w:val="clear" w:color="auto" w:fill="auto"/>
          </w:tcPr>
          <w:p w14:paraId="36CA14DC" w14:textId="77777777" w:rsidR="00787570" w:rsidRDefault="00787570">
            <w:pPr>
              <w:rPr>
                <w:rFonts w:ascii="宋体"/>
              </w:rPr>
            </w:pPr>
          </w:p>
        </w:tc>
        <w:tc>
          <w:tcPr>
            <w:tcW w:w="1010" w:type="pct"/>
            <w:shd w:val="clear" w:color="auto" w:fill="auto"/>
          </w:tcPr>
          <w:p w14:paraId="36CA14DD" w14:textId="77777777" w:rsidR="00787570" w:rsidRDefault="00787570">
            <w:pPr>
              <w:rPr>
                <w:rFonts w:ascii="宋体"/>
              </w:rPr>
            </w:pPr>
          </w:p>
        </w:tc>
        <w:tc>
          <w:tcPr>
            <w:tcW w:w="5" w:type="pct"/>
            <w:shd w:val="clear" w:color="auto" w:fill="auto"/>
          </w:tcPr>
          <w:p w14:paraId="36CA14DE" w14:textId="77777777" w:rsidR="00787570" w:rsidRDefault="00787570">
            <w:pPr>
              <w:rPr>
                <w:rFonts w:ascii="宋体"/>
              </w:rPr>
            </w:pPr>
          </w:p>
        </w:tc>
      </w:tr>
      <w:tr w:rsidR="00787570" w14:paraId="36CA14E8" w14:textId="77777777">
        <w:tc>
          <w:tcPr>
            <w:tcW w:w="0" w:type="auto"/>
            <w:gridSpan w:val="3"/>
            <w:shd w:val="clear" w:color="auto" w:fill="auto"/>
            <w:tcMar>
              <w:top w:w="40" w:type="dxa"/>
              <w:left w:w="20" w:type="dxa"/>
              <w:bottom w:w="40" w:type="dxa"/>
              <w:right w:w="20" w:type="dxa"/>
            </w:tcMar>
          </w:tcPr>
          <w:p w14:paraId="36CA14E0" w14:textId="77777777" w:rsidR="00787570" w:rsidRDefault="000D56E2">
            <w:pPr>
              <w:jc w:val="center"/>
              <w:textAlignment w:val="top"/>
            </w:pPr>
            <w:r>
              <w:rPr>
                <w:rFonts w:ascii="Arial" w:eastAsia="宋体" w:hAnsi="Arial" w:cs="Arial"/>
                <w:color w:val="333333"/>
                <w:sz w:val="18"/>
                <w:szCs w:val="18"/>
              </w:rPr>
              <w:t>Large Accelerated Filer</w:t>
            </w:r>
          </w:p>
        </w:tc>
        <w:tc>
          <w:tcPr>
            <w:tcW w:w="0" w:type="auto"/>
            <w:shd w:val="clear" w:color="auto" w:fill="auto"/>
          </w:tcPr>
          <w:p w14:paraId="36CA14E1" w14:textId="77777777" w:rsidR="00787570" w:rsidRDefault="00787570">
            <w:pPr>
              <w:rPr>
                <w:rFonts w:ascii="宋体"/>
                <w:vanish/>
              </w:rPr>
            </w:pPr>
          </w:p>
        </w:tc>
        <w:tc>
          <w:tcPr>
            <w:tcW w:w="0" w:type="auto"/>
            <w:gridSpan w:val="3"/>
            <w:shd w:val="clear" w:color="auto" w:fill="auto"/>
            <w:tcMar>
              <w:top w:w="40" w:type="dxa"/>
              <w:left w:w="20" w:type="dxa"/>
              <w:bottom w:w="40" w:type="dxa"/>
              <w:right w:w="20" w:type="dxa"/>
            </w:tcMar>
          </w:tcPr>
          <w:p w14:paraId="36CA14E2" w14:textId="77777777" w:rsidR="00787570" w:rsidRDefault="000D56E2">
            <w:pPr>
              <w:jc w:val="center"/>
              <w:textAlignment w:val="top"/>
            </w:pPr>
            <w:r>
              <w:rPr>
                <w:rFonts w:ascii="Arial" w:eastAsia="宋体" w:hAnsi="Arial" w:cs="Arial"/>
                <w:color w:val="333333"/>
                <w:sz w:val="18"/>
                <w:szCs w:val="18"/>
              </w:rPr>
              <w:t>Accelerated filer  </w:t>
            </w:r>
          </w:p>
        </w:tc>
        <w:tc>
          <w:tcPr>
            <w:tcW w:w="0" w:type="auto"/>
            <w:shd w:val="clear" w:color="auto" w:fill="auto"/>
          </w:tcPr>
          <w:p w14:paraId="36CA14E3" w14:textId="77777777" w:rsidR="00787570" w:rsidRDefault="00787570">
            <w:pPr>
              <w:rPr>
                <w:rFonts w:ascii="宋体"/>
                <w:vanish/>
              </w:rPr>
            </w:pPr>
          </w:p>
        </w:tc>
        <w:tc>
          <w:tcPr>
            <w:tcW w:w="0" w:type="auto"/>
            <w:gridSpan w:val="3"/>
            <w:shd w:val="clear" w:color="auto" w:fill="auto"/>
            <w:tcMar>
              <w:top w:w="40" w:type="dxa"/>
              <w:left w:w="20" w:type="dxa"/>
              <w:bottom w:w="40" w:type="dxa"/>
              <w:right w:w="20" w:type="dxa"/>
            </w:tcMar>
          </w:tcPr>
          <w:p w14:paraId="36CA14E4" w14:textId="77777777" w:rsidR="00787570" w:rsidRDefault="000D56E2">
            <w:pPr>
              <w:jc w:val="center"/>
              <w:textAlignment w:val="top"/>
            </w:pPr>
            <w:r>
              <w:rPr>
                <w:rFonts w:ascii="Arial" w:eastAsia="宋体" w:hAnsi="Arial" w:cs="Arial"/>
                <w:color w:val="333333"/>
                <w:sz w:val="18"/>
                <w:szCs w:val="18"/>
              </w:rPr>
              <w:t xml:space="preserve">Non-accelerated filer  </w:t>
            </w:r>
          </w:p>
        </w:tc>
        <w:tc>
          <w:tcPr>
            <w:tcW w:w="0" w:type="auto"/>
            <w:shd w:val="clear" w:color="auto" w:fill="auto"/>
          </w:tcPr>
          <w:p w14:paraId="36CA14E5" w14:textId="77777777" w:rsidR="00787570" w:rsidRDefault="00787570">
            <w:pPr>
              <w:rPr>
                <w:rFonts w:ascii="宋体"/>
                <w:vanish/>
              </w:rPr>
            </w:pPr>
          </w:p>
        </w:tc>
        <w:tc>
          <w:tcPr>
            <w:tcW w:w="0" w:type="auto"/>
            <w:gridSpan w:val="3"/>
            <w:shd w:val="clear" w:color="auto" w:fill="auto"/>
            <w:tcMar>
              <w:top w:w="40" w:type="dxa"/>
              <w:left w:w="20" w:type="dxa"/>
              <w:bottom w:w="40" w:type="dxa"/>
              <w:right w:w="20" w:type="dxa"/>
            </w:tcMar>
          </w:tcPr>
          <w:p w14:paraId="36CA14E6" w14:textId="77777777" w:rsidR="00787570" w:rsidRDefault="000D56E2">
            <w:pPr>
              <w:jc w:val="center"/>
              <w:textAlignment w:val="top"/>
            </w:pPr>
            <w:r>
              <w:rPr>
                <w:rFonts w:ascii="Arial" w:eastAsia="宋体" w:hAnsi="Arial" w:cs="Arial"/>
                <w:color w:val="333333"/>
                <w:sz w:val="18"/>
                <w:szCs w:val="18"/>
              </w:rPr>
              <w:t>Smaller reporting company </w:t>
            </w:r>
          </w:p>
        </w:tc>
        <w:tc>
          <w:tcPr>
            <w:tcW w:w="0" w:type="auto"/>
            <w:gridSpan w:val="3"/>
            <w:shd w:val="clear" w:color="auto" w:fill="auto"/>
            <w:tcMar>
              <w:top w:w="40" w:type="dxa"/>
              <w:left w:w="20" w:type="dxa"/>
              <w:bottom w:w="40" w:type="dxa"/>
              <w:right w:w="20" w:type="dxa"/>
            </w:tcMar>
          </w:tcPr>
          <w:p w14:paraId="36CA14E7" w14:textId="77777777" w:rsidR="00787570" w:rsidRDefault="000D56E2">
            <w:pPr>
              <w:jc w:val="center"/>
              <w:textAlignment w:val="top"/>
            </w:pPr>
            <w:r>
              <w:rPr>
                <w:rFonts w:ascii="Arial" w:eastAsia="宋体" w:hAnsi="Arial" w:cs="Arial"/>
                <w:color w:val="333333"/>
                <w:sz w:val="18"/>
                <w:szCs w:val="18"/>
              </w:rPr>
              <w:t>Emerging growth company  </w:t>
            </w:r>
          </w:p>
        </w:tc>
      </w:tr>
      <w:tr w:rsidR="00787570" w14:paraId="36CA14F1" w14:textId="77777777">
        <w:tc>
          <w:tcPr>
            <w:tcW w:w="0" w:type="auto"/>
            <w:gridSpan w:val="3"/>
            <w:shd w:val="clear" w:color="auto" w:fill="auto"/>
            <w:tcMar>
              <w:top w:w="40" w:type="dxa"/>
              <w:left w:w="20" w:type="dxa"/>
              <w:bottom w:w="40" w:type="dxa"/>
              <w:right w:w="20" w:type="dxa"/>
            </w:tcMar>
          </w:tcPr>
          <w:p w14:paraId="36CA14E9" w14:textId="77777777" w:rsidR="00787570" w:rsidRDefault="000D56E2">
            <w:pPr>
              <w:jc w:val="center"/>
              <w:textAlignment w:val="top"/>
            </w:pPr>
            <w:r>
              <w:rPr>
                <w:rFonts w:ascii="Arial Unicode MS" w:eastAsia="Arial Unicode MS" w:hAnsi="Arial Unicode MS" w:cs="Arial Unicode MS" w:hint="eastAsia"/>
                <w:color w:val="333333"/>
              </w:rPr>
              <w:t>☑</w:t>
            </w:r>
          </w:p>
        </w:tc>
        <w:tc>
          <w:tcPr>
            <w:tcW w:w="0" w:type="auto"/>
            <w:shd w:val="clear" w:color="auto" w:fill="auto"/>
          </w:tcPr>
          <w:p w14:paraId="36CA14EA" w14:textId="77777777" w:rsidR="00787570" w:rsidRDefault="00787570">
            <w:pPr>
              <w:rPr>
                <w:rFonts w:ascii="宋体"/>
                <w:vanish/>
              </w:rPr>
            </w:pPr>
          </w:p>
        </w:tc>
        <w:tc>
          <w:tcPr>
            <w:tcW w:w="0" w:type="auto"/>
            <w:gridSpan w:val="3"/>
            <w:shd w:val="clear" w:color="auto" w:fill="auto"/>
            <w:tcMar>
              <w:top w:w="40" w:type="dxa"/>
              <w:left w:w="20" w:type="dxa"/>
              <w:bottom w:w="40" w:type="dxa"/>
              <w:right w:w="20" w:type="dxa"/>
            </w:tcMar>
          </w:tcPr>
          <w:p w14:paraId="36CA14EB" w14:textId="77777777" w:rsidR="00787570" w:rsidRDefault="000D56E2">
            <w:pPr>
              <w:jc w:val="center"/>
              <w:textAlignment w:val="top"/>
            </w:pPr>
            <w:r>
              <w:rPr>
                <w:rFonts w:ascii="Wingdings" w:eastAsia="宋体" w:hAnsi="Wingdings" w:cs="Wingdings"/>
                <w:color w:val="333333"/>
                <w:sz w:val="18"/>
                <w:szCs w:val="18"/>
              </w:rPr>
              <w:t>¨</w:t>
            </w:r>
          </w:p>
        </w:tc>
        <w:tc>
          <w:tcPr>
            <w:tcW w:w="0" w:type="auto"/>
            <w:shd w:val="clear" w:color="auto" w:fill="auto"/>
          </w:tcPr>
          <w:p w14:paraId="36CA14EC" w14:textId="77777777" w:rsidR="00787570" w:rsidRDefault="00787570">
            <w:pPr>
              <w:rPr>
                <w:rFonts w:ascii="宋体"/>
                <w:vanish/>
              </w:rPr>
            </w:pPr>
          </w:p>
        </w:tc>
        <w:tc>
          <w:tcPr>
            <w:tcW w:w="0" w:type="auto"/>
            <w:gridSpan w:val="3"/>
            <w:shd w:val="clear" w:color="auto" w:fill="auto"/>
            <w:tcMar>
              <w:top w:w="40" w:type="dxa"/>
              <w:left w:w="20" w:type="dxa"/>
              <w:bottom w:w="40" w:type="dxa"/>
              <w:right w:w="20" w:type="dxa"/>
            </w:tcMar>
          </w:tcPr>
          <w:p w14:paraId="36CA14ED" w14:textId="77777777" w:rsidR="00787570" w:rsidRDefault="000D56E2">
            <w:pPr>
              <w:jc w:val="center"/>
              <w:textAlignment w:val="top"/>
            </w:pPr>
            <w:r>
              <w:rPr>
                <w:rFonts w:ascii="Wingdings" w:eastAsia="宋体" w:hAnsi="Wingdings" w:cs="Wingdings"/>
                <w:color w:val="333333"/>
                <w:sz w:val="18"/>
                <w:szCs w:val="18"/>
              </w:rPr>
              <w:t>¨</w:t>
            </w:r>
          </w:p>
        </w:tc>
        <w:tc>
          <w:tcPr>
            <w:tcW w:w="0" w:type="auto"/>
            <w:shd w:val="clear" w:color="auto" w:fill="auto"/>
          </w:tcPr>
          <w:p w14:paraId="36CA14EE" w14:textId="77777777" w:rsidR="00787570" w:rsidRDefault="00787570">
            <w:pPr>
              <w:rPr>
                <w:rFonts w:ascii="宋体"/>
                <w:vanish/>
              </w:rPr>
            </w:pPr>
          </w:p>
        </w:tc>
        <w:tc>
          <w:tcPr>
            <w:tcW w:w="0" w:type="auto"/>
            <w:gridSpan w:val="3"/>
            <w:shd w:val="clear" w:color="auto" w:fill="auto"/>
            <w:tcMar>
              <w:top w:w="40" w:type="dxa"/>
              <w:left w:w="20" w:type="dxa"/>
              <w:bottom w:w="40" w:type="dxa"/>
              <w:right w:w="20" w:type="dxa"/>
            </w:tcMar>
          </w:tcPr>
          <w:p w14:paraId="36CA14EF" w14:textId="77777777" w:rsidR="00787570" w:rsidRDefault="000D56E2">
            <w:pPr>
              <w:jc w:val="center"/>
              <w:textAlignment w:val="top"/>
            </w:pPr>
            <w:r>
              <w:rPr>
                <w:rFonts w:ascii="Arial Unicode MS" w:eastAsia="Arial Unicode MS" w:hAnsi="Arial Unicode MS" w:cs="Arial Unicode MS" w:hint="eastAsia"/>
                <w:color w:val="333333"/>
                <w:sz w:val="18"/>
                <w:szCs w:val="18"/>
              </w:rPr>
              <w:t>☐</w:t>
            </w:r>
          </w:p>
        </w:tc>
        <w:tc>
          <w:tcPr>
            <w:tcW w:w="0" w:type="auto"/>
            <w:gridSpan w:val="3"/>
            <w:shd w:val="clear" w:color="auto" w:fill="auto"/>
            <w:tcMar>
              <w:top w:w="40" w:type="dxa"/>
              <w:left w:w="20" w:type="dxa"/>
              <w:bottom w:w="40" w:type="dxa"/>
              <w:right w:w="20" w:type="dxa"/>
            </w:tcMar>
          </w:tcPr>
          <w:p w14:paraId="36CA14F0" w14:textId="77777777" w:rsidR="00787570" w:rsidRDefault="000D56E2">
            <w:pPr>
              <w:jc w:val="center"/>
              <w:textAlignment w:val="top"/>
            </w:pPr>
            <w:r>
              <w:rPr>
                <w:rFonts w:ascii="Arial Unicode MS" w:eastAsia="Arial Unicode MS" w:hAnsi="Arial Unicode MS" w:cs="Arial Unicode MS" w:hint="eastAsia"/>
                <w:color w:val="333333"/>
                <w:sz w:val="18"/>
                <w:szCs w:val="18"/>
              </w:rPr>
              <w:t>☐</w:t>
            </w:r>
          </w:p>
        </w:tc>
      </w:tr>
      <w:tr w:rsidR="00787570" w14:paraId="36CA14FA" w14:textId="77777777">
        <w:trPr>
          <w:hidden/>
        </w:trPr>
        <w:tc>
          <w:tcPr>
            <w:tcW w:w="0" w:type="auto"/>
            <w:gridSpan w:val="3"/>
            <w:shd w:val="clear" w:color="auto" w:fill="auto"/>
          </w:tcPr>
          <w:p w14:paraId="36CA14F2" w14:textId="77777777" w:rsidR="00787570" w:rsidRDefault="00787570">
            <w:pPr>
              <w:rPr>
                <w:rFonts w:ascii="宋体"/>
                <w:vanish/>
              </w:rPr>
            </w:pPr>
          </w:p>
        </w:tc>
        <w:tc>
          <w:tcPr>
            <w:tcW w:w="0" w:type="auto"/>
            <w:shd w:val="clear" w:color="auto" w:fill="auto"/>
          </w:tcPr>
          <w:p w14:paraId="36CA14F3" w14:textId="77777777" w:rsidR="00787570" w:rsidRDefault="00787570">
            <w:pPr>
              <w:rPr>
                <w:rFonts w:ascii="宋体"/>
                <w:vanish/>
              </w:rPr>
            </w:pPr>
          </w:p>
        </w:tc>
        <w:tc>
          <w:tcPr>
            <w:tcW w:w="0" w:type="auto"/>
            <w:gridSpan w:val="3"/>
            <w:shd w:val="clear" w:color="auto" w:fill="auto"/>
          </w:tcPr>
          <w:p w14:paraId="36CA14F4" w14:textId="77777777" w:rsidR="00787570" w:rsidRDefault="00787570">
            <w:pPr>
              <w:rPr>
                <w:rFonts w:ascii="宋体"/>
                <w:vanish/>
              </w:rPr>
            </w:pPr>
          </w:p>
        </w:tc>
        <w:tc>
          <w:tcPr>
            <w:tcW w:w="0" w:type="auto"/>
            <w:shd w:val="clear" w:color="auto" w:fill="auto"/>
          </w:tcPr>
          <w:p w14:paraId="36CA14F5" w14:textId="77777777" w:rsidR="00787570" w:rsidRDefault="00787570">
            <w:pPr>
              <w:rPr>
                <w:rFonts w:ascii="宋体"/>
                <w:vanish/>
              </w:rPr>
            </w:pPr>
          </w:p>
        </w:tc>
        <w:tc>
          <w:tcPr>
            <w:tcW w:w="0" w:type="auto"/>
            <w:gridSpan w:val="3"/>
            <w:shd w:val="clear" w:color="auto" w:fill="auto"/>
          </w:tcPr>
          <w:p w14:paraId="36CA14F6" w14:textId="77777777" w:rsidR="00787570" w:rsidRDefault="00787570">
            <w:pPr>
              <w:rPr>
                <w:rFonts w:ascii="宋体"/>
                <w:vanish/>
              </w:rPr>
            </w:pPr>
          </w:p>
        </w:tc>
        <w:tc>
          <w:tcPr>
            <w:tcW w:w="0" w:type="auto"/>
            <w:shd w:val="clear" w:color="auto" w:fill="auto"/>
          </w:tcPr>
          <w:p w14:paraId="36CA14F7" w14:textId="77777777" w:rsidR="00787570" w:rsidRDefault="00787570">
            <w:pPr>
              <w:rPr>
                <w:rFonts w:ascii="宋体"/>
                <w:vanish/>
              </w:rPr>
            </w:pPr>
          </w:p>
        </w:tc>
        <w:tc>
          <w:tcPr>
            <w:tcW w:w="0" w:type="auto"/>
            <w:gridSpan w:val="3"/>
            <w:shd w:val="clear" w:color="auto" w:fill="auto"/>
          </w:tcPr>
          <w:p w14:paraId="36CA14F8" w14:textId="77777777" w:rsidR="00787570" w:rsidRDefault="00787570">
            <w:pPr>
              <w:rPr>
                <w:rFonts w:ascii="宋体"/>
                <w:vanish/>
              </w:rPr>
            </w:pPr>
          </w:p>
        </w:tc>
        <w:tc>
          <w:tcPr>
            <w:tcW w:w="0" w:type="auto"/>
            <w:gridSpan w:val="3"/>
            <w:shd w:val="clear" w:color="auto" w:fill="auto"/>
          </w:tcPr>
          <w:p w14:paraId="36CA14F9" w14:textId="77777777" w:rsidR="00787570" w:rsidRDefault="00787570">
            <w:pPr>
              <w:rPr>
                <w:rFonts w:ascii="宋体"/>
                <w:vanish/>
              </w:rPr>
            </w:pPr>
          </w:p>
        </w:tc>
      </w:tr>
    </w:tbl>
    <w:p w14:paraId="36CA14FB" w14:textId="77777777" w:rsidR="00787570" w:rsidRDefault="000D56E2">
      <w:pPr>
        <w:spacing w:after="180"/>
      </w:pPr>
      <w:r>
        <w:rPr>
          <w:rFonts w:ascii="Arial" w:eastAsia="宋体" w:hAnsi="Arial" w:cs="Arial"/>
          <w:color w:val="333333"/>
          <w:sz w:val="18"/>
          <w:szCs w:val="18"/>
        </w:rPr>
        <w:t xml:space="preserve">If an emerging growth company, indicate by check mark if the registrant has elected not to use the extended transition period for complying with any new or revised financial accounting standards provided pursuant to Section 13(a) of the Exchange Act. </w:t>
      </w:r>
      <w:r>
        <w:rPr>
          <w:rFonts w:ascii="Wingdings" w:eastAsia="宋体" w:hAnsi="Wingdings" w:cs="Wingdings"/>
          <w:color w:val="333333"/>
          <w:sz w:val="18"/>
          <w:szCs w:val="18"/>
        </w:rPr>
        <w:t>¨</w:t>
      </w:r>
    </w:p>
    <w:p w14:paraId="36CA14FC" w14:textId="77777777" w:rsidR="00787570" w:rsidRDefault="000D56E2">
      <w:pPr>
        <w:spacing w:before="180" w:after="180"/>
      </w:pPr>
      <w:r>
        <w:rPr>
          <w:rFonts w:ascii="Arial" w:eastAsia="宋体" w:hAnsi="Arial" w:cs="Arial"/>
          <w:color w:val="333333"/>
          <w:sz w:val="18"/>
          <w:szCs w:val="18"/>
        </w:rPr>
        <w:t>Ind</w:t>
      </w:r>
      <w:r>
        <w:rPr>
          <w:rFonts w:ascii="Arial" w:eastAsia="宋体" w:hAnsi="Arial" w:cs="Arial"/>
          <w:color w:val="333333"/>
          <w:sz w:val="18"/>
          <w:szCs w:val="18"/>
        </w:rPr>
        <w:t>icate by check mark whether the registrant is a shell company (as defined in Rule 12b-2 of the Exchange Act).    Yes  </w:t>
      </w:r>
      <w:r>
        <w:rPr>
          <w:rFonts w:ascii="Arial Unicode MS" w:eastAsia="Arial Unicode MS" w:hAnsi="Arial Unicode MS" w:cs="Arial Unicode MS" w:hint="eastAsia"/>
          <w:color w:val="333333"/>
          <w:sz w:val="18"/>
          <w:szCs w:val="18"/>
        </w:rPr>
        <w:t>☐</w:t>
      </w:r>
      <w:r>
        <w:rPr>
          <w:rFonts w:ascii="Arial" w:eastAsia="宋体" w:hAnsi="Arial" w:cs="Arial"/>
          <w:color w:val="333333"/>
          <w:sz w:val="18"/>
          <w:szCs w:val="18"/>
        </w:rPr>
        <w:t xml:space="preserve">    No  </w:t>
      </w:r>
      <w:r>
        <w:rPr>
          <w:rFonts w:ascii="Arial Unicode MS" w:eastAsia="Arial Unicode MS" w:hAnsi="Arial Unicode MS" w:cs="Arial Unicode MS" w:hint="eastAsia"/>
          <w:color w:val="333333"/>
        </w:rPr>
        <w:t>☑</w:t>
      </w:r>
    </w:p>
    <w:p w14:paraId="36CA14FD" w14:textId="77777777" w:rsidR="00787570" w:rsidRDefault="000D56E2">
      <w:pPr>
        <w:spacing w:after="180"/>
      </w:pPr>
      <w:r>
        <w:rPr>
          <w:rFonts w:ascii="Arial" w:eastAsia="宋体" w:hAnsi="Arial" w:cs="Arial"/>
          <w:color w:val="333333"/>
          <w:sz w:val="18"/>
          <w:szCs w:val="18"/>
        </w:rPr>
        <w:t xml:space="preserve">As of September 26, 2020, the registrant had outstanding 4,098 million shares of common stock. </w:t>
      </w:r>
    </w:p>
    <w:p w14:paraId="36CA14FE" w14:textId="77777777" w:rsidR="00787570" w:rsidRDefault="00787570">
      <w:pPr>
        <w:spacing w:after="180"/>
      </w:pPr>
    </w:p>
    <w:p w14:paraId="36CA14FF" w14:textId="77777777" w:rsidR="00787570" w:rsidRDefault="000D56E2">
      <w:r>
        <w:pict w14:anchorId="36CA5BDE">
          <v:rect id="_x0000_i1025" style="width:415.3pt;height:1.5pt" o:hralign="center" o:hrstd="t" o:hr="t" fillcolor="#a0a0a0" stroked="f"/>
        </w:pict>
      </w:r>
    </w:p>
    <w:p w14:paraId="36CA1500" w14:textId="77777777" w:rsidR="00787570" w:rsidRDefault="00787570">
      <w:pPr>
        <w:spacing w:after="180"/>
      </w:pPr>
    </w:p>
    <w:p w14:paraId="36CA1501" w14:textId="77777777" w:rsidR="00787570" w:rsidRDefault="000D56E2">
      <w:pPr>
        <w:spacing w:before="180" w:after="180"/>
      </w:pPr>
      <w:r>
        <w:rPr>
          <w:rFonts w:ascii="Arial" w:eastAsia="宋体" w:hAnsi="Arial" w:cs="Arial"/>
          <w:b/>
          <w:bCs/>
          <w:color w:val="0071C5"/>
          <w:sz w:val="36"/>
          <w:szCs w:val="36"/>
        </w:rPr>
        <w:t>TABLE OF CONTENTS</w:t>
      </w:r>
    </w:p>
    <w:p w14:paraId="36CA1502" w14:textId="77777777" w:rsidR="00787570" w:rsidRDefault="000D56E2">
      <w:pPr>
        <w:spacing w:after="180"/>
      </w:pPr>
      <w:r>
        <w:rPr>
          <w:rFonts w:ascii="Arial" w:eastAsia="宋体" w:hAnsi="Arial" w:cs="Arial"/>
          <w:b/>
          <w:bCs/>
          <w:color w:val="0071C5"/>
        </w:rPr>
        <w:t>THE ORGAN</w:t>
      </w:r>
      <w:r>
        <w:rPr>
          <w:rFonts w:ascii="Arial" w:eastAsia="宋体" w:hAnsi="Arial" w:cs="Arial"/>
          <w:b/>
          <w:bCs/>
          <w:color w:val="0071C5"/>
        </w:rPr>
        <w:t>IZATION OF OUR QUARTERLY REPORT ON FORM 10-Q</w:t>
      </w:r>
    </w:p>
    <w:p w14:paraId="36CA1503" w14:textId="77777777" w:rsidR="00787570" w:rsidRDefault="000D56E2">
      <w:pPr>
        <w:spacing w:after="180"/>
      </w:pPr>
      <w:r>
        <w:rPr>
          <w:rFonts w:ascii="Arial" w:eastAsia="宋体" w:hAnsi="Arial" w:cs="Arial"/>
          <w:color w:val="333333"/>
          <w:sz w:val="18"/>
          <w:szCs w:val="18"/>
        </w:rPr>
        <w:t xml:space="preserve">The order and presentation of content in our Form 10-Q differs from the traditional SEC Form 10-Q format. Our format is designed to improve readability and better present how we organize and manage our </w:t>
      </w:r>
      <w:r>
        <w:rPr>
          <w:rFonts w:ascii="Arial" w:eastAsia="宋体" w:hAnsi="Arial" w:cs="Arial"/>
          <w:color w:val="333333"/>
          <w:sz w:val="18"/>
          <w:szCs w:val="18"/>
        </w:rPr>
        <w:t>business. See "Form 10-Q Cross-Reference Index" within Other Key Information for a cross-reference index to the traditional SEC Form 10-Q format. To reflect our focus on transforming from a PC-centric</w:t>
      </w:r>
      <w:r>
        <w:rPr>
          <w:rFonts w:ascii="Arial" w:eastAsia="宋体" w:hAnsi="Arial" w:cs="Arial"/>
          <w:color w:val="333333"/>
          <w:sz w:val="11"/>
          <w:szCs w:val="11"/>
        </w:rPr>
        <w:t>1</w:t>
      </w:r>
      <w:r>
        <w:rPr>
          <w:rFonts w:ascii="Arial" w:eastAsia="宋体" w:hAnsi="Arial" w:cs="Arial"/>
          <w:color w:val="333333"/>
          <w:sz w:val="18"/>
          <w:szCs w:val="18"/>
        </w:rPr>
        <w:t xml:space="preserve"> company to a data-centric company, we have presented o</w:t>
      </w:r>
      <w:r>
        <w:rPr>
          <w:rFonts w:ascii="Arial" w:eastAsia="宋体" w:hAnsi="Arial" w:cs="Arial"/>
          <w:color w:val="333333"/>
          <w:sz w:val="18"/>
          <w:szCs w:val="18"/>
        </w:rPr>
        <w:t>ur data-centric businesses</w:t>
      </w:r>
      <w:r>
        <w:rPr>
          <w:rFonts w:ascii="Arial" w:eastAsia="宋体" w:hAnsi="Arial" w:cs="Arial"/>
          <w:color w:val="333333"/>
          <w:sz w:val="11"/>
          <w:szCs w:val="11"/>
        </w:rPr>
        <w:t>1</w:t>
      </w:r>
      <w:r>
        <w:rPr>
          <w:rFonts w:ascii="Arial" w:eastAsia="宋体" w:hAnsi="Arial" w:cs="Arial"/>
          <w:color w:val="333333"/>
          <w:sz w:val="18"/>
          <w:szCs w:val="18"/>
        </w:rPr>
        <w:t xml:space="preserve"> first in "Segment Trends and Results" within MD&amp;A.</w:t>
      </w:r>
    </w:p>
    <w:p w14:paraId="36CA1504" w14:textId="77777777" w:rsidR="00787570" w:rsidRDefault="000D56E2">
      <w:pPr>
        <w:spacing w:after="180"/>
      </w:pPr>
      <w:r>
        <w:rPr>
          <w:rFonts w:ascii="Arial" w:eastAsia="宋体" w:hAnsi="Arial" w:cs="Arial"/>
          <w:color w:val="333333"/>
          <w:sz w:val="18"/>
          <w:szCs w:val="18"/>
        </w:rPr>
        <w:t xml:space="preserve">We have defined certain terms and abbreviations used throughout our Form 10-Q in "Key Terms" within the Consolidated Condensed Financial Statements and Supplemental Details. </w:t>
      </w:r>
    </w:p>
    <w:p w14:paraId="36CA1505" w14:textId="77777777" w:rsidR="00787570" w:rsidRDefault="000D56E2">
      <w:pPr>
        <w:spacing w:after="180"/>
      </w:pPr>
      <w:r>
        <w:rPr>
          <w:rFonts w:ascii="Arial" w:eastAsia="宋体" w:hAnsi="Arial" w:cs="Arial"/>
          <w:color w:val="333333"/>
          <w:sz w:val="18"/>
          <w:szCs w:val="18"/>
        </w:rPr>
        <w:t>Th</w:t>
      </w:r>
      <w:r>
        <w:rPr>
          <w:rFonts w:ascii="Arial" w:eastAsia="宋体" w:hAnsi="Arial" w:cs="Arial"/>
          <w:color w:val="333333"/>
          <w:sz w:val="18"/>
          <w:szCs w:val="18"/>
        </w:rPr>
        <w:t>e preparation of our Consolidated Condensed Financial Statements is in conformity with U.S. GAAP. Our Form 10-Q includes key metrics that we use to measure our business, some of which are non-GAAP measures. See "Non-GAAP Financial Measures" within MD&amp;A for</w:t>
      </w:r>
      <w:r>
        <w:rPr>
          <w:rFonts w:ascii="Arial" w:eastAsia="宋体" w:hAnsi="Arial" w:cs="Arial"/>
          <w:color w:val="333333"/>
          <w:sz w:val="18"/>
          <w:szCs w:val="18"/>
        </w:rPr>
        <w:t xml:space="preserve"> an explanation of these measures and why management uses them and believes they provide investors with useful supplemental information. </w:t>
      </w:r>
    </w:p>
    <w:tbl>
      <w:tblPr>
        <w:tblW w:w="5000" w:type="pct"/>
        <w:tblCellMar>
          <w:top w:w="15" w:type="dxa"/>
          <w:left w:w="15" w:type="dxa"/>
          <w:bottom w:w="15" w:type="dxa"/>
          <w:right w:w="15" w:type="dxa"/>
        </w:tblCellMar>
        <w:tblLook w:val="04A0" w:firstRow="1" w:lastRow="0" w:firstColumn="1" w:lastColumn="0" w:noHBand="0" w:noVBand="1"/>
      </w:tblPr>
      <w:tblGrid>
        <w:gridCol w:w="42"/>
        <w:gridCol w:w="167"/>
        <w:gridCol w:w="37"/>
        <w:gridCol w:w="36"/>
        <w:gridCol w:w="85"/>
        <w:gridCol w:w="36"/>
        <w:gridCol w:w="42"/>
        <w:gridCol w:w="6974"/>
        <w:gridCol w:w="36"/>
        <w:gridCol w:w="89"/>
        <w:gridCol w:w="374"/>
        <w:gridCol w:w="36"/>
        <w:gridCol w:w="81"/>
        <w:gridCol w:w="80"/>
        <w:gridCol w:w="80"/>
        <w:gridCol w:w="47"/>
        <w:gridCol w:w="47"/>
        <w:gridCol w:w="47"/>
      </w:tblGrid>
      <w:tr w:rsidR="00787570" w14:paraId="36CA1512" w14:textId="77777777">
        <w:trPr>
          <w:gridAfter w:val="6"/>
        </w:trPr>
        <w:tc>
          <w:tcPr>
            <w:tcW w:w="50" w:type="pct"/>
            <w:shd w:val="clear" w:color="auto" w:fill="auto"/>
          </w:tcPr>
          <w:p w14:paraId="36CA1506" w14:textId="77777777" w:rsidR="00787570" w:rsidRDefault="00787570">
            <w:pPr>
              <w:rPr>
                <w:rFonts w:ascii="宋体"/>
              </w:rPr>
            </w:pPr>
          </w:p>
        </w:tc>
        <w:tc>
          <w:tcPr>
            <w:tcW w:w="129" w:type="pct"/>
            <w:shd w:val="clear" w:color="auto" w:fill="auto"/>
          </w:tcPr>
          <w:p w14:paraId="36CA1507" w14:textId="77777777" w:rsidR="00787570" w:rsidRDefault="00787570">
            <w:pPr>
              <w:rPr>
                <w:rFonts w:ascii="宋体"/>
              </w:rPr>
            </w:pPr>
          </w:p>
        </w:tc>
        <w:tc>
          <w:tcPr>
            <w:tcW w:w="5" w:type="pct"/>
            <w:shd w:val="clear" w:color="auto" w:fill="auto"/>
          </w:tcPr>
          <w:p w14:paraId="36CA1508" w14:textId="77777777" w:rsidR="00787570" w:rsidRDefault="00787570">
            <w:pPr>
              <w:rPr>
                <w:rFonts w:ascii="宋体"/>
              </w:rPr>
            </w:pPr>
          </w:p>
        </w:tc>
        <w:tc>
          <w:tcPr>
            <w:tcW w:w="5" w:type="pct"/>
            <w:shd w:val="clear" w:color="auto" w:fill="auto"/>
          </w:tcPr>
          <w:p w14:paraId="36CA1509" w14:textId="77777777" w:rsidR="00787570" w:rsidRDefault="00787570">
            <w:pPr>
              <w:rPr>
                <w:rFonts w:ascii="宋体"/>
              </w:rPr>
            </w:pPr>
          </w:p>
        </w:tc>
        <w:tc>
          <w:tcPr>
            <w:tcW w:w="78" w:type="pct"/>
            <w:shd w:val="clear" w:color="auto" w:fill="auto"/>
          </w:tcPr>
          <w:p w14:paraId="36CA150A" w14:textId="77777777" w:rsidR="00787570" w:rsidRDefault="00787570">
            <w:pPr>
              <w:rPr>
                <w:rFonts w:ascii="宋体"/>
              </w:rPr>
            </w:pPr>
          </w:p>
        </w:tc>
        <w:tc>
          <w:tcPr>
            <w:tcW w:w="5" w:type="pct"/>
            <w:shd w:val="clear" w:color="auto" w:fill="auto"/>
          </w:tcPr>
          <w:p w14:paraId="36CA150B" w14:textId="77777777" w:rsidR="00787570" w:rsidRDefault="00787570">
            <w:pPr>
              <w:rPr>
                <w:rFonts w:ascii="宋体"/>
              </w:rPr>
            </w:pPr>
          </w:p>
        </w:tc>
        <w:tc>
          <w:tcPr>
            <w:tcW w:w="50" w:type="pct"/>
            <w:shd w:val="clear" w:color="auto" w:fill="auto"/>
          </w:tcPr>
          <w:p w14:paraId="36CA150C" w14:textId="77777777" w:rsidR="00787570" w:rsidRDefault="00787570">
            <w:pPr>
              <w:rPr>
                <w:rFonts w:ascii="宋体"/>
              </w:rPr>
            </w:pPr>
          </w:p>
        </w:tc>
        <w:tc>
          <w:tcPr>
            <w:tcW w:w="4405" w:type="pct"/>
            <w:shd w:val="clear" w:color="auto" w:fill="auto"/>
          </w:tcPr>
          <w:p w14:paraId="36CA150D" w14:textId="77777777" w:rsidR="00787570" w:rsidRDefault="00787570">
            <w:pPr>
              <w:rPr>
                <w:rFonts w:ascii="宋体"/>
              </w:rPr>
            </w:pPr>
          </w:p>
        </w:tc>
        <w:tc>
          <w:tcPr>
            <w:tcW w:w="5" w:type="pct"/>
            <w:shd w:val="clear" w:color="auto" w:fill="auto"/>
          </w:tcPr>
          <w:p w14:paraId="36CA150E" w14:textId="77777777" w:rsidR="00787570" w:rsidRDefault="00787570">
            <w:pPr>
              <w:rPr>
                <w:rFonts w:ascii="宋体"/>
              </w:rPr>
            </w:pPr>
          </w:p>
        </w:tc>
        <w:tc>
          <w:tcPr>
            <w:tcW w:w="50" w:type="pct"/>
            <w:shd w:val="clear" w:color="auto" w:fill="auto"/>
          </w:tcPr>
          <w:p w14:paraId="36CA150F" w14:textId="77777777" w:rsidR="00787570" w:rsidRDefault="00787570">
            <w:pPr>
              <w:rPr>
                <w:rFonts w:ascii="宋体"/>
              </w:rPr>
            </w:pPr>
          </w:p>
        </w:tc>
        <w:tc>
          <w:tcPr>
            <w:tcW w:w="211" w:type="pct"/>
            <w:shd w:val="clear" w:color="auto" w:fill="auto"/>
          </w:tcPr>
          <w:p w14:paraId="36CA1510" w14:textId="77777777" w:rsidR="00787570" w:rsidRDefault="00787570">
            <w:pPr>
              <w:rPr>
                <w:rFonts w:ascii="宋体"/>
              </w:rPr>
            </w:pPr>
          </w:p>
        </w:tc>
        <w:tc>
          <w:tcPr>
            <w:tcW w:w="5" w:type="pct"/>
            <w:shd w:val="clear" w:color="auto" w:fill="auto"/>
          </w:tcPr>
          <w:p w14:paraId="36CA1511" w14:textId="77777777" w:rsidR="00787570" w:rsidRDefault="00787570">
            <w:pPr>
              <w:rPr>
                <w:rFonts w:ascii="宋体"/>
              </w:rPr>
            </w:pPr>
          </w:p>
        </w:tc>
      </w:tr>
      <w:tr w:rsidR="00787570" w14:paraId="36CA1517" w14:textId="77777777">
        <w:trPr>
          <w:gridAfter w:val="6"/>
        </w:trPr>
        <w:tc>
          <w:tcPr>
            <w:tcW w:w="0" w:type="auto"/>
            <w:gridSpan w:val="3"/>
            <w:shd w:val="clear" w:color="auto" w:fill="auto"/>
            <w:tcMar>
              <w:left w:w="20" w:type="dxa"/>
              <w:right w:w="20" w:type="dxa"/>
            </w:tcMar>
            <w:vAlign w:val="bottom"/>
          </w:tcPr>
          <w:p w14:paraId="36CA1513" w14:textId="77777777" w:rsidR="00787570" w:rsidRDefault="00787570">
            <w:pPr>
              <w:rPr>
                <w:rFonts w:ascii="宋体"/>
              </w:rPr>
            </w:pPr>
          </w:p>
        </w:tc>
        <w:tc>
          <w:tcPr>
            <w:tcW w:w="0" w:type="auto"/>
            <w:gridSpan w:val="3"/>
            <w:tcBorders>
              <w:bottom w:val="single" w:sz="8" w:space="0" w:color="0071C5"/>
            </w:tcBorders>
            <w:shd w:val="clear" w:color="auto" w:fill="auto"/>
            <w:tcMar>
              <w:left w:w="20" w:type="dxa"/>
              <w:right w:w="20" w:type="dxa"/>
            </w:tcMar>
            <w:vAlign w:val="bottom"/>
          </w:tcPr>
          <w:p w14:paraId="36CA1514" w14:textId="77777777" w:rsidR="00787570" w:rsidRDefault="00787570">
            <w:pPr>
              <w:rPr>
                <w:rFonts w:ascii="宋体"/>
              </w:rPr>
            </w:pPr>
          </w:p>
        </w:tc>
        <w:tc>
          <w:tcPr>
            <w:tcW w:w="0" w:type="auto"/>
            <w:gridSpan w:val="3"/>
            <w:tcBorders>
              <w:bottom w:val="single" w:sz="8" w:space="0" w:color="0071C5"/>
            </w:tcBorders>
            <w:shd w:val="clear" w:color="auto" w:fill="auto"/>
            <w:tcMar>
              <w:left w:w="20" w:type="dxa"/>
              <w:right w:w="20" w:type="dxa"/>
            </w:tcMar>
            <w:vAlign w:val="bottom"/>
          </w:tcPr>
          <w:p w14:paraId="36CA1515" w14:textId="77777777" w:rsidR="00787570" w:rsidRDefault="00787570">
            <w:pPr>
              <w:rPr>
                <w:rFonts w:ascii="宋体"/>
              </w:rPr>
            </w:pPr>
          </w:p>
        </w:tc>
        <w:tc>
          <w:tcPr>
            <w:tcW w:w="0" w:type="auto"/>
            <w:gridSpan w:val="3"/>
            <w:shd w:val="clear" w:color="auto" w:fill="auto"/>
            <w:tcMar>
              <w:top w:w="40" w:type="dxa"/>
              <w:left w:w="20" w:type="dxa"/>
              <w:bottom w:w="40" w:type="dxa"/>
              <w:right w:w="20" w:type="dxa"/>
            </w:tcMar>
            <w:vAlign w:val="bottom"/>
          </w:tcPr>
          <w:p w14:paraId="36CA1516" w14:textId="77777777" w:rsidR="00787570" w:rsidRDefault="000D56E2">
            <w:pPr>
              <w:textAlignment w:val="bottom"/>
            </w:pPr>
            <w:r>
              <w:rPr>
                <w:rFonts w:ascii="Arial" w:eastAsia="宋体" w:hAnsi="Arial" w:cs="Arial"/>
                <w:b/>
                <w:bCs/>
                <w:color w:val="333333"/>
                <w:sz w:val="18"/>
                <w:szCs w:val="18"/>
              </w:rPr>
              <w:t>Page</w:t>
            </w:r>
          </w:p>
        </w:tc>
      </w:tr>
      <w:tr w:rsidR="00787570" w14:paraId="36CA151C" w14:textId="77777777">
        <w:tc>
          <w:tcPr>
            <w:tcW w:w="0" w:type="auto"/>
            <w:gridSpan w:val="9"/>
            <w:tcBorders>
              <w:top w:val="single" w:sz="8" w:space="0" w:color="0071C5"/>
            </w:tcBorders>
            <w:shd w:val="clear" w:color="auto" w:fill="auto"/>
            <w:tcMar>
              <w:top w:w="40" w:type="dxa"/>
              <w:left w:w="20" w:type="dxa"/>
              <w:bottom w:w="40" w:type="dxa"/>
              <w:right w:w="20" w:type="dxa"/>
            </w:tcMar>
            <w:vAlign w:val="bottom"/>
          </w:tcPr>
          <w:p w14:paraId="36CA1518" w14:textId="77777777" w:rsidR="00787570" w:rsidRDefault="000D56E2">
            <w:pPr>
              <w:textAlignment w:val="bottom"/>
            </w:pPr>
            <w:r>
              <w:rPr>
                <w:rFonts w:ascii="Arial" w:eastAsia="宋体" w:hAnsi="Arial" w:cs="Arial"/>
                <w:b/>
                <w:bCs/>
                <w:color w:val="0071C5"/>
                <w:sz w:val="20"/>
                <w:szCs w:val="20"/>
              </w:rPr>
              <w:t>FORWARD-LOOKING STATEMENTS</w:t>
            </w:r>
          </w:p>
        </w:tc>
        <w:tc>
          <w:tcPr>
            <w:tcW w:w="0" w:type="auto"/>
            <w:gridSpan w:val="3"/>
            <w:shd w:val="clear" w:color="auto" w:fill="auto"/>
          </w:tcPr>
          <w:p w14:paraId="36CA1519" w14:textId="77777777" w:rsidR="00787570" w:rsidRDefault="00787570">
            <w:pPr>
              <w:rPr>
                <w:rFonts w:ascii="宋体"/>
                <w:vanish/>
              </w:rPr>
            </w:pPr>
          </w:p>
        </w:tc>
        <w:tc>
          <w:tcPr>
            <w:tcW w:w="0" w:type="auto"/>
            <w:gridSpan w:val="3"/>
            <w:shd w:val="clear" w:color="auto" w:fill="auto"/>
          </w:tcPr>
          <w:p w14:paraId="36CA151A" w14:textId="77777777" w:rsidR="00787570" w:rsidRDefault="00787570">
            <w:pPr>
              <w:rPr>
                <w:rFonts w:ascii="宋体"/>
                <w:vanish/>
              </w:rPr>
            </w:pPr>
          </w:p>
        </w:tc>
        <w:tc>
          <w:tcPr>
            <w:tcW w:w="0" w:type="auto"/>
            <w:gridSpan w:val="3"/>
            <w:tcBorders>
              <w:top w:val="single" w:sz="8" w:space="0" w:color="0071C5"/>
            </w:tcBorders>
            <w:shd w:val="clear" w:color="auto" w:fill="auto"/>
            <w:tcMar>
              <w:top w:w="40" w:type="dxa"/>
              <w:left w:w="20" w:type="dxa"/>
              <w:bottom w:w="40" w:type="dxa"/>
              <w:right w:w="20" w:type="dxa"/>
            </w:tcMar>
            <w:vAlign w:val="bottom"/>
          </w:tcPr>
          <w:p w14:paraId="36CA151B" w14:textId="77777777" w:rsidR="00787570" w:rsidRDefault="000D56E2">
            <w:pPr>
              <w:jc w:val="center"/>
              <w:textAlignment w:val="bottom"/>
            </w:pPr>
            <w:hyperlink r:id="rId7" w:anchor="i32771df14e9449d2bec5be911426bf04_10" w:history="1">
              <w:r>
                <w:rPr>
                  <w:rStyle w:val="a5"/>
                  <w:rFonts w:ascii="Arial" w:eastAsia="宋体" w:hAnsi="Arial" w:cs="Arial"/>
                  <w:sz w:val="18"/>
                  <w:szCs w:val="18"/>
                </w:rPr>
                <w:t>1</w:t>
              </w:r>
            </w:hyperlink>
          </w:p>
        </w:tc>
      </w:tr>
      <w:tr w:rsidR="00787570" w14:paraId="36CA1521" w14:textId="77777777">
        <w:tc>
          <w:tcPr>
            <w:tcW w:w="0" w:type="auto"/>
            <w:gridSpan w:val="9"/>
            <w:shd w:val="clear" w:color="auto" w:fill="auto"/>
            <w:tcMar>
              <w:top w:w="40" w:type="dxa"/>
              <w:left w:w="20" w:type="dxa"/>
              <w:bottom w:w="40" w:type="dxa"/>
              <w:right w:w="20" w:type="dxa"/>
            </w:tcMar>
            <w:vAlign w:val="bottom"/>
          </w:tcPr>
          <w:p w14:paraId="36CA151D" w14:textId="77777777" w:rsidR="00787570" w:rsidRDefault="000D56E2">
            <w:pPr>
              <w:textAlignment w:val="bottom"/>
            </w:pPr>
            <w:r>
              <w:rPr>
                <w:rFonts w:ascii="Arial" w:eastAsia="宋体" w:hAnsi="Arial" w:cs="Arial"/>
                <w:b/>
                <w:bCs/>
                <w:color w:val="0071C5"/>
                <w:sz w:val="20"/>
                <w:szCs w:val="20"/>
              </w:rPr>
              <w:t>OUR PANDEMIC RESPONSE</w:t>
            </w:r>
          </w:p>
        </w:tc>
        <w:tc>
          <w:tcPr>
            <w:tcW w:w="0" w:type="auto"/>
            <w:gridSpan w:val="3"/>
            <w:shd w:val="clear" w:color="auto" w:fill="auto"/>
          </w:tcPr>
          <w:p w14:paraId="36CA151E" w14:textId="77777777" w:rsidR="00787570" w:rsidRDefault="00787570">
            <w:pPr>
              <w:rPr>
                <w:rFonts w:ascii="宋体"/>
                <w:vanish/>
              </w:rPr>
            </w:pPr>
          </w:p>
        </w:tc>
        <w:tc>
          <w:tcPr>
            <w:tcW w:w="0" w:type="auto"/>
            <w:gridSpan w:val="3"/>
            <w:shd w:val="clear" w:color="auto" w:fill="auto"/>
          </w:tcPr>
          <w:p w14:paraId="36CA151F" w14:textId="77777777" w:rsidR="00787570" w:rsidRDefault="00787570">
            <w:pPr>
              <w:rPr>
                <w:rFonts w:ascii="宋体"/>
                <w:vanish/>
              </w:rPr>
            </w:pPr>
          </w:p>
        </w:tc>
        <w:tc>
          <w:tcPr>
            <w:tcW w:w="0" w:type="auto"/>
            <w:gridSpan w:val="3"/>
            <w:shd w:val="clear" w:color="auto" w:fill="auto"/>
            <w:tcMar>
              <w:top w:w="40" w:type="dxa"/>
              <w:left w:w="20" w:type="dxa"/>
              <w:bottom w:w="40" w:type="dxa"/>
              <w:right w:w="20" w:type="dxa"/>
            </w:tcMar>
            <w:vAlign w:val="bottom"/>
          </w:tcPr>
          <w:p w14:paraId="36CA1520" w14:textId="77777777" w:rsidR="00787570" w:rsidRDefault="000D56E2">
            <w:pPr>
              <w:jc w:val="center"/>
              <w:textAlignment w:val="bottom"/>
            </w:pPr>
            <w:hyperlink r:id="rId8" w:anchor="i32771df14e9449d2bec5be911426bf04_13" w:history="1">
              <w:r>
                <w:rPr>
                  <w:rStyle w:val="a5"/>
                  <w:rFonts w:ascii="Arial" w:eastAsia="宋体" w:hAnsi="Arial" w:cs="Arial"/>
                  <w:sz w:val="18"/>
                  <w:szCs w:val="18"/>
                </w:rPr>
                <w:t>2</w:t>
              </w:r>
            </w:hyperlink>
          </w:p>
        </w:tc>
      </w:tr>
      <w:tr w:rsidR="00787570" w14:paraId="36CA1526" w14:textId="77777777">
        <w:tc>
          <w:tcPr>
            <w:tcW w:w="0" w:type="auto"/>
            <w:gridSpan w:val="9"/>
            <w:shd w:val="clear" w:color="auto" w:fill="auto"/>
            <w:tcMar>
              <w:top w:w="40" w:type="dxa"/>
              <w:left w:w="20" w:type="dxa"/>
              <w:bottom w:w="40" w:type="dxa"/>
              <w:right w:w="20" w:type="dxa"/>
            </w:tcMar>
            <w:vAlign w:val="bottom"/>
          </w:tcPr>
          <w:p w14:paraId="36CA1522" w14:textId="77777777" w:rsidR="00787570" w:rsidRDefault="000D56E2">
            <w:pPr>
              <w:textAlignment w:val="bottom"/>
            </w:pPr>
            <w:r>
              <w:rPr>
                <w:rFonts w:ascii="Arial" w:eastAsia="宋体" w:hAnsi="Arial" w:cs="Arial"/>
                <w:b/>
                <w:bCs/>
                <w:color w:val="0071C5"/>
                <w:sz w:val="20"/>
                <w:szCs w:val="20"/>
              </w:rPr>
              <w:t>A QUARTER IN REVIEW</w:t>
            </w:r>
          </w:p>
        </w:tc>
        <w:tc>
          <w:tcPr>
            <w:tcW w:w="0" w:type="auto"/>
            <w:gridSpan w:val="3"/>
            <w:shd w:val="clear" w:color="auto" w:fill="auto"/>
          </w:tcPr>
          <w:p w14:paraId="36CA1523" w14:textId="77777777" w:rsidR="00787570" w:rsidRDefault="00787570">
            <w:pPr>
              <w:rPr>
                <w:rFonts w:ascii="宋体"/>
                <w:vanish/>
              </w:rPr>
            </w:pPr>
          </w:p>
        </w:tc>
        <w:tc>
          <w:tcPr>
            <w:tcW w:w="0" w:type="auto"/>
            <w:gridSpan w:val="3"/>
            <w:shd w:val="clear" w:color="auto" w:fill="auto"/>
          </w:tcPr>
          <w:p w14:paraId="36CA1524" w14:textId="77777777" w:rsidR="00787570" w:rsidRDefault="00787570">
            <w:pPr>
              <w:rPr>
                <w:rFonts w:ascii="宋体"/>
                <w:vanish/>
              </w:rPr>
            </w:pPr>
          </w:p>
        </w:tc>
        <w:tc>
          <w:tcPr>
            <w:tcW w:w="0" w:type="auto"/>
            <w:gridSpan w:val="3"/>
            <w:shd w:val="clear" w:color="auto" w:fill="auto"/>
            <w:tcMar>
              <w:top w:w="40" w:type="dxa"/>
              <w:left w:w="20" w:type="dxa"/>
              <w:bottom w:w="40" w:type="dxa"/>
              <w:right w:w="20" w:type="dxa"/>
            </w:tcMar>
            <w:vAlign w:val="bottom"/>
          </w:tcPr>
          <w:p w14:paraId="36CA1525" w14:textId="77777777" w:rsidR="00787570" w:rsidRDefault="000D56E2">
            <w:pPr>
              <w:jc w:val="center"/>
              <w:textAlignment w:val="bottom"/>
            </w:pPr>
            <w:hyperlink r:id="rId9" w:anchor="i32771df14e9449d2bec5be911426bf04_16" w:history="1">
              <w:r>
                <w:rPr>
                  <w:rStyle w:val="a5"/>
                  <w:rFonts w:ascii="Arial" w:eastAsia="宋体" w:hAnsi="Arial" w:cs="Arial"/>
                  <w:sz w:val="18"/>
                  <w:szCs w:val="18"/>
                </w:rPr>
                <w:t>3</w:t>
              </w:r>
            </w:hyperlink>
          </w:p>
        </w:tc>
      </w:tr>
      <w:tr w:rsidR="00787570" w14:paraId="36CA152B" w14:textId="77777777">
        <w:tc>
          <w:tcPr>
            <w:tcW w:w="0" w:type="auto"/>
            <w:gridSpan w:val="9"/>
            <w:tcBorders>
              <w:bottom w:val="single" w:sz="8" w:space="0" w:color="333333"/>
            </w:tcBorders>
            <w:shd w:val="clear" w:color="auto" w:fill="auto"/>
            <w:tcMar>
              <w:top w:w="40" w:type="dxa"/>
              <w:left w:w="20" w:type="dxa"/>
              <w:bottom w:w="40" w:type="dxa"/>
              <w:right w:w="20" w:type="dxa"/>
            </w:tcMar>
            <w:vAlign w:val="bottom"/>
          </w:tcPr>
          <w:p w14:paraId="36CA1527" w14:textId="77777777" w:rsidR="00787570" w:rsidRDefault="000D56E2">
            <w:pPr>
              <w:textAlignment w:val="bottom"/>
            </w:pPr>
            <w:r>
              <w:rPr>
                <w:rFonts w:ascii="Arial" w:eastAsia="宋体" w:hAnsi="Arial" w:cs="Arial"/>
                <w:b/>
                <w:bCs/>
                <w:color w:val="0071C5"/>
                <w:sz w:val="20"/>
                <w:szCs w:val="20"/>
              </w:rPr>
              <w:t>CONSOLIDATED CONDENSED FINANCIAL STATEMENTS AND SUPPLEMENTAL DETAILS</w:t>
            </w:r>
          </w:p>
        </w:tc>
        <w:tc>
          <w:tcPr>
            <w:tcW w:w="0" w:type="auto"/>
            <w:gridSpan w:val="3"/>
            <w:shd w:val="clear" w:color="auto" w:fill="auto"/>
          </w:tcPr>
          <w:p w14:paraId="36CA1528" w14:textId="77777777" w:rsidR="00787570" w:rsidRDefault="00787570">
            <w:pPr>
              <w:rPr>
                <w:rFonts w:ascii="宋体"/>
                <w:vanish/>
              </w:rPr>
            </w:pPr>
          </w:p>
        </w:tc>
        <w:tc>
          <w:tcPr>
            <w:tcW w:w="0" w:type="auto"/>
            <w:gridSpan w:val="3"/>
            <w:shd w:val="clear" w:color="auto" w:fill="auto"/>
          </w:tcPr>
          <w:p w14:paraId="36CA1529" w14:textId="77777777" w:rsidR="00787570" w:rsidRDefault="00787570">
            <w:pPr>
              <w:rPr>
                <w:rFonts w:ascii="宋体"/>
                <w:vanish/>
              </w:rPr>
            </w:pPr>
          </w:p>
        </w:tc>
        <w:tc>
          <w:tcPr>
            <w:tcW w:w="0" w:type="auto"/>
            <w:gridSpan w:val="3"/>
            <w:shd w:val="clear" w:color="auto" w:fill="auto"/>
            <w:tcMar>
              <w:left w:w="20" w:type="dxa"/>
              <w:right w:w="20" w:type="dxa"/>
            </w:tcMar>
            <w:vAlign w:val="bottom"/>
          </w:tcPr>
          <w:p w14:paraId="36CA152A" w14:textId="77777777" w:rsidR="00787570" w:rsidRDefault="00787570">
            <w:pPr>
              <w:rPr>
                <w:rFonts w:ascii="宋体"/>
              </w:rPr>
            </w:pPr>
          </w:p>
        </w:tc>
      </w:tr>
      <w:tr w:rsidR="00787570" w14:paraId="36CA1533" w14:textId="77777777">
        <w:tc>
          <w:tcPr>
            <w:tcW w:w="0" w:type="auto"/>
            <w:gridSpan w:val="3"/>
            <w:tcBorders>
              <w:top w:val="single" w:sz="8" w:space="0" w:color="333333"/>
            </w:tcBorders>
            <w:shd w:val="clear" w:color="auto" w:fill="auto"/>
            <w:tcMar>
              <w:left w:w="20" w:type="dxa"/>
              <w:right w:w="20" w:type="dxa"/>
            </w:tcMar>
            <w:vAlign w:val="bottom"/>
          </w:tcPr>
          <w:p w14:paraId="36CA152C" w14:textId="77777777" w:rsidR="00787570" w:rsidRDefault="00787570">
            <w:pPr>
              <w:rPr>
                <w:rFonts w:ascii="宋体"/>
              </w:rPr>
            </w:pPr>
          </w:p>
        </w:tc>
        <w:tc>
          <w:tcPr>
            <w:tcW w:w="0" w:type="auto"/>
            <w:gridSpan w:val="6"/>
            <w:tcBorders>
              <w:top w:val="single" w:sz="8" w:space="0" w:color="333333"/>
            </w:tcBorders>
            <w:shd w:val="clear" w:color="auto" w:fill="auto"/>
            <w:tcMar>
              <w:top w:w="40" w:type="dxa"/>
              <w:left w:w="20" w:type="dxa"/>
              <w:bottom w:w="40" w:type="dxa"/>
              <w:right w:w="20" w:type="dxa"/>
            </w:tcMar>
            <w:vAlign w:val="bottom"/>
          </w:tcPr>
          <w:p w14:paraId="36CA152D" w14:textId="77777777" w:rsidR="00787570" w:rsidRDefault="000D56E2">
            <w:pPr>
              <w:textAlignment w:val="bottom"/>
            </w:pPr>
            <w:r>
              <w:rPr>
                <w:rFonts w:ascii="Arial" w:eastAsia="宋体" w:hAnsi="Arial" w:cs="Arial"/>
                <w:color w:val="333333"/>
                <w:sz w:val="18"/>
                <w:szCs w:val="18"/>
              </w:rPr>
              <w:t xml:space="preserve">Consolidated </w:t>
            </w:r>
            <w:r>
              <w:rPr>
                <w:rFonts w:ascii="Arial" w:eastAsia="宋体" w:hAnsi="Arial" w:cs="Arial"/>
                <w:color w:val="333333"/>
                <w:sz w:val="18"/>
                <w:szCs w:val="18"/>
              </w:rPr>
              <w:t>Condensed Statements of Income</w:t>
            </w:r>
          </w:p>
        </w:tc>
        <w:tc>
          <w:tcPr>
            <w:tcW w:w="0" w:type="auto"/>
            <w:gridSpan w:val="3"/>
            <w:shd w:val="clear" w:color="auto" w:fill="auto"/>
          </w:tcPr>
          <w:p w14:paraId="36CA152E" w14:textId="77777777" w:rsidR="00787570" w:rsidRDefault="00787570">
            <w:pPr>
              <w:rPr>
                <w:rFonts w:ascii="宋体"/>
                <w:vanish/>
              </w:rPr>
            </w:pPr>
          </w:p>
        </w:tc>
        <w:tc>
          <w:tcPr>
            <w:tcW w:w="0" w:type="auto"/>
            <w:gridSpan w:val="3"/>
            <w:tcBorders>
              <w:top w:val="single" w:sz="8" w:space="0" w:color="333333"/>
            </w:tcBorders>
            <w:shd w:val="clear" w:color="auto" w:fill="auto"/>
            <w:tcMar>
              <w:top w:w="40" w:type="dxa"/>
              <w:left w:w="20" w:type="dxa"/>
              <w:bottom w:w="40" w:type="dxa"/>
              <w:right w:w="20" w:type="dxa"/>
            </w:tcMar>
            <w:vAlign w:val="bottom"/>
          </w:tcPr>
          <w:p w14:paraId="36CA152F" w14:textId="77777777" w:rsidR="00787570" w:rsidRDefault="000D56E2">
            <w:pPr>
              <w:jc w:val="center"/>
              <w:textAlignment w:val="bottom"/>
            </w:pPr>
            <w:hyperlink r:id="rId10" w:anchor="i32771df14e9449d2bec5be911426bf04_25" w:history="1">
              <w:r>
                <w:rPr>
                  <w:rStyle w:val="a5"/>
                  <w:rFonts w:ascii="Arial" w:eastAsia="宋体" w:hAnsi="Arial" w:cs="Arial"/>
                  <w:sz w:val="18"/>
                  <w:szCs w:val="18"/>
                </w:rPr>
                <w:t>5</w:t>
              </w:r>
            </w:hyperlink>
          </w:p>
        </w:tc>
        <w:tc>
          <w:tcPr>
            <w:tcW w:w="0" w:type="auto"/>
            <w:shd w:val="clear" w:color="auto" w:fill="auto"/>
          </w:tcPr>
          <w:p w14:paraId="36CA1530" w14:textId="77777777" w:rsidR="00787570" w:rsidRDefault="00787570">
            <w:pPr>
              <w:rPr>
                <w:rFonts w:ascii="宋体"/>
              </w:rPr>
            </w:pPr>
          </w:p>
        </w:tc>
        <w:tc>
          <w:tcPr>
            <w:tcW w:w="0" w:type="auto"/>
            <w:shd w:val="clear" w:color="auto" w:fill="auto"/>
          </w:tcPr>
          <w:p w14:paraId="36CA1531" w14:textId="77777777" w:rsidR="00787570" w:rsidRDefault="00787570">
            <w:pPr>
              <w:rPr>
                <w:rFonts w:ascii="宋体"/>
              </w:rPr>
            </w:pPr>
          </w:p>
        </w:tc>
        <w:tc>
          <w:tcPr>
            <w:tcW w:w="0" w:type="auto"/>
            <w:shd w:val="clear" w:color="auto" w:fill="auto"/>
          </w:tcPr>
          <w:p w14:paraId="36CA1532" w14:textId="77777777" w:rsidR="00787570" w:rsidRDefault="00787570">
            <w:pPr>
              <w:rPr>
                <w:rFonts w:ascii="宋体"/>
              </w:rPr>
            </w:pPr>
          </w:p>
        </w:tc>
      </w:tr>
      <w:tr w:rsidR="00787570" w14:paraId="36CA153B" w14:textId="77777777">
        <w:tc>
          <w:tcPr>
            <w:tcW w:w="0" w:type="auto"/>
            <w:gridSpan w:val="3"/>
            <w:shd w:val="clear" w:color="auto" w:fill="auto"/>
            <w:tcMar>
              <w:left w:w="20" w:type="dxa"/>
              <w:right w:w="20" w:type="dxa"/>
            </w:tcMar>
            <w:vAlign w:val="bottom"/>
          </w:tcPr>
          <w:p w14:paraId="36CA1534" w14:textId="77777777" w:rsidR="00787570" w:rsidRDefault="00787570">
            <w:pPr>
              <w:rPr>
                <w:rFonts w:ascii="宋体"/>
              </w:rPr>
            </w:pPr>
          </w:p>
        </w:tc>
        <w:tc>
          <w:tcPr>
            <w:tcW w:w="0" w:type="auto"/>
            <w:gridSpan w:val="6"/>
            <w:shd w:val="clear" w:color="auto" w:fill="auto"/>
            <w:tcMar>
              <w:top w:w="40" w:type="dxa"/>
              <w:left w:w="20" w:type="dxa"/>
              <w:bottom w:w="40" w:type="dxa"/>
              <w:right w:w="20" w:type="dxa"/>
            </w:tcMar>
            <w:vAlign w:val="bottom"/>
          </w:tcPr>
          <w:p w14:paraId="36CA1535" w14:textId="77777777" w:rsidR="00787570" w:rsidRDefault="000D56E2">
            <w:pPr>
              <w:textAlignment w:val="bottom"/>
            </w:pPr>
            <w:r>
              <w:rPr>
                <w:rFonts w:ascii="Arial" w:eastAsia="宋体" w:hAnsi="Arial" w:cs="Arial"/>
                <w:color w:val="333333"/>
                <w:sz w:val="18"/>
                <w:szCs w:val="18"/>
              </w:rPr>
              <w:t>Consolidated Condensed Statements of Comprehensive Income</w:t>
            </w:r>
          </w:p>
        </w:tc>
        <w:tc>
          <w:tcPr>
            <w:tcW w:w="0" w:type="auto"/>
            <w:gridSpan w:val="3"/>
            <w:shd w:val="clear" w:color="auto" w:fill="auto"/>
          </w:tcPr>
          <w:p w14:paraId="36CA1536" w14:textId="77777777" w:rsidR="00787570" w:rsidRDefault="00787570">
            <w:pPr>
              <w:rPr>
                <w:rFonts w:ascii="宋体"/>
                <w:vanish/>
              </w:rPr>
            </w:pPr>
          </w:p>
        </w:tc>
        <w:tc>
          <w:tcPr>
            <w:tcW w:w="0" w:type="auto"/>
            <w:gridSpan w:val="3"/>
            <w:shd w:val="clear" w:color="auto" w:fill="auto"/>
            <w:tcMar>
              <w:top w:w="40" w:type="dxa"/>
              <w:left w:w="20" w:type="dxa"/>
              <w:bottom w:w="40" w:type="dxa"/>
              <w:right w:w="20" w:type="dxa"/>
            </w:tcMar>
            <w:vAlign w:val="bottom"/>
          </w:tcPr>
          <w:p w14:paraId="36CA1537" w14:textId="77777777" w:rsidR="00787570" w:rsidRDefault="000D56E2">
            <w:pPr>
              <w:jc w:val="center"/>
              <w:textAlignment w:val="bottom"/>
            </w:pPr>
            <w:hyperlink r:id="rId11" w:anchor="i32771df14e9449d2bec5be911426bf04_28" w:history="1">
              <w:r>
                <w:rPr>
                  <w:rStyle w:val="a5"/>
                  <w:rFonts w:ascii="Arial" w:eastAsia="宋体" w:hAnsi="Arial" w:cs="Arial"/>
                  <w:sz w:val="18"/>
                  <w:szCs w:val="18"/>
                </w:rPr>
                <w:t>6</w:t>
              </w:r>
            </w:hyperlink>
          </w:p>
        </w:tc>
        <w:tc>
          <w:tcPr>
            <w:tcW w:w="0" w:type="auto"/>
            <w:shd w:val="clear" w:color="auto" w:fill="auto"/>
          </w:tcPr>
          <w:p w14:paraId="36CA1538" w14:textId="77777777" w:rsidR="00787570" w:rsidRDefault="00787570">
            <w:pPr>
              <w:rPr>
                <w:rFonts w:ascii="宋体"/>
              </w:rPr>
            </w:pPr>
          </w:p>
        </w:tc>
        <w:tc>
          <w:tcPr>
            <w:tcW w:w="0" w:type="auto"/>
            <w:shd w:val="clear" w:color="auto" w:fill="auto"/>
          </w:tcPr>
          <w:p w14:paraId="36CA1539" w14:textId="77777777" w:rsidR="00787570" w:rsidRDefault="00787570">
            <w:pPr>
              <w:rPr>
                <w:rFonts w:ascii="宋体"/>
              </w:rPr>
            </w:pPr>
          </w:p>
        </w:tc>
        <w:tc>
          <w:tcPr>
            <w:tcW w:w="0" w:type="auto"/>
            <w:shd w:val="clear" w:color="auto" w:fill="auto"/>
          </w:tcPr>
          <w:p w14:paraId="36CA153A" w14:textId="77777777" w:rsidR="00787570" w:rsidRDefault="00787570">
            <w:pPr>
              <w:rPr>
                <w:rFonts w:ascii="宋体"/>
              </w:rPr>
            </w:pPr>
          </w:p>
        </w:tc>
      </w:tr>
      <w:tr w:rsidR="00787570" w14:paraId="36CA1543" w14:textId="77777777">
        <w:tc>
          <w:tcPr>
            <w:tcW w:w="0" w:type="auto"/>
            <w:gridSpan w:val="3"/>
            <w:shd w:val="clear" w:color="auto" w:fill="auto"/>
            <w:tcMar>
              <w:left w:w="20" w:type="dxa"/>
              <w:right w:w="20" w:type="dxa"/>
            </w:tcMar>
            <w:vAlign w:val="bottom"/>
          </w:tcPr>
          <w:p w14:paraId="36CA153C" w14:textId="77777777" w:rsidR="00787570" w:rsidRDefault="00787570">
            <w:pPr>
              <w:rPr>
                <w:rFonts w:ascii="宋体"/>
              </w:rPr>
            </w:pPr>
          </w:p>
        </w:tc>
        <w:tc>
          <w:tcPr>
            <w:tcW w:w="0" w:type="auto"/>
            <w:gridSpan w:val="6"/>
            <w:shd w:val="clear" w:color="auto" w:fill="auto"/>
            <w:tcMar>
              <w:top w:w="40" w:type="dxa"/>
              <w:left w:w="20" w:type="dxa"/>
              <w:bottom w:w="40" w:type="dxa"/>
              <w:right w:w="20" w:type="dxa"/>
            </w:tcMar>
            <w:vAlign w:val="bottom"/>
          </w:tcPr>
          <w:p w14:paraId="36CA153D" w14:textId="77777777" w:rsidR="00787570" w:rsidRDefault="000D56E2">
            <w:pPr>
              <w:textAlignment w:val="bottom"/>
            </w:pPr>
            <w:r>
              <w:rPr>
                <w:rFonts w:ascii="Arial" w:eastAsia="宋体" w:hAnsi="Arial" w:cs="Arial"/>
                <w:color w:val="333333"/>
                <w:sz w:val="18"/>
                <w:szCs w:val="18"/>
              </w:rPr>
              <w:t>Consolidated Condensed Balance Sheets</w:t>
            </w:r>
          </w:p>
        </w:tc>
        <w:tc>
          <w:tcPr>
            <w:tcW w:w="0" w:type="auto"/>
            <w:gridSpan w:val="3"/>
            <w:shd w:val="clear" w:color="auto" w:fill="auto"/>
          </w:tcPr>
          <w:p w14:paraId="36CA153E" w14:textId="77777777" w:rsidR="00787570" w:rsidRDefault="00787570">
            <w:pPr>
              <w:rPr>
                <w:rFonts w:ascii="宋体"/>
                <w:vanish/>
              </w:rPr>
            </w:pPr>
          </w:p>
        </w:tc>
        <w:tc>
          <w:tcPr>
            <w:tcW w:w="0" w:type="auto"/>
            <w:gridSpan w:val="3"/>
            <w:shd w:val="clear" w:color="auto" w:fill="auto"/>
            <w:tcMar>
              <w:top w:w="40" w:type="dxa"/>
              <w:left w:w="20" w:type="dxa"/>
              <w:bottom w:w="40" w:type="dxa"/>
              <w:right w:w="20" w:type="dxa"/>
            </w:tcMar>
            <w:vAlign w:val="bottom"/>
          </w:tcPr>
          <w:p w14:paraId="36CA153F" w14:textId="77777777" w:rsidR="00787570" w:rsidRDefault="000D56E2">
            <w:pPr>
              <w:jc w:val="center"/>
              <w:textAlignment w:val="bottom"/>
            </w:pPr>
            <w:hyperlink r:id="rId12" w:anchor="i32771df14e9449d2bec5be911426bf04_31" w:history="1">
              <w:r>
                <w:rPr>
                  <w:rStyle w:val="a5"/>
                  <w:rFonts w:ascii="Arial" w:eastAsia="宋体" w:hAnsi="Arial" w:cs="Arial"/>
                  <w:sz w:val="18"/>
                  <w:szCs w:val="18"/>
                </w:rPr>
                <w:t>7</w:t>
              </w:r>
            </w:hyperlink>
          </w:p>
        </w:tc>
        <w:tc>
          <w:tcPr>
            <w:tcW w:w="0" w:type="auto"/>
            <w:shd w:val="clear" w:color="auto" w:fill="auto"/>
          </w:tcPr>
          <w:p w14:paraId="36CA1540" w14:textId="77777777" w:rsidR="00787570" w:rsidRDefault="00787570">
            <w:pPr>
              <w:rPr>
                <w:rFonts w:ascii="宋体"/>
              </w:rPr>
            </w:pPr>
          </w:p>
        </w:tc>
        <w:tc>
          <w:tcPr>
            <w:tcW w:w="0" w:type="auto"/>
            <w:shd w:val="clear" w:color="auto" w:fill="auto"/>
          </w:tcPr>
          <w:p w14:paraId="36CA1541" w14:textId="77777777" w:rsidR="00787570" w:rsidRDefault="00787570">
            <w:pPr>
              <w:rPr>
                <w:rFonts w:ascii="宋体"/>
              </w:rPr>
            </w:pPr>
          </w:p>
        </w:tc>
        <w:tc>
          <w:tcPr>
            <w:tcW w:w="0" w:type="auto"/>
            <w:shd w:val="clear" w:color="auto" w:fill="auto"/>
          </w:tcPr>
          <w:p w14:paraId="36CA1542" w14:textId="77777777" w:rsidR="00787570" w:rsidRDefault="00787570">
            <w:pPr>
              <w:rPr>
                <w:rFonts w:ascii="宋体"/>
              </w:rPr>
            </w:pPr>
          </w:p>
        </w:tc>
      </w:tr>
      <w:tr w:rsidR="00787570" w14:paraId="36CA154B" w14:textId="77777777">
        <w:tc>
          <w:tcPr>
            <w:tcW w:w="0" w:type="auto"/>
            <w:gridSpan w:val="3"/>
            <w:shd w:val="clear" w:color="auto" w:fill="auto"/>
            <w:tcMar>
              <w:left w:w="20" w:type="dxa"/>
              <w:right w:w="20" w:type="dxa"/>
            </w:tcMar>
            <w:vAlign w:val="bottom"/>
          </w:tcPr>
          <w:p w14:paraId="36CA1544" w14:textId="77777777" w:rsidR="00787570" w:rsidRDefault="00787570">
            <w:pPr>
              <w:rPr>
                <w:rFonts w:ascii="宋体"/>
              </w:rPr>
            </w:pPr>
          </w:p>
        </w:tc>
        <w:tc>
          <w:tcPr>
            <w:tcW w:w="0" w:type="auto"/>
            <w:gridSpan w:val="6"/>
            <w:shd w:val="clear" w:color="auto" w:fill="auto"/>
            <w:tcMar>
              <w:top w:w="40" w:type="dxa"/>
              <w:left w:w="20" w:type="dxa"/>
              <w:bottom w:w="40" w:type="dxa"/>
              <w:right w:w="20" w:type="dxa"/>
            </w:tcMar>
            <w:vAlign w:val="bottom"/>
          </w:tcPr>
          <w:p w14:paraId="36CA1545" w14:textId="77777777" w:rsidR="00787570" w:rsidRDefault="000D56E2">
            <w:pPr>
              <w:textAlignment w:val="bottom"/>
            </w:pPr>
            <w:r>
              <w:rPr>
                <w:rFonts w:ascii="Arial" w:eastAsia="宋体" w:hAnsi="Arial" w:cs="Arial"/>
                <w:color w:val="333333"/>
                <w:sz w:val="18"/>
                <w:szCs w:val="18"/>
              </w:rPr>
              <w:t>Consolidated Condensed Statements of Cash Flows</w:t>
            </w:r>
          </w:p>
        </w:tc>
        <w:tc>
          <w:tcPr>
            <w:tcW w:w="0" w:type="auto"/>
            <w:gridSpan w:val="3"/>
            <w:shd w:val="clear" w:color="auto" w:fill="auto"/>
          </w:tcPr>
          <w:p w14:paraId="36CA1546" w14:textId="77777777" w:rsidR="00787570" w:rsidRDefault="00787570">
            <w:pPr>
              <w:rPr>
                <w:rFonts w:ascii="宋体"/>
                <w:vanish/>
              </w:rPr>
            </w:pPr>
          </w:p>
        </w:tc>
        <w:tc>
          <w:tcPr>
            <w:tcW w:w="0" w:type="auto"/>
            <w:gridSpan w:val="3"/>
            <w:shd w:val="clear" w:color="auto" w:fill="auto"/>
            <w:tcMar>
              <w:top w:w="40" w:type="dxa"/>
              <w:left w:w="20" w:type="dxa"/>
              <w:bottom w:w="40" w:type="dxa"/>
              <w:right w:w="20" w:type="dxa"/>
            </w:tcMar>
            <w:vAlign w:val="bottom"/>
          </w:tcPr>
          <w:p w14:paraId="36CA1547" w14:textId="77777777" w:rsidR="00787570" w:rsidRDefault="000D56E2">
            <w:pPr>
              <w:jc w:val="center"/>
              <w:textAlignment w:val="bottom"/>
            </w:pPr>
            <w:hyperlink r:id="rId13" w:anchor="i32771df14e9449d2bec5be911426bf04_37" w:history="1">
              <w:r>
                <w:rPr>
                  <w:rStyle w:val="a5"/>
                  <w:rFonts w:ascii="Arial" w:eastAsia="宋体" w:hAnsi="Arial" w:cs="Arial"/>
                  <w:sz w:val="18"/>
                  <w:szCs w:val="18"/>
                </w:rPr>
                <w:t>8</w:t>
              </w:r>
            </w:hyperlink>
          </w:p>
        </w:tc>
        <w:tc>
          <w:tcPr>
            <w:tcW w:w="0" w:type="auto"/>
            <w:shd w:val="clear" w:color="auto" w:fill="auto"/>
          </w:tcPr>
          <w:p w14:paraId="36CA1548" w14:textId="77777777" w:rsidR="00787570" w:rsidRDefault="00787570">
            <w:pPr>
              <w:rPr>
                <w:rFonts w:ascii="宋体"/>
              </w:rPr>
            </w:pPr>
          </w:p>
        </w:tc>
        <w:tc>
          <w:tcPr>
            <w:tcW w:w="0" w:type="auto"/>
            <w:shd w:val="clear" w:color="auto" w:fill="auto"/>
          </w:tcPr>
          <w:p w14:paraId="36CA1549" w14:textId="77777777" w:rsidR="00787570" w:rsidRDefault="00787570">
            <w:pPr>
              <w:rPr>
                <w:rFonts w:ascii="宋体"/>
              </w:rPr>
            </w:pPr>
          </w:p>
        </w:tc>
        <w:tc>
          <w:tcPr>
            <w:tcW w:w="0" w:type="auto"/>
            <w:shd w:val="clear" w:color="auto" w:fill="auto"/>
          </w:tcPr>
          <w:p w14:paraId="36CA154A" w14:textId="77777777" w:rsidR="00787570" w:rsidRDefault="00787570">
            <w:pPr>
              <w:rPr>
                <w:rFonts w:ascii="宋体"/>
              </w:rPr>
            </w:pPr>
          </w:p>
        </w:tc>
      </w:tr>
      <w:tr w:rsidR="00787570" w14:paraId="36CA1553" w14:textId="77777777">
        <w:tc>
          <w:tcPr>
            <w:tcW w:w="0" w:type="auto"/>
            <w:gridSpan w:val="3"/>
            <w:shd w:val="clear" w:color="auto" w:fill="auto"/>
            <w:tcMar>
              <w:left w:w="20" w:type="dxa"/>
              <w:right w:w="20" w:type="dxa"/>
            </w:tcMar>
            <w:vAlign w:val="bottom"/>
          </w:tcPr>
          <w:p w14:paraId="36CA154C" w14:textId="77777777" w:rsidR="00787570" w:rsidRDefault="00787570">
            <w:pPr>
              <w:rPr>
                <w:rFonts w:ascii="宋体"/>
              </w:rPr>
            </w:pPr>
          </w:p>
        </w:tc>
        <w:tc>
          <w:tcPr>
            <w:tcW w:w="0" w:type="auto"/>
            <w:gridSpan w:val="6"/>
            <w:shd w:val="clear" w:color="auto" w:fill="auto"/>
            <w:tcMar>
              <w:top w:w="40" w:type="dxa"/>
              <w:left w:w="20" w:type="dxa"/>
              <w:bottom w:w="40" w:type="dxa"/>
              <w:right w:w="20" w:type="dxa"/>
            </w:tcMar>
            <w:vAlign w:val="bottom"/>
          </w:tcPr>
          <w:p w14:paraId="36CA154D" w14:textId="77777777" w:rsidR="00787570" w:rsidRDefault="000D56E2">
            <w:pPr>
              <w:textAlignment w:val="bottom"/>
            </w:pPr>
            <w:r>
              <w:rPr>
                <w:rFonts w:ascii="Arial" w:eastAsia="宋体" w:hAnsi="Arial" w:cs="Arial"/>
                <w:color w:val="333333"/>
                <w:sz w:val="18"/>
                <w:szCs w:val="18"/>
              </w:rPr>
              <w:t>Consolidated Condensed Statements of Stockholders' Equity</w:t>
            </w:r>
          </w:p>
        </w:tc>
        <w:tc>
          <w:tcPr>
            <w:tcW w:w="0" w:type="auto"/>
            <w:gridSpan w:val="3"/>
            <w:shd w:val="clear" w:color="auto" w:fill="auto"/>
          </w:tcPr>
          <w:p w14:paraId="36CA154E" w14:textId="77777777" w:rsidR="00787570" w:rsidRDefault="00787570">
            <w:pPr>
              <w:rPr>
                <w:rFonts w:ascii="宋体"/>
                <w:vanish/>
              </w:rPr>
            </w:pPr>
          </w:p>
        </w:tc>
        <w:tc>
          <w:tcPr>
            <w:tcW w:w="0" w:type="auto"/>
            <w:gridSpan w:val="3"/>
            <w:shd w:val="clear" w:color="auto" w:fill="auto"/>
            <w:tcMar>
              <w:top w:w="40" w:type="dxa"/>
              <w:left w:w="20" w:type="dxa"/>
              <w:bottom w:w="40" w:type="dxa"/>
              <w:right w:w="20" w:type="dxa"/>
            </w:tcMar>
            <w:vAlign w:val="bottom"/>
          </w:tcPr>
          <w:p w14:paraId="36CA154F" w14:textId="77777777" w:rsidR="00787570" w:rsidRDefault="000D56E2">
            <w:pPr>
              <w:jc w:val="center"/>
              <w:textAlignment w:val="bottom"/>
            </w:pPr>
            <w:hyperlink r:id="rId14" w:anchor="i32771df14e9449d2bec5be911426bf04_40" w:history="1">
              <w:r>
                <w:rPr>
                  <w:rStyle w:val="a5"/>
                  <w:rFonts w:ascii="Arial" w:eastAsia="宋体" w:hAnsi="Arial" w:cs="Arial"/>
                  <w:sz w:val="18"/>
                  <w:szCs w:val="18"/>
                </w:rPr>
                <w:t>9</w:t>
              </w:r>
            </w:hyperlink>
          </w:p>
        </w:tc>
        <w:tc>
          <w:tcPr>
            <w:tcW w:w="0" w:type="auto"/>
            <w:shd w:val="clear" w:color="auto" w:fill="auto"/>
          </w:tcPr>
          <w:p w14:paraId="36CA1550" w14:textId="77777777" w:rsidR="00787570" w:rsidRDefault="00787570">
            <w:pPr>
              <w:rPr>
                <w:rFonts w:ascii="宋体"/>
              </w:rPr>
            </w:pPr>
          </w:p>
        </w:tc>
        <w:tc>
          <w:tcPr>
            <w:tcW w:w="0" w:type="auto"/>
            <w:shd w:val="clear" w:color="auto" w:fill="auto"/>
          </w:tcPr>
          <w:p w14:paraId="36CA1551" w14:textId="77777777" w:rsidR="00787570" w:rsidRDefault="00787570">
            <w:pPr>
              <w:rPr>
                <w:rFonts w:ascii="宋体"/>
              </w:rPr>
            </w:pPr>
          </w:p>
        </w:tc>
        <w:tc>
          <w:tcPr>
            <w:tcW w:w="0" w:type="auto"/>
            <w:shd w:val="clear" w:color="auto" w:fill="auto"/>
          </w:tcPr>
          <w:p w14:paraId="36CA1552" w14:textId="77777777" w:rsidR="00787570" w:rsidRDefault="00787570">
            <w:pPr>
              <w:rPr>
                <w:rFonts w:ascii="宋体"/>
              </w:rPr>
            </w:pPr>
          </w:p>
        </w:tc>
      </w:tr>
      <w:tr w:rsidR="00787570" w14:paraId="36CA155B" w14:textId="77777777">
        <w:tc>
          <w:tcPr>
            <w:tcW w:w="0" w:type="auto"/>
            <w:gridSpan w:val="3"/>
            <w:shd w:val="clear" w:color="auto" w:fill="auto"/>
            <w:tcMar>
              <w:left w:w="20" w:type="dxa"/>
              <w:right w:w="20" w:type="dxa"/>
            </w:tcMar>
            <w:vAlign w:val="bottom"/>
          </w:tcPr>
          <w:p w14:paraId="36CA1554" w14:textId="77777777" w:rsidR="00787570" w:rsidRDefault="00787570">
            <w:pPr>
              <w:rPr>
                <w:rFonts w:ascii="宋体"/>
              </w:rPr>
            </w:pPr>
          </w:p>
        </w:tc>
        <w:tc>
          <w:tcPr>
            <w:tcW w:w="0" w:type="auto"/>
            <w:gridSpan w:val="6"/>
            <w:shd w:val="clear" w:color="auto" w:fill="auto"/>
            <w:tcMar>
              <w:top w:w="40" w:type="dxa"/>
              <w:left w:w="20" w:type="dxa"/>
              <w:bottom w:w="40" w:type="dxa"/>
              <w:right w:w="20" w:type="dxa"/>
            </w:tcMar>
            <w:vAlign w:val="bottom"/>
          </w:tcPr>
          <w:p w14:paraId="36CA1555" w14:textId="77777777" w:rsidR="00787570" w:rsidRDefault="000D56E2">
            <w:pPr>
              <w:textAlignment w:val="bottom"/>
            </w:pPr>
            <w:r>
              <w:rPr>
                <w:rFonts w:ascii="Arial" w:eastAsia="宋体" w:hAnsi="Arial" w:cs="Arial"/>
                <w:color w:val="333333"/>
                <w:sz w:val="18"/>
                <w:szCs w:val="18"/>
              </w:rPr>
              <w:t>Notes to Consolidated Condensed Financial Statements</w:t>
            </w:r>
          </w:p>
        </w:tc>
        <w:tc>
          <w:tcPr>
            <w:tcW w:w="0" w:type="auto"/>
            <w:gridSpan w:val="3"/>
            <w:shd w:val="clear" w:color="auto" w:fill="auto"/>
          </w:tcPr>
          <w:p w14:paraId="36CA1556" w14:textId="77777777" w:rsidR="00787570" w:rsidRDefault="00787570">
            <w:pPr>
              <w:rPr>
                <w:rFonts w:ascii="宋体"/>
                <w:vanish/>
              </w:rPr>
            </w:pPr>
          </w:p>
        </w:tc>
        <w:tc>
          <w:tcPr>
            <w:tcW w:w="0" w:type="auto"/>
            <w:gridSpan w:val="3"/>
            <w:shd w:val="clear" w:color="auto" w:fill="auto"/>
            <w:tcMar>
              <w:top w:w="40" w:type="dxa"/>
              <w:left w:w="20" w:type="dxa"/>
              <w:bottom w:w="40" w:type="dxa"/>
              <w:right w:w="20" w:type="dxa"/>
            </w:tcMar>
            <w:vAlign w:val="bottom"/>
          </w:tcPr>
          <w:p w14:paraId="36CA1557" w14:textId="77777777" w:rsidR="00787570" w:rsidRDefault="000D56E2">
            <w:pPr>
              <w:jc w:val="center"/>
              <w:textAlignment w:val="bottom"/>
            </w:pPr>
            <w:hyperlink r:id="rId15" w:anchor="i32771df14e9449d2bec5be911426bf04_46" w:history="1">
              <w:r>
                <w:rPr>
                  <w:rStyle w:val="a5"/>
                  <w:rFonts w:ascii="Arial" w:eastAsia="宋体" w:hAnsi="Arial" w:cs="Arial"/>
                  <w:sz w:val="18"/>
                  <w:szCs w:val="18"/>
                </w:rPr>
                <w:t>10</w:t>
              </w:r>
            </w:hyperlink>
          </w:p>
        </w:tc>
        <w:tc>
          <w:tcPr>
            <w:tcW w:w="0" w:type="auto"/>
            <w:shd w:val="clear" w:color="auto" w:fill="auto"/>
          </w:tcPr>
          <w:p w14:paraId="36CA1558" w14:textId="77777777" w:rsidR="00787570" w:rsidRDefault="00787570">
            <w:pPr>
              <w:rPr>
                <w:rFonts w:ascii="宋体"/>
              </w:rPr>
            </w:pPr>
          </w:p>
        </w:tc>
        <w:tc>
          <w:tcPr>
            <w:tcW w:w="0" w:type="auto"/>
            <w:shd w:val="clear" w:color="auto" w:fill="auto"/>
          </w:tcPr>
          <w:p w14:paraId="36CA1559" w14:textId="77777777" w:rsidR="00787570" w:rsidRDefault="00787570">
            <w:pPr>
              <w:rPr>
                <w:rFonts w:ascii="宋体"/>
              </w:rPr>
            </w:pPr>
          </w:p>
        </w:tc>
        <w:tc>
          <w:tcPr>
            <w:tcW w:w="0" w:type="auto"/>
            <w:shd w:val="clear" w:color="auto" w:fill="auto"/>
          </w:tcPr>
          <w:p w14:paraId="36CA155A" w14:textId="77777777" w:rsidR="00787570" w:rsidRDefault="00787570">
            <w:pPr>
              <w:rPr>
                <w:rFonts w:ascii="宋体"/>
              </w:rPr>
            </w:pPr>
          </w:p>
        </w:tc>
      </w:tr>
      <w:tr w:rsidR="00787570" w14:paraId="36CA1563" w14:textId="77777777">
        <w:tc>
          <w:tcPr>
            <w:tcW w:w="0" w:type="auto"/>
            <w:gridSpan w:val="3"/>
            <w:shd w:val="clear" w:color="auto" w:fill="auto"/>
            <w:tcMar>
              <w:left w:w="20" w:type="dxa"/>
              <w:right w:w="20" w:type="dxa"/>
            </w:tcMar>
            <w:vAlign w:val="bottom"/>
          </w:tcPr>
          <w:p w14:paraId="36CA155C" w14:textId="77777777" w:rsidR="00787570" w:rsidRDefault="00787570">
            <w:pPr>
              <w:rPr>
                <w:rFonts w:ascii="宋体"/>
              </w:rPr>
            </w:pPr>
          </w:p>
        </w:tc>
        <w:tc>
          <w:tcPr>
            <w:tcW w:w="0" w:type="auto"/>
            <w:gridSpan w:val="6"/>
            <w:shd w:val="clear" w:color="auto" w:fill="auto"/>
            <w:tcMar>
              <w:top w:w="40" w:type="dxa"/>
              <w:left w:w="20" w:type="dxa"/>
              <w:bottom w:w="40" w:type="dxa"/>
              <w:right w:w="20" w:type="dxa"/>
            </w:tcMar>
            <w:vAlign w:val="bottom"/>
          </w:tcPr>
          <w:p w14:paraId="36CA155D" w14:textId="77777777" w:rsidR="00787570" w:rsidRDefault="000D56E2">
            <w:pPr>
              <w:textAlignment w:val="bottom"/>
            </w:pPr>
            <w:r>
              <w:rPr>
                <w:rFonts w:ascii="Arial" w:eastAsia="宋体" w:hAnsi="Arial" w:cs="Arial"/>
                <w:color w:val="333333"/>
                <w:sz w:val="18"/>
                <w:szCs w:val="18"/>
              </w:rPr>
              <w:t>Key Terms</w:t>
            </w:r>
          </w:p>
        </w:tc>
        <w:tc>
          <w:tcPr>
            <w:tcW w:w="0" w:type="auto"/>
            <w:gridSpan w:val="3"/>
            <w:shd w:val="clear" w:color="auto" w:fill="auto"/>
          </w:tcPr>
          <w:p w14:paraId="36CA155E" w14:textId="77777777" w:rsidR="00787570" w:rsidRDefault="00787570">
            <w:pPr>
              <w:rPr>
                <w:rFonts w:ascii="宋体"/>
                <w:vanish/>
              </w:rPr>
            </w:pPr>
          </w:p>
        </w:tc>
        <w:tc>
          <w:tcPr>
            <w:tcW w:w="0" w:type="auto"/>
            <w:gridSpan w:val="3"/>
            <w:shd w:val="clear" w:color="auto" w:fill="auto"/>
            <w:tcMar>
              <w:top w:w="40" w:type="dxa"/>
              <w:left w:w="20" w:type="dxa"/>
              <w:bottom w:w="40" w:type="dxa"/>
              <w:right w:w="20" w:type="dxa"/>
            </w:tcMar>
            <w:vAlign w:val="bottom"/>
          </w:tcPr>
          <w:p w14:paraId="36CA155F" w14:textId="77777777" w:rsidR="00787570" w:rsidRDefault="000D56E2">
            <w:pPr>
              <w:jc w:val="center"/>
              <w:textAlignment w:val="bottom"/>
            </w:pPr>
            <w:hyperlink r:id="rId16" w:anchor="i32771df14e9449d2bec5be911426bf04_154" w:history="1">
              <w:r>
                <w:rPr>
                  <w:rStyle w:val="a5"/>
                  <w:rFonts w:ascii="Arial" w:eastAsia="宋体" w:hAnsi="Arial" w:cs="Arial"/>
                  <w:sz w:val="18"/>
                  <w:szCs w:val="18"/>
                </w:rPr>
                <w:t>27</w:t>
              </w:r>
            </w:hyperlink>
          </w:p>
        </w:tc>
        <w:tc>
          <w:tcPr>
            <w:tcW w:w="0" w:type="auto"/>
            <w:shd w:val="clear" w:color="auto" w:fill="auto"/>
          </w:tcPr>
          <w:p w14:paraId="36CA1560" w14:textId="77777777" w:rsidR="00787570" w:rsidRDefault="00787570">
            <w:pPr>
              <w:rPr>
                <w:rFonts w:ascii="宋体"/>
              </w:rPr>
            </w:pPr>
          </w:p>
        </w:tc>
        <w:tc>
          <w:tcPr>
            <w:tcW w:w="0" w:type="auto"/>
            <w:shd w:val="clear" w:color="auto" w:fill="auto"/>
          </w:tcPr>
          <w:p w14:paraId="36CA1561" w14:textId="77777777" w:rsidR="00787570" w:rsidRDefault="00787570">
            <w:pPr>
              <w:rPr>
                <w:rFonts w:ascii="宋体"/>
              </w:rPr>
            </w:pPr>
          </w:p>
        </w:tc>
        <w:tc>
          <w:tcPr>
            <w:tcW w:w="0" w:type="auto"/>
            <w:shd w:val="clear" w:color="auto" w:fill="auto"/>
          </w:tcPr>
          <w:p w14:paraId="36CA1562" w14:textId="77777777" w:rsidR="00787570" w:rsidRDefault="00787570">
            <w:pPr>
              <w:rPr>
                <w:rFonts w:ascii="宋体"/>
              </w:rPr>
            </w:pPr>
          </w:p>
        </w:tc>
      </w:tr>
      <w:tr w:rsidR="00787570" w14:paraId="36CA156E" w14:textId="77777777">
        <w:trPr>
          <w:trHeight w:val="60"/>
        </w:trPr>
        <w:tc>
          <w:tcPr>
            <w:tcW w:w="0" w:type="auto"/>
            <w:gridSpan w:val="3"/>
            <w:shd w:val="clear" w:color="auto" w:fill="auto"/>
            <w:tcMar>
              <w:left w:w="20" w:type="dxa"/>
              <w:right w:w="20" w:type="dxa"/>
            </w:tcMar>
            <w:vAlign w:val="bottom"/>
          </w:tcPr>
          <w:p w14:paraId="36CA1564"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1565"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1566"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1567" w14:textId="77777777" w:rsidR="00787570" w:rsidRDefault="00787570">
            <w:pPr>
              <w:rPr>
                <w:rFonts w:ascii="宋体"/>
              </w:rPr>
            </w:pPr>
          </w:p>
        </w:tc>
        <w:tc>
          <w:tcPr>
            <w:tcW w:w="0" w:type="auto"/>
            <w:shd w:val="clear" w:color="auto" w:fill="auto"/>
          </w:tcPr>
          <w:p w14:paraId="36CA1568" w14:textId="77777777" w:rsidR="00787570" w:rsidRDefault="00787570">
            <w:pPr>
              <w:rPr>
                <w:rFonts w:ascii="宋体"/>
              </w:rPr>
            </w:pPr>
          </w:p>
        </w:tc>
        <w:tc>
          <w:tcPr>
            <w:tcW w:w="0" w:type="auto"/>
            <w:shd w:val="clear" w:color="auto" w:fill="auto"/>
          </w:tcPr>
          <w:p w14:paraId="36CA1569" w14:textId="77777777" w:rsidR="00787570" w:rsidRDefault="00787570">
            <w:pPr>
              <w:rPr>
                <w:rFonts w:ascii="宋体"/>
              </w:rPr>
            </w:pPr>
          </w:p>
        </w:tc>
        <w:tc>
          <w:tcPr>
            <w:tcW w:w="0" w:type="auto"/>
            <w:shd w:val="clear" w:color="auto" w:fill="auto"/>
          </w:tcPr>
          <w:p w14:paraId="36CA156A" w14:textId="77777777" w:rsidR="00787570" w:rsidRDefault="00787570">
            <w:pPr>
              <w:rPr>
                <w:rFonts w:ascii="宋体"/>
              </w:rPr>
            </w:pPr>
          </w:p>
        </w:tc>
        <w:tc>
          <w:tcPr>
            <w:tcW w:w="0" w:type="auto"/>
            <w:shd w:val="clear" w:color="auto" w:fill="auto"/>
          </w:tcPr>
          <w:p w14:paraId="36CA156B" w14:textId="77777777" w:rsidR="00787570" w:rsidRDefault="00787570">
            <w:pPr>
              <w:rPr>
                <w:rFonts w:ascii="宋体"/>
              </w:rPr>
            </w:pPr>
          </w:p>
        </w:tc>
        <w:tc>
          <w:tcPr>
            <w:tcW w:w="0" w:type="auto"/>
            <w:shd w:val="clear" w:color="auto" w:fill="auto"/>
          </w:tcPr>
          <w:p w14:paraId="36CA156C" w14:textId="77777777" w:rsidR="00787570" w:rsidRDefault="00787570">
            <w:pPr>
              <w:rPr>
                <w:rFonts w:ascii="宋体"/>
              </w:rPr>
            </w:pPr>
          </w:p>
        </w:tc>
        <w:tc>
          <w:tcPr>
            <w:tcW w:w="0" w:type="auto"/>
            <w:shd w:val="clear" w:color="auto" w:fill="auto"/>
          </w:tcPr>
          <w:p w14:paraId="36CA156D" w14:textId="77777777" w:rsidR="00787570" w:rsidRDefault="00787570">
            <w:pPr>
              <w:rPr>
                <w:rFonts w:ascii="宋体"/>
              </w:rPr>
            </w:pPr>
          </w:p>
        </w:tc>
      </w:tr>
      <w:tr w:rsidR="00787570" w14:paraId="36CA1573" w14:textId="77777777">
        <w:tc>
          <w:tcPr>
            <w:tcW w:w="0" w:type="auto"/>
            <w:gridSpan w:val="9"/>
            <w:shd w:val="clear" w:color="auto" w:fill="auto"/>
            <w:tcMar>
              <w:top w:w="40" w:type="dxa"/>
              <w:left w:w="20" w:type="dxa"/>
              <w:bottom w:w="40" w:type="dxa"/>
              <w:right w:w="20" w:type="dxa"/>
            </w:tcMar>
            <w:vAlign w:val="bottom"/>
          </w:tcPr>
          <w:p w14:paraId="36CA156F" w14:textId="77777777" w:rsidR="00787570" w:rsidRDefault="000D56E2">
            <w:pPr>
              <w:textAlignment w:val="bottom"/>
            </w:pPr>
            <w:r>
              <w:rPr>
                <w:rFonts w:ascii="Arial" w:eastAsia="宋体" w:hAnsi="Arial" w:cs="Arial"/>
                <w:b/>
                <w:bCs/>
                <w:color w:val="0071C5"/>
                <w:sz w:val="20"/>
                <w:szCs w:val="20"/>
              </w:rPr>
              <w:t>MANAGEMENT'S DISCUSSION AND ANALYSIS</w:t>
            </w:r>
          </w:p>
        </w:tc>
        <w:tc>
          <w:tcPr>
            <w:tcW w:w="0" w:type="auto"/>
            <w:gridSpan w:val="3"/>
            <w:shd w:val="clear" w:color="auto" w:fill="auto"/>
          </w:tcPr>
          <w:p w14:paraId="36CA1570" w14:textId="77777777" w:rsidR="00787570" w:rsidRDefault="00787570">
            <w:pPr>
              <w:rPr>
                <w:rFonts w:ascii="宋体"/>
                <w:vanish/>
              </w:rPr>
            </w:pPr>
          </w:p>
        </w:tc>
        <w:tc>
          <w:tcPr>
            <w:tcW w:w="0" w:type="auto"/>
            <w:gridSpan w:val="3"/>
            <w:shd w:val="clear" w:color="auto" w:fill="auto"/>
          </w:tcPr>
          <w:p w14:paraId="36CA1571" w14:textId="77777777" w:rsidR="00787570" w:rsidRDefault="00787570">
            <w:pPr>
              <w:rPr>
                <w:rFonts w:ascii="宋体"/>
                <w:vanish/>
              </w:rPr>
            </w:pPr>
          </w:p>
        </w:tc>
        <w:tc>
          <w:tcPr>
            <w:tcW w:w="0" w:type="auto"/>
            <w:gridSpan w:val="3"/>
            <w:shd w:val="clear" w:color="auto" w:fill="auto"/>
            <w:tcMar>
              <w:left w:w="20" w:type="dxa"/>
              <w:right w:w="20" w:type="dxa"/>
            </w:tcMar>
            <w:vAlign w:val="bottom"/>
          </w:tcPr>
          <w:p w14:paraId="36CA1572" w14:textId="77777777" w:rsidR="00787570" w:rsidRDefault="00787570">
            <w:pPr>
              <w:rPr>
                <w:rFonts w:ascii="宋体"/>
              </w:rPr>
            </w:pPr>
          </w:p>
        </w:tc>
      </w:tr>
      <w:tr w:rsidR="00787570" w14:paraId="36CA157E" w14:textId="77777777">
        <w:trPr>
          <w:hidden/>
        </w:trPr>
        <w:tc>
          <w:tcPr>
            <w:tcW w:w="0" w:type="auto"/>
            <w:gridSpan w:val="3"/>
            <w:shd w:val="clear" w:color="auto" w:fill="auto"/>
          </w:tcPr>
          <w:p w14:paraId="36CA1574" w14:textId="77777777" w:rsidR="00787570" w:rsidRDefault="00787570">
            <w:pPr>
              <w:rPr>
                <w:rFonts w:ascii="宋体"/>
                <w:vanish/>
              </w:rPr>
            </w:pPr>
          </w:p>
        </w:tc>
        <w:tc>
          <w:tcPr>
            <w:tcW w:w="0" w:type="auto"/>
            <w:gridSpan w:val="3"/>
            <w:shd w:val="clear" w:color="auto" w:fill="auto"/>
          </w:tcPr>
          <w:p w14:paraId="36CA1575" w14:textId="77777777" w:rsidR="00787570" w:rsidRDefault="00787570">
            <w:pPr>
              <w:rPr>
                <w:rFonts w:ascii="宋体"/>
                <w:vanish/>
              </w:rPr>
            </w:pPr>
          </w:p>
        </w:tc>
        <w:tc>
          <w:tcPr>
            <w:tcW w:w="0" w:type="auto"/>
            <w:gridSpan w:val="3"/>
            <w:shd w:val="clear" w:color="auto" w:fill="auto"/>
          </w:tcPr>
          <w:p w14:paraId="36CA1576" w14:textId="77777777" w:rsidR="00787570" w:rsidRDefault="00787570">
            <w:pPr>
              <w:rPr>
                <w:rFonts w:ascii="宋体"/>
                <w:vanish/>
              </w:rPr>
            </w:pPr>
          </w:p>
        </w:tc>
        <w:tc>
          <w:tcPr>
            <w:tcW w:w="0" w:type="auto"/>
            <w:gridSpan w:val="3"/>
            <w:shd w:val="clear" w:color="auto" w:fill="auto"/>
          </w:tcPr>
          <w:p w14:paraId="36CA1577" w14:textId="77777777" w:rsidR="00787570" w:rsidRDefault="00787570">
            <w:pPr>
              <w:rPr>
                <w:rFonts w:ascii="宋体"/>
                <w:vanish/>
              </w:rPr>
            </w:pPr>
          </w:p>
        </w:tc>
        <w:tc>
          <w:tcPr>
            <w:tcW w:w="0" w:type="auto"/>
            <w:shd w:val="clear" w:color="auto" w:fill="auto"/>
          </w:tcPr>
          <w:p w14:paraId="36CA1578" w14:textId="77777777" w:rsidR="00787570" w:rsidRDefault="00787570">
            <w:pPr>
              <w:rPr>
                <w:rFonts w:ascii="宋体"/>
              </w:rPr>
            </w:pPr>
          </w:p>
        </w:tc>
        <w:tc>
          <w:tcPr>
            <w:tcW w:w="0" w:type="auto"/>
            <w:shd w:val="clear" w:color="auto" w:fill="auto"/>
          </w:tcPr>
          <w:p w14:paraId="36CA1579" w14:textId="77777777" w:rsidR="00787570" w:rsidRDefault="00787570">
            <w:pPr>
              <w:rPr>
                <w:rFonts w:ascii="宋体"/>
              </w:rPr>
            </w:pPr>
          </w:p>
        </w:tc>
        <w:tc>
          <w:tcPr>
            <w:tcW w:w="0" w:type="auto"/>
            <w:shd w:val="clear" w:color="auto" w:fill="auto"/>
          </w:tcPr>
          <w:p w14:paraId="36CA157A" w14:textId="77777777" w:rsidR="00787570" w:rsidRDefault="00787570">
            <w:pPr>
              <w:rPr>
                <w:rFonts w:ascii="宋体"/>
              </w:rPr>
            </w:pPr>
          </w:p>
        </w:tc>
        <w:tc>
          <w:tcPr>
            <w:tcW w:w="0" w:type="auto"/>
            <w:shd w:val="clear" w:color="auto" w:fill="auto"/>
          </w:tcPr>
          <w:p w14:paraId="36CA157B" w14:textId="77777777" w:rsidR="00787570" w:rsidRDefault="00787570">
            <w:pPr>
              <w:rPr>
                <w:rFonts w:ascii="宋体"/>
              </w:rPr>
            </w:pPr>
          </w:p>
        </w:tc>
        <w:tc>
          <w:tcPr>
            <w:tcW w:w="0" w:type="auto"/>
            <w:shd w:val="clear" w:color="auto" w:fill="auto"/>
          </w:tcPr>
          <w:p w14:paraId="36CA157C" w14:textId="77777777" w:rsidR="00787570" w:rsidRDefault="00787570">
            <w:pPr>
              <w:rPr>
                <w:rFonts w:ascii="宋体"/>
              </w:rPr>
            </w:pPr>
          </w:p>
        </w:tc>
        <w:tc>
          <w:tcPr>
            <w:tcW w:w="0" w:type="auto"/>
            <w:shd w:val="clear" w:color="auto" w:fill="auto"/>
          </w:tcPr>
          <w:p w14:paraId="36CA157D" w14:textId="77777777" w:rsidR="00787570" w:rsidRDefault="00787570">
            <w:pPr>
              <w:rPr>
                <w:rFonts w:ascii="宋体"/>
              </w:rPr>
            </w:pPr>
          </w:p>
        </w:tc>
      </w:tr>
      <w:tr w:rsidR="00787570" w14:paraId="36CA1589" w14:textId="77777777">
        <w:trPr>
          <w:hidden/>
        </w:trPr>
        <w:tc>
          <w:tcPr>
            <w:tcW w:w="0" w:type="auto"/>
            <w:gridSpan w:val="3"/>
            <w:shd w:val="clear" w:color="auto" w:fill="auto"/>
          </w:tcPr>
          <w:p w14:paraId="36CA157F" w14:textId="77777777" w:rsidR="00787570" w:rsidRDefault="00787570">
            <w:pPr>
              <w:rPr>
                <w:rFonts w:ascii="宋体"/>
                <w:vanish/>
              </w:rPr>
            </w:pPr>
          </w:p>
        </w:tc>
        <w:tc>
          <w:tcPr>
            <w:tcW w:w="0" w:type="auto"/>
            <w:gridSpan w:val="3"/>
            <w:shd w:val="clear" w:color="auto" w:fill="auto"/>
          </w:tcPr>
          <w:p w14:paraId="36CA1580" w14:textId="77777777" w:rsidR="00787570" w:rsidRDefault="00787570">
            <w:pPr>
              <w:rPr>
                <w:rFonts w:ascii="宋体"/>
                <w:vanish/>
              </w:rPr>
            </w:pPr>
          </w:p>
        </w:tc>
        <w:tc>
          <w:tcPr>
            <w:tcW w:w="0" w:type="auto"/>
            <w:gridSpan w:val="3"/>
            <w:shd w:val="clear" w:color="auto" w:fill="auto"/>
          </w:tcPr>
          <w:p w14:paraId="36CA1581" w14:textId="77777777" w:rsidR="00787570" w:rsidRDefault="00787570">
            <w:pPr>
              <w:rPr>
                <w:rFonts w:ascii="宋体"/>
                <w:vanish/>
              </w:rPr>
            </w:pPr>
          </w:p>
        </w:tc>
        <w:tc>
          <w:tcPr>
            <w:tcW w:w="0" w:type="auto"/>
            <w:gridSpan w:val="3"/>
            <w:shd w:val="clear" w:color="auto" w:fill="auto"/>
          </w:tcPr>
          <w:p w14:paraId="36CA1582" w14:textId="77777777" w:rsidR="00787570" w:rsidRDefault="00787570">
            <w:pPr>
              <w:rPr>
                <w:rFonts w:ascii="宋体"/>
                <w:vanish/>
              </w:rPr>
            </w:pPr>
          </w:p>
        </w:tc>
        <w:tc>
          <w:tcPr>
            <w:tcW w:w="0" w:type="auto"/>
            <w:shd w:val="clear" w:color="auto" w:fill="auto"/>
          </w:tcPr>
          <w:p w14:paraId="36CA1583" w14:textId="77777777" w:rsidR="00787570" w:rsidRDefault="00787570">
            <w:pPr>
              <w:rPr>
                <w:rFonts w:ascii="宋体"/>
              </w:rPr>
            </w:pPr>
          </w:p>
        </w:tc>
        <w:tc>
          <w:tcPr>
            <w:tcW w:w="0" w:type="auto"/>
            <w:shd w:val="clear" w:color="auto" w:fill="auto"/>
          </w:tcPr>
          <w:p w14:paraId="36CA1584" w14:textId="77777777" w:rsidR="00787570" w:rsidRDefault="00787570">
            <w:pPr>
              <w:rPr>
                <w:rFonts w:ascii="宋体"/>
              </w:rPr>
            </w:pPr>
          </w:p>
        </w:tc>
        <w:tc>
          <w:tcPr>
            <w:tcW w:w="0" w:type="auto"/>
            <w:shd w:val="clear" w:color="auto" w:fill="auto"/>
          </w:tcPr>
          <w:p w14:paraId="36CA1585" w14:textId="77777777" w:rsidR="00787570" w:rsidRDefault="00787570">
            <w:pPr>
              <w:rPr>
                <w:rFonts w:ascii="宋体"/>
              </w:rPr>
            </w:pPr>
          </w:p>
        </w:tc>
        <w:tc>
          <w:tcPr>
            <w:tcW w:w="0" w:type="auto"/>
            <w:shd w:val="clear" w:color="auto" w:fill="auto"/>
          </w:tcPr>
          <w:p w14:paraId="36CA1586" w14:textId="77777777" w:rsidR="00787570" w:rsidRDefault="00787570">
            <w:pPr>
              <w:rPr>
                <w:rFonts w:ascii="宋体"/>
              </w:rPr>
            </w:pPr>
          </w:p>
        </w:tc>
        <w:tc>
          <w:tcPr>
            <w:tcW w:w="0" w:type="auto"/>
            <w:shd w:val="clear" w:color="auto" w:fill="auto"/>
          </w:tcPr>
          <w:p w14:paraId="36CA1587" w14:textId="77777777" w:rsidR="00787570" w:rsidRDefault="00787570">
            <w:pPr>
              <w:rPr>
                <w:rFonts w:ascii="宋体"/>
              </w:rPr>
            </w:pPr>
          </w:p>
        </w:tc>
        <w:tc>
          <w:tcPr>
            <w:tcW w:w="0" w:type="auto"/>
            <w:shd w:val="clear" w:color="auto" w:fill="auto"/>
          </w:tcPr>
          <w:p w14:paraId="36CA1588" w14:textId="77777777" w:rsidR="00787570" w:rsidRDefault="00787570">
            <w:pPr>
              <w:rPr>
                <w:rFonts w:ascii="宋体"/>
              </w:rPr>
            </w:pPr>
          </w:p>
        </w:tc>
      </w:tr>
      <w:tr w:rsidR="00787570" w14:paraId="36CA1591" w14:textId="77777777">
        <w:tc>
          <w:tcPr>
            <w:tcW w:w="0" w:type="auto"/>
            <w:gridSpan w:val="3"/>
            <w:tcBorders>
              <w:top w:val="single" w:sz="8" w:space="0" w:color="333333"/>
            </w:tcBorders>
            <w:shd w:val="clear" w:color="auto" w:fill="auto"/>
            <w:tcMar>
              <w:left w:w="20" w:type="dxa"/>
              <w:right w:w="20" w:type="dxa"/>
            </w:tcMar>
            <w:vAlign w:val="bottom"/>
          </w:tcPr>
          <w:p w14:paraId="36CA158A" w14:textId="77777777" w:rsidR="00787570" w:rsidRDefault="00787570">
            <w:pPr>
              <w:rPr>
                <w:rFonts w:ascii="宋体"/>
              </w:rPr>
            </w:pPr>
          </w:p>
        </w:tc>
        <w:tc>
          <w:tcPr>
            <w:tcW w:w="0" w:type="auto"/>
            <w:gridSpan w:val="6"/>
            <w:tcBorders>
              <w:top w:val="single" w:sz="8" w:space="0" w:color="333333"/>
            </w:tcBorders>
            <w:shd w:val="clear" w:color="auto" w:fill="auto"/>
            <w:tcMar>
              <w:top w:w="40" w:type="dxa"/>
              <w:left w:w="20" w:type="dxa"/>
              <w:bottom w:w="40" w:type="dxa"/>
              <w:right w:w="20" w:type="dxa"/>
            </w:tcMar>
            <w:vAlign w:val="bottom"/>
          </w:tcPr>
          <w:p w14:paraId="36CA158B" w14:textId="77777777" w:rsidR="00787570" w:rsidRDefault="000D56E2">
            <w:pPr>
              <w:textAlignment w:val="bottom"/>
            </w:pPr>
            <w:r>
              <w:rPr>
                <w:rFonts w:ascii="Arial" w:eastAsia="宋体" w:hAnsi="Arial" w:cs="Arial"/>
                <w:color w:val="333333"/>
                <w:sz w:val="18"/>
                <w:szCs w:val="18"/>
              </w:rPr>
              <w:t xml:space="preserve">Segment </w:t>
            </w:r>
            <w:r>
              <w:rPr>
                <w:rFonts w:ascii="Arial" w:eastAsia="宋体" w:hAnsi="Arial" w:cs="Arial"/>
                <w:color w:val="333333"/>
                <w:sz w:val="18"/>
                <w:szCs w:val="18"/>
              </w:rPr>
              <w:t>Trends and Results</w:t>
            </w:r>
          </w:p>
        </w:tc>
        <w:tc>
          <w:tcPr>
            <w:tcW w:w="0" w:type="auto"/>
            <w:gridSpan w:val="3"/>
            <w:shd w:val="clear" w:color="auto" w:fill="auto"/>
          </w:tcPr>
          <w:p w14:paraId="36CA158C" w14:textId="77777777" w:rsidR="00787570" w:rsidRDefault="00787570">
            <w:pPr>
              <w:rPr>
                <w:rFonts w:ascii="宋体"/>
                <w:vanish/>
              </w:rPr>
            </w:pPr>
          </w:p>
        </w:tc>
        <w:tc>
          <w:tcPr>
            <w:tcW w:w="0" w:type="auto"/>
            <w:gridSpan w:val="3"/>
            <w:tcBorders>
              <w:top w:val="single" w:sz="8" w:space="0" w:color="333333"/>
            </w:tcBorders>
            <w:shd w:val="clear" w:color="auto" w:fill="auto"/>
            <w:tcMar>
              <w:top w:w="40" w:type="dxa"/>
              <w:left w:w="20" w:type="dxa"/>
              <w:bottom w:w="40" w:type="dxa"/>
              <w:right w:w="20" w:type="dxa"/>
            </w:tcMar>
            <w:vAlign w:val="bottom"/>
          </w:tcPr>
          <w:p w14:paraId="36CA158D" w14:textId="77777777" w:rsidR="00787570" w:rsidRDefault="000D56E2">
            <w:pPr>
              <w:jc w:val="center"/>
              <w:textAlignment w:val="bottom"/>
            </w:pPr>
            <w:hyperlink r:id="rId17" w:anchor="i32771df14e9449d2bec5be911426bf04_163" w:history="1">
              <w:r>
                <w:rPr>
                  <w:rStyle w:val="a5"/>
                  <w:rFonts w:ascii="Arial" w:eastAsia="宋体" w:hAnsi="Arial" w:cs="Arial"/>
                  <w:sz w:val="18"/>
                  <w:szCs w:val="18"/>
                </w:rPr>
                <w:t>28</w:t>
              </w:r>
            </w:hyperlink>
          </w:p>
        </w:tc>
        <w:tc>
          <w:tcPr>
            <w:tcW w:w="0" w:type="auto"/>
            <w:shd w:val="clear" w:color="auto" w:fill="auto"/>
          </w:tcPr>
          <w:p w14:paraId="36CA158E" w14:textId="77777777" w:rsidR="00787570" w:rsidRDefault="00787570">
            <w:pPr>
              <w:rPr>
                <w:rFonts w:ascii="宋体"/>
              </w:rPr>
            </w:pPr>
          </w:p>
        </w:tc>
        <w:tc>
          <w:tcPr>
            <w:tcW w:w="0" w:type="auto"/>
            <w:shd w:val="clear" w:color="auto" w:fill="auto"/>
          </w:tcPr>
          <w:p w14:paraId="36CA158F" w14:textId="77777777" w:rsidR="00787570" w:rsidRDefault="00787570">
            <w:pPr>
              <w:rPr>
                <w:rFonts w:ascii="宋体"/>
              </w:rPr>
            </w:pPr>
          </w:p>
        </w:tc>
        <w:tc>
          <w:tcPr>
            <w:tcW w:w="0" w:type="auto"/>
            <w:shd w:val="clear" w:color="auto" w:fill="auto"/>
          </w:tcPr>
          <w:p w14:paraId="36CA1590" w14:textId="77777777" w:rsidR="00787570" w:rsidRDefault="00787570">
            <w:pPr>
              <w:rPr>
                <w:rFonts w:ascii="宋体"/>
              </w:rPr>
            </w:pPr>
          </w:p>
        </w:tc>
      </w:tr>
      <w:tr w:rsidR="00787570" w14:paraId="36CA159C" w14:textId="77777777">
        <w:trPr>
          <w:hidden/>
        </w:trPr>
        <w:tc>
          <w:tcPr>
            <w:tcW w:w="0" w:type="auto"/>
            <w:gridSpan w:val="3"/>
            <w:shd w:val="clear" w:color="auto" w:fill="auto"/>
          </w:tcPr>
          <w:p w14:paraId="36CA1592" w14:textId="77777777" w:rsidR="00787570" w:rsidRDefault="00787570">
            <w:pPr>
              <w:rPr>
                <w:rFonts w:ascii="宋体"/>
                <w:vanish/>
              </w:rPr>
            </w:pPr>
          </w:p>
        </w:tc>
        <w:tc>
          <w:tcPr>
            <w:tcW w:w="0" w:type="auto"/>
            <w:gridSpan w:val="3"/>
            <w:shd w:val="clear" w:color="auto" w:fill="auto"/>
          </w:tcPr>
          <w:p w14:paraId="36CA1593" w14:textId="77777777" w:rsidR="00787570" w:rsidRDefault="00787570">
            <w:pPr>
              <w:rPr>
                <w:rFonts w:ascii="宋体"/>
                <w:vanish/>
              </w:rPr>
            </w:pPr>
          </w:p>
        </w:tc>
        <w:tc>
          <w:tcPr>
            <w:tcW w:w="0" w:type="auto"/>
            <w:gridSpan w:val="3"/>
            <w:shd w:val="clear" w:color="auto" w:fill="auto"/>
          </w:tcPr>
          <w:p w14:paraId="36CA1594" w14:textId="77777777" w:rsidR="00787570" w:rsidRDefault="00787570">
            <w:pPr>
              <w:rPr>
                <w:rFonts w:ascii="宋体"/>
                <w:vanish/>
              </w:rPr>
            </w:pPr>
          </w:p>
        </w:tc>
        <w:tc>
          <w:tcPr>
            <w:tcW w:w="0" w:type="auto"/>
            <w:gridSpan w:val="3"/>
            <w:shd w:val="clear" w:color="auto" w:fill="auto"/>
          </w:tcPr>
          <w:p w14:paraId="36CA1595" w14:textId="77777777" w:rsidR="00787570" w:rsidRDefault="00787570">
            <w:pPr>
              <w:rPr>
                <w:rFonts w:ascii="宋体"/>
                <w:vanish/>
              </w:rPr>
            </w:pPr>
          </w:p>
        </w:tc>
        <w:tc>
          <w:tcPr>
            <w:tcW w:w="0" w:type="auto"/>
            <w:shd w:val="clear" w:color="auto" w:fill="auto"/>
          </w:tcPr>
          <w:p w14:paraId="36CA1596" w14:textId="77777777" w:rsidR="00787570" w:rsidRDefault="00787570">
            <w:pPr>
              <w:rPr>
                <w:rFonts w:ascii="宋体"/>
              </w:rPr>
            </w:pPr>
          </w:p>
        </w:tc>
        <w:tc>
          <w:tcPr>
            <w:tcW w:w="0" w:type="auto"/>
            <w:shd w:val="clear" w:color="auto" w:fill="auto"/>
          </w:tcPr>
          <w:p w14:paraId="36CA1597" w14:textId="77777777" w:rsidR="00787570" w:rsidRDefault="00787570">
            <w:pPr>
              <w:rPr>
                <w:rFonts w:ascii="宋体"/>
              </w:rPr>
            </w:pPr>
          </w:p>
        </w:tc>
        <w:tc>
          <w:tcPr>
            <w:tcW w:w="0" w:type="auto"/>
            <w:shd w:val="clear" w:color="auto" w:fill="auto"/>
          </w:tcPr>
          <w:p w14:paraId="36CA1598" w14:textId="77777777" w:rsidR="00787570" w:rsidRDefault="00787570">
            <w:pPr>
              <w:rPr>
                <w:rFonts w:ascii="宋体"/>
              </w:rPr>
            </w:pPr>
          </w:p>
        </w:tc>
        <w:tc>
          <w:tcPr>
            <w:tcW w:w="0" w:type="auto"/>
            <w:shd w:val="clear" w:color="auto" w:fill="auto"/>
          </w:tcPr>
          <w:p w14:paraId="36CA1599" w14:textId="77777777" w:rsidR="00787570" w:rsidRDefault="00787570">
            <w:pPr>
              <w:rPr>
                <w:rFonts w:ascii="宋体"/>
              </w:rPr>
            </w:pPr>
          </w:p>
        </w:tc>
        <w:tc>
          <w:tcPr>
            <w:tcW w:w="0" w:type="auto"/>
            <w:shd w:val="clear" w:color="auto" w:fill="auto"/>
          </w:tcPr>
          <w:p w14:paraId="36CA159A" w14:textId="77777777" w:rsidR="00787570" w:rsidRDefault="00787570">
            <w:pPr>
              <w:rPr>
                <w:rFonts w:ascii="宋体"/>
              </w:rPr>
            </w:pPr>
          </w:p>
        </w:tc>
        <w:tc>
          <w:tcPr>
            <w:tcW w:w="0" w:type="auto"/>
            <w:shd w:val="clear" w:color="auto" w:fill="auto"/>
          </w:tcPr>
          <w:p w14:paraId="36CA159B" w14:textId="77777777" w:rsidR="00787570" w:rsidRDefault="00787570">
            <w:pPr>
              <w:rPr>
                <w:rFonts w:ascii="宋体"/>
              </w:rPr>
            </w:pPr>
          </w:p>
        </w:tc>
      </w:tr>
      <w:tr w:rsidR="00787570" w14:paraId="36CA15A7" w14:textId="77777777">
        <w:trPr>
          <w:hidden/>
        </w:trPr>
        <w:tc>
          <w:tcPr>
            <w:tcW w:w="0" w:type="auto"/>
            <w:gridSpan w:val="3"/>
            <w:shd w:val="clear" w:color="auto" w:fill="auto"/>
          </w:tcPr>
          <w:p w14:paraId="36CA159D" w14:textId="77777777" w:rsidR="00787570" w:rsidRDefault="00787570">
            <w:pPr>
              <w:rPr>
                <w:rFonts w:ascii="宋体"/>
                <w:vanish/>
              </w:rPr>
            </w:pPr>
          </w:p>
        </w:tc>
        <w:tc>
          <w:tcPr>
            <w:tcW w:w="0" w:type="auto"/>
            <w:gridSpan w:val="3"/>
            <w:shd w:val="clear" w:color="auto" w:fill="auto"/>
          </w:tcPr>
          <w:p w14:paraId="36CA159E" w14:textId="77777777" w:rsidR="00787570" w:rsidRDefault="00787570">
            <w:pPr>
              <w:rPr>
                <w:rFonts w:ascii="宋体"/>
                <w:vanish/>
              </w:rPr>
            </w:pPr>
          </w:p>
        </w:tc>
        <w:tc>
          <w:tcPr>
            <w:tcW w:w="0" w:type="auto"/>
            <w:gridSpan w:val="3"/>
            <w:shd w:val="clear" w:color="auto" w:fill="auto"/>
          </w:tcPr>
          <w:p w14:paraId="36CA159F" w14:textId="77777777" w:rsidR="00787570" w:rsidRDefault="00787570">
            <w:pPr>
              <w:rPr>
                <w:rFonts w:ascii="宋体"/>
                <w:vanish/>
              </w:rPr>
            </w:pPr>
          </w:p>
        </w:tc>
        <w:tc>
          <w:tcPr>
            <w:tcW w:w="0" w:type="auto"/>
            <w:gridSpan w:val="3"/>
            <w:shd w:val="clear" w:color="auto" w:fill="auto"/>
          </w:tcPr>
          <w:p w14:paraId="36CA15A0" w14:textId="77777777" w:rsidR="00787570" w:rsidRDefault="00787570">
            <w:pPr>
              <w:rPr>
                <w:rFonts w:ascii="宋体"/>
                <w:vanish/>
              </w:rPr>
            </w:pPr>
          </w:p>
        </w:tc>
        <w:tc>
          <w:tcPr>
            <w:tcW w:w="0" w:type="auto"/>
            <w:shd w:val="clear" w:color="auto" w:fill="auto"/>
          </w:tcPr>
          <w:p w14:paraId="36CA15A1" w14:textId="77777777" w:rsidR="00787570" w:rsidRDefault="00787570">
            <w:pPr>
              <w:rPr>
                <w:rFonts w:ascii="宋体"/>
              </w:rPr>
            </w:pPr>
          </w:p>
        </w:tc>
        <w:tc>
          <w:tcPr>
            <w:tcW w:w="0" w:type="auto"/>
            <w:shd w:val="clear" w:color="auto" w:fill="auto"/>
          </w:tcPr>
          <w:p w14:paraId="36CA15A2" w14:textId="77777777" w:rsidR="00787570" w:rsidRDefault="00787570">
            <w:pPr>
              <w:rPr>
                <w:rFonts w:ascii="宋体"/>
              </w:rPr>
            </w:pPr>
          </w:p>
        </w:tc>
        <w:tc>
          <w:tcPr>
            <w:tcW w:w="0" w:type="auto"/>
            <w:shd w:val="clear" w:color="auto" w:fill="auto"/>
          </w:tcPr>
          <w:p w14:paraId="36CA15A3" w14:textId="77777777" w:rsidR="00787570" w:rsidRDefault="00787570">
            <w:pPr>
              <w:rPr>
                <w:rFonts w:ascii="宋体"/>
              </w:rPr>
            </w:pPr>
          </w:p>
        </w:tc>
        <w:tc>
          <w:tcPr>
            <w:tcW w:w="0" w:type="auto"/>
            <w:shd w:val="clear" w:color="auto" w:fill="auto"/>
          </w:tcPr>
          <w:p w14:paraId="36CA15A4" w14:textId="77777777" w:rsidR="00787570" w:rsidRDefault="00787570">
            <w:pPr>
              <w:rPr>
                <w:rFonts w:ascii="宋体"/>
              </w:rPr>
            </w:pPr>
          </w:p>
        </w:tc>
        <w:tc>
          <w:tcPr>
            <w:tcW w:w="0" w:type="auto"/>
            <w:shd w:val="clear" w:color="auto" w:fill="auto"/>
          </w:tcPr>
          <w:p w14:paraId="36CA15A5" w14:textId="77777777" w:rsidR="00787570" w:rsidRDefault="00787570">
            <w:pPr>
              <w:rPr>
                <w:rFonts w:ascii="宋体"/>
              </w:rPr>
            </w:pPr>
          </w:p>
        </w:tc>
        <w:tc>
          <w:tcPr>
            <w:tcW w:w="0" w:type="auto"/>
            <w:shd w:val="clear" w:color="auto" w:fill="auto"/>
          </w:tcPr>
          <w:p w14:paraId="36CA15A6" w14:textId="77777777" w:rsidR="00787570" w:rsidRDefault="00787570">
            <w:pPr>
              <w:rPr>
                <w:rFonts w:ascii="宋体"/>
              </w:rPr>
            </w:pPr>
          </w:p>
        </w:tc>
      </w:tr>
      <w:tr w:rsidR="00787570" w14:paraId="36CA15B2" w14:textId="77777777">
        <w:trPr>
          <w:hidden/>
        </w:trPr>
        <w:tc>
          <w:tcPr>
            <w:tcW w:w="0" w:type="auto"/>
            <w:gridSpan w:val="3"/>
            <w:shd w:val="clear" w:color="auto" w:fill="auto"/>
          </w:tcPr>
          <w:p w14:paraId="36CA15A8" w14:textId="77777777" w:rsidR="00787570" w:rsidRDefault="00787570">
            <w:pPr>
              <w:rPr>
                <w:rFonts w:ascii="宋体"/>
                <w:vanish/>
              </w:rPr>
            </w:pPr>
          </w:p>
        </w:tc>
        <w:tc>
          <w:tcPr>
            <w:tcW w:w="0" w:type="auto"/>
            <w:gridSpan w:val="3"/>
            <w:shd w:val="clear" w:color="auto" w:fill="auto"/>
          </w:tcPr>
          <w:p w14:paraId="36CA15A9" w14:textId="77777777" w:rsidR="00787570" w:rsidRDefault="00787570">
            <w:pPr>
              <w:rPr>
                <w:rFonts w:ascii="宋体"/>
                <w:vanish/>
              </w:rPr>
            </w:pPr>
          </w:p>
        </w:tc>
        <w:tc>
          <w:tcPr>
            <w:tcW w:w="0" w:type="auto"/>
            <w:gridSpan w:val="3"/>
            <w:shd w:val="clear" w:color="auto" w:fill="auto"/>
          </w:tcPr>
          <w:p w14:paraId="36CA15AA" w14:textId="77777777" w:rsidR="00787570" w:rsidRDefault="00787570">
            <w:pPr>
              <w:rPr>
                <w:rFonts w:ascii="宋体"/>
                <w:vanish/>
              </w:rPr>
            </w:pPr>
          </w:p>
        </w:tc>
        <w:tc>
          <w:tcPr>
            <w:tcW w:w="0" w:type="auto"/>
            <w:gridSpan w:val="3"/>
            <w:shd w:val="clear" w:color="auto" w:fill="auto"/>
          </w:tcPr>
          <w:p w14:paraId="36CA15AB" w14:textId="77777777" w:rsidR="00787570" w:rsidRDefault="00787570">
            <w:pPr>
              <w:rPr>
                <w:rFonts w:ascii="宋体"/>
                <w:vanish/>
              </w:rPr>
            </w:pPr>
          </w:p>
        </w:tc>
        <w:tc>
          <w:tcPr>
            <w:tcW w:w="0" w:type="auto"/>
            <w:shd w:val="clear" w:color="auto" w:fill="auto"/>
          </w:tcPr>
          <w:p w14:paraId="36CA15AC" w14:textId="77777777" w:rsidR="00787570" w:rsidRDefault="00787570">
            <w:pPr>
              <w:rPr>
                <w:rFonts w:ascii="宋体"/>
              </w:rPr>
            </w:pPr>
          </w:p>
        </w:tc>
        <w:tc>
          <w:tcPr>
            <w:tcW w:w="0" w:type="auto"/>
            <w:shd w:val="clear" w:color="auto" w:fill="auto"/>
          </w:tcPr>
          <w:p w14:paraId="36CA15AD" w14:textId="77777777" w:rsidR="00787570" w:rsidRDefault="00787570">
            <w:pPr>
              <w:rPr>
                <w:rFonts w:ascii="宋体"/>
              </w:rPr>
            </w:pPr>
          </w:p>
        </w:tc>
        <w:tc>
          <w:tcPr>
            <w:tcW w:w="0" w:type="auto"/>
            <w:shd w:val="clear" w:color="auto" w:fill="auto"/>
          </w:tcPr>
          <w:p w14:paraId="36CA15AE" w14:textId="77777777" w:rsidR="00787570" w:rsidRDefault="00787570">
            <w:pPr>
              <w:rPr>
                <w:rFonts w:ascii="宋体"/>
              </w:rPr>
            </w:pPr>
          </w:p>
        </w:tc>
        <w:tc>
          <w:tcPr>
            <w:tcW w:w="0" w:type="auto"/>
            <w:shd w:val="clear" w:color="auto" w:fill="auto"/>
          </w:tcPr>
          <w:p w14:paraId="36CA15AF" w14:textId="77777777" w:rsidR="00787570" w:rsidRDefault="00787570">
            <w:pPr>
              <w:rPr>
                <w:rFonts w:ascii="宋体"/>
              </w:rPr>
            </w:pPr>
          </w:p>
        </w:tc>
        <w:tc>
          <w:tcPr>
            <w:tcW w:w="0" w:type="auto"/>
            <w:shd w:val="clear" w:color="auto" w:fill="auto"/>
          </w:tcPr>
          <w:p w14:paraId="36CA15B0" w14:textId="77777777" w:rsidR="00787570" w:rsidRDefault="00787570">
            <w:pPr>
              <w:rPr>
                <w:rFonts w:ascii="宋体"/>
              </w:rPr>
            </w:pPr>
          </w:p>
        </w:tc>
        <w:tc>
          <w:tcPr>
            <w:tcW w:w="0" w:type="auto"/>
            <w:shd w:val="clear" w:color="auto" w:fill="auto"/>
          </w:tcPr>
          <w:p w14:paraId="36CA15B1" w14:textId="77777777" w:rsidR="00787570" w:rsidRDefault="00787570">
            <w:pPr>
              <w:rPr>
                <w:rFonts w:ascii="宋体"/>
              </w:rPr>
            </w:pPr>
          </w:p>
        </w:tc>
      </w:tr>
      <w:tr w:rsidR="00787570" w14:paraId="36CA15BD" w14:textId="77777777">
        <w:trPr>
          <w:hidden/>
        </w:trPr>
        <w:tc>
          <w:tcPr>
            <w:tcW w:w="0" w:type="auto"/>
            <w:gridSpan w:val="3"/>
            <w:shd w:val="clear" w:color="auto" w:fill="auto"/>
          </w:tcPr>
          <w:p w14:paraId="36CA15B3" w14:textId="77777777" w:rsidR="00787570" w:rsidRDefault="00787570">
            <w:pPr>
              <w:rPr>
                <w:rFonts w:ascii="宋体"/>
                <w:vanish/>
              </w:rPr>
            </w:pPr>
          </w:p>
        </w:tc>
        <w:tc>
          <w:tcPr>
            <w:tcW w:w="0" w:type="auto"/>
            <w:gridSpan w:val="3"/>
            <w:shd w:val="clear" w:color="auto" w:fill="auto"/>
          </w:tcPr>
          <w:p w14:paraId="36CA15B4" w14:textId="77777777" w:rsidR="00787570" w:rsidRDefault="00787570">
            <w:pPr>
              <w:rPr>
                <w:rFonts w:ascii="宋体"/>
                <w:vanish/>
              </w:rPr>
            </w:pPr>
          </w:p>
        </w:tc>
        <w:tc>
          <w:tcPr>
            <w:tcW w:w="0" w:type="auto"/>
            <w:gridSpan w:val="3"/>
            <w:shd w:val="clear" w:color="auto" w:fill="auto"/>
          </w:tcPr>
          <w:p w14:paraId="36CA15B5" w14:textId="77777777" w:rsidR="00787570" w:rsidRDefault="00787570">
            <w:pPr>
              <w:rPr>
                <w:rFonts w:ascii="宋体"/>
                <w:vanish/>
              </w:rPr>
            </w:pPr>
          </w:p>
        </w:tc>
        <w:tc>
          <w:tcPr>
            <w:tcW w:w="0" w:type="auto"/>
            <w:gridSpan w:val="3"/>
            <w:shd w:val="clear" w:color="auto" w:fill="auto"/>
          </w:tcPr>
          <w:p w14:paraId="36CA15B6" w14:textId="77777777" w:rsidR="00787570" w:rsidRDefault="00787570">
            <w:pPr>
              <w:rPr>
                <w:rFonts w:ascii="宋体"/>
                <w:vanish/>
              </w:rPr>
            </w:pPr>
          </w:p>
        </w:tc>
        <w:tc>
          <w:tcPr>
            <w:tcW w:w="0" w:type="auto"/>
            <w:shd w:val="clear" w:color="auto" w:fill="auto"/>
          </w:tcPr>
          <w:p w14:paraId="36CA15B7" w14:textId="77777777" w:rsidR="00787570" w:rsidRDefault="00787570">
            <w:pPr>
              <w:rPr>
                <w:rFonts w:ascii="宋体"/>
              </w:rPr>
            </w:pPr>
          </w:p>
        </w:tc>
        <w:tc>
          <w:tcPr>
            <w:tcW w:w="0" w:type="auto"/>
            <w:shd w:val="clear" w:color="auto" w:fill="auto"/>
          </w:tcPr>
          <w:p w14:paraId="36CA15B8" w14:textId="77777777" w:rsidR="00787570" w:rsidRDefault="00787570">
            <w:pPr>
              <w:rPr>
                <w:rFonts w:ascii="宋体"/>
              </w:rPr>
            </w:pPr>
          </w:p>
        </w:tc>
        <w:tc>
          <w:tcPr>
            <w:tcW w:w="0" w:type="auto"/>
            <w:shd w:val="clear" w:color="auto" w:fill="auto"/>
          </w:tcPr>
          <w:p w14:paraId="36CA15B9" w14:textId="77777777" w:rsidR="00787570" w:rsidRDefault="00787570">
            <w:pPr>
              <w:rPr>
                <w:rFonts w:ascii="宋体"/>
              </w:rPr>
            </w:pPr>
          </w:p>
        </w:tc>
        <w:tc>
          <w:tcPr>
            <w:tcW w:w="0" w:type="auto"/>
            <w:shd w:val="clear" w:color="auto" w:fill="auto"/>
          </w:tcPr>
          <w:p w14:paraId="36CA15BA" w14:textId="77777777" w:rsidR="00787570" w:rsidRDefault="00787570">
            <w:pPr>
              <w:rPr>
                <w:rFonts w:ascii="宋体"/>
              </w:rPr>
            </w:pPr>
          </w:p>
        </w:tc>
        <w:tc>
          <w:tcPr>
            <w:tcW w:w="0" w:type="auto"/>
            <w:shd w:val="clear" w:color="auto" w:fill="auto"/>
          </w:tcPr>
          <w:p w14:paraId="36CA15BB" w14:textId="77777777" w:rsidR="00787570" w:rsidRDefault="00787570">
            <w:pPr>
              <w:rPr>
                <w:rFonts w:ascii="宋体"/>
              </w:rPr>
            </w:pPr>
          </w:p>
        </w:tc>
        <w:tc>
          <w:tcPr>
            <w:tcW w:w="0" w:type="auto"/>
            <w:shd w:val="clear" w:color="auto" w:fill="auto"/>
          </w:tcPr>
          <w:p w14:paraId="36CA15BC" w14:textId="77777777" w:rsidR="00787570" w:rsidRDefault="00787570">
            <w:pPr>
              <w:rPr>
                <w:rFonts w:ascii="宋体"/>
              </w:rPr>
            </w:pPr>
          </w:p>
        </w:tc>
      </w:tr>
      <w:tr w:rsidR="00787570" w14:paraId="36CA15C8" w14:textId="77777777">
        <w:trPr>
          <w:hidden/>
        </w:trPr>
        <w:tc>
          <w:tcPr>
            <w:tcW w:w="0" w:type="auto"/>
            <w:gridSpan w:val="3"/>
            <w:shd w:val="clear" w:color="auto" w:fill="auto"/>
          </w:tcPr>
          <w:p w14:paraId="36CA15BE" w14:textId="77777777" w:rsidR="00787570" w:rsidRDefault="00787570">
            <w:pPr>
              <w:rPr>
                <w:rFonts w:ascii="宋体"/>
                <w:vanish/>
              </w:rPr>
            </w:pPr>
          </w:p>
        </w:tc>
        <w:tc>
          <w:tcPr>
            <w:tcW w:w="0" w:type="auto"/>
            <w:gridSpan w:val="3"/>
            <w:shd w:val="clear" w:color="auto" w:fill="auto"/>
          </w:tcPr>
          <w:p w14:paraId="36CA15BF" w14:textId="77777777" w:rsidR="00787570" w:rsidRDefault="00787570">
            <w:pPr>
              <w:rPr>
                <w:rFonts w:ascii="宋体"/>
                <w:vanish/>
              </w:rPr>
            </w:pPr>
          </w:p>
        </w:tc>
        <w:tc>
          <w:tcPr>
            <w:tcW w:w="0" w:type="auto"/>
            <w:gridSpan w:val="3"/>
            <w:shd w:val="clear" w:color="auto" w:fill="auto"/>
          </w:tcPr>
          <w:p w14:paraId="36CA15C0" w14:textId="77777777" w:rsidR="00787570" w:rsidRDefault="00787570">
            <w:pPr>
              <w:rPr>
                <w:rFonts w:ascii="宋体"/>
                <w:vanish/>
              </w:rPr>
            </w:pPr>
          </w:p>
        </w:tc>
        <w:tc>
          <w:tcPr>
            <w:tcW w:w="0" w:type="auto"/>
            <w:gridSpan w:val="3"/>
            <w:shd w:val="clear" w:color="auto" w:fill="auto"/>
          </w:tcPr>
          <w:p w14:paraId="36CA15C1" w14:textId="77777777" w:rsidR="00787570" w:rsidRDefault="00787570">
            <w:pPr>
              <w:rPr>
                <w:rFonts w:ascii="宋体"/>
                <w:vanish/>
              </w:rPr>
            </w:pPr>
          </w:p>
        </w:tc>
        <w:tc>
          <w:tcPr>
            <w:tcW w:w="0" w:type="auto"/>
            <w:shd w:val="clear" w:color="auto" w:fill="auto"/>
          </w:tcPr>
          <w:p w14:paraId="36CA15C2" w14:textId="77777777" w:rsidR="00787570" w:rsidRDefault="00787570">
            <w:pPr>
              <w:rPr>
                <w:rFonts w:ascii="宋体"/>
              </w:rPr>
            </w:pPr>
          </w:p>
        </w:tc>
        <w:tc>
          <w:tcPr>
            <w:tcW w:w="0" w:type="auto"/>
            <w:shd w:val="clear" w:color="auto" w:fill="auto"/>
          </w:tcPr>
          <w:p w14:paraId="36CA15C3" w14:textId="77777777" w:rsidR="00787570" w:rsidRDefault="00787570">
            <w:pPr>
              <w:rPr>
                <w:rFonts w:ascii="宋体"/>
              </w:rPr>
            </w:pPr>
          </w:p>
        </w:tc>
        <w:tc>
          <w:tcPr>
            <w:tcW w:w="0" w:type="auto"/>
            <w:shd w:val="clear" w:color="auto" w:fill="auto"/>
          </w:tcPr>
          <w:p w14:paraId="36CA15C4" w14:textId="77777777" w:rsidR="00787570" w:rsidRDefault="00787570">
            <w:pPr>
              <w:rPr>
                <w:rFonts w:ascii="宋体"/>
              </w:rPr>
            </w:pPr>
          </w:p>
        </w:tc>
        <w:tc>
          <w:tcPr>
            <w:tcW w:w="0" w:type="auto"/>
            <w:shd w:val="clear" w:color="auto" w:fill="auto"/>
          </w:tcPr>
          <w:p w14:paraId="36CA15C5" w14:textId="77777777" w:rsidR="00787570" w:rsidRDefault="00787570">
            <w:pPr>
              <w:rPr>
                <w:rFonts w:ascii="宋体"/>
              </w:rPr>
            </w:pPr>
          </w:p>
        </w:tc>
        <w:tc>
          <w:tcPr>
            <w:tcW w:w="0" w:type="auto"/>
            <w:shd w:val="clear" w:color="auto" w:fill="auto"/>
          </w:tcPr>
          <w:p w14:paraId="36CA15C6" w14:textId="77777777" w:rsidR="00787570" w:rsidRDefault="00787570">
            <w:pPr>
              <w:rPr>
                <w:rFonts w:ascii="宋体"/>
              </w:rPr>
            </w:pPr>
          </w:p>
        </w:tc>
        <w:tc>
          <w:tcPr>
            <w:tcW w:w="0" w:type="auto"/>
            <w:shd w:val="clear" w:color="auto" w:fill="auto"/>
          </w:tcPr>
          <w:p w14:paraId="36CA15C7" w14:textId="77777777" w:rsidR="00787570" w:rsidRDefault="00787570">
            <w:pPr>
              <w:rPr>
                <w:rFonts w:ascii="宋体"/>
              </w:rPr>
            </w:pPr>
          </w:p>
        </w:tc>
      </w:tr>
      <w:tr w:rsidR="00787570" w14:paraId="36CA15D0" w14:textId="77777777">
        <w:tc>
          <w:tcPr>
            <w:tcW w:w="0" w:type="auto"/>
            <w:gridSpan w:val="3"/>
            <w:shd w:val="clear" w:color="auto" w:fill="auto"/>
            <w:tcMar>
              <w:left w:w="20" w:type="dxa"/>
              <w:right w:w="20" w:type="dxa"/>
            </w:tcMar>
            <w:vAlign w:val="bottom"/>
          </w:tcPr>
          <w:p w14:paraId="36CA15C9" w14:textId="77777777" w:rsidR="00787570" w:rsidRDefault="00787570">
            <w:pPr>
              <w:rPr>
                <w:rFonts w:ascii="宋体"/>
              </w:rPr>
            </w:pPr>
          </w:p>
        </w:tc>
        <w:tc>
          <w:tcPr>
            <w:tcW w:w="0" w:type="auto"/>
            <w:gridSpan w:val="6"/>
            <w:shd w:val="clear" w:color="auto" w:fill="auto"/>
            <w:tcMar>
              <w:top w:w="40" w:type="dxa"/>
              <w:left w:w="20" w:type="dxa"/>
              <w:bottom w:w="40" w:type="dxa"/>
              <w:right w:w="20" w:type="dxa"/>
            </w:tcMar>
            <w:vAlign w:val="bottom"/>
          </w:tcPr>
          <w:p w14:paraId="36CA15CA" w14:textId="77777777" w:rsidR="00787570" w:rsidRDefault="000D56E2">
            <w:pPr>
              <w:textAlignment w:val="bottom"/>
            </w:pPr>
            <w:r>
              <w:rPr>
                <w:rFonts w:ascii="Arial" w:eastAsia="宋体" w:hAnsi="Arial" w:cs="Arial"/>
                <w:color w:val="333333"/>
                <w:sz w:val="18"/>
                <w:szCs w:val="18"/>
              </w:rPr>
              <w:t xml:space="preserve">Consolidated Results of </w:t>
            </w:r>
            <w:r>
              <w:rPr>
                <w:rFonts w:ascii="Arial" w:eastAsia="宋体" w:hAnsi="Arial" w:cs="Arial"/>
                <w:color w:val="333333"/>
                <w:sz w:val="18"/>
                <w:szCs w:val="18"/>
              </w:rPr>
              <w:t>Operations</w:t>
            </w:r>
          </w:p>
        </w:tc>
        <w:tc>
          <w:tcPr>
            <w:tcW w:w="0" w:type="auto"/>
            <w:gridSpan w:val="3"/>
            <w:shd w:val="clear" w:color="auto" w:fill="auto"/>
          </w:tcPr>
          <w:p w14:paraId="36CA15CB" w14:textId="77777777" w:rsidR="00787570" w:rsidRDefault="00787570">
            <w:pPr>
              <w:rPr>
                <w:rFonts w:ascii="宋体"/>
                <w:vanish/>
              </w:rPr>
            </w:pPr>
          </w:p>
        </w:tc>
        <w:tc>
          <w:tcPr>
            <w:tcW w:w="0" w:type="auto"/>
            <w:gridSpan w:val="3"/>
            <w:shd w:val="clear" w:color="auto" w:fill="auto"/>
            <w:tcMar>
              <w:top w:w="40" w:type="dxa"/>
              <w:left w:w="20" w:type="dxa"/>
              <w:bottom w:w="40" w:type="dxa"/>
              <w:right w:w="20" w:type="dxa"/>
            </w:tcMar>
            <w:vAlign w:val="bottom"/>
          </w:tcPr>
          <w:p w14:paraId="36CA15CC" w14:textId="77777777" w:rsidR="00787570" w:rsidRDefault="000D56E2">
            <w:pPr>
              <w:jc w:val="center"/>
              <w:textAlignment w:val="bottom"/>
            </w:pPr>
            <w:hyperlink r:id="rId18" w:anchor="i32771df14e9449d2bec5be911426bf04_178" w:history="1">
              <w:r>
                <w:rPr>
                  <w:rStyle w:val="a5"/>
                  <w:rFonts w:ascii="Arial" w:eastAsia="宋体" w:hAnsi="Arial" w:cs="Arial"/>
                  <w:sz w:val="18"/>
                  <w:szCs w:val="18"/>
                </w:rPr>
                <w:t>35</w:t>
              </w:r>
            </w:hyperlink>
          </w:p>
        </w:tc>
        <w:tc>
          <w:tcPr>
            <w:tcW w:w="0" w:type="auto"/>
            <w:shd w:val="clear" w:color="auto" w:fill="auto"/>
          </w:tcPr>
          <w:p w14:paraId="36CA15CD" w14:textId="77777777" w:rsidR="00787570" w:rsidRDefault="00787570">
            <w:pPr>
              <w:rPr>
                <w:rFonts w:ascii="宋体"/>
              </w:rPr>
            </w:pPr>
          </w:p>
        </w:tc>
        <w:tc>
          <w:tcPr>
            <w:tcW w:w="0" w:type="auto"/>
            <w:shd w:val="clear" w:color="auto" w:fill="auto"/>
          </w:tcPr>
          <w:p w14:paraId="36CA15CE" w14:textId="77777777" w:rsidR="00787570" w:rsidRDefault="00787570">
            <w:pPr>
              <w:rPr>
                <w:rFonts w:ascii="宋体"/>
              </w:rPr>
            </w:pPr>
          </w:p>
        </w:tc>
        <w:tc>
          <w:tcPr>
            <w:tcW w:w="0" w:type="auto"/>
            <w:shd w:val="clear" w:color="auto" w:fill="auto"/>
          </w:tcPr>
          <w:p w14:paraId="36CA15CF" w14:textId="77777777" w:rsidR="00787570" w:rsidRDefault="00787570">
            <w:pPr>
              <w:rPr>
                <w:rFonts w:ascii="宋体"/>
              </w:rPr>
            </w:pPr>
          </w:p>
        </w:tc>
      </w:tr>
      <w:tr w:rsidR="00787570" w14:paraId="36CA15D8" w14:textId="77777777">
        <w:tc>
          <w:tcPr>
            <w:tcW w:w="0" w:type="auto"/>
            <w:gridSpan w:val="3"/>
            <w:shd w:val="clear" w:color="auto" w:fill="auto"/>
            <w:tcMar>
              <w:left w:w="20" w:type="dxa"/>
              <w:right w:w="20" w:type="dxa"/>
            </w:tcMar>
            <w:vAlign w:val="bottom"/>
          </w:tcPr>
          <w:p w14:paraId="36CA15D1" w14:textId="77777777" w:rsidR="00787570" w:rsidRDefault="00787570">
            <w:pPr>
              <w:rPr>
                <w:rFonts w:ascii="宋体"/>
              </w:rPr>
            </w:pPr>
          </w:p>
        </w:tc>
        <w:tc>
          <w:tcPr>
            <w:tcW w:w="0" w:type="auto"/>
            <w:gridSpan w:val="6"/>
            <w:shd w:val="clear" w:color="auto" w:fill="auto"/>
            <w:tcMar>
              <w:top w:w="40" w:type="dxa"/>
              <w:left w:w="20" w:type="dxa"/>
              <w:bottom w:w="40" w:type="dxa"/>
              <w:right w:w="20" w:type="dxa"/>
            </w:tcMar>
            <w:vAlign w:val="bottom"/>
          </w:tcPr>
          <w:p w14:paraId="36CA15D2" w14:textId="77777777" w:rsidR="00787570" w:rsidRDefault="000D56E2">
            <w:pPr>
              <w:textAlignment w:val="bottom"/>
            </w:pPr>
            <w:r>
              <w:rPr>
                <w:rFonts w:ascii="Arial" w:eastAsia="宋体" w:hAnsi="Arial" w:cs="Arial"/>
                <w:color w:val="333333"/>
                <w:sz w:val="18"/>
                <w:szCs w:val="18"/>
              </w:rPr>
              <w:t>Liquidity and Capital Resources</w:t>
            </w:r>
          </w:p>
        </w:tc>
        <w:tc>
          <w:tcPr>
            <w:tcW w:w="0" w:type="auto"/>
            <w:gridSpan w:val="3"/>
            <w:shd w:val="clear" w:color="auto" w:fill="auto"/>
          </w:tcPr>
          <w:p w14:paraId="36CA15D3" w14:textId="77777777" w:rsidR="00787570" w:rsidRDefault="00787570">
            <w:pPr>
              <w:rPr>
                <w:rFonts w:ascii="宋体"/>
                <w:vanish/>
              </w:rPr>
            </w:pPr>
          </w:p>
        </w:tc>
        <w:tc>
          <w:tcPr>
            <w:tcW w:w="0" w:type="auto"/>
            <w:gridSpan w:val="3"/>
            <w:shd w:val="clear" w:color="auto" w:fill="auto"/>
            <w:tcMar>
              <w:top w:w="40" w:type="dxa"/>
              <w:left w:w="20" w:type="dxa"/>
              <w:bottom w:w="40" w:type="dxa"/>
              <w:right w:w="20" w:type="dxa"/>
            </w:tcMar>
            <w:vAlign w:val="bottom"/>
          </w:tcPr>
          <w:p w14:paraId="36CA15D4" w14:textId="77777777" w:rsidR="00787570" w:rsidRDefault="000D56E2">
            <w:pPr>
              <w:jc w:val="center"/>
              <w:textAlignment w:val="bottom"/>
            </w:pPr>
            <w:hyperlink r:id="rId19" w:anchor="i32771df14e9449d2bec5be911426bf04_202" w:history="1">
              <w:r>
                <w:rPr>
                  <w:rStyle w:val="a5"/>
                  <w:rFonts w:ascii="Arial" w:eastAsia="宋体" w:hAnsi="Arial" w:cs="Arial"/>
                  <w:sz w:val="18"/>
                  <w:szCs w:val="18"/>
                </w:rPr>
                <w:t>40</w:t>
              </w:r>
            </w:hyperlink>
          </w:p>
        </w:tc>
        <w:tc>
          <w:tcPr>
            <w:tcW w:w="0" w:type="auto"/>
            <w:shd w:val="clear" w:color="auto" w:fill="auto"/>
          </w:tcPr>
          <w:p w14:paraId="36CA15D5" w14:textId="77777777" w:rsidR="00787570" w:rsidRDefault="00787570">
            <w:pPr>
              <w:rPr>
                <w:rFonts w:ascii="宋体"/>
              </w:rPr>
            </w:pPr>
          </w:p>
        </w:tc>
        <w:tc>
          <w:tcPr>
            <w:tcW w:w="0" w:type="auto"/>
            <w:shd w:val="clear" w:color="auto" w:fill="auto"/>
          </w:tcPr>
          <w:p w14:paraId="36CA15D6" w14:textId="77777777" w:rsidR="00787570" w:rsidRDefault="00787570">
            <w:pPr>
              <w:rPr>
                <w:rFonts w:ascii="宋体"/>
              </w:rPr>
            </w:pPr>
          </w:p>
        </w:tc>
        <w:tc>
          <w:tcPr>
            <w:tcW w:w="0" w:type="auto"/>
            <w:shd w:val="clear" w:color="auto" w:fill="auto"/>
          </w:tcPr>
          <w:p w14:paraId="36CA15D7" w14:textId="77777777" w:rsidR="00787570" w:rsidRDefault="00787570">
            <w:pPr>
              <w:rPr>
                <w:rFonts w:ascii="宋体"/>
              </w:rPr>
            </w:pPr>
          </w:p>
        </w:tc>
      </w:tr>
      <w:tr w:rsidR="00787570" w14:paraId="36CA15E0" w14:textId="77777777">
        <w:tc>
          <w:tcPr>
            <w:tcW w:w="0" w:type="auto"/>
            <w:gridSpan w:val="3"/>
            <w:shd w:val="clear" w:color="auto" w:fill="auto"/>
            <w:tcMar>
              <w:left w:w="20" w:type="dxa"/>
              <w:right w:w="20" w:type="dxa"/>
            </w:tcMar>
            <w:vAlign w:val="bottom"/>
          </w:tcPr>
          <w:p w14:paraId="36CA15D9" w14:textId="77777777" w:rsidR="00787570" w:rsidRDefault="00787570">
            <w:pPr>
              <w:rPr>
                <w:rFonts w:ascii="宋体"/>
              </w:rPr>
            </w:pPr>
          </w:p>
        </w:tc>
        <w:tc>
          <w:tcPr>
            <w:tcW w:w="0" w:type="auto"/>
            <w:gridSpan w:val="6"/>
            <w:shd w:val="clear" w:color="auto" w:fill="auto"/>
            <w:tcMar>
              <w:top w:w="40" w:type="dxa"/>
              <w:left w:w="20" w:type="dxa"/>
              <w:bottom w:w="40" w:type="dxa"/>
              <w:right w:w="20" w:type="dxa"/>
            </w:tcMar>
            <w:vAlign w:val="bottom"/>
          </w:tcPr>
          <w:p w14:paraId="36CA15DA" w14:textId="77777777" w:rsidR="00787570" w:rsidRDefault="000D56E2">
            <w:pPr>
              <w:textAlignment w:val="bottom"/>
            </w:pPr>
            <w:r>
              <w:rPr>
                <w:rFonts w:ascii="Arial" w:eastAsia="宋体" w:hAnsi="Arial" w:cs="Arial"/>
                <w:color w:val="333333"/>
                <w:sz w:val="18"/>
                <w:szCs w:val="18"/>
              </w:rPr>
              <w:t>Contractual Obligations</w:t>
            </w:r>
          </w:p>
        </w:tc>
        <w:tc>
          <w:tcPr>
            <w:tcW w:w="0" w:type="auto"/>
            <w:gridSpan w:val="3"/>
            <w:shd w:val="clear" w:color="auto" w:fill="auto"/>
          </w:tcPr>
          <w:p w14:paraId="36CA15DB" w14:textId="77777777" w:rsidR="00787570" w:rsidRDefault="00787570">
            <w:pPr>
              <w:rPr>
                <w:rFonts w:ascii="宋体"/>
                <w:vanish/>
              </w:rPr>
            </w:pPr>
          </w:p>
        </w:tc>
        <w:tc>
          <w:tcPr>
            <w:tcW w:w="0" w:type="auto"/>
            <w:gridSpan w:val="3"/>
            <w:shd w:val="clear" w:color="auto" w:fill="auto"/>
            <w:tcMar>
              <w:top w:w="40" w:type="dxa"/>
              <w:left w:w="20" w:type="dxa"/>
              <w:bottom w:w="40" w:type="dxa"/>
              <w:right w:w="20" w:type="dxa"/>
            </w:tcMar>
            <w:vAlign w:val="bottom"/>
          </w:tcPr>
          <w:p w14:paraId="36CA15DC" w14:textId="77777777" w:rsidR="00787570" w:rsidRDefault="000D56E2">
            <w:pPr>
              <w:jc w:val="center"/>
              <w:textAlignment w:val="bottom"/>
            </w:pPr>
            <w:hyperlink r:id="rId20" w:anchor="i32771df14e9449d2bec5be911426bf04_208" w:history="1">
              <w:r>
                <w:rPr>
                  <w:rStyle w:val="a5"/>
                  <w:rFonts w:ascii="Arial" w:eastAsia="宋体" w:hAnsi="Arial" w:cs="Arial"/>
                  <w:sz w:val="18"/>
                  <w:szCs w:val="18"/>
                </w:rPr>
                <w:t>41</w:t>
              </w:r>
            </w:hyperlink>
          </w:p>
        </w:tc>
        <w:tc>
          <w:tcPr>
            <w:tcW w:w="0" w:type="auto"/>
            <w:shd w:val="clear" w:color="auto" w:fill="auto"/>
          </w:tcPr>
          <w:p w14:paraId="36CA15DD" w14:textId="77777777" w:rsidR="00787570" w:rsidRDefault="00787570">
            <w:pPr>
              <w:rPr>
                <w:rFonts w:ascii="宋体"/>
              </w:rPr>
            </w:pPr>
          </w:p>
        </w:tc>
        <w:tc>
          <w:tcPr>
            <w:tcW w:w="0" w:type="auto"/>
            <w:shd w:val="clear" w:color="auto" w:fill="auto"/>
          </w:tcPr>
          <w:p w14:paraId="36CA15DE" w14:textId="77777777" w:rsidR="00787570" w:rsidRDefault="00787570">
            <w:pPr>
              <w:rPr>
                <w:rFonts w:ascii="宋体"/>
              </w:rPr>
            </w:pPr>
          </w:p>
        </w:tc>
        <w:tc>
          <w:tcPr>
            <w:tcW w:w="0" w:type="auto"/>
            <w:shd w:val="clear" w:color="auto" w:fill="auto"/>
          </w:tcPr>
          <w:p w14:paraId="36CA15DF" w14:textId="77777777" w:rsidR="00787570" w:rsidRDefault="00787570">
            <w:pPr>
              <w:rPr>
                <w:rFonts w:ascii="宋体"/>
              </w:rPr>
            </w:pPr>
          </w:p>
        </w:tc>
      </w:tr>
      <w:tr w:rsidR="00787570" w14:paraId="36CA15E8" w14:textId="77777777">
        <w:tc>
          <w:tcPr>
            <w:tcW w:w="0" w:type="auto"/>
            <w:gridSpan w:val="3"/>
            <w:shd w:val="clear" w:color="auto" w:fill="auto"/>
            <w:tcMar>
              <w:left w:w="20" w:type="dxa"/>
              <w:right w:w="20" w:type="dxa"/>
            </w:tcMar>
            <w:vAlign w:val="bottom"/>
          </w:tcPr>
          <w:p w14:paraId="36CA15E1" w14:textId="77777777" w:rsidR="00787570" w:rsidRDefault="00787570">
            <w:pPr>
              <w:rPr>
                <w:rFonts w:ascii="宋体"/>
              </w:rPr>
            </w:pPr>
          </w:p>
        </w:tc>
        <w:tc>
          <w:tcPr>
            <w:tcW w:w="0" w:type="auto"/>
            <w:gridSpan w:val="6"/>
            <w:shd w:val="clear" w:color="auto" w:fill="auto"/>
            <w:tcMar>
              <w:top w:w="40" w:type="dxa"/>
              <w:left w:w="20" w:type="dxa"/>
              <w:bottom w:w="40" w:type="dxa"/>
              <w:right w:w="20" w:type="dxa"/>
            </w:tcMar>
            <w:vAlign w:val="bottom"/>
          </w:tcPr>
          <w:p w14:paraId="36CA15E2" w14:textId="77777777" w:rsidR="00787570" w:rsidRDefault="000D56E2">
            <w:pPr>
              <w:textAlignment w:val="bottom"/>
            </w:pPr>
            <w:r>
              <w:rPr>
                <w:rFonts w:ascii="Arial" w:eastAsia="宋体" w:hAnsi="Arial" w:cs="Arial"/>
                <w:color w:val="333333"/>
                <w:sz w:val="18"/>
                <w:szCs w:val="18"/>
              </w:rPr>
              <w:t>Quantitative and Qualitative Disclosures about Market Risk</w:t>
            </w:r>
          </w:p>
        </w:tc>
        <w:tc>
          <w:tcPr>
            <w:tcW w:w="0" w:type="auto"/>
            <w:gridSpan w:val="3"/>
            <w:shd w:val="clear" w:color="auto" w:fill="auto"/>
          </w:tcPr>
          <w:p w14:paraId="36CA15E3" w14:textId="77777777" w:rsidR="00787570" w:rsidRDefault="00787570">
            <w:pPr>
              <w:rPr>
                <w:rFonts w:ascii="宋体"/>
                <w:vanish/>
              </w:rPr>
            </w:pPr>
          </w:p>
        </w:tc>
        <w:tc>
          <w:tcPr>
            <w:tcW w:w="0" w:type="auto"/>
            <w:gridSpan w:val="3"/>
            <w:shd w:val="clear" w:color="auto" w:fill="auto"/>
            <w:tcMar>
              <w:top w:w="40" w:type="dxa"/>
              <w:left w:w="20" w:type="dxa"/>
              <w:bottom w:w="40" w:type="dxa"/>
              <w:right w:w="20" w:type="dxa"/>
            </w:tcMar>
            <w:vAlign w:val="bottom"/>
          </w:tcPr>
          <w:p w14:paraId="36CA15E4" w14:textId="77777777" w:rsidR="00787570" w:rsidRDefault="000D56E2">
            <w:pPr>
              <w:ind w:hanging="1080"/>
              <w:jc w:val="center"/>
              <w:textAlignment w:val="bottom"/>
            </w:pPr>
            <w:hyperlink r:id="rId21" w:anchor="i32771df14e9449d2bec5be911426bf04_211" w:history="1">
              <w:r>
                <w:rPr>
                  <w:rStyle w:val="a5"/>
                  <w:rFonts w:ascii="Arial" w:eastAsia="宋体" w:hAnsi="Arial" w:cs="Arial"/>
                  <w:sz w:val="18"/>
                  <w:szCs w:val="18"/>
                </w:rPr>
                <w:t>41</w:t>
              </w:r>
            </w:hyperlink>
          </w:p>
        </w:tc>
        <w:tc>
          <w:tcPr>
            <w:tcW w:w="0" w:type="auto"/>
            <w:shd w:val="clear" w:color="auto" w:fill="auto"/>
          </w:tcPr>
          <w:p w14:paraId="36CA15E5" w14:textId="77777777" w:rsidR="00787570" w:rsidRDefault="00787570">
            <w:pPr>
              <w:rPr>
                <w:rFonts w:ascii="宋体"/>
              </w:rPr>
            </w:pPr>
          </w:p>
        </w:tc>
        <w:tc>
          <w:tcPr>
            <w:tcW w:w="0" w:type="auto"/>
            <w:shd w:val="clear" w:color="auto" w:fill="auto"/>
          </w:tcPr>
          <w:p w14:paraId="36CA15E6" w14:textId="77777777" w:rsidR="00787570" w:rsidRDefault="00787570">
            <w:pPr>
              <w:rPr>
                <w:rFonts w:ascii="宋体"/>
              </w:rPr>
            </w:pPr>
          </w:p>
        </w:tc>
        <w:tc>
          <w:tcPr>
            <w:tcW w:w="0" w:type="auto"/>
            <w:shd w:val="clear" w:color="auto" w:fill="auto"/>
          </w:tcPr>
          <w:p w14:paraId="36CA15E7" w14:textId="77777777" w:rsidR="00787570" w:rsidRDefault="00787570">
            <w:pPr>
              <w:rPr>
                <w:rFonts w:ascii="宋体"/>
              </w:rPr>
            </w:pPr>
          </w:p>
        </w:tc>
      </w:tr>
      <w:tr w:rsidR="00787570" w14:paraId="36CA15F0" w14:textId="77777777">
        <w:tc>
          <w:tcPr>
            <w:tcW w:w="0" w:type="auto"/>
            <w:gridSpan w:val="3"/>
            <w:shd w:val="clear" w:color="auto" w:fill="auto"/>
            <w:tcMar>
              <w:left w:w="20" w:type="dxa"/>
              <w:right w:w="20" w:type="dxa"/>
            </w:tcMar>
            <w:vAlign w:val="bottom"/>
          </w:tcPr>
          <w:p w14:paraId="36CA15E9" w14:textId="77777777" w:rsidR="00787570" w:rsidRDefault="00787570">
            <w:pPr>
              <w:rPr>
                <w:rFonts w:ascii="宋体"/>
              </w:rPr>
            </w:pPr>
          </w:p>
        </w:tc>
        <w:tc>
          <w:tcPr>
            <w:tcW w:w="0" w:type="auto"/>
            <w:gridSpan w:val="6"/>
            <w:shd w:val="clear" w:color="auto" w:fill="auto"/>
            <w:tcMar>
              <w:top w:w="40" w:type="dxa"/>
              <w:left w:w="20" w:type="dxa"/>
              <w:bottom w:w="40" w:type="dxa"/>
              <w:right w:w="20" w:type="dxa"/>
            </w:tcMar>
            <w:vAlign w:val="bottom"/>
          </w:tcPr>
          <w:p w14:paraId="36CA15EA" w14:textId="77777777" w:rsidR="00787570" w:rsidRDefault="000D56E2">
            <w:pPr>
              <w:textAlignment w:val="bottom"/>
            </w:pPr>
            <w:r>
              <w:rPr>
                <w:rFonts w:ascii="Arial" w:eastAsia="宋体" w:hAnsi="Arial" w:cs="Arial"/>
                <w:color w:val="333333"/>
                <w:sz w:val="18"/>
                <w:szCs w:val="18"/>
              </w:rPr>
              <w:t>Non-GAAP Financial Measures</w:t>
            </w:r>
          </w:p>
        </w:tc>
        <w:tc>
          <w:tcPr>
            <w:tcW w:w="0" w:type="auto"/>
            <w:gridSpan w:val="3"/>
            <w:shd w:val="clear" w:color="auto" w:fill="auto"/>
          </w:tcPr>
          <w:p w14:paraId="36CA15EB" w14:textId="77777777" w:rsidR="00787570" w:rsidRDefault="00787570">
            <w:pPr>
              <w:rPr>
                <w:rFonts w:ascii="宋体"/>
                <w:vanish/>
              </w:rPr>
            </w:pPr>
          </w:p>
        </w:tc>
        <w:tc>
          <w:tcPr>
            <w:tcW w:w="0" w:type="auto"/>
            <w:gridSpan w:val="3"/>
            <w:shd w:val="clear" w:color="auto" w:fill="auto"/>
            <w:tcMar>
              <w:top w:w="40" w:type="dxa"/>
              <w:left w:w="20" w:type="dxa"/>
              <w:bottom w:w="40" w:type="dxa"/>
              <w:right w:w="20" w:type="dxa"/>
            </w:tcMar>
            <w:vAlign w:val="bottom"/>
          </w:tcPr>
          <w:p w14:paraId="36CA15EC" w14:textId="77777777" w:rsidR="00787570" w:rsidRDefault="000D56E2">
            <w:pPr>
              <w:ind w:hanging="1080"/>
              <w:jc w:val="center"/>
              <w:textAlignment w:val="bottom"/>
            </w:pPr>
            <w:hyperlink r:id="rId22" w:anchor="i32771df14e9449d2bec5be911426bf04_217" w:history="1">
              <w:r>
                <w:rPr>
                  <w:rStyle w:val="a5"/>
                  <w:rFonts w:ascii="Arial" w:eastAsia="宋体" w:hAnsi="Arial" w:cs="Arial"/>
                  <w:sz w:val="18"/>
                  <w:szCs w:val="18"/>
                </w:rPr>
                <w:t>42</w:t>
              </w:r>
            </w:hyperlink>
          </w:p>
        </w:tc>
        <w:tc>
          <w:tcPr>
            <w:tcW w:w="0" w:type="auto"/>
            <w:shd w:val="clear" w:color="auto" w:fill="auto"/>
          </w:tcPr>
          <w:p w14:paraId="36CA15ED" w14:textId="77777777" w:rsidR="00787570" w:rsidRDefault="00787570">
            <w:pPr>
              <w:rPr>
                <w:rFonts w:ascii="宋体"/>
              </w:rPr>
            </w:pPr>
          </w:p>
        </w:tc>
        <w:tc>
          <w:tcPr>
            <w:tcW w:w="0" w:type="auto"/>
            <w:shd w:val="clear" w:color="auto" w:fill="auto"/>
          </w:tcPr>
          <w:p w14:paraId="36CA15EE" w14:textId="77777777" w:rsidR="00787570" w:rsidRDefault="00787570">
            <w:pPr>
              <w:rPr>
                <w:rFonts w:ascii="宋体"/>
              </w:rPr>
            </w:pPr>
          </w:p>
        </w:tc>
        <w:tc>
          <w:tcPr>
            <w:tcW w:w="0" w:type="auto"/>
            <w:shd w:val="clear" w:color="auto" w:fill="auto"/>
          </w:tcPr>
          <w:p w14:paraId="36CA15EF" w14:textId="77777777" w:rsidR="00787570" w:rsidRDefault="00787570">
            <w:pPr>
              <w:rPr>
                <w:rFonts w:ascii="宋体"/>
              </w:rPr>
            </w:pPr>
          </w:p>
        </w:tc>
      </w:tr>
      <w:tr w:rsidR="00787570" w14:paraId="36CA15FB" w14:textId="77777777">
        <w:trPr>
          <w:trHeight w:val="60"/>
        </w:trPr>
        <w:tc>
          <w:tcPr>
            <w:tcW w:w="0" w:type="auto"/>
            <w:gridSpan w:val="3"/>
            <w:shd w:val="clear" w:color="auto" w:fill="auto"/>
            <w:tcMar>
              <w:left w:w="20" w:type="dxa"/>
              <w:right w:w="20" w:type="dxa"/>
            </w:tcMar>
            <w:vAlign w:val="bottom"/>
          </w:tcPr>
          <w:p w14:paraId="36CA15F1"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15F2"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15F3"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15F4" w14:textId="77777777" w:rsidR="00787570" w:rsidRDefault="00787570">
            <w:pPr>
              <w:rPr>
                <w:rFonts w:ascii="宋体"/>
              </w:rPr>
            </w:pPr>
          </w:p>
        </w:tc>
        <w:tc>
          <w:tcPr>
            <w:tcW w:w="0" w:type="auto"/>
            <w:shd w:val="clear" w:color="auto" w:fill="auto"/>
          </w:tcPr>
          <w:p w14:paraId="36CA15F5" w14:textId="77777777" w:rsidR="00787570" w:rsidRDefault="00787570">
            <w:pPr>
              <w:rPr>
                <w:rFonts w:ascii="宋体"/>
              </w:rPr>
            </w:pPr>
          </w:p>
        </w:tc>
        <w:tc>
          <w:tcPr>
            <w:tcW w:w="0" w:type="auto"/>
            <w:shd w:val="clear" w:color="auto" w:fill="auto"/>
          </w:tcPr>
          <w:p w14:paraId="36CA15F6" w14:textId="77777777" w:rsidR="00787570" w:rsidRDefault="00787570">
            <w:pPr>
              <w:rPr>
                <w:rFonts w:ascii="宋体"/>
              </w:rPr>
            </w:pPr>
          </w:p>
        </w:tc>
        <w:tc>
          <w:tcPr>
            <w:tcW w:w="0" w:type="auto"/>
            <w:shd w:val="clear" w:color="auto" w:fill="auto"/>
          </w:tcPr>
          <w:p w14:paraId="36CA15F7" w14:textId="77777777" w:rsidR="00787570" w:rsidRDefault="00787570">
            <w:pPr>
              <w:rPr>
                <w:rFonts w:ascii="宋体"/>
              </w:rPr>
            </w:pPr>
          </w:p>
        </w:tc>
        <w:tc>
          <w:tcPr>
            <w:tcW w:w="0" w:type="auto"/>
            <w:shd w:val="clear" w:color="auto" w:fill="auto"/>
          </w:tcPr>
          <w:p w14:paraId="36CA15F8" w14:textId="77777777" w:rsidR="00787570" w:rsidRDefault="00787570">
            <w:pPr>
              <w:rPr>
                <w:rFonts w:ascii="宋体"/>
              </w:rPr>
            </w:pPr>
          </w:p>
        </w:tc>
        <w:tc>
          <w:tcPr>
            <w:tcW w:w="0" w:type="auto"/>
            <w:shd w:val="clear" w:color="auto" w:fill="auto"/>
          </w:tcPr>
          <w:p w14:paraId="36CA15F9" w14:textId="77777777" w:rsidR="00787570" w:rsidRDefault="00787570">
            <w:pPr>
              <w:rPr>
                <w:rFonts w:ascii="宋体"/>
              </w:rPr>
            </w:pPr>
          </w:p>
        </w:tc>
        <w:tc>
          <w:tcPr>
            <w:tcW w:w="0" w:type="auto"/>
            <w:shd w:val="clear" w:color="auto" w:fill="auto"/>
          </w:tcPr>
          <w:p w14:paraId="36CA15FA" w14:textId="77777777" w:rsidR="00787570" w:rsidRDefault="00787570">
            <w:pPr>
              <w:rPr>
                <w:rFonts w:ascii="宋体"/>
              </w:rPr>
            </w:pPr>
          </w:p>
        </w:tc>
      </w:tr>
      <w:tr w:rsidR="00787570" w14:paraId="36CA1600" w14:textId="77777777">
        <w:tc>
          <w:tcPr>
            <w:tcW w:w="0" w:type="auto"/>
            <w:gridSpan w:val="9"/>
            <w:tcBorders>
              <w:bottom w:val="single" w:sz="8" w:space="0" w:color="333333"/>
            </w:tcBorders>
            <w:shd w:val="clear" w:color="auto" w:fill="auto"/>
            <w:tcMar>
              <w:top w:w="40" w:type="dxa"/>
              <w:left w:w="20" w:type="dxa"/>
              <w:bottom w:w="40" w:type="dxa"/>
              <w:right w:w="20" w:type="dxa"/>
            </w:tcMar>
            <w:vAlign w:val="bottom"/>
          </w:tcPr>
          <w:p w14:paraId="36CA15FC" w14:textId="77777777" w:rsidR="00787570" w:rsidRDefault="000D56E2">
            <w:pPr>
              <w:textAlignment w:val="bottom"/>
            </w:pPr>
            <w:r>
              <w:rPr>
                <w:rFonts w:ascii="Arial" w:eastAsia="宋体" w:hAnsi="Arial" w:cs="Arial"/>
                <w:b/>
                <w:bCs/>
                <w:color w:val="0071C5"/>
                <w:sz w:val="20"/>
                <w:szCs w:val="20"/>
              </w:rPr>
              <w:t>OTHER KEY INFORMATION</w:t>
            </w:r>
          </w:p>
        </w:tc>
        <w:tc>
          <w:tcPr>
            <w:tcW w:w="0" w:type="auto"/>
            <w:gridSpan w:val="3"/>
            <w:shd w:val="clear" w:color="auto" w:fill="auto"/>
          </w:tcPr>
          <w:p w14:paraId="36CA15FD" w14:textId="77777777" w:rsidR="00787570" w:rsidRDefault="00787570">
            <w:pPr>
              <w:rPr>
                <w:rFonts w:ascii="宋体"/>
                <w:vanish/>
              </w:rPr>
            </w:pPr>
          </w:p>
        </w:tc>
        <w:tc>
          <w:tcPr>
            <w:tcW w:w="0" w:type="auto"/>
            <w:gridSpan w:val="3"/>
            <w:shd w:val="clear" w:color="auto" w:fill="auto"/>
          </w:tcPr>
          <w:p w14:paraId="36CA15FE" w14:textId="77777777" w:rsidR="00787570" w:rsidRDefault="00787570">
            <w:pPr>
              <w:rPr>
                <w:rFonts w:ascii="宋体"/>
                <w:vanish/>
              </w:rPr>
            </w:pPr>
          </w:p>
        </w:tc>
        <w:tc>
          <w:tcPr>
            <w:tcW w:w="0" w:type="auto"/>
            <w:gridSpan w:val="3"/>
            <w:shd w:val="clear" w:color="auto" w:fill="auto"/>
            <w:tcMar>
              <w:left w:w="20" w:type="dxa"/>
              <w:right w:w="20" w:type="dxa"/>
            </w:tcMar>
            <w:vAlign w:val="bottom"/>
          </w:tcPr>
          <w:p w14:paraId="36CA15FF" w14:textId="77777777" w:rsidR="00787570" w:rsidRDefault="00787570">
            <w:pPr>
              <w:rPr>
                <w:rFonts w:ascii="宋体"/>
              </w:rPr>
            </w:pPr>
          </w:p>
        </w:tc>
      </w:tr>
      <w:tr w:rsidR="00787570" w14:paraId="36CA1608" w14:textId="77777777">
        <w:tc>
          <w:tcPr>
            <w:tcW w:w="0" w:type="auto"/>
            <w:gridSpan w:val="3"/>
            <w:tcBorders>
              <w:top w:val="single" w:sz="8" w:space="0" w:color="333333"/>
            </w:tcBorders>
            <w:shd w:val="clear" w:color="auto" w:fill="auto"/>
            <w:tcMar>
              <w:left w:w="20" w:type="dxa"/>
              <w:right w:w="20" w:type="dxa"/>
            </w:tcMar>
            <w:vAlign w:val="bottom"/>
          </w:tcPr>
          <w:p w14:paraId="36CA1601" w14:textId="77777777" w:rsidR="00787570" w:rsidRDefault="00787570">
            <w:pPr>
              <w:rPr>
                <w:rFonts w:ascii="宋体"/>
              </w:rPr>
            </w:pPr>
          </w:p>
        </w:tc>
        <w:tc>
          <w:tcPr>
            <w:tcW w:w="0" w:type="auto"/>
            <w:gridSpan w:val="6"/>
            <w:tcBorders>
              <w:top w:val="single" w:sz="8" w:space="0" w:color="333333"/>
            </w:tcBorders>
            <w:shd w:val="clear" w:color="auto" w:fill="auto"/>
            <w:tcMar>
              <w:top w:w="40" w:type="dxa"/>
              <w:left w:w="20" w:type="dxa"/>
              <w:bottom w:w="40" w:type="dxa"/>
              <w:right w:w="20" w:type="dxa"/>
            </w:tcMar>
            <w:vAlign w:val="bottom"/>
          </w:tcPr>
          <w:p w14:paraId="36CA1602" w14:textId="77777777" w:rsidR="00787570" w:rsidRDefault="000D56E2">
            <w:pPr>
              <w:textAlignment w:val="bottom"/>
            </w:pPr>
            <w:r>
              <w:rPr>
                <w:rFonts w:ascii="Arial" w:eastAsia="宋体" w:hAnsi="Arial" w:cs="Arial"/>
                <w:color w:val="333333"/>
                <w:sz w:val="18"/>
                <w:szCs w:val="18"/>
              </w:rPr>
              <w:t>Risk Factors</w:t>
            </w:r>
          </w:p>
        </w:tc>
        <w:tc>
          <w:tcPr>
            <w:tcW w:w="0" w:type="auto"/>
            <w:gridSpan w:val="3"/>
            <w:shd w:val="clear" w:color="auto" w:fill="auto"/>
          </w:tcPr>
          <w:p w14:paraId="36CA1603" w14:textId="77777777" w:rsidR="00787570" w:rsidRDefault="00787570">
            <w:pPr>
              <w:rPr>
                <w:rFonts w:ascii="宋体"/>
                <w:vanish/>
              </w:rPr>
            </w:pPr>
          </w:p>
        </w:tc>
        <w:tc>
          <w:tcPr>
            <w:tcW w:w="0" w:type="auto"/>
            <w:gridSpan w:val="3"/>
            <w:tcBorders>
              <w:top w:val="single" w:sz="8" w:space="0" w:color="333333"/>
            </w:tcBorders>
            <w:shd w:val="clear" w:color="auto" w:fill="auto"/>
            <w:tcMar>
              <w:top w:w="40" w:type="dxa"/>
              <w:left w:w="20" w:type="dxa"/>
              <w:bottom w:w="40" w:type="dxa"/>
              <w:right w:w="20" w:type="dxa"/>
            </w:tcMar>
            <w:vAlign w:val="bottom"/>
          </w:tcPr>
          <w:p w14:paraId="36CA1604" w14:textId="77777777" w:rsidR="00787570" w:rsidRDefault="000D56E2">
            <w:pPr>
              <w:jc w:val="center"/>
              <w:textAlignment w:val="bottom"/>
            </w:pPr>
            <w:hyperlink r:id="rId23" w:anchor="i32771df14e9449d2bec5be911426bf04_226" w:history="1">
              <w:r>
                <w:rPr>
                  <w:rStyle w:val="a5"/>
                  <w:rFonts w:ascii="Arial" w:eastAsia="宋体" w:hAnsi="Arial" w:cs="Arial"/>
                  <w:sz w:val="18"/>
                  <w:szCs w:val="18"/>
                </w:rPr>
                <w:t>44</w:t>
              </w:r>
            </w:hyperlink>
          </w:p>
        </w:tc>
        <w:tc>
          <w:tcPr>
            <w:tcW w:w="0" w:type="auto"/>
            <w:shd w:val="clear" w:color="auto" w:fill="auto"/>
          </w:tcPr>
          <w:p w14:paraId="36CA1605" w14:textId="77777777" w:rsidR="00787570" w:rsidRDefault="00787570">
            <w:pPr>
              <w:rPr>
                <w:rFonts w:ascii="宋体"/>
              </w:rPr>
            </w:pPr>
          </w:p>
        </w:tc>
        <w:tc>
          <w:tcPr>
            <w:tcW w:w="0" w:type="auto"/>
            <w:shd w:val="clear" w:color="auto" w:fill="auto"/>
          </w:tcPr>
          <w:p w14:paraId="36CA1606" w14:textId="77777777" w:rsidR="00787570" w:rsidRDefault="00787570">
            <w:pPr>
              <w:rPr>
                <w:rFonts w:ascii="宋体"/>
              </w:rPr>
            </w:pPr>
          </w:p>
        </w:tc>
        <w:tc>
          <w:tcPr>
            <w:tcW w:w="0" w:type="auto"/>
            <w:shd w:val="clear" w:color="auto" w:fill="auto"/>
          </w:tcPr>
          <w:p w14:paraId="36CA1607" w14:textId="77777777" w:rsidR="00787570" w:rsidRDefault="00787570">
            <w:pPr>
              <w:rPr>
                <w:rFonts w:ascii="宋体"/>
              </w:rPr>
            </w:pPr>
          </w:p>
        </w:tc>
      </w:tr>
      <w:tr w:rsidR="00787570" w14:paraId="36CA1610" w14:textId="77777777">
        <w:tc>
          <w:tcPr>
            <w:tcW w:w="0" w:type="auto"/>
            <w:gridSpan w:val="3"/>
            <w:shd w:val="clear" w:color="auto" w:fill="auto"/>
            <w:tcMar>
              <w:left w:w="20" w:type="dxa"/>
              <w:right w:w="20" w:type="dxa"/>
            </w:tcMar>
            <w:vAlign w:val="bottom"/>
          </w:tcPr>
          <w:p w14:paraId="36CA1609" w14:textId="77777777" w:rsidR="00787570" w:rsidRDefault="00787570">
            <w:pPr>
              <w:rPr>
                <w:rFonts w:ascii="宋体"/>
              </w:rPr>
            </w:pPr>
          </w:p>
        </w:tc>
        <w:tc>
          <w:tcPr>
            <w:tcW w:w="0" w:type="auto"/>
            <w:gridSpan w:val="6"/>
            <w:shd w:val="clear" w:color="auto" w:fill="auto"/>
            <w:tcMar>
              <w:top w:w="40" w:type="dxa"/>
              <w:left w:w="20" w:type="dxa"/>
              <w:bottom w:w="40" w:type="dxa"/>
              <w:right w:w="20" w:type="dxa"/>
            </w:tcMar>
            <w:vAlign w:val="bottom"/>
          </w:tcPr>
          <w:p w14:paraId="36CA160A" w14:textId="77777777" w:rsidR="00787570" w:rsidRDefault="000D56E2">
            <w:pPr>
              <w:textAlignment w:val="bottom"/>
            </w:pPr>
            <w:r>
              <w:rPr>
                <w:rFonts w:ascii="Arial" w:eastAsia="宋体" w:hAnsi="Arial" w:cs="Arial"/>
                <w:color w:val="333333"/>
                <w:sz w:val="18"/>
                <w:szCs w:val="18"/>
              </w:rPr>
              <w:t>Controls and Procedures</w:t>
            </w:r>
          </w:p>
        </w:tc>
        <w:tc>
          <w:tcPr>
            <w:tcW w:w="0" w:type="auto"/>
            <w:gridSpan w:val="3"/>
            <w:shd w:val="clear" w:color="auto" w:fill="auto"/>
          </w:tcPr>
          <w:p w14:paraId="36CA160B" w14:textId="77777777" w:rsidR="00787570" w:rsidRDefault="00787570">
            <w:pPr>
              <w:rPr>
                <w:rFonts w:ascii="宋体"/>
                <w:vanish/>
              </w:rPr>
            </w:pPr>
          </w:p>
        </w:tc>
        <w:tc>
          <w:tcPr>
            <w:tcW w:w="0" w:type="auto"/>
            <w:gridSpan w:val="3"/>
            <w:shd w:val="clear" w:color="auto" w:fill="auto"/>
            <w:tcMar>
              <w:top w:w="40" w:type="dxa"/>
              <w:left w:w="20" w:type="dxa"/>
              <w:bottom w:w="40" w:type="dxa"/>
              <w:right w:w="20" w:type="dxa"/>
            </w:tcMar>
            <w:vAlign w:val="bottom"/>
          </w:tcPr>
          <w:p w14:paraId="36CA160C" w14:textId="77777777" w:rsidR="00787570" w:rsidRDefault="000D56E2">
            <w:pPr>
              <w:jc w:val="center"/>
              <w:textAlignment w:val="bottom"/>
            </w:pPr>
            <w:hyperlink r:id="rId24" w:anchor="i32771df14e9449d2bec5be911426bf04_232" w:history="1">
              <w:r>
                <w:rPr>
                  <w:rStyle w:val="a5"/>
                  <w:rFonts w:ascii="Arial" w:eastAsia="宋体" w:hAnsi="Arial" w:cs="Arial"/>
                  <w:sz w:val="18"/>
                  <w:szCs w:val="18"/>
                </w:rPr>
                <w:t>44</w:t>
              </w:r>
            </w:hyperlink>
          </w:p>
        </w:tc>
        <w:tc>
          <w:tcPr>
            <w:tcW w:w="0" w:type="auto"/>
            <w:shd w:val="clear" w:color="auto" w:fill="auto"/>
          </w:tcPr>
          <w:p w14:paraId="36CA160D" w14:textId="77777777" w:rsidR="00787570" w:rsidRDefault="00787570">
            <w:pPr>
              <w:rPr>
                <w:rFonts w:ascii="宋体"/>
              </w:rPr>
            </w:pPr>
          </w:p>
        </w:tc>
        <w:tc>
          <w:tcPr>
            <w:tcW w:w="0" w:type="auto"/>
            <w:shd w:val="clear" w:color="auto" w:fill="auto"/>
          </w:tcPr>
          <w:p w14:paraId="36CA160E" w14:textId="77777777" w:rsidR="00787570" w:rsidRDefault="00787570">
            <w:pPr>
              <w:rPr>
                <w:rFonts w:ascii="宋体"/>
              </w:rPr>
            </w:pPr>
          </w:p>
        </w:tc>
        <w:tc>
          <w:tcPr>
            <w:tcW w:w="0" w:type="auto"/>
            <w:shd w:val="clear" w:color="auto" w:fill="auto"/>
          </w:tcPr>
          <w:p w14:paraId="36CA160F" w14:textId="77777777" w:rsidR="00787570" w:rsidRDefault="00787570">
            <w:pPr>
              <w:rPr>
                <w:rFonts w:ascii="宋体"/>
              </w:rPr>
            </w:pPr>
          </w:p>
        </w:tc>
      </w:tr>
      <w:tr w:rsidR="00787570" w14:paraId="36CA161B" w14:textId="77777777">
        <w:trPr>
          <w:hidden/>
        </w:trPr>
        <w:tc>
          <w:tcPr>
            <w:tcW w:w="0" w:type="auto"/>
            <w:gridSpan w:val="3"/>
            <w:shd w:val="clear" w:color="auto" w:fill="auto"/>
          </w:tcPr>
          <w:p w14:paraId="36CA1611" w14:textId="77777777" w:rsidR="00787570" w:rsidRDefault="00787570">
            <w:pPr>
              <w:rPr>
                <w:rFonts w:ascii="宋体"/>
                <w:vanish/>
              </w:rPr>
            </w:pPr>
          </w:p>
        </w:tc>
        <w:tc>
          <w:tcPr>
            <w:tcW w:w="0" w:type="auto"/>
            <w:gridSpan w:val="3"/>
            <w:shd w:val="clear" w:color="auto" w:fill="auto"/>
          </w:tcPr>
          <w:p w14:paraId="36CA1612" w14:textId="77777777" w:rsidR="00787570" w:rsidRDefault="00787570">
            <w:pPr>
              <w:rPr>
                <w:rFonts w:ascii="宋体"/>
                <w:vanish/>
              </w:rPr>
            </w:pPr>
          </w:p>
        </w:tc>
        <w:tc>
          <w:tcPr>
            <w:tcW w:w="0" w:type="auto"/>
            <w:gridSpan w:val="3"/>
            <w:shd w:val="clear" w:color="auto" w:fill="auto"/>
          </w:tcPr>
          <w:p w14:paraId="36CA1613" w14:textId="77777777" w:rsidR="00787570" w:rsidRDefault="00787570">
            <w:pPr>
              <w:rPr>
                <w:rFonts w:ascii="宋体"/>
                <w:vanish/>
              </w:rPr>
            </w:pPr>
          </w:p>
        </w:tc>
        <w:tc>
          <w:tcPr>
            <w:tcW w:w="0" w:type="auto"/>
            <w:gridSpan w:val="3"/>
            <w:shd w:val="clear" w:color="auto" w:fill="auto"/>
          </w:tcPr>
          <w:p w14:paraId="36CA1614" w14:textId="77777777" w:rsidR="00787570" w:rsidRDefault="00787570">
            <w:pPr>
              <w:rPr>
                <w:rFonts w:ascii="宋体"/>
                <w:vanish/>
              </w:rPr>
            </w:pPr>
          </w:p>
        </w:tc>
        <w:tc>
          <w:tcPr>
            <w:tcW w:w="0" w:type="auto"/>
            <w:shd w:val="clear" w:color="auto" w:fill="auto"/>
          </w:tcPr>
          <w:p w14:paraId="36CA1615" w14:textId="77777777" w:rsidR="00787570" w:rsidRDefault="00787570">
            <w:pPr>
              <w:rPr>
                <w:rFonts w:ascii="宋体"/>
              </w:rPr>
            </w:pPr>
          </w:p>
        </w:tc>
        <w:tc>
          <w:tcPr>
            <w:tcW w:w="0" w:type="auto"/>
            <w:shd w:val="clear" w:color="auto" w:fill="auto"/>
          </w:tcPr>
          <w:p w14:paraId="36CA1616" w14:textId="77777777" w:rsidR="00787570" w:rsidRDefault="00787570">
            <w:pPr>
              <w:rPr>
                <w:rFonts w:ascii="宋体"/>
              </w:rPr>
            </w:pPr>
          </w:p>
        </w:tc>
        <w:tc>
          <w:tcPr>
            <w:tcW w:w="0" w:type="auto"/>
            <w:shd w:val="clear" w:color="auto" w:fill="auto"/>
          </w:tcPr>
          <w:p w14:paraId="36CA1617" w14:textId="77777777" w:rsidR="00787570" w:rsidRDefault="00787570">
            <w:pPr>
              <w:rPr>
                <w:rFonts w:ascii="宋体"/>
              </w:rPr>
            </w:pPr>
          </w:p>
        </w:tc>
        <w:tc>
          <w:tcPr>
            <w:tcW w:w="0" w:type="auto"/>
            <w:shd w:val="clear" w:color="auto" w:fill="auto"/>
          </w:tcPr>
          <w:p w14:paraId="36CA1618" w14:textId="77777777" w:rsidR="00787570" w:rsidRDefault="00787570">
            <w:pPr>
              <w:rPr>
                <w:rFonts w:ascii="宋体"/>
              </w:rPr>
            </w:pPr>
          </w:p>
        </w:tc>
        <w:tc>
          <w:tcPr>
            <w:tcW w:w="0" w:type="auto"/>
            <w:shd w:val="clear" w:color="auto" w:fill="auto"/>
          </w:tcPr>
          <w:p w14:paraId="36CA1619" w14:textId="77777777" w:rsidR="00787570" w:rsidRDefault="00787570">
            <w:pPr>
              <w:rPr>
                <w:rFonts w:ascii="宋体"/>
              </w:rPr>
            </w:pPr>
          </w:p>
        </w:tc>
        <w:tc>
          <w:tcPr>
            <w:tcW w:w="0" w:type="auto"/>
            <w:shd w:val="clear" w:color="auto" w:fill="auto"/>
          </w:tcPr>
          <w:p w14:paraId="36CA161A" w14:textId="77777777" w:rsidR="00787570" w:rsidRDefault="00787570">
            <w:pPr>
              <w:rPr>
                <w:rFonts w:ascii="宋体"/>
              </w:rPr>
            </w:pPr>
          </w:p>
        </w:tc>
      </w:tr>
      <w:tr w:rsidR="00787570" w14:paraId="36CA1623" w14:textId="77777777">
        <w:tc>
          <w:tcPr>
            <w:tcW w:w="0" w:type="auto"/>
            <w:gridSpan w:val="3"/>
            <w:shd w:val="clear" w:color="auto" w:fill="auto"/>
            <w:tcMar>
              <w:left w:w="20" w:type="dxa"/>
              <w:right w:w="20" w:type="dxa"/>
            </w:tcMar>
            <w:vAlign w:val="bottom"/>
          </w:tcPr>
          <w:p w14:paraId="36CA161C" w14:textId="77777777" w:rsidR="00787570" w:rsidRDefault="00787570">
            <w:pPr>
              <w:rPr>
                <w:rFonts w:ascii="宋体"/>
              </w:rPr>
            </w:pPr>
          </w:p>
        </w:tc>
        <w:tc>
          <w:tcPr>
            <w:tcW w:w="0" w:type="auto"/>
            <w:gridSpan w:val="6"/>
            <w:shd w:val="clear" w:color="auto" w:fill="auto"/>
            <w:tcMar>
              <w:top w:w="40" w:type="dxa"/>
              <w:left w:w="20" w:type="dxa"/>
              <w:bottom w:w="40" w:type="dxa"/>
              <w:right w:w="20" w:type="dxa"/>
            </w:tcMar>
            <w:vAlign w:val="bottom"/>
          </w:tcPr>
          <w:p w14:paraId="36CA161D" w14:textId="77777777" w:rsidR="00787570" w:rsidRDefault="000D56E2">
            <w:pPr>
              <w:textAlignment w:val="bottom"/>
            </w:pPr>
            <w:r>
              <w:rPr>
                <w:rFonts w:ascii="Arial" w:eastAsia="宋体" w:hAnsi="Arial" w:cs="Arial"/>
                <w:color w:val="333333"/>
                <w:sz w:val="18"/>
                <w:szCs w:val="18"/>
              </w:rPr>
              <w:t>Issuer Purchases of Equity Securities</w:t>
            </w:r>
          </w:p>
        </w:tc>
        <w:tc>
          <w:tcPr>
            <w:tcW w:w="0" w:type="auto"/>
            <w:gridSpan w:val="3"/>
            <w:shd w:val="clear" w:color="auto" w:fill="auto"/>
          </w:tcPr>
          <w:p w14:paraId="36CA161E" w14:textId="77777777" w:rsidR="00787570" w:rsidRDefault="00787570">
            <w:pPr>
              <w:rPr>
                <w:rFonts w:ascii="宋体"/>
                <w:vanish/>
              </w:rPr>
            </w:pPr>
          </w:p>
        </w:tc>
        <w:tc>
          <w:tcPr>
            <w:tcW w:w="0" w:type="auto"/>
            <w:gridSpan w:val="3"/>
            <w:shd w:val="clear" w:color="auto" w:fill="auto"/>
            <w:tcMar>
              <w:top w:w="40" w:type="dxa"/>
              <w:left w:w="20" w:type="dxa"/>
              <w:bottom w:w="40" w:type="dxa"/>
              <w:right w:w="20" w:type="dxa"/>
            </w:tcMar>
            <w:vAlign w:val="bottom"/>
          </w:tcPr>
          <w:p w14:paraId="36CA161F" w14:textId="77777777" w:rsidR="00787570" w:rsidRDefault="000D56E2">
            <w:pPr>
              <w:jc w:val="center"/>
              <w:textAlignment w:val="bottom"/>
            </w:pPr>
            <w:hyperlink r:id="rId25" w:anchor="i32771df14e9449d2bec5be911426bf04_235" w:history="1">
              <w:r>
                <w:rPr>
                  <w:rStyle w:val="a5"/>
                  <w:rFonts w:ascii="Arial" w:eastAsia="宋体" w:hAnsi="Arial" w:cs="Arial"/>
                  <w:sz w:val="18"/>
                  <w:szCs w:val="18"/>
                </w:rPr>
                <w:t>45</w:t>
              </w:r>
            </w:hyperlink>
          </w:p>
        </w:tc>
        <w:tc>
          <w:tcPr>
            <w:tcW w:w="0" w:type="auto"/>
            <w:shd w:val="clear" w:color="auto" w:fill="auto"/>
          </w:tcPr>
          <w:p w14:paraId="36CA1620" w14:textId="77777777" w:rsidR="00787570" w:rsidRDefault="00787570">
            <w:pPr>
              <w:rPr>
                <w:rFonts w:ascii="宋体"/>
              </w:rPr>
            </w:pPr>
          </w:p>
        </w:tc>
        <w:tc>
          <w:tcPr>
            <w:tcW w:w="0" w:type="auto"/>
            <w:shd w:val="clear" w:color="auto" w:fill="auto"/>
          </w:tcPr>
          <w:p w14:paraId="36CA1621" w14:textId="77777777" w:rsidR="00787570" w:rsidRDefault="00787570">
            <w:pPr>
              <w:rPr>
                <w:rFonts w:ascii="宋体"/>
              </w:rPr>
            </w:pPr>
          </w:p>
        </w:tc>
        <w:tc>
          <w:tcPr>
            <w:tcW w:w="0" w:type="auto"/>
            <w:shd w:val="clear" w:color="auto" w:fill="auto"/>
          </w:tcPr>
          <w:p w14:paraId="36CA1622" w14:textId="77777777" w:rsidR="00787570" w:rsidRDefault="00787570">
            <w:pPr>
              <w:rPr>
                <w:rFonts w:ascii="宋体"/>
              </w:rPr>
            </w:pPr>
          </w:p>
        </w:tc>
      </w:tr>
      <w:tr w:rsidR="00787570" w14:paraId="36CA162B" w14:textId="77777777">
        <w:tc>
          <w:tcPr>
            <w:tcW w:w="0" w:type="auto"/>
            <w:gridSpan w:val="3"/>
            <w:shd w:val="clear" w:color="auto" w:fill="auto"/>
            <w:tcMar>
              <w:left w:w="20" w:type="dxa"/>
              <w:right w:w="20" w:type="dxa"/>
            </w:tcMar>
            <w:vAlign w:val="bottom"/>
          </w:tcPr>
          <w:p w14:paraId="36CA1624" w14:textId="77777777" w:rsidR="00787570" w:rsidRDefault="00787570">
            <w:pPr>
              <w:rPr>
                <w:rFonts w:ascii="宋体"/>
              </w:rPr>
            </w:pPr>
          </w:p>
        </w:tc>
        <w:tc>
          <w:tcPr>
            <w:tcW w:w="0" w:type="auto"/>
            <w:gridSpan w:val="6"/>
            <w:shd w:val="clear" w:color="auto" w:fill="auto"/>
            <w:tcMar>
              <w:top w:w="40" w:type="dxa"/>
              <w:left w:w="20" w:type="dxa"/>
              <w:bottom w:w="40" w:type="dxa"/>
              <w:right w:w="20" w:type="dxa"/>
            </w:tcMar>
            <w:vAlign w:val="bottom"/>
          </w:tcPr>
          <w:p w14:paraId="36CA1625" w14:textId="77777777" w:rsidR="00787570" w:rsidRDefault="000D56E2">
            <w:pPr>
              <w:textAlignment w:val="bottom"/>
            </w:pPr>
            <w:r>
              <w:rPr>
                <w:rFonts w:ascii="Arial" w:eastAsia="宋体" w:hAnsi="Arial" w:cs="Arial"/>
                <w:color w:val="333333"/>
                <w:sz w:val="18"/>
                <w:szCs w:val="18"/>
              </w:rPr>
              <w:t>Exhibits</w:t>
            </w:r>
          </w:p>
        </w:tc>
        <w:tc>
          <w:tcPr>
            <w:tcW w:w="0" w:type="auto"/>
            <w:gridSpan w:val="3"/>
            <w:shd w:val="clear" w:color="auto" w:fill="auto"/>
          </w:tcPr>
          <w:p w14:paraId="36CA1626" w14:textId="77777777" w:rsidR="00787570" w:rsidRDefault="00787570">
            <w:pPr>
              <w:rPr>
                <w:rFonts w:ascii="宋体"/>
                <w:vanish/>
              </w:rPr>
            </w:pPr>
          </w:p>
        </w:tc>
        <w:tc>
          <w:tcPr>
            <w:tcW w:w="0" w:type="auto"/>
            <w:gridSpan w:val="3"/>
            <w:shd w:val="clear" w:color="auto" w:fill="auto"/>
            <w:tcMar>
              <w:top w:w="40" w:type="dxa"/>
              <w:left w:w="20" w:type="dxa"/>
              <w:bottom w:w="40" w:type="dxa"/>
              <w:right w:w="20" w:type="dxa"/>
            </w:tcMar>
            <w:vAlign w:val="bottom"/>
          </w:tcPr>
          <w:p w14:paraId="36CA1627" w14:textId="77777777" w:rsidR="00787570" w:rsidRDefault="000D56E2">
            <w:pPr>
              <w:jc w:val="center"/>
              <w:textAlignment w:val="bottom"/>
            </w:pPr>
            <w:hyperlink r:id="rId26" w:anchor="i32771df14e9449d2bec5be911426bf04_238" w:history="1">
              <w:r>
                <w:rPr>
                  <w:rStyle w:val="a5"/>
                  <w:rFonts w:ascii="Arial" w:eastAsia="宋体" w:hAnsi="Arial" w:cs="Arial"/>
                  <w:sz w:val="18"/>
                  <w:szCs w:val="18"/>
                </w:rPr>
                <w:t>46</w:t>
              </w:r>
            </w:hyperlink>
          </w:p>
        </w:tc>
        <w:tc>
          <w:tcPr>
            <w:tcW w:w="0" w:type="auto"/>
            <w:shd w:val="clear" w:color="auto" w:fill="auto"/>
          </w:tcPr>
          <w:p w14:paraId="36CA1628" w14:textId="77777777" w:rsidR="00787570" w:rsidRDefault="00787570">
            <w:pPr>
              <w:rPr>
                <w:rFonts w:ascii="宋体"/>
              </w:rPr>
            </w:pPr>
          </w:p>
        </w:tc>
        <w:tc>
          <w:tcPr>
            <w:tcW w:w="0" w:type="auto"/>
            <w:shd w:val="clear" w:color="auto" w:fill="auto"/>
          </w:tcPr>
          <w:p w14:paraId="36CA1629" w14:textId="77777777" w:rsidR="00787570" w:rsidRDefault="00787570">
            <w:pPr>
              <w:rPr>
                <w:rFonts w:ascii="宋体"/>
              </w:rPr>
            </w:pPr>
          </w:p>
        </w:tc>
        <w:tc>
          <w:tcPr>
            <w:tcW w:w="0" w:type="auto"/>
            <w:shd w:val="clear" w:color="auto" w:fill="auto"/>
          </w:tcPr>
          <w:p w14:paraId="36CA162A" w14:textId="77777777" w:rsidR="00787570" w:rsidRDefault="00787570">
            <w:pPr>
              <w:rPr>
                <w:rFonts w:ascii="宋体"/>
              </w:rPr>
            </w:pPr>
          </w:p>
        </w:tc>
      </w:tr>
      <w:tr w:rsidR="00787570" w14:paraId="36CA1633" w14:textId="77777777">
        <w:tc>
          <w:tcPr>
            <w:tcW w:w="0" w:type="auto"/>
            <w:gridSpan w:val="3"/>
            <w:shd w:val="clear" w:color="auto" w:fill="auto"/>
            <w:tcMar>
              <w:left w:w="20" w:type="dxa"/>
              <w:right w:w="20" w:type="dxa"/>
            </w:tcMar>
            <w:vAlign w:val="bottom"/>
          </w:tcPr>
          <w:p w14:paraId="36CA162C" w14:textId="77777777" w:rsidR="00787570" w:rsidRDefault="00787570">
            <w:pPr>
              <w:rPr>
                <w:rFonts w:ascii="宋体"/>
              </w:rPr>
            </w:pPr>
          </w:p>
        </w:tc>
        <w:tc>
          <w:tcPr>
            <w:tcW w:w="0" w:type="auto"/>
            <w:gridSpan w:val="6"/>
            <w:shd w:val="clear" w:color="auto" w:fill="auto"/>
            <w:tcMar>
              <w:top w:w="40" w:type="dxa"/>
              <w:left w:w="20" w:type="dxa"/>
              <w:bottom w:w="40" w:type="dxa"/>
              <w:right w:w="20" w:type="dxa"/>
            </w:tcMar>
            <w:vAlign w:val="bottom"/>
          </w:tcPr>
          <w:p w14:paraId="36CA162D" w14:textId="77777777" w:rsidR="00787570" w:rsidRDefault="000D56E2">
            <w:pPr>
              <w:textAlignment w:val="bottom"/>
            </w:pPr>
            <w:r>
              <w:rPr>
                <w:rFonts w:ascii="Arial" w:eastAsia="宋体" w:hAnsi="Arial" w:cs="Arial"/>
                <w:color w:val="333333"/>
                <w:sz w:val="18"/>
                <w:szCs w:val="18"/>
              </w:rPr>
              <w:t>Form 10-Q Cross-Reference Index</w:t>
            </w:r>
          </w:p>
        </w:tc>
        <w:tc>
          <w:tcPr>
            <w:tcW w:w="0" w:type="auto"/>
            <w:gridSpan w:val="3"/>
            <w:shd w:val="clear" w:color="auto" w:fill="auto"/>
          </w:tcPr>
          <w:p w14:paraId="36CA162E" w14:textId="77777777" w:rsidR="00787570" w:rsidRDefault="00787570">
            <w:pPr>
              <w:rPr>
                <w:rFonts w:ascii="宋体"/>
                <w:vanish/>
              </w:rPr>
            </w:pPr>
          </w:p>
        </w:tc>
        <w:tc>
          <w:tcPr>
            <w:tcW w:w="0" w:type="auto"/>
            <w:gridSpan w:val="3"/>
            <w:shd w:val="clear" w:color="auto" w:fill="auto"/>
            <w:tcMar>
              <w:top w:w="40" w:type="dxa"/>
              <w:left w:w="20" w:type="dxa"/>
              <w:bottom w:w="40" w:type="dxa"/>
              <w:right w:w="20" w:type="dxa"/>
            </w:tcMar>
            <w:vAlign w:val="bottom"/>
          </w:tcPr>
          <w:p w14:paraId="36CA162F" w14:textId="77777777" w:rsidR="00787570" w:rsidRDefault="000D56E2">
            <w:pPr>
              <w:jc w:val="center"/>
              <w:textAlignment w:val="bottom"/>
            </w:pPr>
            <w:hyperlink r:id="rId27" w:anchor="i32771df14e9449d2bec5be911426bf04_244" w:history="1">
              <w:r>
                <w:rPr>
                  <w:rStyle w:val="a5"/>
                  <w:rFonts w:ascii="Arial" w:eastAsia="宋体" w:hAnsi="Arial" w:cs="Arial"/>
                  <w:sz w:val="18"/>
                  <w:szCs w:val="18"/>
                </w:rPr>
                <w:t>47</w:t>
              </w:r>
            </w:hyperlink>
          </w:p>
        </w:tc>
        <w:tc>
          <w:tcPr>
            <w:tcW w:w="0" w:type="auto"/>
            <w:shd w:val="clear" w:color="auto" w:fill="auto"/>
          </w:tcPr>
          <w:p w14:paraId="36CA1630" w14:textId="77777777" w:rsidR="00787570" w:rsidRDefault="00787570">
            <w:pPr>
              <w:rPr>
                <w:rFonts w:ascii="宋体"/>
              </w:rPr>
            </w:pPr>
          </w:p>
        </w:tc>
        <w:tc>
          <w:tcPr>
            <w:tcW w:w="0" w:type="auto"/>
            <w:shd w:val="clear" w:color="auto" w:fill="auto"/>
          </w:tcPr>
          <w:p w14:paraId="36CA1631" w14:textId="77777777" w:rsidR="00787570" w:rsidRDefault="00787570">
            <w:pPr>
              <w:rPr>
                <w:rFonts w:ascii="宋体"/>
              </w:rPr>
            </w:pPr>
          </w:p>
        </w:tc>
        <w:tc>
          <w:tcPr>
            <w:tcW w:w="0" w:type="auto"/>
            <w:shd w:val="clear" w:color="auto" w:fill="auto"/>
          </w:tcPr>
          <w:p w14:paraId="36CA1632" w14:textId="77777777" w:rsidR="00787570" w:rsidRDefault="00787570">
            <w:pPr>
              <w:rPr>
                <w:rFonts w:ascii="宋体"/>
              </w:rPr>
            </w:pPr>
          </w:p>
        </w:tc>
      </w:tr>
    </w:tbl>
    <w:p w14:paraId="36CA1634" w14:textId="77777777" w:rsidR="00787570" w:rsidRDefault="00787570">
      <w:pPr>
        <w:spacing w:after="180"/>
        <w:jc w:val="center"/>
      </w:pPr>
    </w:p>
    <w:p w14:paraId="36CA1635" w14:textId="77777777" w:rsidR="00787570" w:rsidRDefault="00787570">
      <w:pPr>
        <w:spacing w:after="180"/>
        <w:jc w:val="center"/>
      </w:pPr>
    </w:p>
    <w:p w14:paraId="36CA1636" w14:textId="77777777" w:rsidR="00787570" w:rsidRDefault="00787570">
      <w:pPr>
        <w:spacing w:after="180"/>
        <w:jc w:val="center"/>
      </w:pPr>
    </w:p>
    <w:p w14:paraId="36CA1637" w14:textId="77777777" w:rsidR="00787570" w:rsidRDefault="00787570">
      <w:pPr>
        <w:spacing w:after="180"/>
        <w:jc w:val="center"/>
      </w:pPr>
    </w:p>
    <w:p w14:paraId="36CA1638" w14:textId="77777777" w:rsidR="00787570" w:rsidRDefault="00787570">
      <w:pPr>
        <w:spacing w:after="180"/>
      </w:pPr>
    </w:p>
    <w:p w14:paraId="36CA1639" w14:textId="77777777" w:rsidR="00787570" w:rsidRDefault="000D56E2">
      <w:pPr>
        <w:spacing w:after="180"/>
        <w:ind w:hanging="180"/>
      </w:pPr>
      <w:r>
        <w:rPr>
          <w:rFonts w:ascii="Arial" w:eastAsia="宋体" w:hAnsi="Arial" w:cs="Arial"/>
          <w:i/>
          <w:iCs/>
          <w:color w:val="333333"/>
          <w:sz w:val="10"/>
          <w:szCs w:val="10"/>
        </w:rPr>
        <w:t>1    </w:t>
      </w:r>
      <w:r>
        <w:rPr>
          <w:rFonts w:ascii="Arial" w:eastAsia="宋体" w:hAnsi="Arial" w:cs="Arial"/>
          <w:i/>
          <w:iCs/>
          <w:color w:val="333333"/>
          <w:sz w:val="16"/>
          <w:szCs w:val="16"/>
        </w:rPr>
        <w:t xml:space="preserve">Intel's definition is included in "Key Terms" within the Consolidated </w:t>
      </w:r>
      <w:r>
        <w:rPr>
          <w:rFonts w:ascii="Arial" w:eastAsia="宋体" w:hAnsi="Arial" w:cs="Arial"/>
          <w:i/>
          <w:iCs/>
          <w:color w:val="333333"/>
          <w:sz w:val="16"/>
          <w:szCs w:val="16"/>
        </w:rPr>
        <w:t>Condensed Financial Statements and Supplemental Details.</w:t>
      </w:r>
    </w:p>
    <w:p w14:paraId="36CA163A" w14:textId="77777777" w:rsidR="00787570" w:rsidRDefault="00787570">
      <w:pPr>
        <w:spacing w:after="180"/>
      </w:pPr>
    </w:p>
    <w:p w14:paraId="36CA163B" w14:textId="77777777" w:rsidR="00787570" w:rsidRDefault="000D56E2">
      <w:r>
        <w:pict w14:anchorId="36CA5BDF">
          <v:rect id="_x0000_i1026" style="width:415.3pt;height:1.5pt" o:hralign="center" o:hrstd="t" o:hr="t" fillcolor="#a0a0a0" stroked="f"/>
        </w:pict>
      </w:r>
    </w:p>
    <w:p w14:paraId="36CA163C" w14:textId="77777777" w:rsidR="00787570" w:rsidRDefault="000D56E2">
      <w:pPr>
        <w:spacing w:after="180"/>
        <w:jc w:val="right"/>
      </w:pPr>
      <w:hyperlink r:id="rId28" w:anchor="i32771df14e9449d2bec5be911426bf04_7" w:history="1">
        <w:r>
          <w:rPr>
            <w:rStyle w:val="a5"/>
            <w:rFonts w:ascii="Arial" w:eastAsia="宋体" w:hAnsi="Arial" w:cs="Arial"/>
            <w:b/>
            <w:bCs/>
            <w:sz w:val="16"/>
            <w:szCs w:val="16"/>
          </w:rPr>
          <w:t>Table of Contents</w:t>
        </w:r>
      </w:hyperlink>
    </w:p>
    <w:p w14:paraId="36CA163D" w14:textId="77777777" w:rsidR="00787570" w:rsidRDefault="00787570">
      <w:pPr>
        <w:spacing w:after="180"/>
        <w:jc w:val="right"/>
      </w:pPr>
    </w:p>
    <w:p w14:paraId="36CA163E" w14:textId="77777777" w:rsidR="00787570" w:rsidRDefault="000D56E2">
      <w:pPr>
        <w:spacing w:after="180"/>
      </w:pPr>
      <w:r>
        <w:rPr>
          <w:rFonts w:ascii="Arial" w:eastAsia="宋体" w:hAnsi="Arial" w:cs="Arial"/>
          <w:b/>
          <w:bCs/>
          <w:color w:val="0071C5"/>
          <w:sz w:val="28"/>
          <w:szCs w:val="28"/>
        </w:rPr>
        <w:t>FORWARD-LOOKING STATEMENTS</w:t>
      </w:r>
    </w:p>
    <w:p w14:paraId="36CA163F" w14:textId="77777777" w:rsidR="00787570" w:rsidRDefault="000D56E2">
      <w:pPr>
        <w:spacing w:after="180"/>
      </w:pPr>
      <w:r>
        <w:rPr>
          <w:rFonts w:ascii="Arial" w:eastAsia="宋体" w:hAnsi="Arial" w:cs="Arial"/>
          <w:color w:val="333333"/>
          <w:sz w:val="18"/>
          <w:szCs w:val="18"/>
        </w:rPr>
        <w:t>This Form 10-Q contains forward-looking statements that i</w:t>
      </w:r>
      <w:r>
        <w:rPr>
          <w:rFonts w:ascii="Arial" w:eastAsia="宋体" w:hAnsi="Arial" w:cs="Arial"/>
          <w:color w:val="333333"/>
          <w:sz w:val="18"/>
          <w:szCs w:val="18"/>
        </w:rPr>
        <w:t>nvolve a number of risks and uncertainties. Words such as "anticipate," "expect," "intend," "anticipate," "plan," "mission," "opportunity," "future," "to be," "believes," "estimated," "continue," "likely," "may," "might," "potentially," "will," "would," "s</w:t>
      </w:r>
      <w:r>
        <w:rPr>
          <w:rFonts w:ascii="Arial" w:eastAsia="宋体" w:hAnsi="Arial" w:cs="Arial"/>
          <w:color w:val="333333"/>
          <w:sz w:val="18"/>
          <w:szCs w:val="18"/>
        </w:rPr>
        <w:t>hould," "could," and variations of such words and similar expressions are intended to identify such forward-looking statements. In addition, any statements that refer to future responses to and effects of COVID-19; projections of our future financial perfo</w:t>
      </w:r>
      <w:r>
        <w:rPr>
          <w:rFonts w:ascii="Arial" w:eastAsia="宋体" w:hAnsi="Arial" w:cs="Arial"/>
          <w:color w:val="333333"/>
          <w:sz w:val="18"/>
          <w:szCs w:val="18"/>
        </w:rPr>
        <w:t>rmance and demand; our anticipated growth and trends in our businesses or operations; projected growth and trends in markets relevant to our businesses; business plans; future products and technology and the expected availability and benefits of such produ</w:t>
      </w:r>
      <w:r>
        <w:rPr>
          <w:rFonts w:ascii="Arial" w:eastAsia="宋体" w:hAnsi="Arial" w:cs="Arial"/>
          <w:color w:val="333333"/>
          <w:sz w:val="18"/>
          <w:szCs w:val="18"/>
        </w:rPr>
        <w:t>cts and technology; expected timing and impact of acquisitions, divestitures, and other significant transactions, including statements relating to the pending divestiture of our NAND memory business to SK hynix Inc. (SK hynix), NAND manufacturing and suppl</w:t>
      </w:r>
      <w:r>
        <w:rPr>
          <w:rFonts w:ascii="Arial" w:eastAsia="宋体" w:hAnsi="Arial" w:cs="Arial"/>
          <w:color w:val="333333"/>
          <w:sz w:val="18"/>
          <w:szCs w:val="18"/>
        </w:rPr>
        <w:t>y arrangements between Intel and SK hynix, and our expected use of proceeds from the divestiture; expected completion of restructuring activities; availability, uses, sufficiency, and cost of capital and capital resources, including expected returns to sto</w:t>
      </w:r>
      <w:r>
        <w:rPr>
          <w:rFonts w:ascii="Arial" w:eastAsia="宋体" w:hAnsi="Arial" w:cs="Arial"/>
          <w:color w:val="333333"/>
          <w:sz w:val="18"/>
          <w:szCs w:val="18"/>
        </w:rPr>
        <w:t>ckholders such as dividends and share repurchases; our valuation; the settlement of our ASR agreements; accounting estimates and judgments regarding reported matters, events and contingencies and our intentions with respect to such matters, events and cont</w:t>
      </w:r>
      <w:r>
        <w:rPr>
          <w:rFonts w:ascii="Arial" w:eastAsia="宋体" w:hAnsi="Arial" w:cs="Arial"/>
          <w:color w:val="333333"/>
          <w:sz w:val="18"/>
          <w:szCs w:val="18"/>
        </w:rPr>
        <w:t>ingencies, and the actual results thereof; future production capacity and product supply; the future purchase, use, and availability of products, components and services supplied by third parties, including third-party manufacturing services; tax-related e</w:t>
      </w:r>
      <w:r>
        <w:rPr>
          <w:rFonts w:ascii="Arial" w:eastAsia="宋体" w:hAnsi="Arial" w:cs="Arial"/>
          <w:color w:val="333333"/>
          <w:sz w:val="18"/>
          <w:szCs w:val="18"/>
        </w:rPr>
        <w:t>xpectations; uncertain events or assumptions; and other characterizations of future events or circumstances are forward-looking statements. Such statements are based on management's expectations as of the date of this filing, unless an earlier date is spec</w:t>
      </w:r>
      <w:r>
        <w:rPr>
          <w:rFonts w:ascii="Arial" w:eastAsia="宋体" w:hAnsi="Arial" w:cs="Arial"/>
          <w:color w:val="333333"/>
          <w:sz w:val="18"/>
          <w:szCs w:val="18"/>
        </w:rPr>
        <w:t>ified, and involve many risks and uncertainties that could cause our actual results to differ materially from those expressed or implied in our forward-looking statements. Such risks and uncertainties include those described throughout this report, our 201</w:t>
      </w:r>
      <w:r>
        <w:rPr>
          <w:rFonts w:ascii="Arial" w:eastAsia="宋体" w:hAnsi="Arial" w:cs="Arial"/>
          <w:color w:val="333333"/>
          <w:sz w:val="18"/>
          <w:szCs w:val="18"/>
        </w:rPr>
        <w:t>9 Form 10-K, and our Form 10-Q reports for the quarters ended March 28, 2020 and June 27, 2020, particularly the "Risk Factors" sections of such reports, as well as the risks and uncertainties described in our Form 8-K announcing our agreement to divest ou</w:t>
      </w:r>
      <w:r>
        <w:rPr>
          <w:rFonts w:ascii="Arial" w:eastAsia="宋体" w:hAnsi="Arial" w:cs="Arial"/>
          <w:color w:val="333333"/>
          <w:sz w:val="18"/>
          <w:szCs w:val="18"/>
        </w:rPr>
        <w:t>r NAND memory business to SK hynix, filed with the SEC on October 20, 2020. Given these risks and uncertainties, readers are cautioned not to place undue reliance on such forward-looking statements. Readers are urged to carefully review and consider the va</w:t>
      </w:r>
      <w:r>
        <w:rPr>
          <w:rFonts w:ascii="Arial" w:eastAsia="宋体" w:hAnsi="Arial" w:cs="Arial"/>
          <w:color w:val="333333"/>
          <w:sz w:val="18"/>
          <w:szCs w:val="18"/>
        </w:rPr>
        <w:t xml:space="preserve">rious disclosures made in this Form 10-Q and in other documents we file from time to time with the SEC that disclose risks and uncertainties that may affect our business. Unless specifically indicated otherwise, the forward-looking statements in this Form </w:t>
      </w:r>
      <w:r>
        <w:rPr>
          <w:rFonts w:ascii="Arial" w:eastAsia="宋体" w:hAnsi="Arial" w:cs="Arial"/>
          <w:color w:val="333333"/>
          <w:sz w:val="18"/>
          <w:szCs w:val="18"/>
        </w:rPr>
        <w:t>10-Q do not reflect the potential impact of any divestitures, mergers, acquisitions, or other business combinations that have not been completed as of the date of this filing. In addition, the forward-looking statements in this Form 10-Q are made as of the</w:t>
      </w:r>
      <w:r>
        <w:rPr>
          <w:rFonts w:ascii="Arial" w:eastAsia="宋体" w:hAnsi="Arial" w:cs="Arial"/>
          <w:color w:val="333333"/>
          <w:sz w:val="18"/>
          <w:szCs w:val="18"/>
        </w:rPr>
        <w:t xml:space="preserve"> date of this filing, unless an earlier date is specified, including expectations based on third-party information and projections that management believes to be reputable, and Intel does not undertake, and expressly disclaims any duty, to update such stat</w:t>
      </w:r>
      <w:r>
        <w:rPr>
          <w:rFonts w:ascii="Arial" w:eastAsia="宋体" w:hAnsi="Arial" w:cs="Arial"/>
          <w:color w:val="333333"/>
          <w:sz w:val="18"/>
          <w:szCs w:val="18"/>
        </w:rPr>
        <w:t>ements, whether as a result of new information, new developments, or otherwise, except to the extent that disclosure may be required by law.</w:t>
      </w:r>
    </w:p>
    <w:p w14:paraId="36CA1640" w14:textId="77777777" w:rsidR="00787570" w:rsidRDefault="00787570">
      <w:pPr>
        <w:spacing w:after="180"/>
      </w:pPr>
    </w:p>
    <w:p w14:paraId="36CA1641" w14:textId="77777777" w:rsidR="00787570" w:rsidRDefault="00787570">
      <w:pPr>
        <w:spacing w:after="180"/>
      </w:pPr>
    </w:p>
    <w:p w14:paraId="36CA1642" w14:textId="77777777" w:rsidR="00787570" w:rsidRDefault="00787570">
      <w:pPr>
        <w:spacing w:after="180"/>
      </w:pPr>
    </w:p>
    <w:p w14:paraId="36CA1643" w14:textId="77777777" w:rsidR="00787570" w:rsidRDefault="00787570">
      <w:pPr>
        <w:spacing w:after="180"/>
      </w:pPr>
    </w:p>
    <w:p w14:paraId="36CA1644" w14:textId="77777777" w:rsidR="00787570" w:rsidRDefault="00787570">
      <w:pPr>
        <w:spacing w:after="180"/>
      </w:pPr>
    </w:p>
    <w:p w14:paraId="36CA1645" w14:textId="77777777" w:rsidR="00787570" w:rsidRDefault="00787570">
      <w:pPr>
        <w:spacing w:after="180"/>
      </w:pPr>
    </w:p>
    <w:p w14:paraId="36CA1646" w14:textId="77777777" w:rsidR="00787570" w:rsidRDefault="00787570">
      <w:pPr>
        <w:spacing w:before="120" w:after="180"/>
        <w:jc w:val="center"/>
      </w:pPr>
    </w:p>
    <w:p w14:paraId="36CA1647" w14:textId="77777777" w:rsidR="00787570" w:rsidRDefault="00787570">
      <w:pPr>
        <w:spacing w:after="180"/>
      </w:pPr>
    </w:p>
    <w:p w14:paraId="36CA1648" w14:textId="77777777" w:rsidR="00787570" w:rsidRDefault="00787570">
      <w:pPr>
        <w:spacing w:after="180"/>
      </w:pPr>
    </w:p>
    <w:p w14:paraId="36CA1649" w14:textId="77777777" w:rsidR="00787570" w:rsidRDefault="00787570">
      <w:pPr>
        <w:spacing w:after="180"/>
      </w:pPr>
    </w:p>
    <w:p w14:paraId="36CA164A" w14:textId="77777777" w:rsidR="00787570" w:rsidRDefault="00787570">
      <w:pPr>
        <w:spacing w:after="180"/>
      </w:pPr>
    </w:p>
    <w:p w14:paraId="36CA164B" w14:textId="77777777" w:rsidR="00787570" w:rsidRDefault="00787570">
      <w:pPr>
        <w:spacing w:after="180"/>
      </w:pPr>
    </w:p>
    <w:p w14:paraId="36CA164C" w14:textId="77777777" w:rsidR="00787570" w:rsidRDefault="00787570">
      <w:pPr>
        <w:spacing w:after="180"/>
      </w:pPr>
    </w:p>
    <w:p w14:paraId="36CA164D" w14:textId="77777777" w:rsidR="00787570" w:rsidRDefault="00787570">
      <w:pPr>
        <w:spacing w:after="180"/>
      </w:pPr>
    </w:p>
    <w:p w14:paraId="36CA164E" w14:textId="77777777" w:rsidR="00787570" w:rsidRDefault="00787570">
      <w:pPr>
        <w:spacing w:after="180"/>
      </w:pPr>
    </w:p>
    <w:p w14:paraId="36CA164F" w14:textId="77777777" w:rsidR="00787570" w:rsidRDefault="00787570">
      <w:pPr>
        <w:spacing w:after="180"/>
      </w:pPr>
    </w:p>
    <w:p w14:paraId="36CA1650" w14:textId="77777777" w:rsidR="00787570" w:rsidRDefault="000D56E2">
      <w:pPr>
        <w:spacing w:after="180"/>
      </w:pPr>
      <w:r>
        <w:rPr>
          <w:rFonts w:ascii="Arial" w:eastAsia="宋体" w:hAnsi="Arial" w:cs="Arial"/>
          <w:i/>
          <w:iCs/>
          <w:color w:val="333333"/>
          <w:sz w:val="16"/>
          <w:szCs w:val="16"/>
        </w:rPr>
        <w:t>Intel, the Intel logo, 3D XPoint, Intel Atom, Intel Core, Intel Evo, Iris, and Intel Optane, are tr</w:t>
      </w:r>
      <w:r>
        <w:rPr>
          <w:rFonts w:ascii="Arial" w:eastAsia="宋体" w:hAnsi="Arial" w:cs="Arial"/>
          <w:i/>
          <w:iCs/>
          <w:color w:val="333333"/>
          <w:sz w:val="16"/>
          <w:szCs w:val="16"/>
        </w:rPr>
        <w:t xml:space="preserve">ademarks of Intel Corporation or its subsidiaries in the U.S. and/or other countries. </w:t>
      </w:r>
    </w:p>
    <w:p w14:paraId="36CA1651" w14:textId="77777777" w:rsidR="00787570" w:rsidRDefault="000D56E2">
      <w:pPr>
        <w:spacing w:after="180"/>
      </w:pPr>
      <w:r>
        <w:rPr>
          <w:rFonts w:ascii="Arial" w:eastAsia="宋体" w:hAnsi="Arial" w:cs="Arial"/>
          <w:i/>
          <w:iCs/>
          <w:color w:val="333333"/>
          <w:sz w:val="16"/>
          <w:szCs w:val="16"/>
        </w:rPr>
        <w:t>* Other names and brands may be claimed as the property of others.</w:t>
      </w:r>
    </w:p>
    <w:tbl>
      <w:tblPr>
        <w:tblW w:w="5000" w:type="pct"/>
        <w:tblCellMar>
          <w:top w:w="15" w:type="dxa"/>
          <w:left w:w="15" w:type="dxa"/>
          <w:bottom w:w="15" w:type="dxa"/>
          <w:right w:w="15" w:type="dxa"/>
        </w:tblCellMar>
        <w:tblLook w:val="04A0" w:firstRow="1" w:lastRow="0" w:firstColumn="1" w:lastColumn="0" w:noHBand="0" w:noVBand="1"/>
      </w:tblPr>
      <w:tblGrid>
        <w:gridCol w:w="69"/>
        <w:gridCol w:w="2468"/>
        <w:gridCol w:w="36"/>
        <w:gridCol w:w="70"/>
        <w:gridCol w:w="2481"/>
        <w:gridCol w:w="36"/>
        <w:gridCol w:w="70"/>
        <w:gridCol w:w="3070"/>
        <w:gridCol w:w="36"/>
      </w:tblGrid>
      <w:tr w:rsidR="00787570" w14:paraId="36CA165B" w14:textId="77777777">
        <w:tc>
          <w:tcPr>
            <w:tcW w:w="50" w:type="pct"/>
            <w:shd w:val="clear" w:color="auto" w:fill="auto"/>
            <w:vAlign w:val="bottom"/>
          </w:tcPr>
          <w:p w14:paraId="36CA1652" w14:textId="77777777" w:rsidR="00787570" w:rsidRDefault="00787570">
            <w:pPr>
              <w:rPr>
                <w:rFonts w:ascii="宋体"/>
              </w:rPr>
            </w:pPr>
          </w:p>
        </w:tc>
        <w:tc>
          <w:tcPr>
            <w:tcW w:w="1489" w:type="pct"/>
            <w:shd w:val="clear" w:color="auto" w:fill="auto"/>
            <w:vAlign w:val="bottom"/>
          </w:tcPr>
          <w:p w14:paraId="36CA1653" w14:textId="77777777" w:rsidR="00787570" w:rsidRDefault="00787570">
            <w:pPr>
              <w:rPr>
                <w:rFonts w:ascii="宋体"/>
              </w:rPr>
            </w:pPr>
          </w:p>
        </w:tc>
        <w:tc>
          <w:tcPr>
            <w:tcW w:w="5" w:type="pct"/>
            <w:shd w:val="clear" w:color="auto" w:fill="auto"/>
            <w:vAlign w:val="bottom"/>
          </w:tcPr>
          <w:p w14:paraId="36CA1654" w14:textId="77777777" w:rsidR="00787570" w:rsidRDefault="00787570">
            <w:pPr>
              <w:rPr>
                <w:rFonts w:ascii="宋体"/>
              </w:rPr>
            </w:pPr>
          </w:p>
        </w:tc>
        <w:tc>
          <w:tcPr>
            <w:tcW w:w="50" w:type="pct"/>
            <w:shd w:val="clear" w:color="auto" w:fill="auto"/>
            <w:vAlign w:val="bottom"/>
          </w:tcPr>
          <w:p w14:paraId="36CA1655" w14:textId="77777777" w:rsidR="00787570" w:rsidRDefault="00787570">
            <w:pPr>
              <w:rPr>
                <w:rFonts w:ascii="宋体"/>
              </w:rPr>
            </w:pPr>
          </w:p>
        </w:tc>
        <w:tc>
          <w:tcPr>
            <w:tcW w:w="1496" w:type="pct"/>
            <w:shd w:val="clear" w:color="auto" w:fill="auto"/>
            <w:vAlign w:val="bottom"/>
          </w:tcPr>
          <w:p w14:paraId="36CA1656" w14:textId="77777777" w:rsidR="00787570" w:rsidRDefault="00787570">
            <w:pPr>
              <w:rPr>
                <w:rFonts w:ascii="宋体"/>
              </w:rPr>
            </w:pPr>
          </w:p>
        </w:tc>
        <w:tc>
          <w:tcPr>
            <w:tcW w:w="5" w:type="pct"/>
            <w:shd w:val="clear" w:color="auto" w:fill="auto"/>
            <w:vAlign w:val="bottom"/>
          </w:tcPr>
          <w:p w14:paraId="36CA1657" w14:textId="77777777" w:rsidR="00787570" w:rsidRDefault="00787570">
            <w:pPr>
              <w:rPr>
                <w:rFonts w:ascii="宋体"/>
              </w:rPr>
            </w:pPr>
          </w:p>
        </w:tc>
        <w:tc>
          <w:tcPr>
            <w:tcW w:w="50" w:type="pct"/>
            <w:shd w:val="clear" w:color="auto" w:fill="auto"/>
            <w:vAlign w:val="bottom"/>
          </w:tcPr>
          <w:p w14:paraId="36CA1658" w14:textId="77777777" w:rsidR="00787570" w:rsidRDefault="00787570">
            <w:pPr>
              <w:rPr>
                <w:rFonts w:ascii="宋体"/>
              </w:rPr>
            </w:pPr>
          </w:p>
        </w:tc>
        <w:tc>
          <w:tcPr>
            <w:tcW w:w="1849" w:type="pct"/>
            <w:shd w:val="clear" w:color="auto" w:fill="auto"/>
            <w:vAlign w:val="bottom"/>
          </w:tcPr>
          <w:p w14:paraId="36CA1659" w14:textId="77777777" w:rsidR="00787570" w:rsidRDefault="00787570">
            <w:pPr>
              <w:rPr>
                <w:rFonts w:ascii="宋体"/>
              </w:rPr>
            </w:pPr>
          </w:p>
        </w:tc>
        <w:tc>
          <w:tcPr>
            <w:tcW w:w="5" w:type="pct"/>
            <w:shd w:val="clear" w:color="auto" w:fill="auto"/>
            <w:vAlign w:val="bottom"/>
          </w:tcPr>
          <w:p w14:paraId="36CA165A" w14:textId="77777777" w:rsidR="00787570" w:rsidRDefault="00787570">
            <w:pPr>
              <w:rPr>
                <w:rFonts w:ascii="宋体"/>
              </w:rPr>
            </w:pPr>
          </w:p>
        </w:tc>
      </w:tr>
      <w:tr w:rsidR="00787570" w14:paraId="36CA165F" w14:textId="77777777">
        <w:tc>
          <w:tcPr>
            <w:tcW w:w="0" w:type="auto"/>
            <w:gridSpan w:val="3"/>
            <w:tcBorders>
              <w:top w:val="single" w:sz="8" w:space="0" w:color="0071C5"/>
            </w:tcBorders>
            <w:shd w:val="clear" w:color="auto" w:fill="auto"/>
            <w:tcMar>
              <w:left w:w="20" w:type="dxa"/>
              <w:right w:w="20" w:type="dxa"/>
            </w:tcMar>
            <w:vAlign w:val="center"/>
          </w:tcPr>
          <w:p w14:paraId="36CA165C" w14:textId="77777777" w:rsidR="00787570" w:rsidRDefault="000D56E2">
            <w:pPr>
              <w:textAlignment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Viewer9_files/intc-20200926_g2.jpg"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36CA5BE0" wp14:editId="36CA5BE1">
                  <wp:extent cx="304800" cy="304800"/>
                  <wp:effectExtent l="0" t="0" r="0" b="0"/>
                  <wp:docPr id="13" name="图片 37" descr="IMG_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37" descr="IMG_329"/>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8" w:space="0" w:color="0071C5"/>
            </w:tcBorders>
            <w:shd w:val="clear" w:color="auto" w:fill="auto"/>
            <w:tcMar>
              <w:left w:w="20" w:type="dxa"/>
              <w:right w:w="20" w:type="dxa"/>
            </w:tcMar>
            <w:vAlign w:val="bottom"/>
          </w:tcPr>
          <w:p w14:paraId="36CA165D" w14:textId="77777777" w:rsidR="00787570" w:rsidRDefault="00787570">
            <w:pPr>
              <w:rPr>
                <w:rFonts w:ascii="宋体"/>
              </w:rPr>
            </w:pPr>
          </w:p>
        </w:tc>
        <w:tc>
          <w:tcPr>
            <w:tcW w:w="0" w:type="auto"/>
            <w:gridSpan w:val="3"/>
            <w:tcBorders>
              <w:top w:val="single" w:sz="8" w:space="0" w:color="0071C5"/>
            </w:tcBorders>
            <w:shd w:val="clear" w:color="auto" w:fill="auto"/>
            <w:tcMar>
              <w:top w:w="40" w:type="dxa"/>
              <w:left w:w="20" w:type="dxa"/>
              <w:bottom w:w="40" w:type="dxa"/>
              <w:right w:w="20" w:type="dxa"/>
            </w:tcMar>
            <w:vAlign w:val="bottom"/>
          </w:tcPr>
          <w:p w14:paraId="36CA165E" w14:textId="77777777" w:rsidR="00787570" w:rsidRDefault="000D56E2">
            <w:pPr>
              <w:jc w:val="right"/>
              <w:textAlignment w:val="bottom"/>
            </w:pPr>
            <w:r>
              <w:rPr>
                <w:rFonts w:ascii="Arial" w:eastAsia="宋体" w:hAnsi="Arial" w:cs="Arial"/>
                <w:color w:val="333333"/>
                <w:sz w:val="16"/>
                <w:szCs w:val="16"/>
              </w:rPr>
              <w:t>1</w:t>
            </w:r>
          </w:p>
        </w:tc>
      </w:tr>
    </w:tbl>
    <w:p w14:paraId="36CA1660" w14:textId="77777777" w:rsidR="00787570" w:rsidRDefault="000D56E2">
      <w:r>
        <w:pict w14:anchorId="36CA5BE2">
          <v:rect id="_x0000_i1027" style="width:415.3pt;height:1.5pt" o:hralign="center" o:hrstd="t" o:hr="t" fillcolor="#a0a0a0" stroked="f"/>
        </w:pict>
      </w:r>
    </w:p>
    <w:p w14:paraId="36CA1661" w14:textId="77777777" w:rsidR="00787570" w:rsidRDefault="000D56E2">
      <w:pPr>
        <w:spacing w:after="180"/>
        <w:jc w:val="right"/>
      </w:pPr>
      <w:hyperlink r:id="rId29" w:anchor="i32771df14e9449d2bec5be911426bf04_7" w:history="1">
        <w:r>
          <w:rPr>
            <w:rStyle w:val="a5"/>
            <w:rFonts w:ascii="Arial" w:eastAsia="宋体" w:hAnsi="Arial" w:cs="Arial"/>
            <w:b/>
            <w:bCs/>
            <w:sz w:val="16"/>
            <w:szCs w:val="16"/>
          </w:rPr>
          <w:t>Table of Contents</w:t>
        </w:r>
      </w:hyperlink>
    </w:p>
    <w:p w14:paraId="36CA1662" w14:textId="77777777" w:rsidR="00787570" w:rsidRDefault="00787570">
      <w:pPr>
        <w:spacing w:after="180"/>
        <w:jc w:val="right"/>
      </w:pP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8231"/>
        <w:gridCol w:w="36"/>
      </w:tblGrid>
      <w:tr w:rsidR="00787570" w14:paraId="36CA1666" w14:textId="77777777">
        <w:trPr>
          <w:jc w:val="center"/>
        </w:trPr>
        <w:tc>
          <w:tcPr>
            <w:tcW w:w="50" w:type="pct"/>
            <w:shd w:val="clear" w:color="auto" w:fill="auto"/>
          </w:tcPr>
          <w:p w14:paraId="36CA1663" w14:textId="77777777" w:rsidR="00787570" w:rsidRDefault="00787570">
            <w:pPr>
              <w:rPr>
                <w:rFonts w:ascii="宋体"/>
              </w:rPr>
            </w:pPr>
          </w:p>
        </w:tc>
        <w:tc>
          <w:tcPr>
            <w:tcW w:w="4945" w:type="pct"/>
            <w:shd w:val="clear" w:color="auto" w:fill="auto"/>
          </w:tcPr>
          <w:p w14:paraId="36CA1664" w14:textId="77777777" w:rsidR="00787570" w:rsidRDefault="00787570">
            <w:pPr>
              <w:rPr>
                <w:rFonts w:ascii="宋体"/>
              </w:rPr>
            </w:pPr>
          </w:p>
        </w:tc>
        <w:tc>
          <w:tcPr>
            <w:tcW w:w="5" w:type="pct"/>
            <w:shd w:val="clear" w:color="auto" w:fill="auto"/>
          </w:tcPr>
          <w:p w14:paraId="36CA1665" w14:textId="77777777" w:rsidR="00787570" w:rsidRDefault="00787570">
            <w:pPr>
              <w:rPr>
                <w:rFonts w:ascii="宋体"/>
              </w:rPr>
            </w:pPr>
          </w:p>
        </w:tc>
      </w:tr>
      <w:tr w:rsidR="00787570" w14:paraId="36CA1668" w14:textId="77777777">
        <w:trPr>
          <w:jc w:val="center"/>
        </w:trPr>
        <w:tc>
          <w:tcPr>
            <w:tcW w:w="0" w:type="auto"/>
            <w:gridSpan w:val="3"/>
            <w:shd w:val="clear" w:color="auto" w:fill="0071C5"/>
            <w:tcMar>
              <w:top w:w="40" w:type="dxa"/>
              <w:left w:w="20" w:type="dxa"/>
              <w:bottom w:w="40" w:type="dxa"/>
              <w:right w:w="20" w:type="dxa"/>
            </w:tcMar>
            <w:vAlign w:val="center"/>
          </w:tcPr>
          <w:p w14:paraId="36CA1667" w14:textId="77777777" w:rsidR="00787570" w:rsidRDefault="000D56E2">
            <w:pPr>
              <w:textAlignment w:val="center"/>
            </w:pPr>
            <w:r>
              <w:rPr>
                <w:rFonts w:ascii="Arial" w:eastAsia="宋体" w:hAnsi="Arial" w:cs="Arial"/>
                <w:b/>
                <w:bCs/>
                <w:color w:val="FFFFFF"/>
                <w:sz w:val="36"/>
                <w:szCs w:val="36"/>
              </w:rPr>
              <w:t>OUR PANDEMIC RESPONSE</w:t>
            </w:r>
          </w:p>
        </w:tc>
      </w:tr>
    </w:tbl>
    <w:p w14:paraId="36CA1669" w14:textId="77777777" w:rsidR="00787570" w:rsidRDefault="000D56E2">
      <w:pPr>
        <w:spacing w:after="180"/>
      </w:pPr>
      <w:r>
        <w:rPr>
          <w:rFonts w:ascii="Arial" w:eastAsia="宋体" w:hAnsi="Arial" w:cs="Arial"/>
          <w:color w:val="333333"/>
          <w:sz w:val="18"/>
          <w:szCs w:val="18"/>
        </w:rPr>
        <w:t xml:space="preserve">As we closely monitor the COVID-19 pandemic, our top </w:t>
      </w:r>
      <w:r>
        <w:rPr>
          <w:rFonts w:ascii="Arial" w:eastAsia="宋体" w:hAnsi="Arial" w:cs="Arial"/>
          <w:color w:val="333333"/>
          <w:sz w:val="18"/>
          <w:szCs w:val="18"/>
        </w:rPr>
        <w:t>priority remains protecting the health and safety of our employees. Our Pandemic Leadership Team regularly reviews and adapts our policies based on evolving research and guidance related to the virus. While essential operations continue in our factories an</w:t>
      </w:r>
      <w:r>
        <w:rPr>
          <w:rFonts w:ascii="Arial" w:eastAsia="宋体" w:hAnsi="Arial" w:cs="Arial"/>
          <w:color w:val="333333"/>
          <w:sz w:val="18"/>
          <w:szCs w:val="18"/>
        </w:rPr>
        <w:t>d labs around the world, we have restricted travel and meetings, changed our business processes, published a wealth of information, and adapted to a world where many in our workforce are remote and those coming on-site are following new safety measures. We</w:t>
      </w:r>
      <w:r>
        <w:rPr>
          <w:rFonts w:ascii="Arial" w:eastAsia="宋体" w:hAnsi="Arial" w:cs="Arial"/>
          <w:color w:val="333333"/>
          <w:sz w:val="18"/>
          <w:szCs w:val="18"/>
        </w:rPr>
        <w:t xml:space="preserve"> have a multi-phase plan to return to working on-site, and remain committed to delivering for our customers and supporting our communities. Our world-class safety standards and supply chain operations have to date allowed our factories to continue to opera</w:t>
      </w:r>
      <w:r>
        <w:rPr>
          <w:rFonts w:ascii="Arial" w:eastAsia="宋体" w:hAnsi="Arial" w:cs="Arial"/>
          <w:color w:val="333333"/>
          <w:sz w:val="18"/>
          <w:szCs w:val="18"/>
        </w:rPr>
        <w:t>te safely and with mostly on-time deliveries. We will continue to actively monitor the situation and review our plans based on the requirements and recommendations of the federal, state, and local authorities.</w:t>
      </w:r>
    </w:p>
    <w:tbl>
      <w:tblPr>
        <w:tblW w:w="5000" w:type="pct"/>
        <w:tblCellMar>
          <w:top w:w="15" w:type="dxa"/>
          <w:left w:w="15" w:type="dxa"/>
          <w:bottom w:w="15" w:type="dxa"/>
          <w:right w:w="15" w:type="dxa"/>
        </w:tblCellMar>
        <w:tblLook w:val="04A0" w:firstRow="1" w:lastRow="0" w:firstColumn="1" w:lastColumn="0" w:noHBand="0" w:noVBand="1"/>
      </w:tblPr>
      <w:tblGrid>
        <w:gridCol w:w="86"/>
        <w:gridCol w:w="426"/>
        <w:gridCol w:w="36"/>
        <w:gridCol w:w="58"/>
        <w:gridCol w:w="3840"/>
        <w:gridCol w:w="36"/>
        <w:gridCol w:w="59"/>
        <w:gridCol w:w="3759"/>
        <w:gridCol w:w="36"/>
      </w:tblGrid>
      <w:tr w:rsidR="00787570" w14:paraId="36CA1673" w14:textId="77777777">
        <w:tc>
          <w:tcPr>
            <w:tcW w:w="50" w:type="pct"/>
            <w:shd w:val="clear" w:color="auto" w:fill="auto"/>
            <w:vAlign w:val="bottom"/>
          </w:tcPr>
          <w:p w14:paraId="36CA166A" w14:textId="77777777" w:rsidR="00787570" w:rsidRDefault="00787570">
            <w:pPr>
              <w:rPr>
                <w:rFonts w:ascii="宋体"/>
              </w:rPr>
            </w:pPr>
          </w:p>
        </w:tc>
        <w:tc>
          <w:tcPr>
            <w:tcW w:w="248" w:type="pct"/>
            <w:shd w:val="clear" w:color="auto" w:fill="auto"/>
            <w:vAlign w:val="bottom"/>
          </w:tcPr>
          <w:p w14:paraId="36CA166B" w14:textId="77777777" w:rsidR="00787570" w:rsidRDefault="00787570">
            <w:pPr>
              <w:rPr>
                <w:rFonts w:ascii="宋体"/>
              </w:rPr>
            </w:pPr>
          </w:p>
        </w:tc>
        <w:tc>
          <w:tcPr>
            <w:tcW w:w="5" w:type="pct"/>
            <w:shd w:val="clear" w:color="auto" w:fill="auto"/>
            <w:vAlign w:val="bottom"/>
          </w:tcPr>
          <w:p w14:paraId="36CA166C" w14:textId="77777777" w:rsidR="00787570" w:rsidRDefault="00787570">
            <w:pPr>
              <w:rPr>
                <w:rFonts w:ascii="宋体"/>
              </w:rPr>
            </w:pPr>
          </w:p>
        </w:tc>
        <w:tc>
          <w:tcPr>
            <w:tcW w:w="50" w:type="pct"/>
            <w:shd w:val="clear" w:color="auto" w:fill="auto"/>
            <w:vAlign w:val="bottom"/>
          </w:tcPr>
          <w:p w14:paraId="36CA166D" w14:textId="77777777" w:rsidR="00787570" w:rsidRDefault="00787570">
            <w:pPr>
              <w:rPr>
                <w:rFonts w:ascii="宋体"/>
              </w:rPr>
            </w:pPr>
          </w:p>
        </w:tc>
        <w:tc>
          <w:tcPr>
            <w:tcW w:w="2317" w:type="pct"/>
            <w:shd w:val="clear" w:color="auto" w:fill="auto"/>
            <w:vAlign w:val="bottom"/>
          </w:tcPr>
          <w:p w14:paraId="36CA166E" w14:textId="77777777" w:rsidR="00787570" w:rsidRDefault="00787570">
            <w:pPr>
              <w:rPr>
                <w:rFonts w:ascii="宋体"/>
              </w:rPr>
            </w:pPr>
          </w:p>
        </w:tc>
        <w:tc>
          <w:tcPr>
            <w:tcW w:w="5" w:type="pct"/>
            <w:shd w:val="clear" w:color="auto" w:fill="auto"/>
            <w:vAlign w:val="bottom"/>
          </w:tcPr>
          <w:p w14:paraId="36CA166F" w14:textId="77777777" w:rsidR="00787570" w:rsidRDefault="00787570">
            <w:pPr>
              <w:rPr>
                <w:rFonts w:ascii="宋体"/>
              </w:rPr>
            </w:pPr>
          </w:p>
        </w:tc>
        <w:tc>
          <w:tcPr>
            <w:tcW w:w="50" w:type="pct"/>
            <w:shd w:val="clear" w:color="auto" w:fill="auto"/>
            <w:vAlign w:val="bottom"/>
          </w:tcPr>
          <w:p w14:paraId="36CA1670" w14:textId="77777777" w:rsidR="00787570" w:rsidRDefault="00787570">
            <w:pPr>
              <w:rPr>
                <w:rFonts w:ascii="宋体"/>
              </w:rPr>
            </w:pPr>
          </w:p>
        </w:tc>
        <w:tc>
          <w:tcPr>
            <w:tcW w:w="2268" w:type="pct"/>
            <w:shd w:val="clear" w:color="auto" w:fill="auto"/>
            <w:vAlign w:val="bottom"/>
          </w:tcPr>
          <w:p w14:paraId="36CA1671" w14:textId="77777777" w:rsidR="00787570" w:rsidRDefault="00787570">
            <w:pPr>
              <w:rPr>
                <w:rFonts w:ascii="宋体"/>
              </w:rPr>
            </w:pPr>
          </w:p>
        </w:tc>
        <w:tc>
          <w:tcPr>
            <w:tcW w:w="5" w:type="pct"/>
            <w:shd w:val="clear" w:color="auto" w:fill="auto"/>
            <w:vAlign w:val="bottom"/>
          </w:tcPr>
          <w:p w14:paraId="36CA1672" w14:textId="77777777" w:rsidR="00787570" w:rsidRDefault="00787570">
            <w:pPr>
              <w:rPr>
                <w:rFonts w:ascii="宋体"/>
              </w:rPr>
            </w:pPr>
          </w:p>
        </w:tc>
      </w:tr>
      <w:tr w:rsidR="00787570" w14:paraId="36CA1677" w14:textId="77777777">
        <w:tc>
          <w:tcPr>
            <w:tcW w:w="0" w:type="auto"/>
            <w:gridSpan w:val="3"/>
            <w:tcBorders>
              <w:top w:val="single" w:sz="8" w:space="0" w:color="0071C5"/>
            </w:tcBorders>
            <w:shd w:val="clear" w:color="auto" w:fill="auto"/>
            <w:tcMar>
              <w:left w:w="20" w:type="dxa"/>
              <w:right w:w="20" w:type="dxa"/>
            </w:tcMar>
            <w:vAlign w:val="center"/>
          </w:tcPr>
          <w:p w14:paraId="36CA1674" w14:textId="77777777" w:rsidR="00787570" w:rsidRDefault="000D56E2">
            <w:pPr>
              <w:textAlignment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Viewer9_files/intc-20200926_g2.jpg"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36CA5BE3" wp14:editId="36CA5BE4">
                  <wp:extent cx="304800" cy="304800"/>
                  <wp:effectExtent l="0" t="0" r="0" b="0"/>
                  <wp:docPr id="1" name="图片 39" descr="IMG_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9" descr="IMG_329"/>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8" w:space="0" w:color="0071C5"/>
            </w:tcBorders>
            <w:shd w:val="clear" w:color="auto" w:fill="auto"/>
            <w:tcMar>
              <w:top w:w="40" w:type="dxa"/>
              <w:left w:w="20" w:type="dxa"/>
              <w:bottom w:w="40" w:type="dxa"/>
              <w:right w:w="20" w:type="dxa"/>
            </w:tcMar>
            <w:vAlign w:val="center"/>
          </w:tcPr>
          <w:p w14:paraId="36CA1675" w14:textId="77777777" w:rsidR="00787570" w:rsidRDefault="000D56E2">
            <w:pPr>
              <w:textAlignment w:val="center"/>
            </w:pPr>
            <w:r>
              <w:rPr>
                <w:rFonts w:ascii="Arial" w:eastAsia="宋体" w:hAnsi="Arial" w:cs="Arial"/>
                <w:color w:val="333333"/>
                <w:sz w:val="16"/>
                <w:szCs w:val="16"/>
              </w:rPr>
              <w:t>OUR PANDEMIC RESPONSE</w:t>
            </w:r>
          </w:p>
        </w:tc>
        <w:tc>
          <w:tcPr>
            <w:tcW w:w="0" w:type="auto"/>
            <w:gridSpan w:val="3"/>
            <w:tcBorders>
              <w:top w:val="single" w:sz="8" w:space="0" w:color="0071C5"/>
            </w:tcBorders>
            <w:shd w:val="clear" w:color="auto" w:fill="auto"/>
            <w:tcMar>
              <w:top w:w="40" w:type="dxa"/>
              <w:left w:w="20" w:type="dxa"/>
              <w:bottom w:w="40" w:type="dxa"/>
              <w:right w:w="20" w:type="dxa"/>
            </w:tcMar>
            <w:vAlign w:val="center"/>
          </w:tcPr>
          <w:p w14:paraId="36CA1676" w14:textId="77777777" w:rsidR="00787570" w:rsidRDefault="000D56E2">
            <w:pPr>
              <w:jc w:val="right"/>
              <w:textAlignment w:val="center"/>
            </w:pPr>
            <w:r>
              <w:rPr>
                <w:rFonts w:ascii="Arial" w:eastAsia="宋体" w:hAnsi="Arial" w:cs="Arial"/>
                <w:color w:val="333333"/>
                <w:sz w:val="16"/>
                <w:szCs w:val="16"/>
              </w:rPr>
              <w:t>2</w:t>
            </w:r>
          </w:p>
        </w:tc>
      </w:tr>
    </w:tbl>
    <w:p w14:paraId="36CA1678" w14:textId="77777777" w:rsidR="00787570" w:rsidRDefault="000D56E2">
      <w:r>
        <w:pict w14:anchorId="36CA5BE5">
          <v:rect id="_x0000_i1028" style="width:415.3pt;height:1.5pt" o:hralign="center" o:hrstd="t" o:hr="t" fillcolor="#a0a0a0" stroked="f"/>
        </w:pict>
      </w:r>
    </w:p>
    <w:p w14:paraId="36CA1679" w14:textId="77777777" w:rsidR="00787570" w:rsidRDefault="000D56E2">
      <w:pPr>
        <w:spacing w:after="180"/>
        <w:jc w:val="right"/>
      </w:pPr>
      <w:hyperlink r:id="rId30" w:anchor="i32771df14e9449d2bec5be911426bf04_7" w:history="1">
        <w:r>
          <w:rPr>
            <w:rStyle w:val="a5"/>
            <w:rFonts w:ascii="Arial" w:eastAsia="宋体" w:hAnsi="Arial" w:cs="Arial"/>
            <w:b/>
            <w:bCs/>
            <w:sz w:val="16"/>
            <w:szCs w:val="16"/>
          </w:rPr>
          <w:t>Table of Contents</w:t>
        </w:r>
      </w:hyperlink>
    </w:p>
    <w:p w14:paraId="36CA167A" w14:textId="77777777" w:rsidR="00787570" w:rsidRDefault="00787570">
      <w:pPr>
        <w:spacing w:after="180"/>
        <w:jc w:val="right"/>
      </w:pPr>
    </w:p>
    <w:tbl>
      <w:tblPr>
        <w:tblW w:w="5000" w:type="pct"/>
        <w:tblCellMar>
          <w:top w:w="15" w:type="dxa"/>
          <w:left w:w="15" w:type="dxa"/>
          <w:bottom w:w="15" w:type="dxa"/>
          <w:right w:w="15" w:type="dxa"/>
        </w:tblCellMar>
        <w:tblLook w:val="04A0" w:firstRow="1" w:lastRow="0" w:firstColumn="1" w:lastColumn="0" w:noHBand="0" w:noVBand="1"/>
      </w:tblPr>
      <w:tblGrid>
        <w:gridCol w:w="69"/>
        <w:gridCol w:w="8231"/>
        <w:gridCol w:w="36"/>
      </w:tblGrid>
      <w:tr w:rsidR="00787570" w14:paraId="36CA167E" w14:textId="77777777">
        <w:tc>
          <w:tcPr>
            <w:tcW w:w="50" w:type="pct"/>
            <w:shd w:val="clear" w:color="auto" w:fill="auto"/>
          </w:tcPr>
          <w:p w14:paraId="36CA167B" w14:textId="77777777" w:rsidR="00787570" w:rsidRDefault="00787570">
            <w:pPr>
              <w:rPr>
                <w:rFonts w:ascii="宋体"/>
              </w:rPr>
            </w:pPr>
          </w:p>
        </w:tc>
        <w:tc>
          <w:tcPr>
            <w:tcW w:w="4945" w:type="pct"/>
            <w:shd w:val="clear" w:color="auto" w:fill="auto"/>
          </w:tcPr>
          <w:p w14:paraId="36CA167C" w14:textId="77777777" w:rsidR="00787570" w:rsidRDefault="00787570">
            <w:pPr>
              <w:rPr>
                <w:rFonts w:ascii="宋体"/>
              </w:rPr>
            </w:pPr>
          </w:p>
        </w:tc>
        <w:tc>
          <w:tcPr>
            <w:tcW w:w="5" w:type="pct"/>
            <w:shd w:val="clear" w:color="auto" w:fill="auto"/>
          </w:tcPr>
          <w:p w14:paraId="36CA167D" w14:textId="77777777" w:rsidR="00787570" w:rsidRDefault="00787570">
            <w:pPr>
              <w:rPr>
                <w:rFonts w:ascii="宋体"/>
              </w:rPr>
            </w:pPr>
          </w:p>
        </w:tc>
      </w:tr>
      <w:tr w:rsidR="00787570" w14:paraId="36CA1680" w14:textId="77777777">
        <w:tc>
          <w:tcPr>
            <w:tcW w:w="0" w:type="auto"/>
            <w:gridSpan w:val="3"/>
            <w:shd w:val="clear" w:color="auto" w:fill="0071C5"/>
            <w:tcMar>
              <w:top w:w="40" w:type="dxa"/>
              <w:left w:w="20" w:type="dxa"/>
              <w:bottom w:w="40" w:type="dxa"/>
              <w:right w:w="20" w:type="dxa"/>
            </w:tcMar>
            <w:vAlign w:val="center"/>
          </w:tcPr>
          <w:p w14:paraId="36CA167F" w14:textId="77777777" w:rsidR="00787570" w:rsidRDefault="000D56E2">
            <w:pPr>
              <w:textAlignment w:val="center"/>
            </w:pPr>
            <w:r>
              <w:rPr>
                <w:rFonts w:ascii="Arial" w:eastAsia="宋体" w:hAnsi="Arial" w:cs="Arial"/>
                <w:b/>
                <w:bCs/>
                <w:color w:val="FFFFFF"/>
                <w:sz w:val="36"/>
                <w:szCs w:val="36"/>
              </w:rPr>
              <w:t>A QUARTER IN REVIEW</w:t>
            </w:r>
          </w:p>
        </w:tc>
      </w:tr>
    </w:tbl>
    <w:p w14:paraId="36CA1681" w14:textId="77777777" w:rsidR="00787570" w:rsidRDefault="000D56E2">
      <w:pPr>
        <w:spacing w:after="180"/>
      </w:pPr>
      <w:r>
        <w:rPr>
          <w:rFonts w:ascii="Arial" w:eastAsia="宋体" w:hAnsi="Arial" w:cs="Arial"/>
          <w:color w:val="333333"/>
          <w:sz w:val="18"/>
          <w:szCs w:val="18"/>
        </w:rPr>
        <w:t xml:space="preserve">Total revenue of $18.3 billion was down $857 million </w:t>
      </w:r>
      <w:r>
        <w:rPr>
          <w:rFonts w:ascii="Arial" w:eastAsia="宋体" w:hAnsi="Arial" w:cs="Arial"/>
          <w:color w:val="333333"/>
          <w:sz w:val="18"/>
          <w:szCs w:val="18"/>
        </w:rPr>
        <w:t>year over year as our data-centric businesses declined 10%, partially offset by 1% growth in our PC-centric business. Data-centric revenue was down primarily due to COVID-related demand impacts. DCG ASPs declined on higher SoC volume and mix shift from the</w:t>
      </w:r>
      <w:r>
        <w:rPr>
          <w:rFonts w:ascii="Arial" w:eastAsia="宋体" w:hAnsi="Arial" w:cs="Arial"/>
          <w:color w:val="333333"/>
          <w:sz w:val="18"/>
          <w:szCs w:val="18"/>
        </w:rPr>
        <w:t xml:space="preserve"> enterprise and government market segment to cloud service providers. We also experienced weaker demand for IOTG platform</w:t>
      </w:r>
      <w:r>
        <w:rPr>
          <w:rFonts w:ascii="Arial" w:eastAsia="宋体" w:hAnsi="Arial" w:cs="Arial"/>
          <w:color w:val="333333"/>
          <w:sz w:val="11"/>
          <w:szCs w:val="11"/>
        </w:rPr>
        <w:t xml:space="preserve">1 </w:t>
      </w:r>
      <w:r>
        <w:rPr>
          <w:rFonts w:ascii="Arial" w:eastAsia="宋体" w:hAnsi="Arial" w:cs="Arial"/>
          <w:color w:val="333333"/>
          <w:sz w:val="18"/>
          <w:szCs w:val="18"/>
        </w:rPr>
        <w:t>products. Our PC-centric business was slightly up, driven by strength in notebook demand, partially offset by lower desktop demand, a</w:t>
      </w:r>
      <w:r>
        <w:rPr>
          <w:rFonts w:ascii="Arial" w:eastAsia="宋体" w:hAnsi="Arial" w:cs="Arial"/>
          <w:color w:val="333333"/>
          <w:sz w:val="18"/>
          <w:szCs w:val="18"/>
        </w:rPr>
        <w:t>nd lower notebook ASP resulting from higher demand in consumer and education segments. Lower platform ASP and higher platform unit cost resulted in lower gross margin dollars and operating income, partially offset by platform volume growth and improved NAN</w:t>
      </w:r>
      <w:r>
        <w:rPr>
          <w:rFonts w:ascii="Arial" w:eastAsia="宋体" w:hAnsi="Arial" w:cs="Arial"/>
          <w:color w:val="333333"/>
          <w:sz w:val="18"/>
          <w:szCs w:val="18"/>
        </w:rPr>
        <w:t>D pricing and cost. In the first nine months, we generated $25.5 billion of cash flow from operations and returned $18.4 billion to stockholders, including $4.2 billion in dividends and $14.2 billion in buybacks. Buybacks include those repurchased under AS</w:t>
      </w:r>
      <w:r>
        <w:rPr>
          <w:rFonts w:ascii="Arial" w:eastAsia="宋体" w:hAnsi="Arial" w:cs="Arial"/>
          <w:color w:val="333333"/>
          <w:sz w:val="18"/>
          <w:szCs w:val="18"/>
        </w:rPr>
        <w:t>R agreements entered into in Q3, of which $2.0 billion remains to be settled by the end of 2020.</w:t>
      </w:r>
    </w:p>
    <w:tbl>
      <w:tblPr>
        <w:tblW w:w="10980" w:type="dxa"/>
        <w:tblCellMar>
          <w:top w:w="15" w:type="dxa"/>
          <w:left w:w="15" w:type="dxa"/>
          <w:bottom w:w="15" w:type="dxa"/>
          <w:right w:w="15" w:type="dxa"/>
        </w:tblCellMar>
        <w:tblLook w:val="04A0" w:firstRow="1" w:lastRow="0" w:firstColumn="1" w:lastColumn="0" w:noHBand="0" w:noVBand="1"/>
      </w:tblPr>
      <w:tblGrid>
        <w:gridCol w:w="36"/>
        <w:gridCol w:w="2593"/>
        <w:gridCol w:w="36"/>
        <w:gridCol w:w="36"/>
        <w:gridCol w:w="36"/>
        <w:gridCol w:w="36"/>
        <w:gridCol w:w="36"/>
        <w:gridCol w:w="2608"/>
        <w:gridCol w:w="36"/>
        <w:gridCol w:w="36"/>
        <w:gridCol w:w="36"/>
        <w:gridCol w:w="36"/>
        <w:gridCol w:w="36"/>
        <w:gridCol w:w="2582"/>
        <w:gridCol w:w="36"/>
        <w:gridCol w:w="36"/>
        <w:gridCol w:w="36"/>
        <w:gridCol w:w="36"/>
        <w:gridCol w:w="36"/>
        <w:gridCol w:w="2585"/>
        <w:gridCol w:w="36"/>
      </w:tblGrid>
      <w:tr w:rsidR="00787570" w14:paraId="36CA1697" w14:textId="77777777">
        <w:tc>
          <w:tcPr>
            <w:tcW w:w="20" w:type="dxa"/>
            <w:shd w:val="clear" w:color="auto" w:fill="auto"/>
          </w:tcPr>
          <w:p w14:paraId="36CA1682" w14:textId="77777777" w:rsidR="00787570" w:rsidRDefault="00787570">
            <w:pPr>
              <w:rPr>
                <w:rFonts w:ascii="宋体"/>
              </w:rPr>
            </w:pPr>
          </w:p>
        </w:tc>
        <w:tc>
          <w:tcPr>
            <w:tcW w:w="2645" w:type="dxa"/>
            <w:shd w:val="clear" w:color="auto" w:fill="auto"/>
          </w:tcPr>
          <w:p w14:paraId="36CA1683" w14:textId="77777777" w:rsidR="00787570" w:rsidRDefault="00787570">
            <w:pPr>
              <w:rPr>
                <w:rFonts w:ascii="宋体"/>
              </w:rPr>
            </w:pPr>
          </w:p>
        </w:tc>
        <w:tc>
          <w:tcPr>
            <w:tcW w:w="20" w:type="dxa"/>
            <w:shd w:val="clear" w:color="auto" w:fill="auto"/>
          </w:tcPr>
          <w:p w14:paraId="36CA1684" w14:textId="77777777" w:rsidR="00787570" w:rsidRDefault="00787570">
            <w:pPr>
              <w:rPr>
                <w:rFonts w:ascii="宋体"/>
              </w:rPr>
            </w:pPr>
          </w:p>
        </w:tc>
        <w:tc>
          <w:tcPr>
            <w:tcW w:w="20" w:type="dxa"/>
            <w:shd w:val="clear" w:color="auto" w:fill="auto"/>
          </w:tcPr>
          <w:p w14:paraId="36CA1685" w14:textId="77777777" w:rsidR="00787570" w:rsidRDefault="00787570">
            <w:pPr>
              <w:rPr>
                <w:rFonts w:ascii="宋体"/>
              </w:rPr>
            </w:pPr>
          </w:p>
        </w:tc>
        <w:tc>
          <w:tcPr>
            <w:tcW w:w="35" w:type="dxa"/>
            <w:shd w:val="clear" w:color="auto" w:fill="auto"/>
          </w:tcPr>
          <w:p w14:paraId="36CA1686" w14:textId="77777777" w:rsidR="00787570" w:rsidRDefault="00787570">
            <w:pPr>
              <w:rPr>
                <w:rFonts w:ascii="宋体"/>
              </w:rPr>
            </w:pPr>
          </w:p>
        </w:tc>
        <w:tc>
          <w:tcPr>
            <w:tcW w:w="20" w:type="dxa"/>
            <w:shd w:val="clear" w:color="auto" w:fill="auto"/>
          </w:tcPr>
          <w:p w14:paraId="36CA1687" w14:textId="77777777" w:rsidR="00787570" w:rsidRDefault="00787570">
            <w:pPr>
              <w:rPr>
                <w:rFonts w:ascii="宋体"/>
              </w:rPr>
            </w:pPr>
          </w:p>
        </w:tc>
        <w:tc>
          <w:tcPr>
            <w:tcW w:w="20" w:type="dxa"/>
            <w:shd w:val="clear" w:color="auto" w:fill="auto"/>
          </w:tcPr>
          <w:p w14:paraId="36CA1688" w14:textId="77777777" w:rsidR="00787570" w:rsidRDefault="00787570">
            <w:pPr>
              <w:rPr>
                <w:rFonts w:ascii="宋体"/>
              </w:rPr>
            </w:pPr>
          </w:p>
        </w:tc>
        <w:tc>
          <w:tcPr>
            <w:tcW w:w="2660" w:type="dxa"/>
            <w:shd w:val="clear" w:color="auto" w:fill="auto"/>
          </w:tcPr>
          <w:p w14:paraId="36CA1689" w14:textId="77777777" w:rsidR="00787570" w:rsidRDefault="00787570">
            <w:pPr>
              <w:rPr>
                <w:rFonts w:ascii="宋体"/>
              </w:rPr>
            </w:pPr>
          </w:p>
        </w:tc>
        <w:tc>
          <w:tcPr>
            <w:tcW w:w="20" w:type="dxa"/>
            <w:shd w:val="clear" w:color="auto" w:fill="auto"/>
          </w:tcPr>
          <w:p w14:paraId="36CA168A" w14:textId="77777777" w:rsidR="00787570" w:rsidRDefault="00787570">
            <w:pPr>
              <w:rPr>
                <w:rFonts w:ascii="宋体"/>
              </w:rPr>
            </w:pPr>
          </w:p>
        </w:tc>
        <w:tc>
          <w:tcPr>
            <w:tcW w:w="20" w:type="dxa"/>
            <w:shd w:val="clear" w:color="auto" w:fill="auto"/>
          </w:tcPr>
          <w:p w14:paraId="36CA168B" w14:textId="77777777" w:rsidR="00787570" w:rsidRDefault="00787570">
            <w:pPr>
              <w:rPr>
                <w:rFonts w:ascii="宋体"/>
              </w:rPr>
            </w:pPr>
          </w:p>
        </w:tc>
        <w:tc>
          <w:tcPr>
            <w:tcW w:w="35" w:type="dxa"/>
            <w:shd w:val="clear" w:color="auto" w:fill="auto"/>
          </w:tcPr>
          <w:p w14:paraId="36CA168C" w14:textId="77777777" w:rsidR="00787570" w:rsidRDefault="00787570">
            <w:pPr>
              <w:rPr>
                <w:rFonts w:ascii="宋体"/>
              </w:rPr>
            </w:pPr>
          </w:p>
        </w:tc>
        <w:tc>
          <w:tcPr>
            <w:tcW w:w="20" w:type="dxa"/>
            <w:shd w:val="clear" w:color="auto" w:fill="auto"/>
          </w:tcPr>
          <w:p w14:paraId="36CA168D" w14:textId="77777777" w:rsidR="00787570" w:rsidRDefault="00787570">
            <w:pPr>
              <w:rPr>
                <w:rFonts w:ascii="宋体"/>
              </w:rPr>
            </w:pPr>
          </w:p>
        </w:tc>
        <w:tc>
          <w:tcPr>
            <w:tcW w:w="20" w:type="dxa"/>
            <w:shd w:val="clear" w:color="auto" w:fill="auto"/>
          </w:tcPr>
          <w:p w14:paraId="36CA168E" w14:textId="77777777" w:rsidR="00787570" w:rsidRDefault="00787570">
            <w:pPr>
              <w:rPr>
                <w:rFonts w:ascii="宋体"/>
              </w:rPr>
            </w:pPr>
          </w:p>
        </w:tc>
        <w:tc>
          <w:tcPr>
            <w:tcW w:w="2645" w:type="dxa"/>
            <w:shd w:val="clear" w:color="auto" w:fill="auto"/>
          </w:tcPr>
          <w:p w14:paraId="36CA168F" w14:textId="77777777" w:rsidR="00787570" w:rsidRDefault="00787570">
            <w:pPr>
              <w:rPr>
                <w:rFonts w:ascii="宋体"/>
              </w:rPr>
            </w:pPr>
          </w:p>
        </w:tc>
        <w:tc>
          <w:tcPr>
            <w:tcW w:w="20" w:type="dxa"/>
            <w:shd w:val="clear" w:color="auto" w:fill="auto"/>
          </w:tcPr>
          <w:p w14:paraId="36CA1690" w14:textId="77777777" w:rsidR="00787570" w:rsidRDefault="00787570">
            <w:pPr>
              <w:rPr>
                <w:rFonts w:ascii="宋体"/>
              </w:rPr>
            </w:pPr>
          </w:p>
        </w:tc>
        <w:tc>
          <w:tcPr>
            <w:tcW w:w="20" w:type="dxa"/>
            <w:shd w:val="clear" w:color="auto" w:fill="auto"/>
          </w:tcPr>
          <w:p w14:paraId="36CA1691" w14:textId="77777777" w:rsidR="00787570" w:rsidRDefault="00787570">
            <w:pPr>
              <w:rPr>
                <w:rFonts w:ascii="宋体"/>
              </w:rPr>
            </w:pPr>
          </w:p>
        </w:tc>
        <w:tc>
          <w:tcPr>
            <w:tcW w:w="35" w:type="dxa"/>
            <w:shd w:val="clear" w:color="auto" w:fill="auto"/>
          </w:tcPr>
          <w:p w14:paraId="36CA1692" w14:textId="77777777" w:rsidR="00787570" w:rsidRDefault="00787570">
            <w:pPr>
              <w:rPr>
                <w:rFonts w:ascii="宋体"/>
              </w:rPr>
            </w:pPr>
          </w:p>
        </w:tc>
        <w:tc>
          <w:tcPr>
            <w:tcW w:w="20" w:type="dxa"/>
            <w:shd w:val="clear" w:color="auto" w:fill="auto"/>
          </w:tcPr>
          <w:p w14:paraId="36CA1693" w14:textId="77777777" w:rsidR="00787570" w:rsidRDefault="00787570">
            <w:pPr>
              <w:rPr>
                <w:rFonts w:ascii="宋体"/>
              </w:rPr>
            </w:pPr>
          </w:p>
        </w:tc>
        <w:tc>
          <w:tcPr>
            <w:tcW w:w="20" w:type="dxa"/>
            <w:shd w:val="clear" w:color="auto" w:fill="auto"/>
          </w:tcPr>
          <w:p w14:paraId="36CA1694" w14:textId="77777777" w:rsidR="00787570" w:rsidRDefault="00787570">
            <w:pPr>
              <w:rPr>
                <w:rFonts w:ascii="宋体"/>
              </w:rPr>
            </w:pPr>
          </w:p>
        </w:tc>
        <w:tc>
          <w:tcPr>
            <w:tcW w:w="2645" w:type="dxa"/>
            <w:shd w:val="clear" w:color="auto" w:fill="auto"/>
          </w:tcPr>
          <w:p w14:paraId="36CA1695" w14:textId="77777777" w:rsidR="00787570" w:rsidRDefault="00787570">
            <w:pPr>
              <w:rPr>
                <w:rFonts w:ascii="宋体"/>
              </w:rPr>
            </w:pPr>
          </w:p>
        </w:tc>
        <w:tc>
          <w:tcPr>
            <w:tcW w:w="20" w:type="dxa"/>
            <w:shd w:val="clear" w:color="auto" w:fill="auto"/>
          </w:tcPr>
          <w:p w14:paraId="36CA1696" w14:textId="77777777" w:rsidR="00787570" w:rsidRDefault="00787570">
            <w:pPr>
              <w:rPr>
                <w:rFonts w:ascii="宋体"/>
              </w:rPr>
            </w:pPr>
          </w:p>
        </w:tc>
      </w:tr>
      <w:tr w:rsidR="00787570" w14:paraId="36CA169F" w14:textId="77777777">
        <w:tc>
          <w:tcPr>
            <w:tcW w:w="0" w:type="auto"/>
            <w:gridSpan w:val="3"/>
            <w:shd w:val="clear" w:color="auto" w:fill="003C71"/>
            <w:tcMar>
              <w:top w:w="40" w:type="dxa"/>
              <w:left w:w="20" w:type="dxa"/>
              <w:bottom w:w="40" w:type="dxa"/>
              <w:right w:w="20" w:type="dxa"/>
            </w:tcMar>
            <w:vAlign w:val="bottom"/>
          </w:tcPr>
          <w:p w14:paraId="36CA1698" w14:textId="77777777" w:rsidR="00787570" w:rsidRDefault="000D56E2">
            <w:pPr>
              <w:textAlignment w:val="bottom"/>
            </w:pPr>
            <w:r>
              <w:rPr>
                <w:rFonts w:ascii="Arial" w:eastAsia="宋体" w:hAnsi="Arial" w:cs="Arial"/>
                <w:b/>
                <w:bCs/>
                <w:color w:val="FFFFFF"/>
                <w:sz w:val="20"/>
                <w:szCs w:val="20"/>
              </w:rPr>
              <w:t>REVENUE</w:t>
            </w:r>
          </w:p>
        </w:tc>
        <w:tc>
          <w:tcPr>
            <w:tcW w:w="0" w:type="auto"/>
            <w:gridSpan w:val="3"/>
            <w:shd w:val="clear" w:color="auto" w:fill="auto"/>
            <w:tcMar>
              <w:left w:w="20" w:type="dxa"/>
              <w:right w:w="20" w:type="dxa"/>
            </w:tcMar>
            <w:vAlign w:val="bottom"/>
          </w:tcPr>
          <w:p w14:paraId="36CA1699" w14:textId="77777777" w:rsidR="00787570" w:rsidRDefault="00787570">
            <w:pPr>
              <w:rPr>
                <w:rFonts w:ascii="宋体"/>
              </w:rPr>
            </w:pPr>
          </w:p>
        </w:tc>
        <w:tc>
          <w:tcPr>
            <w:tcW w:w="0" w:type="auto"/>
            <w:gridSpan w:val="3"/>
            <w:shd w:val="clear" w:color="auto" w:fill="0071C5"/>
            <w:tcMar>
              <w:top w:w="40" w:type="dxa"/>
              <w:left w:w="20" w:type="dxa"/>
              <w:bottom w:w="40" w:type="dxa"/>
              <w:right w:w="20" w:type="dxa"/>
            </w:tcMar>
            <w:vAlign w:val="bottom"/>
          </w:tcPr>
          <w:p w14:paraId="36CA169A" w14:textId="77777777" w:rsidR="00787570" w:rsidRDefault="000D56E2">
            <w:pPr>
              <w:textAlignment w:val="bottom"/>
            </w:pPr>
            <w:r>
              <w:rPr>
                <w:rFonts w:ascii="Arial" w:eastAsia="宋体" w:hAnsi="Arial" w:cs="Arial"/>
                <w:b/>
                <w:bCs/>
                <w:color w:val="FFFFFF"/>
                <w:sz w:val="20"/>
                <w:szCs w:val="20"/>
              </w:rPr>
              <w:t>OPERATING INCOME</w:t>
            </w:r>
          </w:p>
        </w:tc>
        <w:tc>
          <w:tcPr>
            <w:tcW w:w="0" w:type="auto"/>
            <w:gridSpan w:val="3"/>
            <w:shd w:val="clear" w:color="auto" w:fill="auto"/>
            <w:tcMar>
              <w:left w:w="20" w:type="dxa"/>
              <w:right w:w="20" w:type="dxa"/>
            </w:tcMar>
            <w:vAlign w:val="bottom"/>
          </w:tcPr>
          <w:p w14:paraId="36CA169B" w14:textId="77777777" w:rsidR="00787570" w:rsidRDefault="00787570">
            <w:pPr>
              <w:rPr>
                <w:rFonts w:ascii="宋体"/>
              </w:rPr>
            </w:pPr>
          </w:p>
        </w:tc>
        <w:tc>
          <w:tcPr>
            <w:tcW w:w="0" w:type="auto"/>
            <w:gridSpan w:val="3"/>
            <w:shd w:val="clear" w:color="auto" w:fill="00AEEF"/>
            <w:tcMar>
              <w:top w:w="40" w:type="dxa"/>
              <w:left w:w="20" w:type="dxa"/>
              <w:bottom w:w="40" w:type="dxa"/>
              <w:right w:w="20" w:type="dxa"/>
            </w:tcMar>
            <w:vAlign w:val="bottom"/>
          </w:tcPr>
          <w:p w14:paraId="36CA169C" w14:textId="77777777" w:rsidR="00787570" w:rsidRDefault="000D56E2">
            <w:pPr>
              <w:textAlignment w:val="bottom"/>
            </w:pPr>
            <w:r>
              <w:rPr>
                <w:rFonts w:ascii="Arial" w:eastAsia="宋体" w:hAnsi="Arial" w:cs="Arial"/>
                <w:b/>
                <w:bCs/>
                <w:color w:val="FFFFFF"/>
                <w:sz w:val="20"/>
                <w:szCs w:val="20"/>
              </w:rPr>
              <w:t>DILUTED EPS</w:t>
            </w:r>
          </w:p>
        </w:tc>
        <w:tc>
          <w:tcPr>
            <w:tcW w:w="0" w:type="auto"/>
            <w:gridSpan w:val="3"/>
            <w:shd w:val="clear" w:color="auto" w:fill="auto"/>
            <w:tcMar>
              <w:left w:w="20" w:type="dxa"/>
              <w:right w:w="20" w:type="dxa"/>
            </w:tcMar>
            <w:vAlign w:val="bottom"/>
          </w:tcPr>
          <w:p w14:paraId="36CA169D" w14:textId="77777777" w:rsidR="00787570" w:rsidRDefault="00787570">
            <w:pPr>
              <w:rPr>
                <w:rFonts w:ascii="宋体"/>
              </w:rPr>
            </w:pPr>
          </w:p>
        </w:tc>
        <w:tc>
          <w:tcPr>
            <w:tcW w:w="0" w:type="auto"/>
            <w:gridSpan w:val="3"/>
            <w:shd w:val="clear" w:color="auto" w:fill="ACACAC"/>
            <w:tcMar>
              <w:top w:w="40" w:type="dxa"/>
              <w:left w:w="20" w:type="dxa"/>
              <w:bottom w:w="40" w:type="dxa"/>
              <w:right w:w="20" w:type="dxa"/>
            </w:tcMar>
            <w:vAlign w:val="bottom"/>
          </w:tcPr>
          <w:p w14:paraId="36CA169E" w14:textId="77777777" w:rsidR="00787570" w:rsidRDefault="000D56E2">
            <w:pPr>
              <w:textAlignment w:val="bottom"/>
            </w:pPr>
            <w:r>
              <w:rPr>
                <w:rFonts w:ascii="Arial" w:eastAsia="宋体" w:hAnsi="Arial" w:cs="Arial"/>
                <w:b/>
                <w:bCs/>
                <w:color w:val="FFFFFF"/>
                <w:sz w:val="20"/>
                <w:szCs w:val="20"/>
              </w:rPr>
              <w:t>CASH FLOWS</w:t>
            </w:r>
          </w:p>
        </w:tc>
      </w:tr>
      <w:tr w:rsidR="00787570" w14:paraId="36CA16A9" w14:textId="77777777">
        <w:tc>
          <w:tcPr>
            <w:tcW w:w="0" w:type="auto"/>
            <w:gridSpan w:val="3"/>
            <w:shd w:val="clear" w:color="auto" w:fill="auto"/>
            <w:tcMar>
              <w:top w:w="40" w:type="dxa"/>
              <w:left w:w="20" w:type="dxa"/>
              <w:bottom w:w="40" w:type="dxa"/>
              <w:right w:w="20" w:type="dxa"/>
            </w:tcMar>
          </w:tcPr>
          <w:p w14:paraId="36CA16A0" w14:textId="77777777" w:rsidR="00787570" w:rsidRDefault="000D56E2">
            <w:pPr>
              <w:textAlignment w:val="top"/>
            </w:pPr>
            <w:r>
              <w:rPr>
                <w:rFonts w:ascii="Arial" w:eastAsia="宋体" w:hAnsi="Arial" w:cs="Arial"/>
                <w:color w:val="003D72"/>
                <w:sz w:val="18"/>
                <w:szCs w:val="18"/>
              </w:rPr>
              <w:t>■</w:t>
            </w:r>
            <w:r>
              <w:rPr>
                <w:rFonts w:ascii="Arial" w:eastAsia="宋体" w:hAnsi="Arial" w:cs="Arial"/>
                <w:color w:val="003C71"/>
                <w:sz w:val="18"/>
                <w:szCs w:val="18"/>
              </w:rPr>
              <w:t xml:space="preserve"> </w:t>
            </w:r>
            <w:r>
              <w:rPr>
                <w:rFonts w:ascii="Arial" w:eastAsia="宋体" w:hAnsi="Arial" w:cs="Arial"/>
                <w:color w:val="333333"/>
                <w:sz w:val="16"/>
                <w:szCs w:val="16"/>
              </w:rPr>
              <w:t xml:space="preserve">PC-CENTRIC $B </w:t>
            </w:r>
          </w:p>
          <w:p w14:paraId="36CA16A1" w14:textId="77777777" w:rsidR="00787570" w:rsidRDefault="000D56E2">
            <w:pPr>
              <w:textAlignment w:val="top"/>
            </w:pPr>
            <w:r>
              <w:rPr>
                <w:rFonts w:ascii="Arial" w:eastAsia="宋体" w:hAnsi="Arial" w:cs="Arial"/>
                <w:color w:val="00AEEF"/>
                <w:sz w:val="18"/>
                <w:szCs w:val="18"/>
              </w:rPr>
              <w:t>■</w:t>
            </w:r>
            <w:r>
              <w:rPr>
                <w:rFonts w:ascii="Arial" w:eastAsia="宋体" w:hAnsi="Arial" w:cs="Arial"/>
                <w:color w:val="003C71"/>
                <w:sz w:val="18"/>
                <w:szCs w:val="18"/>
              </w:rPr>
              <w:t xml:space="preserve"> </w:t>
            </w:r>
            <w:r>
              <w:rPr>
                <w:rFonts w:ascii="Arial" w:eastAsia="宋体" w:hAnsi="Arial" w:cs="Arial"/>
                <w:color w:val="333333"/>
                <w:sz w:val="16"/>
                <w:szCs w:val="16"/>
              </w:rPr>
              <w:t>DATA-CENTRIC $B</w:t>
            </w:r>
          </w:p>
        </w:tc>
        <w:tc>
          <w:tcPr>
            <w:tcW w:w="0" w:type="auto"/>
            <w:gridSpan w:val="3"/>
            <w:shd w:val="clear" w:color="auto" w:fill="auto"/>
            <w:tcMar>
              <w:left w:w="20" w:type="dxa"/>
              <w:right w:w="20" w:type="dxa"/>
            </w:tcMar>
            <w:vAlign w:val="bottom"/>
          </w:tcPr>
          <w:p w14:paraId="36CA16A2" w14:textId="77777777" w:rsidR="00787570" w:rsidRDefault="00787570">
            <w:pPr>
              <w:rPr>
                <w:rFonts w:ascii="宋体"/>
              </w:rPr>
            </w:pPr>
          </w:p>
        </w:tc>
        <w:tc>
          <w:tcPr>
            <w:tcW w:w="0" w:type="auto"/>
            <w:gridSpan w:val="3"/>
            <w:shd w:val="clear" w:color="auto" w:fill="auto"/>
            <w:tcMar>
              <w:top w:w="40" w:type="dxa"/>
              <w:left w:w="20" w:type="dxa"/>
              <w:bottom w:w="40" w:type="dxa"/>
              <w:right w:w="20" w:type="dxa"/>
            </w:tcMar>
          </w:tcPr>
          <w:p w14:paraId="36CA16A3" w14:textId="77777777" w:rsidR="00787570" w:rsidRDefault="000D56E2">
            <w:pPr>
              <w:textAlignment w:val="top"/>
            </w:pPr>
            <w:r>
              <w:rPr>
                <w:rFonts w:ascii="Arial" w:eastAsia="宋体" w:hAnsi="Arial" w:cs="Arial"/>
                <w:color w:val="003C71"/>
                <w:sz w:val="18"/>
                <w:szCs w:val="18"/>
              </w:rPr>
              <w:t xml:space="preserve">■ </w:t>
            </w:r>
            <w:r>
              <w:rPr>
                <w:rFonts w:ascii="Arial" w:eastAsia="宋体" w:hAnsi="Arial" w:cs="Arial"/>
                <w:color w:val="333333"/>
                <w:sz w:val="16"/>
                <w:szCs w:val="16"/>
              </w:rPr>
              <w:t>GAAP $B</w:t>
            </w:r>
            <w:r>
              <w:rPr>
                <w:rFonts w:ascii="Arial" w:eastAsia="宋体" w:hAnsi="Arial" w:cs="Arial"/>
                <w:color w:val="333333"/>
                <w:sz w:val="18"/>
                <w:szCs w:val="18"/>
              </w:rPr>
              <w:t xml:space="preserve"> </w:t>
            </w:r>
            <w:r>
              <w:rPr>
                <w:rFonts w:ascii="Arial" w:eastAsia="宋体" w:hAnsi="Arial" w:cs="Arial"/>
                <w:color w:val="00AEEF"/>
                <w:sz w:val="18"/>
                <w:szCs w:val="18"/>
              </w:rPr>
              <w:t>■</w:t>
            </w:r>
            <w:r>
              <w:rPr>
                <w:rFonts w:ascii="Arial" w:eastAsia="宋体" w:hAnsi="Arial" w:cs="Arial"/>
                <w:color w:val="003C71"/>
                <w:sz w:val="18"/>
                <w:szCs w:val="18"/>
              </w:rPr>
              <w:t xml:space="preserve"> </w:t>
            </w:r>
            <w:r>
              <w:rPr>
                <w:rFonts w:ascii="Arial" w:eastAsia="宋体" w:hAnsi="Arial" w:cs="Arial"/>
                <w:color w:val="333333"/>
                <w:sz w:val="16"/>
                <w:szCs w:val="16"/>
              </w:rPr>
              <w:t>NON-GAAP $B</w:t>
            </w:r>
          </w:p>
        </w:tc>
        <w:tc>
          <w:tcPr>
            <w:tcW w:w="0" w:type="auto"/>
            <w:gridSpan w:val="3"/>
            <w:shd w:val="clear" w:color="auto" w:fill="auto"/>
            <w:tcMar>
              <w:left w:w="20" w:type="dxa"/>
              <w:right w:w="20" w:type="dxa"/>
            </w:tcMar>
            <w:vAlign w:val="bottom"/>
          </w:tcPr>
          <w:p w14:paraId="36CA16A4" w14:textId="77777777" w:rsidR="00787570" w:rsidRDefault="00787570">
            <w:pPr>
              <w:rPr>
                <w:rFonts w:ascii="宋体"/>
              </w:rPr>
            </w:pPr>
          </w:p>
        </w:tc>
        <w:tc>
          <w:tcPr>
            <w:tcW w:w="0" w:type="auto"/>
            <w:gridSpan w:val="3"/>
            <w:shd w:val="clear" w:color="auto" w:fill="auto"/>
            <w:tcMar>
              <w:top w:w="40" w:type="dxa"/>
              <w:left w:w="20" w:type="dxa"/>
              <w:bottom w:w="40" w:type="dxa"/>
              <w:right w:w="20" w:type="dxa"/>
            </w:tcMar>
          </w:tcPr>
          <w:p w14:paraId="36CA16A5" w14:textId="77777777" w:rsidR="00787570" w:rsidRDefault="000D56E2">
            <w:pPr>
              <w:textAlignment w:val="top"/>
            </w:pPr>
            <w:r>
              <w:rPr>
                <w:rFonts w:ascii="Arial" w:eastAsia="宋体" w:hAnsi="Arial" w:cs="Arial"/>
                <w:color w:val="003C71"/>
                <w:sz w:val="18"/>
                <w:szCs w:val="18"/>
              </w:rPr>
              <w:t xml:space="preserve">■ </w:t>
            </w:r>
            <w:r>
              <w:rPr>
                <w:rFonts w:ascii="Arial" w:eastAsia="宋体" w:hAnsi="Arial" w:cs="Arial"/>
                <w:color w:val="333333"/>
                <w:sz w:val="16"/>
                <w:szCs w:val="16"/>
              </w:rPr>
              <w:t>GAAP</w:t>
            </w:r>
            <w:r>
              <w:rPr>
                <w:rFonts w:ascii="Arial" w:eastAsia="宋体" w:hAnsi="Arial" w:cs="Arial"/>
                <w:color w:val="333333"/>
                <w:sz w:val="18"/>
                <w:szCs w:val="18"/>
              </w:rPr>
              <w:t xml:space="preserve"> </w:t>
            </w:r>
            <w:r>
              <w:rPr>
                <w:rFonts w:ascii="Arial" w:eastAsia="宋体" w:hAnsi="Arial" w:cs="Arial"/>
                <w:color w:val="00AEEF"/>
                <w:sz w:val="18"/>
                <w:szCs w:val="18"/>
              </w:rPr>
              <w:t>■</w:t>
            </w:r>
            <w:r>
              <w:rPr>
                <w:rFonts w:ascii="Arial" w:eastAsia="宋体" w:hAnsi="Arial" w:cs="Arial"/>
                <w:color w:val="003C71"/>
                <w:sz w:val="18"/>
                <w:szCs w:val="18"/>
              </w:rPr>
              <w:t xml:space="preserve"> </w:t>
            </w:r>
            <w:r>
              <w:rPr>
                <w:rFonts w:ascii="Arial" w:eastAsia="宋体" w:hAnsi="Arial" w:cs="Arial"/>
                <w:color w:val="333333"/>
                <w:sz w:val="16"/>
                <w:szCs w:val="16"/>
              </w:rPr>
              <w:t>NON-GAAP</w:t>
            </w:r>
          </w:p>
        </w:tc>
        <w:tc>
          <w:tcPr>
            <w:tcW w:w="0" w:type="auto"/>
            <w:gridSpan w:val="3"/>
            <w:shd w:val="clear" w:color="auto" w:fill="auto"/>
            <w:tcMar>
              <w:left w:w="20" w:type="dxa"/>
              <w:right w:w="20" w:type="dxa"/>
            </w:tcMar>
            <w:vAlign w:val="bottom"/>
          </w:tcPr>
          <w:p w14:paraId="36CA16A6" w14:textId="77777777" w:rsidR="00787570" w:rsidRDefault="00787570">
            <w:pPr>
              <w:rPr>
                <w:rFonts w:ascii="宋体"/>
              </w:rPr>
            </w:pPr>
          </w:p>
        </w:tc>
        <w:tc>
          <w:tcPr>
            <w:tcW w:w="0" w:type="auto"/>
            <w:gridSpan w:val="3"/>
            <w:shd w:val="clear" w:color="auto" w:fill="auto"/>
            <w:tcMar>
              <w:top w:w="40" w:type="dxa"/>
              <w:left w:w="20" w:type="dxa"/>
              <w:bottom w:w="40" w:type="dxa"/>
              <w:right w:w="20" w:type="dxa"/>
            </w:tcMar>
          </w:tcPr>
          <w:p w14:paraId="36CA16A7" w14:textId="77777777" w:rsidR="00787570" w:rsidRDefault="000D56E2">
            <w:pPr>
              <w:textAlignment w:val="top"/>
            </w:pPr>
            <w:r>
              <w:rPr>
                <w:rFonts w:ascii="Arial" w:eastAsia="宋体" w:hAnsi="Arial" w:cs="Arial"/>
                <w:color w:val="003D72"/>
                <w:sz w:val="18"/>
                <w:szCs w:val="18"/>
              </w:rPr>
              <w:t>■</w:t>
            </w:r>
            <w:r>
              <w:rPr>
                <w:rFonts w:ascii="Arial" w:eastAsia="宋体" w:hAnsi="Arial" w:cs="Arial"/>
                <w:color w:val="003C71"/>
                <w:sz w:val="18"/>
                <w:szCs w:val="18"/>
              </w:rPr>
              <w:t xml:space="preserve"> </w:t>
            </w:r>
            <w:r>
              <w:rPr>
                <w:rFonts w:ascii="Arial" w:eastAsia="宋体" w:hAnsi="Arial" w:cs="Arial"/>
                <w:color w:val="333333"/>
                <w:sz w:val="16"/>
                <w:szCs w:val="16"/>
              </w:rPr>
              <w:t>OPERATING CASH FLOW</w:t>
            </w:r>
            <w:r>
              <w:rPr>
                <w:rFonts w:ascii="Arial" w:eastAsia="宋体" w:hAnsi="Arial" w:cs="Arial"/>
                <w:color w:val="003C71"/>
                <w:sz w:val="16"/>
                <w:szCs w:val="16"/>
              </w:rPr>
              <w:t xml:space="preserve"> </w:t>
            </w:r>
            <w:r>
              <w:rPr>
                <w:rFonts w:ascii="Arial" w:eastAsia="宋体" w:hAnsi="Arial" w:cs="Arial"/>
                <w:color w:val="333333"/>
                <w:sz w:val="16"/>
                <w:szCs w:val="16"/>
              </w:rPr>
              <w:t>$B</w:t>
            </w:r>
          </w:p>
          <w:p w14:paraId="36CA16A8" w14:textId="77777777" w:rsidR="00787570" w:rsidRDefault="000D56E2">
            <w:pPr>
              <w:textAlignment w:val="top"/>
            </w:pPr>
            <w:r>
              <w:rPr>
                <w:rFonts w:ascii="Arial" w:eastAsia="宋体" w:hAnsi="Arial" w:cs="Arial"/>
                <w:color w:val="00AEEF"/>
                <w:sz w:val="18"/>
                <w:szCs w:val="18"/>
              </w:rPr>
              <w:t>■</w:t>
            </w:r>
            <w:r>
              <w:rPr>
                <w:rFonts w:ascii="Arial" w:eastAsia="宋体" w:hAnsi="Arial" w:cs="Arial"/>
                <w:color w:val="003C71"/>
                <w:sz w:val="18"/>
                <w:szCs w:val="18"/>
              </w:rPr>
              <w:t xml:space="preserve"> </w:t>
            </w:r>
            <w:r>
              <w:rPr>
                <w:rFonts w:ascii="Arial" w:eastAsia="宋体" w:hAnsi="Arial" w:cs="Arial"/>
                <w:color w:val="333333"/>
                <w:sz w:val="16"/>
                <w:szCs w:val="16"/>
              </w:rPr>
              <w:t>FREE CASH FLOW $B</w:t>
            </w:r>
          </w:p>
        </w:tc>
      </w:tr>
    </w:tbl>
    <w:p w14:paraId="36CA16AA" w14:textId="77777777" w:rsidR="00787570" w:rsidRDefault="000D56E2">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Viewer9_files/intc-20200926_g3.jpg"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36CA5BE6" wp14:editId="36CA5BE7">
            <wp:extent cx="304800" cy="304800"/>
            <wp:effectExtent l="0" t="0" r="0" b="0"/>
            <wp:docPr id="11" name="图片 41"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41" descr="IMG_259"/>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Viewer9_files/intc-20200926_g4.jpg"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36CA5BE8" wp14:editId="36CA5BE9">
            <wp:extent cx="304800" cy="304800"/>
            <wp:effectExtent l="0" t="0" r="0" b="0"/>
            <wp:docPr id="9" name="图片 42"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42" descr="IMG_260"/>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/INTEL/./Inline XBRL Viewer9_files/intc-202009</w:instrText>
      </w:r>
      <w:r>
        <w:rPr>
          <w:rFonts w:ascii="宋体" w:eastAsia="宋体" w:hAnsi="宋体" w:cs="宋体"/>
        </w:rPr>
        <w:instrText xml:space="preserve">26_g5.jpg"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36CA5BEA" wp14:editId="36CA5BEB">
            <wp:extent cx="304800" cy="304800"/>
            <wp:effectExtent l="0" t="0" r="0" b="0"/>
            <wp:docPr id="10" name="图片 43"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43" descr="IMG_261"/>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Viewer9_files/intc-20200926_g6.jpg"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36CA5BEC" wp14:editId="36CA5BED">
            <wp:extent cx="304800" cy="304800"/>
            <wp:effectExtent l="0" t="0" r="0" b="0"/>
            <wp:docPr id="12" name="图片 44"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44" descr="IMG_262"/>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bl>
      <w:tblPr>
        <w:tblW w:w="10950" w:type="dxa"/>
        <w:tblCellMar>
          <w:top w:w="15" w:type="dxa"/>
          <w:left w:w="15" w:type="dxa"/>
          <w:bottom w:w="15" w:type="dxa"/>
          <w:right w:w="15" w:type="dxa"/>
        </w:tblCellMar>
        <w:tblLook w:val="04A0" w:firstRow="1" w:lastRow="0" w:firstColumn="1" w:lastColumn="0" w:noHBand="0" w:noVBand="1"/>
      </w:tblPr>
      <w:tblGrid>
        <w:gridCol w:w="37"/>
        <w:gridCol w:w="1192"/>
        <w:gridCol w:w="37"/>
        <w:gridCol w:w="38"/>
        <w:gridCol w:w="38"/>
        <w:gridCol w:w="38"/>
        <w:gridCol w:w="38"/>
        <w:gridCol w:w="125"/>
        <w:gridCol w:w="38"/>
        <w:gridCol w:w="36"/>
        <w:gridCol w:w="36"/>
        <w:gridCol w:w="36"/>
        <w:gridCol w:w="36"/>
        <w:gridCol w:w="941"/>
        <w:gridCol w:w="36"/>
        <w:gridCol w:w="36"/>
        <w:gridCol w:w="36"/>
        <w:gridCol w:w="36"/>
        <w:gridCol w:w="44"/>
        <w:gridCol w:w="1250"/>
        <w:gridCol w:w="44"/>
        <w:gridCol w:w="37"/>
        <w:gridCol w:w="37"/>
        <w:gridCol w:w="37"/>
        <w:gridCol w:w="45"/>
        <w:gridCol w:w="1181"/>
        <w:gridCol w:w="45"/>
        <w:gridCol w:w="36"/>
        <w:gridCol w:w="36"/>
        <w:gridCol w:w="36"/>
        <w:gridCol w:w="38"/>
        <w:gridCol w:w="1011"/>
        <w:gridCol w:w="38"/>
        <w:gridCol w:w="36"/>
        <w:gridCol w:w="36"/>
        <w:gridCol w:w="36"/>
        <w:gridCol w:w="38"/>
        <w:gridCol w:w="1194"/>
        <w:gridCol w:w="38"/>
        <w:gridCol w:w="36"/>
        <w:gridCol w:w="36"/>
        <w:gridCol w:w="36"/>
        <w:gridCol w:w="38"/>
        <w:gridCol w:w="1216"/>
        <w:gridCol w:w="38"/>
        <w:gridCol w:w="36"/>
        <w:gridCol w:w="36"/>
        <w:gridCol w:w="36"/>
        <w:gridCol w:w="153"/>
        <w:gridCol w:w="153"/>
        <w:gridCol w:w="153"/>
        <w:gridCol w:w="36"/>
        <w:gridCol w:w="36"/>
        <w:gridCol w:w="36"/>
        <w:gridCol w:w="92"/>
        <w:gridCol w:w="92"/>
        <w:gridCol w:w="92"/>
        <w:gridCol w:w="92"/>
        <w:gridCol w:w="92"/>
        <w:gridCol w:w="92"/>
        <w:gridCol w:w="92"/>
        <w:gridCol w:w="92"/>
        <w:gridCol w:w="36"/>
      </w:tblGrid>
      <w:tr w:rsidR="00787570" w14:paraId="36CA16D8" w14:textId="77777777">
        <w:trPr>
          <w:gridAfter w:val="18"/>
        </w:trPr>
        <w:tc>
          <w:tcPr>
            <w:tcW w:w="20" w:type="dxa"/>
            <w:shd w:val="clear" w:color="auto" w:fill="auto"/>
          </w:tcPr>
          <w:p w14:paraId="36CA16AB" w14:textId="77777777" w:rsidR="00787570" w:rsidRDefault="00787570">
            <w:pPr>
              <w:rPr>
                <w:rFonts w:ascii="宋体"/>
              </w:rPr>
            </w:pPr>
          </w:p>
        </w:tc>
        <w:tc>
          <w:tcPr>
            <w:tcW w:w="1295" w:type="dxa"/>
            <w:shd w:val="clear" w:color="auto" w:fill="auto"/>
          </w:tcPr>
          <w:p w14:paraId="36CA16AC" w14:textId="77777777" w:rsidR="00787570" w:rsidRDefault="00787570">
            <w:pPr>
              <w:rPr>
                <w:rFonts w:ascii="宋体"/>
              </w:rPr>
            </w:pPr>
          </w:p>
        </w:tc>
        <w:tc>
          <w:tcPr>
            <w:tcW w:w="20" w:type="dxa"/>
            <w:shd w:val="clear" w:color="auto" w:fill="auto"/>
          </w:tcPr>
          <w:p w14:paraId="36CA16AD" w14:textId="77777777" w:rsidR="00787570" w:rsidRDefault="00787570">
            <w:pPr>
              <w:rPr>
                <w:rFonts w:ascii="宋体"/>
              </w:rPr>
            </w:pPr>
          </w:p>
        </w:tc>
        <w:tc>
          <w:tcPr>
            <w:tcW w:w="20" w:type="dxa"/>
            <w:shd w:val="clear" w:color="auto" w:fill="auto"/>
          </w:tcPr>
          <w:p w14:paraId="36CA16AE" w14:textId="77777777" w:rsidR="00787570" w:rsidRDefault="00787570">
            <w:pPr>
              <w:rPr>
                <w:rFonts w:ascii="宋体"/>
              </w:rPr>
            </w:pPr>
          </w:p>
        </w:tc>
        <w:tc>
          <w:tcPr>
            <w:tcW w:w="35" w:type="dxa"/>
            <w:shd w:val="clear" w:color="auto" w:fill="auto"/>
          </w:tcPr>
          <w:p w14:paraId="36CA16AF" w14:textId="77777777" w:rsidR="00787570" w:rsidRDefault="00787570">
            <w:pPr>
              <w:rPr>
                <w:rFonts w:ascii="宋体"/>
              </w:rPr>
            </w:pPr>
          </w:p>
        </w:tc>
        <w:tc>
          <w:tcPr>
            <w:tcW w:w="20" w:type="dxa"/>
            <w:shd w:val="clear" w:color="auto" w:fill="auto"/>
          </w:tcPr>
          <w:p w14:paraId="36CA16B0" w14:textId="77777777" w:rsidR="00787570" w:rsidRDefault="00787570">
            <w:pPr>
              <w:rPr>
                <w:rFonts w:ascii="宋体"/>
              </w:rPr>
            </w:pPr>
          </w:p>
        </w:tc>
        <w:tc>
          <w:tcPr>
            <w:tcW w:w="20" w:type="dxa"/>
            <w:shd w:val="clear" w:color="auto" w:fill="auto"/>
          </w:tcPr>
          <w:p w14:paraId="36CA16B1" w14:textId="77777777" w:rsidR="00787570" w:rsidRDefault="00787570">
            <w:pPr>
              <w:rPr>
                <w:rFonts w:ascii="宋体"/>
              </w:rPr>
            </w:pPr>
          </w:p>
        </w:tc>
        <w:tc>
          <w:tcPr>
            <w:tcW w:w="1160" w:type="dxa"/>
            <w:shd w:val="clear" w:color="auto" w:fill="auto"/>
          </w:tcPr>
          <w:p w14:paraId="36CA16B2" w14:textId="77777777" w:rsidR="00787570" w:rsidRDefault="00787570">
            <w:pPr>
              <w:rPr>
                <w:rFonts w:ascii="宋体"/>
              </w:rPr>
            </w:pPr>
          </w:p>
        </w:tc>
        <w:tc>
          <w:tcPr>
            <w:tcW w:w="20" w:type="dxa"/>
            <w:shd w:val="clear" w:color="auto" w:fill="auto"/>
          </w:tcPr>
          <w:p w14:paraId="36CA16B3" w14:textId="77777777" w:rsidR="00787570" w:rsidRDefault="00787570">
            <w:pPr>
              <w:rPr>
                <w:rFonts w:ascii="宋体"/>
              </w:rPr>
            </w:pPr>
          </w:p>
        </w:tc>
        <w:tc>
          <w:tcPr>
            <w:tcW w:w="20" w:type="dxa"/>
            <w:shd w:val="clear" w:color="auto" w:fill="auto"/>
          </w:tcPr>
          <w:p w14:paraId="36CA16B4" w14:textId="77777777" w:rsidR="00787570" w:rsidRDefault="00787570">
            <w:pPr>
              <w:rPr>
                <w:rFonts w:ascii="宋体"/>
              </w:rPr>
            </w:pPr>
          </w:p>
        </w:tc>
        <w:tc>
          <w:tcPr>
            <w:tcW w:w="35" w:type="dxa"/>
            <w:shd w:val="clear" w:color="auto" w:fill="auto"/>
          </w:tcPr>
          <w:p w14:paraId="36CA16B5" w14:textId="77777777" w:rsidR="00787570" w:rsidRDefault="00787570">
            <w:pPr>
              <w:rPr>
                <w:rFonts w:ascii="宋体"/>
              </w:rPr>
            </w:pPr>
          </w:p>
        </w:tc>
        <w:tc>
          <w:tcPr>
            <w:tcW w:w="20" w:type="dxa"/>
            <w:shd w:val="clear" w:color="auto" w:fill="auto"/>
          </w:tcPr>
          <w:p w14:paraId="36CA16B6" w14:textId="77777777" w:rsidR="00787570" w:rsidRDefault="00787570">
            <w:pPr>
              <w:rPr>
                <w:rFonts w:ascii="宋体"/>
              </w:rPr>
            </w:pPr>
          </w:p>
        </w:tc>
        <w:tc>
          <w:tcPr>
            <w:tcW w:w="20" w:type="dxa"/>
            <w:shd w:val="clear" w:color="auto" w:fill="auto"/>
          </w:tcPr>
          <w:p w14:paraId="36CA16B7" w14:textId="77777777" w:rsidR="00787570" w:rsidRDefault="00787570">
            <w:pPr>
              <w:rPr>
                <w:rFonts w:ascii="宋体"/>
              </w:rPr>
            </w:pPr>
          </w:p>
        </w:tc>
        <w:tc>
          <w:tcPr>
            <w:tcW w:w="1295" w:type="dxa"/>
            <w:shd w:val="clear" w:color="auto" w:fill="auto"/>
          </w:tcPr>
          <w:p w14:paraId="36CA16B8" w14:textId="77777777" w:rsidR="00787570" w:rsidRDefault="00787570">
            <w:pPr>
              <w:rPr>
                <w:rFonts w:ascii="宋体"/>
              </w:rPr>
            </w:pPr>
          </w:p>
        </w:tc>
        <w:tc>
          <w:tcPr>
            <w:tcW w:w="20" w:type="dxa"/>
            <w:shd w:val="clear" w:color="auto" w:fill="auto"/>
          </w:tcPr>
          <w:p w14:paraId="36CA16B9" w14:textId="77777777" w:rsidR="00787570" w:rsidRDefault="00787570">
            <w:pPr>
              <w:rPr>
                <w:rFonts w:ascii="宋体"/>
              </w:rPr>
            </w:pPr>
          </w:p>
        </w:tc>
        <w:tc>
          <w:tcPr>
            <w:tcW w:w="20" w:type="dxa"/>
            <w:shd w:val="clear" w:color="auto" w:fill="auto"/>
          </w:tcPr>
          <w:p w14:paraId="36CA16BA" w14:textId="77777777" w:rsidR="00787570" w:rsidRDefault="00787570">
            <w:pPr>
              <w:rPr>
                <w:rFonts w:ascii="宋体"/>
              </w:rPr>
            </w:pPr>
          </w:p>
        </w:tc>
        <w:tc>
          <w:tcPr>
            <w:tcW w:w="35" w:type="dxa"/>
            <w:shd w:val="clear" w:color="auto" w:fill="auto"/>
          </w:tcPr>
          <w:p w14:paraId="36CA16BB" w14:textId="77777777" w:rsidR="00787570" w:rsidRDefault="00787570">
            <w:pPr>
              <w:rPr>
                <w:rFonts w:ascii="宋体"/>
              </w:rPr>
            </w:pPr>
          </w:p>
        </w:tc>
        <w:tc>
          <w:tcPr>
            <w:tcW w:w="20" w:type="dxa"/>
            <w:shd w:val="clear" w:color="auto" w:fill="auto"/>
          </w:tcPr>
          <w:p w14:paraId="36CA16BC" w14:textId="77777777" w:rsidR="00787570" w:rsidRDefault="00787570">
            <w:pPr>
              <w:rPr>
                <w:rFonts w:ascii="宋体"/>
              </w:rPr>
            </w:pPr>
          </w:p>
        </w:tc>
        <w:tc>
          <w:tcPr>
            <w:tcW w:w="20" w:type="dxa"/>
            <w:shd w:val="clear" w:color="auto" w:fill="auto"/>
          </w:tcPr>
          <w:p w14:paraId="36CA16BD" w14:textId="77777777" w:rsidR="00787570" w:rsidRDefault="00787570">
            <w:pPr>
              <w:rPr>
                <w:rFonts w:ascii="宋体"/>
              </w:rPr>
            </w:pPr>
          </w:p>
        </w:tc>
        <w:tc>
          <w:tcPr>
            <w:tcW w:w="1295" w:type="dxa"/>
            <w:shd w:val="clear" w:color="auto" w:fill="auto"/>
          </w:tcPr>
          <w:p w14:paraId="36CA16BE" w14:textId="77777777" w:rsidR="00787570" w:rsidRDefault="00787570">
            <w:pPr>
              <w:rPr>
                <w:rFonts w:ascii="宋体"/>
              </w:rPr>
            </w:pPr>
          </w:p>
        </w:tc>
        <w:tc>
          <w:tcPr>
            <w:tcW w:w="20" w:type="dxa"/>
            <w:shd w:val="clear" w:color="auto" w:fill="auto"/>
          </w:tcPr>
          <w:p w14:paraId="36CA16BF" w14:textId="77777777" w:rsidR="00787570" w:rsidRDefault="00787570">
            <w:pPr>
              <w:rPr>
                <w:rFonts w:ascii="宋体"/>
              </w:rPr>
            </w:pPr>
          </w:p>
        </w:tc>
        <w:tc>
          <w:tcPr>
            <w:tcW w:w="20" w:type="dxa"/>
            <w:shd w:val="clear" w:color="auto" w:fill="auto"/>
          </w:tcPr>
          <w:p w14:paraId="36CA16C0" w14:textId="77777777" w:rsidR="00787570" w:rsidRDefault="00787570">
            <w:pPr>
              <w:rPr>
                <w:rFonts w:ascii="宋体"/>
              </w:rPr>
            </w:pPr>
          </w:p>
        </w:tc>
        <w:tc>
          <w:tcPr>
            <w:tcW w:w="35" w:type="dxa"/>
            <w:shd w:val="clear" w:color="auto" w:fill="auto"/>
          </w:tcPr>
          <w:p w14:paraId="36CA16C1" w14:textId="77777777" w:rsidR="00787570" w:rsidRDefault="00787570">
            <w:pPr>
              <w:rPr>
                <w:rFonts w:ascii="宋体"/>
              </w:rPr>
            </w:pPr>
          </w:p>
        </w:tc>
        <w:tc>
          <w:tcPr>
            <w:tcW w:w="20" w:type="dxa"/>
            <w:shd w:val="clear" w:color="auto" w:fill="auto"/>
          </w:tcPr>
          <w:p w14:paraId="36CA16C2" w14:textId="77777777" w:rsidR="00787570" w:rsidRDefault="00787570">
            <w:pPr>
              <w:rPr>
                <w:rFonts w:ascii="宋体"/>
              </w:rPr>
            </w:pPr>
          </w:p>
        </w:tc>
        <w:tc>
          <w:tcPr>
            <w:tcW w:w="20" w:type="dxa"/>
            <w:shd w:val="clear" w:color="auto" w:fill="auto"/>
          </w:tcPr>
          <w:p w14:paraId="36CA16C3" w14:textId="77777777" w:rsidR="00787570" w:rsidRDefault="00787570">
            <w:pPr>
              <w:rPr>
                <w:rFonts w:ascii="宋体"/>
              </w:rPr>
            </w:pPr>
          </w:p>
        </w:tc>
        <w:tc>
          <w:tcPr>
            <w:tcW w:w="1265" w:type="dxa"/>
            <w:shd w:val="clear" w:color="auto" w:fill="auto"/>
          </w:tcPr>
          <w:p w14:paraId="36CA16C4" w14:textId="77777777" w:rsidR="00787570" w:rsidRDefault="00787570">
            <w:pPr>
              <w:rPr>
                <w:rFonts w:ascii="宋体"/>
              </w:rPr>
            </w:pPr>
          </w:p>
        </w:tc>
        <w:tc>
          <w:tcPr>
            <w:tcW w:w="20" w:type="dxa"/>
            <w:shd w:val="clear" w:color="auto" w:fill="auto"/>
          </w:tcPr>
          <w:p w14:paraId="36CA16C5" w14:textId="77777777" w:rsidR="00787570" w:rsidRDefault="00787570">
            <w:pPr>
              <w:rPr>
                <w:rFonts w:ascii="宋体"/>
              </w:rPr>
            </w:pPr>
          </w:p>
        </w:tc>
        <w:tc>
          <w:tcPr>
            <w:tcW w:w="20" w:type="dxa"/>
            <w:shd w:val="clear" w:color="auto" w:fill="auto"/>
          </w:tcPr>
          <w:p w14:paraId="36CA16C6" w14:textId="77777777" w:rsidR="00787570" w:rsidRDefault="00787570">
            <w:pPr>
              <w:rPr>
                <w:rFonts w:ascii="宋体"/>
              </w:rPr>
            </w:pPr>
          </w:p>
        </w:tc>
        <w:tc>
          <w:tcPr>
            <w:tcW w:w="35" w:type="dxa"/>
            <w:shd w:val="clear" w:color="auto" w:fill="auto"/>
          </w:tcPr>
          <w:p w14:paraId="36CA16C7" w14:textId="77777777" w:rsidR="00787570" w:rsidRDefault="00787570">
            <w:pPr>
              <w:rPr>
                <w:rFonts w:ascii="宋体"/>
              </w:rPr>
            </w:pPr>
          </w:p>
        </w:tc>
        <w:tc>
          <w:tcPr>
            <w:tcW w:w="20" w:type="dxa"/>
            <w:shd w:val="clear" w:color="auto" w:fill="auto"/>
          </w:tcPr>
          <w:p w14:paraId="36CA16C8" w14:textId="77777777" w:rsidR="00787570" w:rsidRDefault="00787570">
            <w:pPr>
              <w:rPr>
                <w:rFonts w:ascii="宋体"/>
              </w:rPr>
            </w:pPr>
          </w:p>
        </w:tc>
        <w:tc>
          <w:tcPr>
            <w:tcW w:w="20" w:type="dxa"/>
            <w:shd w:val="clear" w:color="auto" w:fill="auto"/>
          </w:tcPr>
          <w:p w14:paraId="36CA16C9" w14:textId="77777777" w:rsidR="00787570" w:rsidRDefault="00787570">
            <w:pPr>
              <w:rPr>
                <w:rFonts w:ascii="宋体"/>
              </w:rPr>
            </w:pPr>
          </w:p>
        </w:tc>
        <w:tc>
          <w:tcPr>
            <w:tcW w:w="1265" w:type="dxa"/>
            <w:shd w:val="clear" w:color="auto" w:fill="auto"/>
          </w:tcPr>
          <w:p w14:paraId="36CA16CA" w14:textId="77777777" w:rsidR="00787570" w:rsidRDefault="00787570">
            <w:pPr>
              <w:rPr>
                <w:rFonts w:ascii="宋体"/>
              </w:rPr>
            </w:pPr>
          </w:p>
        </w:tc>
        <w:tc>
          <w:tcPr>
            <w:tcW w:w="20" w:type="dxa"/>
            <w:shd w:val="clear" w:color="auto" w:fill="auto"/>
          </w:tcPr>
          <w:p w14:paraId="36CA16CB" w14:textId="77777777" w:rsidR="00787570" w:rsidRDefault="00787570">
            <w:pPr>
              <w:rPr>
                <w:rFonts w:ascii="宋体"/>
              </w:rPr>
            </w:pPr>
          </w:p>
        </w:tc>
        <w:tc>
          <w:tcPr>
            <w:tcW w:w="20" w:type="dxa"/>
            <w:shd w:val="clear" w:color="auto" w:fill="auto"/>
          </w:tcPr>
          <w:p w14:paraId="36CA16CC" w14:textId="77777777" w:rsidR="00787570" w:rsidRDefault="00787570">
            <w:pPr>
              <w:rPr>
                <w:rFonts w:ascii="宋体"/>
              </w:rPr>
            </w:pPr>
          </w:p>
        </w:tc>
        <w:tc>
          <w:tcPr>
            <w:tcW w:w="35" w:type="dxa"/>
            <w:shd w:val="clear" w:color="auto" w:fill="auto"/>
          </w:tcPr>
          <w:p w14:paraId="36CA16CD" w14:textId="77777777" w:rsidR="00787570" w:rsidRDefault="00787570">
            <w:pPr>
              <w:rPr>
                <w:rFonts w:ascii="宋体"/>
              </w:rPr>
            </w:pPr>
          </w:p>
        </w:tc>
        <w:tc>
          <w:tcPr>
            <w:tcW w:w="20" w:type="dxa"/>
            <w:shd w:val="clear" w:color="auto" w:fill="auto"/>
          </w:tcPr>
          <w:p w14:paraId="36CA16CE" w14:textId="77777777" w:rsidR="00787570" w:rsidRDefault="00787570">
            <w:pPr>
              <w:rPr>
                <w:rFonts w:ascii="宋体"/>
              </w:rPr>
            </w:pPr>
          </w:p>
        </w:tc>
        <w:tc>
          <w:tcPr>
            <w:tcW w:w="20" w:type="dxa"/>
            <w:shd w:val="clear" w:color="auto" w:fill="auto"/>
          </w:tcPr>
          <w:p w14:paraId="36CA16CF" w14:textId="77777777" w:rsidR="00787570" w:rsidRDefault="00787570">
            <w:pPr>
              <w:rPr>
                <w:rFonts w:ascii="宋体"/>
              </w:rPr>
            </w:pPr>
          </w:p>
        </w:tc>
        <w:tc>
          <w:tcPr>
            <w:tcW w:w="1265" w:type="dxa"/>
            <w:shd w:val="clear" w:color="auto" w:fill="auto"/>
          </w:tcPr>
          <w:p w14:paraId="36CA16D0" w14:textId="77777777" w:rsidR="00787570" w:rsidRDefault="00787570">
            <w:pPr>
              <w:rPr>
                <w:rFonts w:ascii="宋体"/>
              </w:rPr>
            </w:pPr>
          </w:p>
        </w:tc>
        <w:tc>
          <w:tcPr>
            <w:tcW w:w="20" w:type="dxa"/>
            <w:shd w:val="clear" w:color="auto" w:fill="auto"/>
          </w:tcPr>
          <w:p w14:paraId="36CA16D1" w14:textId="77777777" w:rsidR="00787570" w:rsidRDefault="00787570">
            <w:pPr>
              <w:rPr>
                <w:rFonts w:ascii="宋体"/>
              </w:rPr>
            </w:pPr>
          </w:p>
        </w:tc>
        <w:tc>
          <w:tcPr>
            <w:tcW w:w="20" w:type="dxa"/>
            <w:shd w:val="clear" w:color="auto" w:fill="auto"/>
          </w:tcPr>
          <w:p w14:paraId="36CA16D2" w14:textId="77777777" w:rsidR="00787570" w:rsidRDefault="00787570">
            <w:pPr>
              <w:rPr>
                <w:rFonts w:ascii="宋体"/>
              </w:rPr>
            </w:pPr>
          </w:p>
        </w:tc>
        <w:tc>
          <w:tcPr>
            <w:tcW w:w="35" w:type="dxa"/>
            <w:shd w:val="clear" w:color="auto" w:fill="auto"/>
          </w:tcPr>
          <w:p w14:paraId="36CA16D3" w14:textId="77777777" w:rsidR="00787570" w:rsidRDefault="00787570">
            <w:pPr>
              <w:rPr>
                <w:rFonts w:ascii="宋体"/>
              </w:rPr>
            </w:pPr>
          </w:p>
        </w:tc>
        <w:tc>
          <w:tcPr>
            <w:tcW w:w="20" w:type="dxa"/>
            <w:shd w:val="clear" w:color="auto" w:fill="auto"/>
          </w:tcPr>
          <w:p w14:paraId="36CA16D4" w14:textId="77777777" w:rsidR="00787570" w:rsidRDefault="00787570">
            <w:pPr>
              <w:rPr>
                <w:rFonts w:ascii="宋体"/>
              </w:rPr>
            </w:pPr>
          </w:p>
        </w:tc>
        <w:tc>
          <w:tcPr>
            <w:tcW w:w="20" w:type="dxa"/>
            <w:shd w:val="clear" w:color="auto" w:fill="auto"/>
          </w:tcPr>
          <w:p w14:paraId="36CA16D5" w14:textId="77777777" w:rsidR="00787570" w:rsidRDefault="00787570">
            <w:pPr>
              <w:rPr>
                <w:rFonts w:ascii="宋体"/>
              </w:rPr>
            </w:pPr>
          </w:p>
        </w:tc>
        <w:tc>
          <w:tcPr>
            <w:tcW w:w="1265" w:type="dxa"/>
            <w:shd w:val="clear" w:color="auto" w:fill="auto"/>
          </w:tcPr>
          <w:p w14:paraId="36CA16D6" w14:textId="77777777" w:rsidR="00787570" w:rsidRDefault="00787570">
            <w:pPr>
              <w:rPr>
                <w:rFonts w:ascii="宋体"/>
              </w:rPr>
            </w:pPr>
          </w:p>
        </w:tc>
        <w:tc>
          <w:tcPr>
            <w:tcW w:w="20" w:type="dxa"/>
            <w:shd w:val="clear" w:color="auto" w:fill="auto"/>
          </w:tcPr>
          <w:p w14:paraId="36CA16D7" w14:textId="77777777" w:rsidR="00787570" w:rsidRDefault="00787570">
            <w:pPr>
              <w:rPr>
                <w:rFonts w:ascii="宋体"/>
              </w:rPr>
            </w:pPr>
          </w:p>
        </w:tc>
      </w:tr>
      <w:tr w:rsidR="00787570" w14:paraId="36CA16E7" w14:textId="77777777">
        <w:trPr>
          <w:trHeight w:val="60"/>
        </w:trPr>
        <w:tc>
          <w:tcPr>
            <w:tcW w:w="0" w:type="auto"/>
            <w:gridSpan w:val="9"/>
            <w:shd w:val="clear" w:color="auto" w:fill="003C71"/>
            <w:tcMar>
              <w:left w:w="20" w:type="dxa"/>
              <w:right w:w="20" w:type="dxa"/>
            </w:tcMar>
            <w:vAlign w:val="bottom"/>
          </w:tcPr>
          <w:p w14:paraId="36CA16D9" w14:textId="77777777" w:rsidR="00787570" w:rsidRDefault="00787570">
            <w:pPr>
              <w:rPr>
                <w:rFonts w:ascii="宋体"/>
              </w:rPr>
            </w:pPr>
          </w:p>
        </w:tc>
        <w:tc>
          <w:tcPr>
            <w:tcW w:w="0" w:type="auto"/>
            <w:gridSpan w:val="3"/>
            <w:shd w:val="clear" w:color="auto" w:fill="auto"/>
          </w:tcPr>
          <w:p w14:paraId="36CA16DA" w14:textId="77777777" w:rsidR="00787570" w:rsidRDefault="00787570">
            <w:pPr>
              <w:rPr>
                <w:rFonts w:ascii="宋体"/>
                <w:vanish/>
              </w:rPr>
            </w:pPr>
          </w:p>
        </w:tc>
        <w:tc>
          <w:tcPr>
            <w:tcW w:w="0" w:type="auto"/>
            <w:gridSpan w:val="3"/>
            <w:shd w:val="clear" w:color="auto" w:fill="auto"/>
          </w:tcPr>
          <w:p w14:paraId="36CA16DB" w14:textId="77777777" w:rsidR="00787570" w:rsidRDefault="00787570">
            <w:pPr>
              <w:rPr>
                <w:rFonts w:ascii="宋体"/>
                <w:vanish/>
              </w:rPr>
            </w:pPr>
          </w:p>
        </w:tc>
        <w:tc>
          <w:tcPr>
            <w:tcW w:w="0" w:type="auto"/>
            <w:gridSpan w:val="3"/>
            <w:shd w:val="clear" w:color="auto" w:fill="auto"/>
            <w:tcMar>
              <w:left w:w="20" w:type="dxa"/>
              <w:right w:w="20" w:type="dxa"/>
            </w:tcMar>
            <w:vAlign w:val="bottom"/>
          </w:tcPr>
          <w:p w14:paraId="36CA16DC" w14:textId="77777777" w:rsidR="00787570" w:rsidRDefault="00787570">
            <w:pPr>
              <w:rPr>
                <w:rFonts w:ascii="宋体"/>
              </w:rPr>
            </w:pPr>
          </w:p>
        </w:tc>
        <w:tc>
          <w:tcPr>
            <w:tcW w:w="0" w:type="auto"/>
            <w:gridSpan w:val="9"/>
            <w:shd w:val="clear" w:color="auto" w:fill="0071C5"/>
            <w:tcMar>
              <w:left w:w="20" w:type="dxa"/>
              <w:right w:w="20" w:type="dxa"/>
            </w:tcMar>
            <w:vAlign w:val="bottom"/>
          </w:tcPr>
          <w:p w14:paraId="36CA16DD" w14:textId="77777777" w:rsidR="00787570" w:rsidRDefault="00787570">
            <w:pPr>
              <w:rPr>
                <w:rFonts w:ascii="宋体"/>
              </w:rPr>
            </w:pPr>
          </w:p>
        </w:tc>
        <w:tc>
          <w:tcPr>
            <w:tcW w:w="0" w:type="auto"/>
            <w:gridSpan w:val="3"/>
            <w:shd w:val="clear" w:color="auto" w:fill="auto"/>
          </w:tcPr>
          <w:p w14:paraId="36CA16DE" w14:textId="77777777" w:rsidR="00787570" w:rsidRDefault="00787570">
            <w:pPr>
              <w:rPr>
                <w:rFonts w:ascii="宋体"/>
                <w:vanish/>
              </w:rPr>
            </w:pPr>
          </w:p>
        </w:tc>
        <w:tc>
          <w:tcPr>
            <w:tcW w:w="0" w:type="auto"/>
            <w:gridSpan w:val="3"/>
            <w:shd w:val="clear" w:color="auto" w:fill="auto"/>
          </w:tcPr>
          <w:p w14:paraId="36CA16DF" w14:textId="77777777" w:rsidR="00787570" w:rsidRDefault="00787570">
            <w:pPr>
              <w:rPr>
                <w:rFonts w:ascii="宋体"/>
                <w:vanish/>
              </w:rPr>
            </w:pPr>
          </w:p>
        </w:tc>
        <w:tc>
          <w:tcPr>
            <w:tcW w:w="0" w:type="auto"/>
            <w:gridSpan w:val="3"/>
            <w:shd w:val="clear" w:color="auto" w:fill="auto"/>
            <w:tcMar>
              <w:left w:w="20" w:type="dxa"/>
              <w:right w:w="20" w:type="dxa"/>
            </w:tcMar>
            <w:vAlign w:val="bottom"/>
          </w:tcPr>
          <w:p w14:paraId="36CA16E0" w14:textId="77777777" w:rsidR="00787570" w:rsidRDefault="00787570">
            <w:pPr>
              <w:rPr>
                <w:rFonts w:ascii="宋体"/>
              </w:rPr>
            </w:pPr>
          </w:p>
        </w:tc>
        <w:tc>
          <w:tcPr>
            <w:tcW w:w="0" w:type="auto"/>
            <w:gridSpan w:val="9"/>
            <w:shd w:val="clear" w:color="auto" w:fill="00AEEF"/>
            <w:tcMar>
              <w:left w:w="20" w:type="dxa"/>
              <w:right w:w="20" w:type="dxa"/>
            </w:tcMar>
            <w:vAlign w:val="bottom"/>
          </w:tcPr>
          <w:p w14:paraId="36CA16E1" w14:textId="77777777" w:rsidR="00787570" w:rsidRDefault="00787570">
            <w:pPr>
              <w:rPr>
                <w:rFonts w:ascii="宋体"/>
              </w:rPr>
            </w:pPr>
          </w:p>
        </w:tc>
        <w:tc>
          <w:tcPr>
            <w:tcW w:w="0" w:type="auto"/>
            <w:gridSpan w:val="3"/>
            <w:shd w:val="clear" w:color="auto" w:fill="auto"/>
          </w:tcPr>
          <w:p w14:paraId="36CA16E2" w14:textId="77777777" w:rsidR="00787570" w:rsidRDefault="00787570">
            <w:pPr>
              <w:rPr>
                <w:rFonts w:ascii="宋体"/>
                <w:vanish/>
              </w:rPr>
            </w:pPr>
          </w:p>
        </w:tc>
        <w:tc>
          <w:tcPr>
            <w:tcW w:w="0" w:type="auto"/>
            <w:gridSpan w:val="3"/>
            <w:shd w:val="clear" w:color="auto" w:fill="auto"/>
          </w:tcPr>
          <w:p w14:paraId="36CA16E3" w14:textId="77777777" w:rsidR="00787570" w:rsidRDefault="00787570">
            <w:pPr>
              <w:rPr>
                <w:rFonts w:ascii="宋体"/>
                <w:vanish/>
              </w:rPr>
            </w:pPr>
          </w:p>
        </w:tc>
        <w:tc>
          <w:tcPr>
            <w:tcW w:w="0" w:type="auto"/>
            <w:gridSpan w:val="3"/>
            <w:shd w:val="clear" w:color="auto" w:fill="auto"/>
            <w:tcMar>
              <w:left w:w="20" w:type="dxa"/>
              <w:right w:w="20" w:type="dxa"/>
            </w:tcMar>
            <w:vAlign w:val="bottom"/>
          </w:tcPr>
          <w:p w14:paraId="36CA16E4" w14:textId="77777777" w:rsidR="00787570" w:rsidRDefault="00787570">
            <w:pPr>
              <w:rPr>
                <w:rFonts w:ascii="宋体"/>
              </w:rPr>
            </w:pPr>
          </w:p>
        </w:tc>
        <w:tc>
          <w:tcPr>
            <w:tcW w:w="0" w:type="auto"/>
            <w:gridSpan w:val="8"/>
            <w:shd w:val="clear" w:color="auto" w:fill="ACACAC"/>
            <w:tcMar>
              <w:left w:w="20" w:type="dxa"/>
              <w:right w:w="20" w:type="dxa"/>
            </w:tcMar>
            <w:vAlign w:val="bottom"/>
          </w:tcPr>
          <w:p w14:paraId="36CA16E5" w14:textId="77777777" w:rsidR="00787570" w:rsidRDefault="00787570">
            <w:pPr>
              <w:rPr>
                <w:rFonts w:ascii="宋体"/>
              </w:rPr>
            </w:pPr>
          </w:p>
        </w:tc>
        <w:tc>
          <w:tcPr>
            <w:tcW w:w="0" w:type="auto"/>
            <w:shd w:val="clear" w:color="auto" w:fill="auto"/>
          </w:tcPr>
          <w:p w14:paraId="36CA16E6" w14:textId="77777777" w:rsidR="00787570" w:rsidRDefault="00787570">
            <w:pPr>
              <w:rPr>
                <w:rFonts w:ascii="宋体"/>
                <w:vanish/>
              </w:rPr>
            </w:pPr>
          </w:p>
        </w:tc>
      </w:tr>
      <w:tr w:rsidR="00787570" w14:paraId="36CA1709" w14:textId="77777777">
        <w:tc>
          <w:tcPr>
            <w:tcW w:w="0" w:type="auto"/>
            <w:gridSpan w:val="3"/>
            <w:shd w:val="clear" w:color="auto" w:fill="auto"/>
            <w:tcMar>
              <w:top w:w="40" w:type="dxa"/>
              <w:left w:w="20" w:type="dxa"/>
              <w:bottom w:w="40" w:type="dxa"/>
              <w:right w:w="20" w:type="dxa"/>
            </w:tcMar>
          </w:tcPr>
          <w:p w14:paraId="36CA16E8" w14:textId="77777777" w:rsidR="00787570" w:rsidRDefault="000D56E2">
            <w:pPr>
              <w:textAlignment w:val="top"/>
            </w:pPr>
            <w:r>
              <w:rPr>
                <w:rFonts w:ascii="Arial" w:eastAsia="宋体" w:hAnsi="Arial" w:cs="Arial"/>
                <w:b/>
                <w:bCs/>
                <w:color w:val="003C71"/>
                <w:sz w:val="36"/>
                <w:szCs w:val="36"/>
              </w:rPr>
              <w:t>$18.3B</w:t>
            </w:r>
          </w:p>
        </w:tc>
        <w:tc>
          <w:tcPr>
            <w:tcW w:w="0" w:type="auto"/>
            <w:gridSpan w:val="3"/>
            <w:shd w:val="clear" w:color="auto" w:fill="auto"/>
            <w:tcMar>
              <w:left w:w="20" w:type="dxa"/>
              <w:right w:w="20" w:type="dxa"/>
            </w:tcMar>
            <w:vAlign w:val="bottom"/>
          </w:tcPr>
          <w:p w14:paraId="36CA16E9"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16EA"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16EB" w14:textId="77777777" w:rsidR="00787570" w:rsidRDefault="00787570">
            <w:pPr>
              <w:rPr>
                <w:rFonts w:ascii="宋体"/>
              </w:rPr>
            </w:pPr>
          </w:p>
        </w:tc>
        <w:tc>
          <w:tcPr>
            <w:tcW w:w="0" w:type="auto"/>
            <w:gridSpan w:val="3"/>
            <w:shd w:val="clear" w:color="auto" w:fill="auto"/>
            <w:tcMar>
              <w:top w:w="40" w:type="dxa"/>
              <w:left w:w="20" w:type="dxa"/>
              <w:bottom w:w="40" w:type="dxa"/>
              <w:right w:w="20" w:type="dxa"/>
            </w:tcMar>
          </w:tcPr>
          <w:p w14:paraId="36CA16EC" w14:textId="77777777" w:rsidR="00787570" w:rsidRDefault="000D56E2">
            <w:pPr>
              <w:textAlignment w:val="top"/>
            </w:pPr>
            <w:r>
              <w:rPr>
                <w:rFonts w:ascii="Arial" w:eastAsia="宋体" w:hAnsi="Arial" w:cs="Arial"/>
                <w:b/>
                <w:bCs/>
                <w:color w:val="003C71"/>
                <w:sz w:val="36"/>
                <w:szCs w:val="36"/>
              </w:rPr>
              <w:t>$5.1B</w:t>
            </w:r>
          </w:p>
        </w:tc>
        <w:tc>
          <w:tcPr>
            <w:tcW w:w="0" w:type="auto"/>
            <w:gridSpan w:val="3"/>
            <w:shd w:val="clear" w:color="auto" w:fill="auto"/>
            <w:tcMar>
              <w:left w:w="20" w:type="dxa"/>
              <w:right w:w="20" w:type="dxa"/>
            </w:tcMar>
            <w:vAlign w:val="bottom"/>
          </w:tcPr>
          <w:p w14:paraId="36CA16ED" w14:textId="77777777" w:rsidR="00787570" w:rsidRDefault="00787570">
            <w:pPr>
              <w:rPr>
                <w:rFonts w:ascii="宋体"/>
              </w:rPr>
            </w:pPr>
          </w:p>
        </w:tc>
        <w:tc>
          <w:tcPr>
            <w:tcW w:w="0" w:type="auto"/>
            <w:gridSpan w:val="3"/>
            <w:shd w:val="clear" w:color="auto" w:fill="auto"/>
            <w:tcMar>
              <w:top w:w="40" w:type="dxa"/>
              <w:left w:w="20" w:type="dxa"/>
              <w:bottom w:w="40" w:type="dxa"/>
              <w:right w:w="20" w:type="dxa"/>
            </w:tcMar>
          </w:tcPr>
          <w:p w14:paraId="36CA16EE" w14:textId="77777777" w:rsidR="00787570" w:rsidRDefault="000D56E2">
            <w:pPr>
              <w:textAlignment w:val="top"/>
            </w:pPr>
            <w:r>
              <w:rPr>
                <w:rFonts w:ascii="Arial" w:eastAsia="宋体" w:hAnsi="Arial" w:cs="Arial"/>
                <w:b/>
                <w:bCs/>
                <w:color w:val="0071C5"/>
                <w:sz w:val="36"/>
                <w:szCs w:val="36"/>
              </w:rPr>
              <w:t>$5.4B</w:t>
            </w:r>
          </w:p>
        </w:tc>
        <w:tc>
          <w:tcPr>
            <w:tcW w:w="0" w:type="auto"/>
            <w:gridSpan w:val="3"/>
            <w:shd w:val="clear" w:color="auto" w:fill="auto"/>
            <w:tcMar>
              <w:left w:w="20" w:type="dxa"/>
              <w:right w:w="20" w:type="dxa"/>
            </w:tcMar>
            <w:vAlign w:val="bottom"/>
          </w:tcPr>
          <w:p w14:paraId="36CA16EF" w14:textId="77777777" w:rsidR="00787570" w:rsidRDefault="00787570">
            <w:pPr>
              <w:rPr>
                <w:rFonts w:ascii="宋体"/>
              </w:rPr>
            </w:pPr>
          </w:p>
        </w:tc>
        <w:tc>
          <w:tcPr>
            <w:tcW w:w="0" w:type="auto"/>
            <w:gridSpan w:val="3"/>
            <w:shd w:val="clear" w:color="auto" w:fill="auto"/>
            <w:tcMar>
              <w:top w:w="40" w:type="dxa"/>
              <w:left w:w="20" w:type="dxa"/>
              <w:bottom w:w="40" w:type="dxa"/>
              <w:right w:w="20" w:type="dxa"/>
            </w:tcMar>
          </w:tcPr>
          <w:p w14:paraId="36CA16F0" w14:textId="77777777" w:rsidR="00787570" w:rsidRDefault="000D56E2">
            <w:pPr>
              <w:textAlignment w:val="top"/>
            </w:pPr>
            <w:r>
              <w:rPr>
                <w:rFonts w:ascii="Arial" w:eastAsia="宋体" w:hAnsi="Arial" w:cs="Arial"/>
                <w:b/>
                <w:bCs/>
                <w:color w:val="003C71"/>
                <w:sz w:val="36"/>
                <w:szCs w:val="36"/>
              </w:rPr>
              <w:t>$1.02</w:t>
            </w:r>
          </w:p>
        </w:tc>
        <w:tc>
          <w:tcPr>
            <w:tcW w:w="0" w:type="auto"/>
            <w:gridSpan w:val="3"/>
            <w:shd w:val="clear" w:color="auto" w:fill="auto"/>
            <w:tcMar>
              <w:left w:w="20" w:type="dxa"/>
              <w:right w:w="20" w:type="dxa"/>
            </w:tcMar>
            <w:vAlign w:val="bottom"/>
          </w:tcPr>
          <w:p w14:paraId="36CA16F1" w14:textId="77777777" w:rsidR="00787570" w:rsidRDefault="00787570">
            <w:pPr>
              <w:rPr>
                <w:rFonts w:ascii="宋体"/>
              </w:rPr>
            </w:pPr>
          </w:p>
        </w:tc>
        <w:tc>
          <w:tcPr>
            <w:tcW w:w="0" w:type="auto"/>
            <w:gridSpan w:val="3"/>
            <w:shd w:val="clear" w:color="auto" w:fill="auto"/>
            <w:tcMar>
              <w:top w:w="40" w:type="dxa"/>
              <w:left w:w="20" w:type="dxa"/>
              <w:bottom w:w="40" w:type="dxa"/>
              <w:right w:w="20" w:type="dxa"/>
            </w:tcMar>
          </w:tcPr>
          <w:p w14:paraId="36CA16F2" w14:textId="77777777" w:rsidR="00787570" w:rsidRDefault="000D56E2">
            <w:pPr>
              <w:textAlignment w:val="top"/>
            </w:pPr>
            <w:r>
              <w:rPr>
                <w:rFonts w:ascii="Arial" w:eastAsia="宋体" w:hAnsi="Arial" w:cs="Arial"/>
                <w:b/>
                <w:bCs/>
                <w:color w:val="0071C5"/>
                <w:sz w:val="36"/>
                <w:szCs w:val="36"/>
              </w:rPr>
              <w:t>$1.11</w:t>
            </w:r>
          </w:p>
        </w:tc>
        <w:tc>
          <w:tcPr>
            <w:tcW w:w="0" w:type="auto"/>
            <w:gridSpan w:val="3"/>
            <w:shd w:val="clear" w:color="auto" w:fill="auto"/>
            <w:tcMar>
              <w:left w:w="20" w:type="dxa"/>
              <w:right w:w="20" w:type="dxa"/>
            </w:tcMar>
            <w:vAlign w:val="bottom"/>
          </w:tcPr>
          <w:p w14:paraId="36CA16F3" w14:textId="77777777" w:rsidR="00787570" w:rsidRDefault="00787570">
            <w:pPr>
              <w:rPr>
                <w:rFonts w:ascii="宋体"/>
              </w:rPr>
            </w:pPr>
          </w:p>
        </w:tc>
        <w:tc>
          <w:tcPr>
            <w:tcW w:w="0" w:type="auto"/>
            <w:gridSpan w:val="3"/>
            <w:shd w:val="clear" w:color="auto" w:fill="auto"/>
            <w:tcMar>
              <w:top w:w="40" w:type="dxa"/>
              <w:left w:w="20" w:type="dxa"/>
              <w:bottom w:w="40" w:type="dxa"/>
              <w:right w:w="20" w:type="dxa"/>
            </w:tcMar>
          </w:tcPr>
          <w:p w14:paraId="36CA16F4" w14:textId="77777777" w:rsidR="00787570" w:rsidRDefault="000D56E2">
            <w:pPr>
              <w:textAlignment w:val="top"/>
            </w:pPr>
            <w:r>
              <w:rPr>
                <w:rFonts w:ascii="Arial" w:eastAsia="宋体" w:hAnsi="Arial" w:cs="Arial"/>
                <w:b/>
                <w:bCs/>
                <w:color w:val="003C71"/>
                <w:sz w:val="36"/>
                <w:szCs w:val="36"/>
              </w:rPr>
              <w:t>$25.5B</w:t>
            </w:r>
          </w:p>
        </w:tc>
        <w:tc>
          <w:tcPr>
            <w:tcW w:w="0" w:type="auto"/>
            <w:gridSpan w:val="3"/>
            <w:shd w:val="clear" w:color="auto" w:fill="auto"/>
            <w:tcMar>
              <w:left w:w="20" w:type="dxa"/>
              <w:right w:w="20" w:type="dxa"/>
            </w:tcMar>
            <w:vAlign w:val="bottom"/>
          </w:tcPr>
          <w:p w14:paraId="36CA16F5" w14:textId="77777777" w:rsidR="00787570" w:rsidRDefault="00787570">
            <w:pPr>
              <w:rPr>
                <w:rFonts w:ascii="宋体"/>
              </w:rPr>
            </w:pPr>
          </w:p>
        </w:tc>
        <w:tc>
          <w:tcPr>
            <w:tcW w:w="0" w:type="auto"/>
            <w:gridSpan w:val="3"/>
            <w:shd w:val="clear" w:color="auto" w:fill="auto"/>
            <w:tcMar>
              <w:top w:w="40" w:type="dxa"/>
              <w:left w:w="20" w:type="dxa"/>
              <w:bottom w:w="40" w:type="dxa"/>
              <w:right w:w="20" w:type="dxa"/>
            </w:tcMar>
          </w:tcPr>
          <w:p w14:paraId="36CA16F6" w14:textId="77777777" w:rsidR="00787570" w:rsidRDefault="000D56E2">
            <w:pPr>
              <w:textAlignment w:val="top"/>
            </w:pPr>
            <w:r>
              <w:rPr>
                <w:rFonts w:ascii="Arial" w:eastAsia="宋体" w:hAnsi="Arial" w:cs="Arial"/>
                <w:b/>
                <w:bCs/>
                <w:color w:val="0071C5"/>
                <w:sz w:val="36"/>
                <w:szCs w:val="36"/>
              </w:rPr>
              <w:t>$15.1B</w:t>
            </w:r>
          </w:p>
        </w:tc>
        <w:tc>
          <w:tcPr>
            <w:tcW w:w="0" w:type="auto"/>
            <w:shd w:val="clear" w:color="auto" w:fill="auto"/>
          </w:tcPr>
          <w:p w14:paraId="36CA16F7" w14:textId="77777777" w:rsidR="00787570" w:rsidRDefault="00787570">
            <w:pPr>
              <w:rPr>
                <w:rFonts w:ascii="宋体"/>
              </w:rPr>
            </w:pPr>
          </w:p>
        </w:tc>
        <w:tc>
          <w:tcPr>
            <w:tcW w:w="0" w:type="auto"/>
            <w:shd w:val="clear" w:color="auto" w:fill="auto"/>
          </w:tcPr>
          <w:p w14:paraId="36CA16F8" w14:textId="77777777" w:rsidR="00787570" w:rsidRDefault="00787570">
            <w:pPr>
              <w:rPr>
                <w:rFonts w:ascii="宋体"/>
              </w:rPr>
            </w:pPr>
          </w:p>
        </w:tc>
        <w:tc>
          <w:tcPr>
            <w:tcW w:w="0" w:type="auto"/>
            <w:shd w:val="clear" w:color="auto" w:fill="auto"/>
          </w:tcPr>
          <w:p w14:paraId="36CA16F9" w14:textId="77777777" w:rsidR="00787570" w:rsidRDefault="00787570">
            <w:pPr>
              <w:rPr>
                <w:rFonts w:ascii="宋体"/>
              </w:rPr>
            </w:pPr>
          </w:p>
        </w:tc>
        <w:tc>
          <w:tcPr>
            <w:tcW w:w="0" w:type="auto"/>
            <w:shd w:val="clear" w:color="auto" w:fill="auto"/>
          </w:tcPr>
          <w:p w14:paraId="36CA16FA" w14:textId="77777777" w:rsidR="00787570" w:rsidRDefault="00787570">
            <w:pPr>
              <w:rPr>
                <w:rFonts w:ascii="宋体"/>
              </w:rPr>
            </w:pPr>
          </w:p>
        </w:tc>
        <w:tc>
          <w:tcPr>
            <w:tcW w:w="0" w:type="auto"/>
            <w:shd w:val="clear" w:color="auto" w:fill="auto"/>
          </w:tcPr>
          <w:p w14:paraId="36CA16FB" w14:textId="77777777" w:rsidR="00787570" w:rsidRDefault="00787570">
            <w:pPr>
              <w:rPr>
                <w:rFonts w:ascii="宋体"/>
              </w:rPr>
            </w:pPr>
          </w:p>
        </w:tc>
        <w:tc>
          <w:tcPr>
            <w:tcW w:w="0" w:type="auto"/>
            <w:shd w:val="clear" w:color="auto" w:fill="auto"/>
          </w:tcPr>
          <w:p w14:paraId="36CA16FC" w14:textId="77777777" w:rsidR="00787570" w:rsidRDefault="00787570">
            <w:pPr>
              <w:rPr>
                <w:rFonts w:ascii="宋体"/>
              </w:rPr>
            </w:pPr>
          </w:p>
        </w:tc>
        <w:tc>
          <w:tcPr>
            <w:tcW w:w="0" w:type="auto"/>
            <w:shd w:val="clear" w:color="auto" w:fill="auto"/>
          </w:tcPr>
          <w:p w14:paraId="36CA16FD" w14:textId="77777777" w:rsidR="00787570" w:rsidRDefault="00787570">
            <w:pPr>
              <w:rPr>
                <w:rFonts w:ascii="宋体"/>
              </w:rPr>
            </w:pPr>
          </w:p>
        </w:tc>
        <w:tc>
          <w:tcPr>
            <w:tcW w:w="0" w:type="auto"/>
            <w:shd w:val="clear" w:color="auto" w:fill="auto"/>
          </w:tcPr>
          <w:p w14:paraId="36CA16FE" w14:textId="77777777" w:rsidR="00787570" w:rsidRDefault="00787570">
            <w:pPr>
              <w:rPr>
                <w:rFonts w:ascii="宋体"/>
              </w:rPr>
            </w:pPr>
          </w:p>
        </w:tc>
        <w:tc>
          <w:tcPr>
            <w:tcW w:w="0" w:type="auto"/>
            <w:shd w:val="clear" w:color="auto" w:fill="auto"/>
          </w:tcPr>
          <w:p w14:paraId="36CA16FF" w14:textId="77777777" w:rsidR="00787570" w:rsidRDefault="00787570">
            <w:pPr>
              <w:rPr>
                <w:rFonts w:ascii="宋体"/>
              </w:rPr>
            </w:pPr>
          </w:p>
        </w:tc>
        <w:tc>
          <w:tcPr>
            <w:tcW w:w="0" w:type="auto"/>
            <w:shd w:val="clear" w:color="auto" w:fill="auto"/>
          </w:tcPr>
          <w:p w14:paraId="36CA1700" w14:textId="77777777" w:rsidR="00787570" w:rsidRDefault="00787570">
            <w:pPr>
              <w:rPr>
                <w:rFonts w:ascii="宋体"/>
              </w:rPr>
            </w:pPr>
          </w:p>
        </w:tc>
        <w:tc>
          <w:tcPr>
            <w:tcW w:w="0" w:type="auto"/>
            <w:shd w:val="clear" w:color="auto" w:fill="auto"/>
          </w:tcPr>
          <w:p w14:paraId="36CA1701" w14:textId="77777777" w:rsidR="00787570" w:rsidRDefault="00787570">
            <w:pPr>
              <w:rPr>
                <w:rFonts w:ascii="宋体"/>
              </w:rPr>
            </w:pPr>
          </w:p>
        </w:tc>
        <w:tc>
          <w:tcPr>
            <w:tcW w:w="0" w:type="auto"/>
            <w:shd w:val="clear" w:color="auto" w:fill="auto"/>
          </w:tcPr>
          <w:p w14:paraId="36CA1702" w14:textId="77777777" w:rsidR="00787570" w:rsidRDefault="00787570">
            <w:pPr>
              <w:rPr>
                <w:rFonts w:ascii="宋体"/>
              </w:rPr>
            </w:pPr>
          </w:p>
        </w:tc>
        <w:tc>
          <w:tcPr>
            <w:tcW w:w="0" w:type="auto"/>
            <w:shd w:val="clear" w:color="auto" w:fill="auto"/>
          </w:tcPr>
          <w:p w14:paraId="36CA1703" w14:textId="77777777" w:rsidR="00787570" w:rsidRDefault="00787570">
            <w:pPr>
              <w:rPr>
                <w:rFonts w:ascii="宋体"/>
              </w:rPr>
            </w:pPr>
          </w:p>
        </w:tc>
        <w:tc>
          <w:tcPr>
            <w:tcW w:w="0" w:type="auto"/>
            <w:shd w:val="clear" w:color="auto" w:fill="auto"/>
          </w:tcPr>
          <w:p w14:paraId="36CA1704" w14:textId="77777777" w:rsidR="00787570" w:rsidRDefault="00787570">
            <w:pPr>
              <w:rPr>
                <w:rFonts w:ascii="宋体"/>
              </w:rPr>
            </w:pPr>
          </w:p>
        </w:tc>
        <w:tc>
          <w:tcPr>
            <w:tcW w:w="0" w:type="auto"/>
            <w:shd w:val="clear" w:color="auto" w:fill="auto"/>
          </w:tcPr>
          <w:p w14:paraId="36CA1705" w14:textId="77777777" w:rsidR="00787570" w:rsidRDefault="00787570">
            <w:pPr>
              <w:rPr>
                <w:rFonts w:ascii="宋体"/>
              </w:rPr>
            </w:pPr>
          </w:p>
        </w:tc>
        <w:tc>
          <w:tcPr>
            <w:tcW w:w="0" w:type="auto"/>
            <w:shd w:val="clear" w:color="auto" w:fill="auto"/>
          </w:tcPr>
          <w:p w14:paraId="36CA1706" w14:textId="77777777" w:rsidR="00787570" w:rsidRDefault="00787570">
            <w:pPr>
              <w:rPr>
                <w:rFonts w:ascii="宋体"/>
              </w:rPr>
            </w:pPr>
          </w:p>
        </w:tc>
        <w:tc>
          <w:tcPr>
            <w:tcW w:w="0" w:type="auto"/>
            <w:shd w:val="clear" w:color="auto" w:fill="auto"/>
          </w:tcPr>
          <w:p w14:paraId="36CA1707" w14:textId="77777777" w:rsidR="00787570" w:rsidRDefault="00787570">
            <w:pPr>
              <w:rPr>
                <w:rFonts w:ascii="宋体"/>
              </w:rPr>
            </w:pPr>
          </w:p>
        </w:tc>
        <w:tc>
          <w:tcPr>
            <w:tcW w:w="0" w:type="auto"/>
            <w:shd w:val="clear" w:color="auto" w:fill="auto"/>
          </w:tcPr>
          <w:p w14:paraId="36CA1708" w14:textId="77777777" w:rsidR="00787570" w:rsidRDefault="00787570">
            <w:pPr>
              <w:rPr>
                <w:rFonts w:ascii="宋体"/>
              </w:rPr>
            </w:pPr>
          </w:p>
        </w:tc>
      </w:tr>
      <w:tr w:rsidR="00787570" w14:paraId="36CA172B" w14:textId="77777777">
        <w:tc>
          <w:tcPr>
            <w:tcW w:w="0" w:type="auto"/>
            <w:gridSpan w:val="3"/>
            <w:shd w:val="clear" w:color="auto" w:fill="auto"/>
            <w:tcMar>
              <w:top w:w="40" w:type="dxa"/>
              <w:left w:w="20" w:type="dxa"/>
              <w:bottom w:w="40" w:type="dxa"/>
              <w:right w:w="20" w:type="dxa"/>
            </w:tcMar>
            <w:vAlign w:val="bottom"/>
          </w:tcPr>
          <w:p w14:paraId="36CA170A" w14:textId="77777777" w:rsidR="00787570" w:rsidRDefault="000D56E2">
            <w:pPr>
              <w:textAlignment w:val="bottom"/>
            </w:pPr>
            <w:r>
              <w:rPr>
                <w:rFonts w:ascii="Arial" w:eastAsia="宋体" w:hAnsi="Arial" w:cs="Arial"/>
                <w:b/>
                <w:bCs/>
                <w:color w:val="003C71"/>
                <w:sz w:val="18"/>
                <w:szCs w:val="18"/>
              </w:rPr>
              <w:t>GAAP</w:t>
            </w:r>
          </w:p>
        </w:tc>
        <w:tc>
          <w:tcPr>
            <w:tcW w:w="0" w:type="auto"/>
            <w:gridSpan w:val="3"/>
            <w:tcBorders>
              <w:bottom w:val="single" w:sz="8" w:space="0" w:color="003C71"/>
            </w:tcBorders>
            <w:shd w:val="clear" w:color="auto" w:fill="auto"/>
            <w:tcMar>
              <w:left w:w="20" w:type="dxa"/>
              <w:right w:w="20" w:type="dxa"/>
            </w:tcMar>
            <w:vAlign w:val="bottom"/>
          </w:tcPr>
          <w:p w14:paraId="36CA170B" w14:textId="77777777" w:rsidR="00787570" w:rsidRDefault="00787570">
            <w:pPr>
              <w:rPr>
                <w:rFonts w:ascii="宋体"/>
              </w:rPr>
            </w:pPr>
          </w:p>
        </w:tc>
        <w:tc>
          <w:tcPr>
            <w:tcW w:w="0" w:type="auto"/>
            <w:gridSpan w:val="3"/>
            <w:tcBorders>
              <w:bottom w:val="single" w:sz="8" w:space="0" w:color="003C71"/>
            </w:tcBorders>
            <w:shd w:val="clear" w:color="auto" w:fill="auto"/>
            <w:tcMar>
              <w:left w:w="20" w:type="dxa"/>
              <w:right w:w="20" w:type="dxa"/>
            </w:tcMar>
            <w:vAlign w:val="bottom"/>
          </w:tcPr>
          <w:p w14:paraId="36CA170C"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170D" w14:textId="77777777" w:rsidR="00787570" w:rsidRDefault="00787570">
            <w:pPr>
              <w:rPr>
                <w:rFonts w:ascii="宋体"/>
              </w:rPr>
            </w:pPr>
          </w:p>
        </w:tc>
        <w:tc>
          <w:tcPr>
            <w:tcW w:w="0" w:type="auto"/>
            <w:gridSpan w:val="3"/>
            <w:shd w:val="clear" w:color="auto" w:fill="auto"/>
            <w:tcMar>
              <w:top w:w="40" w:type="dxa"/>
              <w:left w:w="20" w:type="dxa"/>
              <w:bottom w:w="40" w:type="dxa"/>
              <w:right w:w="20" w:type="dxa"/>
            </w:tcMar>
            <w:vAlign w:val="bottom"/>
          </w:tcPr>
          <w:p w14:paraId="36CA170E" w14:textId="77777777" w:rsidR="00787570" w:rsidRDefault="000D56E2">
            <w:pPr>
              <w:textAlignment w:val="bottom"/>
            </w:pPr>
            <w:r>
              <w:rPr>
                <w:rFonts w:ascii="Arial" w:eastAsia="宋体" w:hAnsi="Arial" w:cs="Arial"/>
                <w:b/>
                <w:bCs/>
                <w:color w:val="003C71"/>
                <w:sz w:val="18"/>
                <w:szCs w:val="18"/>
              </w:rPr>
              <w:t>GAAP</w:t>
            </w:r>
          </w:p>
        </w:tc>
        <w:tc>
          <w:tcPr>
            <w:tcW w:w="0" w:type="auto"/>
            <w:gridSpan w:val="3"/>
            <w:shd w:val="clear" w:color="auto" w:fill="auto"/>
            <w:tcMar>
              <w:left w:w="20" w:type="dxa"/>
              <w:right w:w="20" w:type="dxa"/>
            </w:tcMar>
            <w:vAlign w:val="bottom"/>
          </w:tcPr>
          <w:p w14:paraId="36CA170F" w14:textId="77777777" w:rsidR="00787570" w:rsidRDefault="00787570">
            <w:pPr>
              <w:rPr>
                <w:rFonts w:ascii="宋体"/>
              </w:rPr>
            </w:pPr>
          </w:p>
        </w:tc>
        <w:tc>
          <w:tcPr>
            <w:tcW w:w="0" w:type="auto"/>
            <w:gridSpan w:val="3"/>
            <w:shd w:val="clear" w:color="auto" w:fill="auto"/>
            <w:tcMar>
              <w:top w:w="40" w:type="dxa"/>
              <w:left w:w="20" w:type="dxa"/>
              <w:bottom w:w="40" w:type="dxa"/>
              <w:right w:w="20" w:type="dxa"/>
            </w:tcMar>
            <w:vAlign w:val="bottom"/>
          </w:tcPr>
          <w:p w14:paraId="36CA1710" w14:textId="77777777" w:rsidR="00787570" w:rsidRDefault="000D56E2">
            <w:pPr>
              <w:textAlignment w:val="bottom"/>
            </w:pPr>
            <w:r>
              <w:rPr>
                <w:rFonts w:ascii="Arial" w:eastAsia="宋体" w:hAnsi="Arial" w:cs="Arial"/>
                <w:b/>
                <w:bCs/>
                <w:color w:val="0071C5"/>
                <w:sz w:val="18"/>
                <w:szCs w:val="18"/>
              </w:rPr>
              <w:t>non-GAAP</w:t>
            </w:r>
            <w:r>
              <w:rPr>
                <w:rFonts w:ascii="Arial" w:eastAsia="宋体" w:hAnsi="Arial" w:cs="Arial"/>
                <w:b/>
                <w:bCs/>
                <w:color w:val="0071C5"/>
                <w:sz w:val="11"/>
                <w:szCs w:val="11"/>
              </w:rPr>
              <w:t>2</w:t>
            </w:r>
          </w:p>
        </w:tc>
        <w:tc>
          <w:tcPr>
            <w:tcW w:w="0" w:type="auto"/>
            <w:gridSpan w:val="3"/>
            <w:shd w:val="clear" w:color="auto" w:fill="auto"/>
            <w:tcMar>
              <w:left w:w="20" w:type="dxa"/>
              <w:right w:w="20" w:type="dxa"/>
            </w:tcMar>
            <w:vAlign w:val="bottom"/>
          </w:tcPr>
          <w:p w14:paraId="36CA1711" w14:textId="77777777" w:rsidR="00787570" w:rsidRDefault="00787570">
            <w:pPr>
              <w:rPr>
                <w:rFonts w:ascii="宋体"/>
              </w:rPr>
            </w:pPr>
          </w:p>
        </w:tc>
        <w:tc>
          <w:tcPr>
            <w:tcW w:w="0" w:type="auto"/>
            <w:gridSpan w:val="3"/>
            <w:shd w:val="clear" w:color="auto" w:fill="auto"/>
            <w:tcMar>
              <w:top w:w="40" w:type="dxa"/>
              <w:left w:w="20" w:type="dxa"/>
              <w:bottom w:w="40" w:type="dxa"/>
              <w:right w:w="20" w:type="dxa"/>
            </w:tcMar>
            <w:vAlign w:val="bottom"/>
          </w:tcPr>
          <w:p w14:paraId="36CA1712" w14:textId="77777777" w:rsidR="00787570" w:rsidRDefault="000D56E2">
            <w:pPr>
              <w:textAlignment w:val="bottom"/>
            </w:pPr>
            <w:r>
              <w:rPr>
                <w:rFonts w:ascii="Arial" w:eastAsia="宋体" w:hAnsi="Arial" w:cs="Arial"/>
                <w:b/>
                <w:bCs/>
                <w:color w:val="003C71"/>
                <w:sz w:val="18"/>
                <w:szCs w:val="18"/>
              </w:rPr>
              <w:t>GAAP</w:t>
            </w:r>
          </w:p>
        </w:tc>
        <w:tc>
          <w:tcPr>
            <w:tcW w:w="0" w:type="auto"/>
            <w:gridSpan w:val="3"/>
            <w:shd w:val="clear" w:color="auto" w:fill="auto"/>
            <w:tcMar>
              <w:left w:w="20" w:type="dxa"/>
              <w:right w:w="20" w:type="dxa"/>
            </w:tcMar>
            <w:vAlign w:val="bottom"/>
          </w:tcPr>
          <w:p w14:paraId="36CA1713" w14:textId="77777777" w:rsidR="00787570" w:rsidRDefault="00787570">
            <w:pPr>
              <w:rPr>
                <w:rFonts w:ascii="宋体"/>
              </w:rPr>
            </w:pPr>
          </w:p>
        </w:tc>
        <w:tc>
          <w:tcPr>
            <w:tcW w:w="0" w:type="auto"/>
            <w:gridSpan w:val="3"/>
            <w:shd w:val="clear" w:color="auto" w:fill="auto"/>
            <w:tcMar>
              <w:top w:w="40" w:type="dxa"/>
              <w:left w:w="20" w:type="dxa"/>
              <w:bottom w:w="40" w:type="dxa"/>
              <w:right w:w="20" w:type="dxa"/>
            </w:tcMar>
            <w:vAlign w:val="bottom"/>
          </w:tcPr>
          <w:p w14:paraId="36CA1714" w14:textId="77777777" w:rsidR="00787570" w:rsidRDefault="000D56E2">
            <w:pPr>
              <w:textAlignment w:val="bottom"/>
            </w:pPr>
            <w:r>
              <w:rPr>
                <w:rFonts w:ascii="Arial" w:eastAsia="宋体" w:hAnsi="Arial" w:cs="Arial"/>
                <w:b/>
                <w:bCs/>
                <w:color w:val="0071C5"/>
                <w:sz w:val="18"/>
                <w:szCs w:val="18"/>
              </w:rPr>
              <w:t>non-GAAP</w:t>
            </w:r>
            <w:r>
              <w:rPr>
                <w:rFonts w:ascii="Arial" w:eastAsia="宋体" w:hAnsi="Arial" w:cs="Arial"/>
                <w:b/>
                <w:bCs/>
                <w:color w:val="0071C5"/>
                <w:sz w:val="11"/>
                <w:szCs w:val="11"/>
              </w:rPr>
              <w:t>2</w:t>
            </w:r>
          </w:p>
        </w:tc>
        <w:tc>
          <w:tcPr>
            <w:tcW w:w="0" w:type="auto"/>
            <w:gridSpan w:val="3"/>
            <w:shd w:val="clear" w:color="auto" w:fill="auto"/>
            <w:tcMar>
              <w:left w:w="20" w:type="dxa"/>
              <w:right w:w="20" w:type="dxa"/>
            </w:tcMar>
            <w:vAlign w:val="bottom"/>
          </w:tcPr>
          <w:p w14:paraId="36CA1715" w14:textId="77777777" w:rsidR="00787570" w:rsidRDefault="00787570">
            <w:pPr>
              <w:rPr>
                <w:rFonts w:ascii="宋体"/>
              </w:rPr>
            </w:pPr>
          </w:p>
        </w:tc>
        <w:tc>
          <w:tcPr>
            <w:tcW w:w="0" w:type="auto"/>
            <w:gridSpan w:val="3"/>
            <w:shd w:val="clear" w:color="auto" w:fill="auto"/>
            <w:tcMar>
              <w:top w:w="40" w:type="dxa"/>
              <w:left w:w="20" w:type="dxa"/>
              <w:bottom w:w="40" w:type="dxa"/>
              <w:right w:w="20" w:type="dxa"/>
            </w:tcMar>
            <w:vAlign w:val="bottom"/>
          </w:tcPr>
          <w:p w14:paraId="36CA1716" w14:textId="77777777" w:rsidR="00787570" w:rsidRDefault="000D56E2">
            <w:pPr>
              <w:textAlignment w:val="bottom"/>
            </w:pPr>
            <w:r>
              <w:rPr>
                <w:rFonts w:ascii="Arial" w:eastAsia="宋体" w:hAnsi="Arial" w:cs="Arial"/>
                <w:b/>
                <w:bCs/>
                <w:color w:val="003C71"/>
                <w:sz w:val="18"/>
                <w:szCs w:val="18"/>
              </w:rPr>
              <w:t>GAAP</w:t>
            </w:r>
          </w:p>
        </w:tc>
        <w:tc>
          <w:tcPr>
            <w:tcW w:w="0" w:type="auto"/>
            <w:gridSpan w:val="3"/>
            <w:shd w:val="clear" w:color="auto" w:fill="auto"/>
            <w:tcMar>
              <w:left w:w="20" w:type="dxa"/>
              <w:right w:w="20" w:type="dxa"/>
            </w:tcMar>
            <w:vAlign w:val="bottom"/>
          </w:tcPr>
          <w:p w14:paraId="36CA1717" w14:textId="77777777" w:rsidR="00787570" w:rsidRDefault="00787570">
            <w:pPr>
              <w:rPr>
                <w:rFonts w:ascii="宋体"/>
              </w:rPr>
            </w:pPr>
          </w:p>
        </w:tc>
        <w:tc>
          <w:tcPr>
            <w:tcW w:w="0" w:type="auto"/>
            <w:gridSpan w:val="3"/>
            <w:shd w:val="clear" w:color="auto" w:fill="auto"/>
            <w:tcMar>
              <w:top w:w="40" w:type="dxa"/>
              <w:left w:w="20" w:type="dxa"/>
              <w:bottom w:w="40" w:type="dxa"/>
              <w:right w:w="20" w:type="dxa"/>
            </w:tcMar>
            <w:vAlign w:val="bottom"/>
          </w:tcPr>
          <w:p w14:paraId="36CA1718" w14:textId="77777777" w:rsidR="00787570" w:rsidRDefault="000D56E2">
            <w:pPr>
              <w:textAlignment w:val="bottom"/>
            </w:pPr>
            <w:r>
              <w:rPr>
                <w:rFonts w:ascii="Arial" w:eastAsia="宋体" w:hAnsi="Arial" w:cs="Arial"/>
                <w:b/>
                <w:bCs/>
                <w:color w:val="0071C5"/>
                <w:sz w:val="18"/>
                <w:szCs w:val="18"/>
              </w:rPr>
              <w:t>non-GAAP</w:t>
            </w:r>
            <w:r>
              <w:rPr>
                <w:rFonts w:ascii="Arial" w:eastAsia="宋体" w:hAnsi="Arial" w:cs="Arial"/>
                <w:b/>
                <w:bCs/>
                <w:color w:val="0071C5"/>
                <w:sz w:val="11"/>
                <w:szCs w:val="11"/>
              </w:rPr>
              <w:t>2</w:t>
            </w:r>
          </w:p>
        </w:tc>
        <w:tc>
          <w:tcPr>
            <w:tcW w:w="0" w:type="auto"/>
            <w:shd w:val="clear" w:color="auto" w:fill="auto"/>
          </w:tcPr>
          <w:p w14:paraId="36CA1719" w14:textId="77777777" w:rsidR="00787570" w:rsidRDefault="00787570">
            <w:pPr>
              <w:rPr>
                <w:rFonts w:ascii="宋体"/>
              </w:rPr>
            </w:pPr>
          </w:p>
        </w:tc>
        <w:tc>
          <w:tcPr>
            <w:tcW w:w="0" w:type="auto"/>
            <w:shd w:val="clear" w:color="auto" w:fill="auto"/>
          </w:tcPr>
          <w:p w14:paraId="36CA171A" w14:textId="77777777" w:rsidR="00787570" w:rsidRDefault="00787570">
            <w:pPr>
              <w:rPr>
                <w:rFonts w:ascii="宋体"/>
              </w:rPr>
            </w:pPr>
          </w:p>
        </w:tc>
        <w:tc>
          <w:tcPr>
            <w:tcW w:w="0" w:type="auto"/>
            <w:shd w:val="clear" w:color="auto" w:fill="auto"/>
          </w:tcPr>
          <w:p w14:paraId="36CA171B" w14:textId="77777777" w:rsidR="00787570" w:rsidRDefault="00787570">
            <w:pPr>
              <w:rPr>
                <w:rFonts w:ascii="宋体"/>
              </w:rPr>
            </w:pPr>
          </w:p>
        </w:tc>
        <w:tc>
          <w:tcPr>
            <w:tcW w:w="0" w:type="auto"/>
            <w:shd w:val="clear" w:color="auto" w:fill="auto"/>
          </w:tcPr>
          <w:p w14:paraId="36CA171C" w14:textId="77777777" w:rsidR="00787570" w:rsidRDefault="00787570">
            <w:pPr>
              <w:rPr>
                <w:rFonts w:ascii="宋体"/>
              </w:rPr>
            </w:pPr>
          </w:p>
        </w:tc>
        <w:tc>
          <w:tcPr>
            <w:tcW w:w="0" w:type="auto"/>
            <w:shd w:val="clear" w:color="auto" w:fill="auto"/>
          </w:tcPr>
          <w:p w14:paraId="36CA171D" w14:textId="77777777" w:rsidR="00787570" w:rsidRDefault="00787570">
            <w:pPr>
              <w:rPr>
                <w:rFonts w:ascii="宋体"/>
              </w:rPr>
            </w:pPr>
          </w:p>
        </w:tc>
        <w:tc>
          <w:tcPr>
            <w:tcW w:w="0" w:type="auto"/>
            <w:shd w:val="clear" w:color="auto" w:fill="auto"/>
          </w:tcPr>
          <w:p w14:paraId="36CA171E" w14:textId="77777777" w:rsidR="00787570" w:rsidRDefault="00787570">
            <w:pPr>
              <w:rPr>
                <w:rFonts w:ascii="宋体"/>
              </w:rPr>
            </w:pPr>
          </w:p>
        </w:tc>
        <w:tc>
          <w:tcPr>
            <w:tcW w:w="0" w:type="auto"/>
            <w:shd w:val="clear" w:color="auto" w:fill="auto"/>
          </w:tcPr>
          <w:p w14:paraId="36CA171F" w14:textId="77777777" w:rsidR="00787570" w:rsidRDefault="00787570">
            <w:pPr>
              <w:rPr>
                <w:rFonts w:ascii="宋体"/>
              </w:rPr>
            </w:pPr>
          </w:p>
        </w:tc>
        <w:tc>
          <w:tcPr>
            <w:tcW w:w="0" w:type="auto"/>
            <w:shd w:val="clear" w:color="auto" w:fill="auto"/>
          </w:tcPr>
          <w:p w14:paraId="36CA1720" w14:textId="77777777" w:rsidR="00787570" w:rsidRDefault="00787570">
            <w:pPr>
              <w:rPr>
                <w:rFonts w:ascii="宋体"/>
              </w:rPr>
            </w:pPr>
          </w:p>
        </w:tc>
        <w:tc>
          <w:tcPr>
            <w:tcW w:w="0" w:type="auto"/>
            <w:shd w:val="clear" w:color="auto" w:fill="auto"/>
          </w:tcPr>
          <w:p w14:paraId="36CA1721" w14:textId="77777777" w:rsidR="00787570" w:rsidRDefault="00787570">
            <w:pPr>
              <w:rPr>
                <w:rFonts w:ascii="宋体"/>
              </w:rPr>
            </w:pPr>
          </w:p>
        </w:tc>
        <w:tc>
          <w:tcPr>
            <w:tcW w:w="0" w:type="auto"/>
            <w:shd w:val="clear" w:color="auto" w:fill="auto"/>
          </w:tcPr>
          <w:p w14:paraId="36CA1722" w14:textId="77777777" w:rsidR="00787570" w:rsidRDefault="00787570">
            <w:pPr>
              <w:rPr>
                <w:rFonts w:ascii="宋体"/>
              </w:rPr>
            </w:pPr>
          </w:p>
        </w:tc>
        <w:tc>
          <w:tcPr>
            <w:tcW w:w="0" w:type="auto"/>
            <w:shd w:val="clear" w:color="auto" w:fill="auto"/>
          </w:tcPr>
          <w:p w14:paraId="36CA1723" w14:textId="77777777" w:rsidR="00787570" w:rsidRDefault="00787570">
            <w:pPr>
              <w:rPr>
                <w:rFonts w:ascii="宋体"/>
              </w:rPr>
            </w:pPr>
          </w:p>
        </w:tc>
        <w:tc>
          <w:tcPr>
            <w:tcW w:w="0" w:type="auto"/>
            <w:shd w:val="clear" w:color="auto" w:fill="auto"/>
          </w:tcPr>
          <w:p w14:paraId="36CA1724" w14:textId="77777777" w:rsidR="00787570" w:rsidRDefault="00787570">
            <w:pPr>
              <w:rPr>
                <w:rFonts w:ascii="宋体"/>
              </w:rPr>
            </w:pPr>
          </w:p>
        </w:tc>
        <w:tc>
          <w:tcPr>
            <w:tcW w:w="0" w:type="auto"/>
            <w:shd w:val="clear" w:color="auto" w:fill="auto"/>
          </w:tcPr>
          <w:p w14:paraId="36CA1725" w14:textId="77777777" w:rsidR="00787570" w:rsidRDefault="00787570">
            <w:pPr>
              <w:rPr>
                <w:rFonts w:ascii="宋体"/>
              </w:rPr>
            </w:pPr>
          </w:p>
        </w:tc>
        <w:tc>
          <w:tcPr>
            <w:tcW w:w="0" w:type="auto"/>
            <w:shd w:val="clear" w:color="auto" w:fill="auto"/>
          </w:tcPr>
          <w:p w14:paraId="36CA1726" w14:textId="77777777" w:rsidR="00787570" w:rsidRDefault="00787570">
            <w:pPr>
              <w:rPr>
                <w:rFonts w:ascii="宋体"/>
              </w:rPr>
            </w:pPr>
          </w:p>
        </w:tc>
        <w:tc>
          <w:tcPr>
            <w:tcW w:w="0" w:type="auto"/>
            <w:shd w:val="clear" w:color="auto" w:fill="auto"/>
          </w:tcPr>
          <w:p w14:paraId="36CA1727" w14:textId="77777777" w:rsidR="00787570" w:rsidRDefault="00787570">
            <w:pPr>
              <w:rPr>
                <w:rFonts w:ascii="宋体"/>
              </w:rPr>
            </w:pPr>
          </w:p>
        </w:tc>
        <w:tc>
          <w:tcPr>
            <w:tcW w:w="0" w:type="auto"/>
            <w:shd w:val="clear" w:color="auto" w:fill="auto"/>
          </w:tcPr>
          <w:p w14:paraId="36CA1728" w14:textId="77777777" w:rsidR="00787570" w:rsidRDefault="00787570">
            <w:pPr>
              <w:rPr>
                <w:rFonts w:ascii="宋体"/>
              </w:rPr>
            </w:pPr>
          </w:p>
        </w:tc>
        <w:tc>
          <w:tcPr>
            <w:tcW w:w="0" w:type="auto"/>
            <w:shd w:val="clear" w:color="auto" w:fill="auto"/>
          </w:tcPr>
          <w:p w14:paraId="36CA1729" w14:textId="77777777" w:rsidR="00787570" w:rsidRDefault="00787570">
            <w:pPr>
              <w:rPr>
                <w:rFonts w:ascii="宋体"/>
              </w:rPr>
            </w:pPr>
          </w:p>
        </w:tc>
        <w:tc>
          <w:tcPr>
            <w:tcW w:w="0" w:type="auto"/>
            <w:shd w:val="clear" w:color="auto" w:fill="auto"/>
          </w:tcPr>
          <w:p w14:paraId="36CA172A" w14:textId="77777777" w:rsidR="00787570" w:rsidRDefault="00787570">
            <w:pPr>
              <w:rPr>
                <w:rFonts w:ascii="宋体"/>
              </w:rPr>
            </w:pPr>
          </w:p>
        </w:tc>
      </w:tr>
      <w:tr w:rsidR="00787570" w14:paraId="36CA1747" w14:textId="77777777">
        <w:tc>
          <w:tcPr>
            <w:tcW w:w="0" w:type="auto"/>
            <w:gridSpan w:val="9"/>
            <w:tcBorders>
              <w:top w:val="single" w:sz="8" w:space="0" w:color="003C71"/>
            </w:tcBorders>
            <w:shd w:val="clear" w:color="auto" w:fill="auto"/>
            <w:tcMar>
              <w:top w:w="40" w:type="dxa"/>
              <w:left w:w="20" w:type="dxa"/>
              <w:bottom w:w="40" w:type="dxa"/>
              <w:right w:w="20" w:type="dxa"/>
            </w:tcMar>
          </w:tcPr>
          <w:p w14:paraId="36CA172C" w14:textId="77777777" w:rsidR="00787570" w:rsidRDefault="000D56E2">
            <w:pPr>
              <w:textAlignment w:val="top"/>
            </w:pPr>
            <w:r>
              <w:rPr>
                <w:rFonts w:ascii="Arial" w:eastAsia="宋体" w:hAnsi="Arial" w:cs="Arial"/>
                <w:color w:val="333333"/>
                <w:sz w:val="16"/>
                <w:szCs w:val="16"/>
              </w:rPr>
              <w:t>Revenue down $857M or 4% from Q3 2019</w:t>
            </w:r>
          </w:p>
        </w:tc>
        <w:tc>
          <w:tcPr>
            <w:tcW w:w="0" w:type="auto"/>
            <w:gridSpan w:val="3"/>
            <w:shd w:val="clear" w:color="auto" w:fill="auto"/>
          </w:tcPr>
          <w:p w14:paraId="36CA172D" w14:textId="77777777" w:rsidR="00787570" w:rsidRDefault="00787570">
            <w:pPr>
              <w:rPr>
                <w:rFonts w:ascii="宋体"/>
                <w:vanish/>
              </w:rPr>
            </w:pPr>
          </w:p>
        </w:tc>
        <w:tc>
          <w:tcPr>
            <w:tcW w:w="0" w:type="auto"/>
            <w:gridSpan w:val="3"/>
            <w:shd w:val="clear" w:color="auto" w:fill="auto"/>
          </w:tcPr>
          <w:p w14:paraId="36CA172E" w14:textId="77777777" w:rsidR="00787570" w:rsidRDefault="00787570">
            <w:pPr>
              <w:rPr>
                <w:rFonts w:ascii="宋体"/>
                <w:vanish/>
              </w:rPr>
            </w:pPr>
          </w:p>
        </w:tc>
        <w:tc>
          <w:tcPr>
            <w:tcW w:w="0" w:type="auto"/>
            <w:gridSpan w:val="3"/>
            <w:shd w:val="clear" w:color="auto" w:fill="auto"/>
            <w:tcMar>
              <w:left w:w="20" w:type="dxa"/>
              <w:right w:w="20" w:type="dxa"/>
            </w:tcMar>
            <w:vAlign w:val="bottom"/>
          </w:tcPr>
          <w:p w14:paraId="36CA172F" w14:textId="77777777" w:rsidR="00787570" w:rsidRDefault="00787570">
            <w:pPr>
              <w:rPr>
                <w:rFonts w:ascii="宋体"/>
              </w:rPr>
            </w:pPr>
          </w:p>
        </w:tc>
        <w:tc>
          <w:tcPr>
            <w:tcW w:w="0" w:type="auto"/>
            <w:gridSpan w:val="3"/>
            <w:tcBorders>
              <w:top w:val="single" w:sz="8" w:space="0" w:color="0071C5"/>
            </w:tcBorders>
            <w:shd w:val="clear" w:color="auto" w:fill="auto"/>
            <w:tcMar>
              <w:top w:w="40" w:type="dxa"/>
              <w:left w:w="20" w:type="dxa"/>
              <w:bottom w:w="40" w:type="dxa"/>
              <w:right w:w="20" w:type="dxa"/>
            </w:tcMar>
          </w:tcPr>
          <w:p w14:paraId="36CA1730" w14:textId="77777777" w:rsidR="00787570" w:rsidRDefault="000D56E2">
            <w:pPr>
              <w:textAlignment w:val="top"/>
            </w:pPr>
            <w:r>
              <w:rPr>
                <w:rFonts w:ascii="Arial" w:eastAsia="宋体" w:hAnsi="Arial" w:cs="Arial"/>
                <w:color w:val="333333"/>
                <w:sz w:val="16"/>
                <w:szCs w:val="16"/>
              </w:rPr>
              <w:t>Operating income down $1.4B or 22% from Q3 2019; Q3 2020 operating margin at 28%</w:t>
            </w:r>
          </w:p>
        </w:tc>
        <w:tc>
          <w:tcPr>
            <w:tcW w:w="0" w:type="auto"/>
            <w:gridSpan w:val="3"/>
            <w:shd w:val="clear" w:color="auto" w:fill="auto"/>
            <w:tcMar>
              <w:left w:w="20" w:type="dxa"/>
              <w:right w:w="20" w:type="dxa"/>
            </w:tcMar>
            <w:vAlign w:val="bottom"/>
          </w:tcPr>
          <w:p w14:paraId="36CA1731" w14:textId="77777777" w:rsidR="00787570" w:rsidRDefault="00787570">
            <w:pPr>
              <w:rPr>
                <w:rFonts w:ascii="宋体"/>
              </w:rPr>
            </w:pPr>
          </w:p>
        </w:tc>
        <w:tc>
          <w:tcPr>
            <w:tcW w:w="0" w:type="auto"/>
            <w:gridSpan w:val="3"/>
            <w:tcBorders>
              <w:top w:val="single" w:sz="8" w:space="0" w:color="0071C5"/>
            </w:tcBorders>
            <w:shd w:val="clear" w:color="auto" w:fill="auto"/>
            <w:tcMar>
              <w:top w:w="40" w:type="dxa"/>
              <w:left w:w="20" w:type="dxa"/>
              <w:bottom w:w="40" w:type="dxa"/>
              <w:right w:w="20" w:type="dxa"/>
            </w:tcMar>
          </w:tcPr>
          <w:p w14:paraId="36CA1732" w14:textId="77777777" w:rsidR="00787570" w:rsidRDefault="000D56E2">
            <w:pPr>
              <w:textAlignment w:val="top"/>
            </w:pPr>
            <w:r>
              <w:rPr>
                <w:rFonts w:ascii="Arial" w:eastAsia="宋体" w:hAnsi="Arial" w:cs="Arial"/>
                <w:color w:val="333333"/>
                <w:sz w:val="16"/>
                <w:szCs w:val="16"/>
              </w:rPr>
              <w:t>Operating income</w:t>
            </w:r>
            <w:r>
              <w:rPr>
                <w:rFonts w:ascii="Arial" w:eastAsia="宋体" w:hAnsi="Arial" w:cs="Arial"/>
                <w:color w:val="333333"/>
                <w:sz w:val="16"/>
                <w:szCs w:val="16"/>
              </w:rPr>
              <w:t xml:space="preserve"> down $1.5B or 22% from Q3 2019; Q3 2020 operating margin at 29%</w:t>
            </w:r>
          </w:p>
        </w:tc>
        <w:tc>
          <w:tcPr>
            <w:tcW w:w="0" w:type="auto"/>
            <w:gridSpan w:val="3"/>
            <w:shd w:val="clear" w:color="auto" w:fill="auto"/>
            <w:tcMar>
              <w:left w:w="20" w:type="dxa"/>
              <w:right w:w="20" w:type="dxa"/>
            </w:tcMar>
            <w:vAlign w:val="bottom"/>
          </w:tcPr>
          <w:p w14:paraId="36CA1733" w14:textId="77777777" w:rsidR="00787570" w:rsidRDefault="00787570">
            <w:pPr>
              <w:rPr>
                <w:rFonts w:ascii="宋体"/>
              </w:rPr>
            </w:pPr>
          </w:p>
        </w:tc>
        <w:tc>
          <w:tcPr>
            <w:tcW w:w="0" w:type="auto"/>
            <w:gridSpan w:val="3"/>
            <w:tcBorders>
              <w:top w:val="single" w:sz="8" w:space="0" w:color="00AEEF"/>
            </w:tcBorders>
            <w:shd w:val="clear" w:color="auto" w:fill="auto"/>
            <w:tcMar>
              <w:top w:w="40" w:type="dxa"/>
              <w:left w:w="20" w:type="dxa"/>
              <w:bottom w:w="40" w:type="dxa"/>
              <w:right w:w="20" w:type="dxa"/>
            </w:tcMar>
          </w:tcPr>
          <w:p w14:paraId="36CA1734" w14:textId="77777777" w:rsidR="00787570" w:rsidRDefault="000D56E2">
            <w:pPr>
              <w:textAlignment w:val="top"/>
            </w:pPr>
            <w:r>
              <w:rPr>
                <w:rFonts w:ascii="Arial" w:eastAsia="宋体" w:hAnsi="Arial" w:cs="Arial"/>
                <w:color w:val="333333"/>
                <w:sz w:val="16"/>
                <w:szCs w:val="16"/>
              </w:rPr>
              <w:t>Diluted EPS down $0.34 or 25% from Q3 2019</w:t>
            </w:r>
          </w:p>
        </w:tc>
        <w:tc>
          <w:tcPr>
            <w:tcW w:w="0" w:type="auto"/>
            <w:gridSpan w:val="3"/>
            <w:shd w:val="clear" w:color="auto" w:fill="auto"/>
            <w:tcMar>
              <w:left w:w="20" w:type="dxa"/>
              <w:right w:w="20" w:type="dxa"/>
            </w:tcMar>
            <w:vAlign w:val="bottom"/>
          </w:tcPr>
          <w:p w14:paraId="36CA1735" w14:textId="77777777" w:rsidR="00787570" w:rsidRDefault="00787570">
            <w:pPr>
              <w:rPr>
                <w:rFonts w:ascii="宋体"/>
              </w:rPr>
            </w:pPr>
          </w:p>
        </w:tc>
        <w:tc>
          <w:tcPr>
            <w:tcW w:w="0" w:type="auto"/>
            <w:gridSpan w:val="3"/>
            <w:tcBorders>
              <w:top w:val="single" w:sz="8" w:space="0" w:color="00AEEF"/>
            </w:tcBorders>
            <w:shd w:val="clear" w:color="auto" w:fill="auto"/>
            <w:tcMar>
              <w:top w:w="40" w:type="dxa"/>
              <w:left w:w="20" w:type="dxa"/>
              <w:bottom w:w="40" w:type="dxa"/>
              <w:right w:w="20" w:type="dxa"/>
            </w:tcMar>
          </w:tcPr>
          <w:p w14:paraId="36CA1736" w14:textId="77777777" w:rsidR="00787570" w:rsidRDefault="000D56E2">
            <w:pPr>
              <w:textAlignment w:val="top"/>
            </w:pPr>
            <w:r>
              <w:rPr>
                <w:rFonts w:ascii="Arial" w:eastAsia="宋体" w:hAnsi="Arial" w:cs="Arial"/>
                <w:color w:val="333333"/>
                <w:sz w:val="16"/>
                <w:szCs w:val="16"/>
              </w:rPr>
              <w:t>Diluted EPS down $0.31 or 22% from Q3 2019</w:t>
            </w:r>
          </w:p>
        </w:tc>
        <w:tc>
          <w:tcPr>
            <w:tcW w:w="0" w:type="auto"/>
            <w:gridSpan w:val="3"/>
            <w:shd w:val="clear" w:color="auto" w:fill="auto"/>
            <w:tcMar>
              <w:left w:w="20" w:type="dxa"/>
              <w:right w:w="20" w:type="dxa"/>
            </w:tcMar>
            <w:vAlign w:val="bottom"/>
          </w:tcPr>
          <w:p w14:paraId="36CA1737" w14:textId="77777777" w:rsidR="00787570" w:rsidRDefault="00787570">
            <w:pPr>
              <w:rPr>
                <w:rFonts w:ascii="宋体"/>
              </w:rPr>
            </w:pPr>
          </w:p>
        </w:tc>
        <w:tc>
          <w:tcPr>
            <w:tcW w:w="0" w:type="auto"/>
            <w:gridSpan w:val="3"/>
            <w:tcBorders>
              <w:top w:val="single" w:sz="8" w:space="0" w:color="C1C1C1"/>
            </w:tcBorders>
            <w:shd w:val="clear" w:color="auto" w:fill="auto"/>
            <w:tcMar>
              <w:top w:w="40" w:type="dxa"/>
              <w:left w:w="20" w:type="dxa"/>
              <w:bottom w:w="40" w:type="dxa"/>
              <w:right w:w="20" w:type="dxa"/>
            </w:tcMar>
          </w:tcPr>
          <w:p w14:paraId="36CA1738" w14:textId="77777777" w:rsidR="00787570" w:rsidRDefault="000D56E2">
            <w:pPr>
              <w:textAlignment w:val="top"/>
            </w:pPr>
            <w:r>
              <w:rPr>
                <w:rFonts w:ascii="Arial" w:eastAsia="宋体" w:hAnsi="Arial" w:cs="Arial"/>
                <w:color w:val="333333"/>
                <w:sz w:val="16"/>
                <w:szCs w:val="16"/>
              </w:rPr>
              <w:t>Operating cash flow up $2.2B or 10% from YTD Q3 2019</w:t>
            </w:r>
          </w:p>
        </w:tc>
        <w:tc>
          <w:tcPr>
            <w:tcW w:w="0" w:type="auto"/>
            <w:gridSpan w:val="3"/>
            <w:shd w:val="clear" w:color="auto" w:fill="auto"/>
            <w:tcMar>
              <w:left w:w="20" w:type="dxa"/>
              <w:right w:w="20" w:type="dxa"/>
            </w:tcMar>
            <w:vAlign w:val="bottom"/>
          </w:tcPr>
          <w:p w14:paraId="36CA1739" w14:textId="77777777" w:rsidR="00787570" w:rsidRDefault="00787570">
            <w:pPr>
              <w:rPr>
                <w:rFonts w:ascii="宋体"/>
              </w:rPr>
            </w:pPr>
          </w:p>
        </w:tc>
        <w:tc>
          <w:tcPr>
            <w:tcW w:w="0" w:type="auto"/>
            <w:gridSpan w:val="3"/>
            <w:tcBorders>
              <w:top w:val="single" w:sz="8" w:space="0" w:color="C1C1C1"/>
            </w:tcBorders>
            <w:shd w:val="clear" w:color="auto" w:fill="auto"/>
            <w:tcMar>
              <w:top w:w="40" w:type="dxa"/>
              <w:left w:w="20" w:type="dxa"/>
              <w:bottom w:w="40" w:type="dxa"/>
              <w:right w:w="20" w:type="dxa"/>
            </w:tcMar>
          </w:tcPr>
          <w:p w14:paraId="36CA173A" w14:textId="77777777" w:rsidR="00787570" w:rsidRDefault="000D56E2">
            <w:pPr>
              <w:textAlignment w:val="top"/>
            </w:pPr>
            <w:r>
              <w:rPr>
                <w:rFonts w:ascii="Arial" w:eastAsia="宋体" w:hAnsi="Arial" w:cs="Arial"/>
                <w:color w:val="333333"/>
                <w:sz w:val="16"/>
                <w:szCs w:val="16"/>
              </w:rPr>
              <w:t xml:space="preserve">Free cash flow up $3.4B or 29% from YTD Q3 </w:t>
            </w:r>
            <w:r>
              <w:rPr>
                <w:rFonts w:ascii="Arial" w:eastAsia="宋体" w:hAnsi="Arial" w:cs="Arial"/>
                <w:color w:val="333333"/>
                <w:sz w:val="16"/>
                <w:szCs w:val="16"/>
              </w:rPr>
              <w:t>2019</w:t>
            </w:r>
          </w:p>
        </w:tc>
        <w:tc>
          <w:tcPr>
            <w:tcW w:w="0" w:type="auto"/>
            <w:shd w:val="clear" w:color="auto" w:fill="auto"/>
          </w:tcPr>
          <w:p w14:paraId="36CA173B" w14:textId="77777777" w:rsidR="00787570" w:rsidRDefault="00787570">
            <w:pPr>
              <w:rPr>
                <w:rFonts w:ascii="宋体"/>
              </w:rPr>
            </w:pPr>
          </w:p>
        </w:tc>
        <w:tc>
          <w:tcPr>
            <w:tcW w:w="0" w:type="auto"/>
            <w:shd w:val="clear" w:color="auto" w:fill="auto"/>
          </w:tcPr>
          <w:p w14:paraId="36CA173C" w14:textId="77777777" w:rsidR="00787570" w:rsidRDefault="00787570">
            <w:pPr>
              <w:rPr>
                <w:rFonts w:ascii="宋体"/>
              </w:rPr>
            </w:pPr>
          </w:p>
        </w:tc>
        <w:tc>
          <w:tcPr>
            <w:tcW w:w="0" w:type="auto"/>
            <w:shd w:val="clear" w:color="auto" w:fill="auto"/>
          </w:tcPr>
          <w:p w14:paraId="36CA173D" w14:textId="77777777" w:rsidR="00787570" w:rsidRDefault="00787570">
            <w:pPr>
              <w:rPr>
                <w:rFonts w:ascii="宋体"/>
              </w:rPr>
            </w:pPr>
          </w:p>
        </w:tc>
        <w:tc>
          <w:tcPr>
            <w:tcW w:w="0" w:type="auto"/>
            <w:shd w:val="clear" w:color="auto" w:fill="auto"/>
          </w:tcPr>
          <w:p w14:paraId="36CA173E" w14:textId="77777777" w:rsidR="00787570" w:rsidRDefault="00787570">
            <w:pPr>
              <w:rPr>
                <w:rFonts w:ascii="宋体"/>
              </w:rPr>
            </w:pPr>
          </w:p>
        </w:tc>
        <w:tc>
          <w:tcPr>
            <w:tcW w:w="0" w:type="auto"/>
            <w:shd w:val="clear" w:color="auto" w:fill="auto"/>
          </w:tcPr>
          <w:p w14:paraId="36CA173F" w14:textId="77777777" w:rsidR="00787570" w:rsidRDefault="00787570">
            <w:pPr>
              <w:rPr>
                <w:rFonts w:ascii="宋体"/>
              </w:rPr>
            </w:pPr>
          </w:p>
        </w:tc>
        <w:tc>
          <w:tcPr>
            <w:tcW w:w="0" w:type="auto"/>
            <w:shd w:val="clear" w:color="auto" w:fill="auto"/>
          </w:tcPr>
          <w:p w14:paraId="36CA1740" w14:textId="77777777" w:rsidR="00787570" w:rsidRDefault="00787570">
            <w:pPr>
              <w:rPr>
                <w:rFonts w:ascii="宋体"/>
              </w:rPr>
            </w:pPr>
          </w:p>
        </w:tc>
        <w:tc>
          <w:tcPr>
            <w:tcW w:w="0" w:type="auto"/>
            <w:shd w:val="clear" w:color="auto" w:fill="auto"/>
          </w:tcPr>
          <w:p w14:paraId="36CA1741" w14:textId="77777777" w:rsidR="00787570" w:rsidRDefault="00787570">
            <w:pPr>
              <w:rPr>
                <w:rFonts w:ascii="宋体"/>
              </w:rPr>
            </w:pPr>
          </w:p>
        </w:tc>
        <w:tc>
          <w:tcPr>
            <w:tcW w:w="0" w:type="auto"/>
            <w:shd w:val="clear" w:color="auto" w:fill="auto"/>
          </w:tcPr>
          <w:p w14:paraId="36CA1742" w14:textId="77777777" w:rsidR="00787570" w:rsidRDefault="00787570">
            <w:pPr>
              <w:rPr>
                <w:rFonts w:ascii="宋体"/>
              </w:rPr>
            </w:pPr>
          </w:p>
        </w:tc>
        <w:tc>
          <w:tcPr>
            <w:tcW w:w="0" w:type="auto"/>
            <w:shd w:val="clear" w:color="auto" w:fill="auto"/>
          </w:tcPr>
          <w:p w14:paraId="36CA1743" w14:textId="77777777" w:rsidR="00787570" w:rsidRDefault="00787570">
            <w:pPr>
              <w:rPr>
                <w:rFonts w:ascii="宋体"/>
              </w:rPr>
            </w:pPr>
          </w:p>
        </w:tc>
        <w:tc>
          <w:tcPr>
            <w:tcW w:w="0" w:type="auto"/>
            <w:shd w:val="clear" w:color="auto" w:fill="auto"/>
          </w:tcPr>
          <w:p w14:paraId="36CA1744" w14:textId="77777777" w:rsidR="00787570" w:rsidRDefault="00787570">
            <w:pPr>
              <w:rPr>
                <w:rFonts w:ascii="宋体"/>
              </w:rPr>
            </w:pPr>
          </w:p>
        </w:tc>
        <w:tc>
          <w:tcPr>
            <w:tcW w:w="0" w:type="auto"/>
            <w:shd w:val="clear" w:color="auto" w:fill="auto"/>
          </w:tcPr>
          <w:p w14:paraId="36CA1745" w14:textId="77777777" w:rsidR="00787570" w:rsidRDefault="00787570">
            <w:pPr>
              <w:rPr>
                <w:rFonts w:ascii="宋体"/>
              </w:rPr>
            </w:pPr>
          </w:p>
        </w:tc>
        <w:tc>
          <w:tcPr>
            <w:tcW w:w="0" w:type="auto"/>
            <w:shd w:val="clear" w:color="auto" w:fill="auto"/>
          </w:tcPr>
          <w:p w14:paraId="36CA1746" w14:textId="77777777" w:rsidR="00787570" w:rsidRDefault="00787570">
            <w:pPr>
              <w:rPr>
                <w:rFonts w:ascii="宋体"/>
              </w:rPr>
            </w:pPr>
          </w:p>
        </w:tc>
      </w:tr>
      <w:tr w:rsidR="00787570" w14:paraId="36CA1763" w14:textId="77777777">
        <w:trPr>
          <w:trHeight w:val="60"/>
        </w:trPr>
        <w:tc>
          <w:tcPr>
            <w:tcW w:w="0" w:type="auto"/>
            <w:gridSpan w:val="9"/>
            <w:shd w:val="clear" w:color="auto" w:fill="auto"/>
            <w:tcMar>
              <w:left w:w="20" w:type="dxa"/>
              <w:right w:w="20" w:type="dxa"/>
            </w:tcMar>
            <w:vAlign w:val="bottom"/>
          </w:tcPr>
          <w:p w14:paraId="36CA1748" w14:textId="77777777" w:rsidR="00787570" w:rsidRDefault="00787570">
            <w:pPr>
              <w:rPr>
                <w:rFonts w:ascii="宋体"/>
              </w:rPr>
            </w:pPr>
          </w:p>
        </w:tc>
        <w:tc>
          <w:tcPr>
            <w:tcW w:w="0" w:type="auto"/>
            <w:gridSpan w:val="3"/>
            <w:shd w:val="clear" w:color="auto" w:fill="auto"/>
          </w:tcPr>
          <w:p w14:paraId="36CA1749" w14:textId="77777777" w:rsidR="00787570" w:rsidRDefault="00787570">
            <w:pPr>
              <w:rPr>
                <w:rFonts w:ascii="宋体"/>
                <w:vanish/>
              </w:rPr>
            </w:pPr>
          </w:p>
        </w:tc>
        <w:tc>
          <w:tcPr>
            <w:tcW w:w="0" w:type="auto"/>
            <w:gridSpan w:val="3"/>
            <w:shd w:val="clear" w:color="auto" w:fill="auto"/>
          </w:tcPr>
          <w:p w14:paraId="36CA174A" w14:textId="77777777" w:rsidR="00787570" w:rsidRDefault="00787570">
            <w:pPr>
              <w:rPr>
                <w:rFonts w:ascii="宋体"/>
                <w:vanish/>
              </w:rPr>
            </w:pPr>
          </w:p>
        </w:tc>
        <w:tc>
          <w:tcPr>
            <w:tcW w:w="0" w:type="auto"/>
            <w:gridSpan w:val="3"/>
            <w:shd w:val="clear" w:color="auto" w:fill="auto"/>
            <w:tcMar>
              <w:left w:w="20" w:type="dxa"/>
              <w:right w:w="20" w:type="dxa"/>
            </w:tcMar>
            <w:vAlign w:val="bottom"/>
          </w:tcPr>
          <w:p w14:paraId="36CA174B"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174C"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174D"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174E"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174F"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1750"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1751"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1752"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1753"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1754"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1755"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1756" w14:textId="77777777" w:rsidR="00787570" w:rsidRDefault="00787570">
            <w:pPr>
              <w:rPr>
                <w:rFonts w:ascii="宋体"/>
              </w:rPr>
            </w:pPr>
          </w:p>
        </w:tc>
        <w:tc>
          <w:tcPr>
            <w:tcW w:w="0" w:type="auto"/>
            <w:shd w:val="clear" w:color="auto" w:fill="auto"/>
          </w:tcPr>
          <w:p w14:paraId="36CA1757" w14:textId="77777777" w:rsidR="00787570" w:rsidRDefault="00787570">
            <w:pPr>
              <w:rPr>
                <w:rFonts w:ascii="宋体"/>
              </w:rPr>
            </w:pPr>
          </w:p>
        </w:tc>
        <w:tc>
          <w:tcPr>
            <w:tcW w:w="0" w:type="auto"/>
            <w:shd w:val="clear" w:color="auto" w:fill="auto"/>
          </w:tcPr>
          <w:p w14:paraId="36CA1758" w14:textId="77777777" w:rsidR="00787570" w:rsidRDefault="00787570">
            <w:pPr>
              <w:rPr>
                <w:rFonts w:ascii="宋体"/>
              </w:rPr>
            </w:pPr>
          </w:p>
        </w:tc>
        <w:tc>
          <w:tcPr>
            <w:tcW w:w="0" w:type="auto"/>
            <w:shd w:val="clear" w:color="auto" w:fill="auto"/>
          </w:tcPr>
          <w:p w14:paraId="36CA1759" w14:textId="77777777" w:rsidR="00787570" w:rsidRDefault="00787570">
            <w:pPr>
              <w:rPr>
                <w:rFonts w:ascii="宋体"/>
              </w:rPr>
            </w:pPr>
          </w:p>
        </w:tc>
        <w:tc>
          <w:tcPr>
            <w:tcW w:w="0" w:type="auto"/>
            <w:shd w:val="clear" w:color="auto" w:fill="auto"/>
          </w:tcPr>
          <w:p w14:paraId="36CA175A" w14:textId="77777777" w:rsidR="00787570" w:rsidRDefault="00787570">
            <w:pPr>
              <w:rPr>
                <w:rFonts w:ascii="宋体"/>
              </w:rPr>
            </w:pPr>
          </w:p>
        </w:tc>
        <w:tc>
          <w:tcPr>
            <w:tcW w:w="0" w:type="auto"/>
            <w:shd w:val="clear" w:color="auto" w:fill="auto"/>
          </w:tcPr>
          <w:p w14:paraId="36CA175B" w14:textId="77777777" w:rsidR="00787570" w:rsidRDefault="00787570">
            <w:pPr>
              <w:rPr>
                <w:rFonts w:ascii="宋体"/>
              </w:rPr>
            </w:pPr>
          </w:p>
        </w:tc>
        <w:tc>
          <w:tcPr>
            <w:tcW w:w="0" w:type="auto"/>
            <w:shd w:val="clear" w:color="auto" w:fill="auto"/>
          </w:tcPr>
          <w:p w14:paraId="36CA175C" w14:textId="77777777" w:rsidR="00787570" w:rsidRDefault="00787570">
            <w:pPr>
              <w:rPr>
                <w:rFonts w:ascii="宋体"/>
              </w:rPr>
            </w:pPr>
          </w:p>
        </w:tc>
        <w:tc>
          <w:tcPr>
            <w:tcW w:w="0" w:type="auto"/>
            <w:shd w:val="clear" w:color="auto" w:fill="auto"/>
          </w:tcPr>
          <w:p w14:paraId="36CA175D" w14:textId="77777777" w:rsidR="00787570" w:rsidRDefault="00787570">
            <w:pPr>
              <w:rPr>
                <w:rFonts w:ascii="宋体"/>
              </w:rPr>
            </w:pPr>
          </w:p>
        </w:tc>
        <w:tc>
          <w:tcPr>
            <w:tcW w:w="0" w:type="auto"/>
            <w:shd w:val="clear" w:color="auto" w:fill="auto"/>
          </w:tcPr>
          <w:p w14:paraId="36CA175E" w14:textId="77777777" w:rsidR="00787570" w:rsidRDefault="00787570">
            <w:pPr>
              <w:rPr>
                <w:rFonts w:ascii="宋体"/>
              </w:rPr>
            </w:pPr>
          </w:p>
        </w:tc>
        <w:tc>
          <w:tcPr>
            <w:tcW w:w="0" w:type="auto"/>
            <w:shd w:val="clear" w:color="auto" w:fill="auto"/>
          </w:tcPr>
          <w:p w14:paraId="36CA175F" w14:textId="77777777" w:rsidR="00787570" w:rsidRDefault="00787570">
            <w:pPr>
              <w:rPr>
                <w:rFonts w:ascii="宋体"/>
              </w:rPr>
            </w:pPr>
          </w:p>
        </w:tc>
        <w:tc>
          <w:tcPr>
            <w:tcW w:w="0" w:type="auto"/>
            <w:shd w:val="clear" w:color="auto" w:fill="auto"/>
          </w:tcPr>
          <w:p w14:paraId="36CA1760" w14:textId="77777777" w:rsidR="00787570" w:rsidRDefault="00787570">
            <w:pPr>
              <w:rPr>
                <w:rFonts w:ascii="宋体"/>
              </w:rPr>
            </w:pPr>
          </w:p>
        </w:tc>
        <w:tc>
          <w:tcPr>
            <w:tcW w:w="0" w:type="auto"/>
            <w:shd w:val="clear" w:color="auto" w:fill="auto"/>
          </w:tcPr>
          <w:p w14:paraId="36CA1761" w14:textId="77777777" w:rsidR="00787570" w:rsidRDefault="00787570">
            <w:pPr>
              <w:rPr>
                <w:rFonts w:ascii="宋体"/>
              </w:rPr>
            </w:pPr>
          </w:p>
        </w:tc>
        <w:tc>
          <w:tcPr>
            <w:tcW w:w="0" w:type="auto"/>
            <w:shd w:val="clear" w:color="auto" w:fill="auto"/>
          </w:tcPr>
          <w:p w14:paraId="36CA1762" w14:textId="77777777" w:rsidR="00787570" w:rsidRDefault="00787570">
            <w:pPr>
              <w:rPr>
                <w:rFonts w:ascii="宋体"/>
              </w:rPr>
            </w:pPr>
          </w:p>
        </w:tc>
      </w:tr>
      <w:tr w:rsidR="00787570" w14:paraId="36CA1772" w14:textId="77777777">
        <w:tc>
          <w:tcPr>
            <w:tcW w:w="0" w:type="auto"/>
            <w:gridSpan w:val="9"/>
            <w:shd w:val="clear" w:color="auto" w:fill="auto"/>
            <w:tcMar>
              <w:top w:w="40" w:type="dxa"/>
              <w:left w:w="20" w:type="dxa"/>
              <w:bottom w:w="40" w:type="dxa"/>
              <w:right w:w="20" w:type="dxa"/>
            </w:tcMar>
          </w:tcPr>
          <w:p w14:paraId="36CA1764" w14:textId="77777777" w:rsidR="00787570" w:rsidRDefault="000D56E2">
            <w:pPr>
              <w:textAlignment w:val="top"/>
            </w:pPr>
            <w:r>
              <w:rPr>
                <w:rFonts w:ascii="Arial" w:eastAsia="宋体" w:hAnsi="Arial" w:cs="Arial"/>
                <w:color w:val="333333"/>
                <w:sz w:val="16"/>
                <w:szCs w:val="16"/>
              </w:rPr>
              <w:t>Decli</w:t>
            </w:r>
            <w:r>
              <w:rPr>
                <w:rFonts w:ascii="Arial" w:eastAsia="宋体" w:hAnsi="Arial" w:cs="Arial"/>
                <w:color w:val="333333"/>
                <w:sz w:val="16"/>
                <w:szCs w:val="16"/>
              </w:rPr>
              <w:t xml:space="preserve">ne in most data-centric businesses, partially offset by growth in our PC-centric business </w:t>
            </w:r>
          </w:p>
        </w:tc>
        <w:tc>
          <w:tcPr>
            <w:tcW w:w="0" w:type="auto"/>
            <w:gridSpan w:val="3"/>
            <w:shd w:val="clear" w:color="auto" w:fill="auto"/>
          </w:tcPr>
          <w:p w14:paraId="36CA1765" w14:textId="77777777" w:rsidR="00787570" w:rsidRDefault="00787570">
            <w:pPr>
              <w:rPr>
                <w:rFonts w:ascii="宋体"/>
                <w:vanish/>
              </w:rPr>
            </w:pPr>
          </w:p>
        </w:tc>
        <w:tc>
          <w:tcPr>
            <w:tcW w:w="0" w:type="auto"/>
            <w:gridSpan w:val="3"/>
            <w:shd w:val="clear" w:color="auto" w:fill="auto"/>
          </w:tcPr>
          <w:p w14:paraId="36CA1766" w14:textId="77777777" w:rsidR="00787570" w:rsidRDefault="00787570">
            <w:pPr>
              <w:rPr>
                <w:rFonts w:ascii="宋体"/>
                <w:vanish/>
              </w:rPr>
            </w:pPr>
          </w:p>
        </w:tc>
        <w:tc>
          <w:tcPr>
            <w:tcW w:w="0" w:type="auto"/>
            <w:gridSpan w:val="3"/>
            <w:shd w:val="clear" w:color="auto" w:fill="auto"/>
            <w:tcMar>
              <w:left w:w="20" w:type="dxa"/>
              <w:right w:w="20" w:type="dxa"/>
            </w:tcMar>
            <w:vAlign w:val="bottom"/>
          </w:tcPr>
          <w:p w14:paraId="36CA1767" w14:textId="77777777" w:rsidR="00787570" w:rsidRDefault="00787570">
            <w:pPr>
              <w:rPr>
                <w:rFonts w:ascii="宋体"/>
              </w:rPr>
            </w:pPr>
          </w:p>
        </w:tc>
        <w:tc>
          <w:tcPr>
            <w:tcW w:w="0" w:type="auto"/>
            <w:gridSpan w:val="9"/>
            <w:shd w:val="clear" w:color="auto" w:fill="auto"/>
            <w:tcMar>
              <w:top w:w="40" w:type="dxa"/>
              <w:left w:w="20" w:type="dxa"/>
              <w:bottom w:w="40" w:type="dxa"/>
              <w:right w:w="20" w:type="dxa"/>
            </w:tcMar>
          </w:tcPr>
          <w:p w14:paraId="36CA1768" w14:textId="77777777" w:rsidR="00787570" w:rsidRDefault="000D56E2">
            <w:pPr>
              <w:textAlignment w:val="top"/>
            </w:pPr>
            <w:r>
              <w:rPr>
                <w:rFonts w:ascii="Arial" w:eastAsia="宋体" w:hAnsi="Arial" w:cs="Arial"/>
                <w:color w:val="333333"/>
                <w:sz w:val="16"/>
                <w:szCs w:val="16"/>
              </w:rPr>
              <w:t>Lower gross margin dollars from platform ASP decline, higher platform unit cost from increased mix of 10nm products, higher platform reserves, and lower sell-thro</w:t>
            </w:r>
            <w:r>
              <w:rPr>
                <w:rFonts w:ascii="Arial" w:eastAsia="宋体" w:hAnsi="Arial" w:cs="Arial"/>
                <w:color w:val="333333"/>
                <w:sz w:val="16"/>
                <w:szCs w:val="16"/>
              </w:rPr>
              <w:t>ugh of previously reserved non-qualified platform product, partially offset by higher platform unit volume, improved NAND pricing and cost, and lower spending</w:t>
            </w:r>
          </w:p>
        </w:tc>
        <w:tc>
          <w:tcPr>
            <w:tcW w:w="0" w:type="auto"/>
            <w:gridSpan w:val="3"/>
            <w:shd w:val="clear" w:color="auto" w:fill="auto"/>
          </w:tcPr>
          <w:p w14:paraId="36CA1769" w14:textId="77777777" w:rsidR="00787570" w:rsidRDefault="00787570">
            <w:pPr>
              <w:rPr>
                <w:rFonts w:ascii="宋体"/>
                <w:vanish/>
              </w:rPr>
            </w:pPr>
          </w:p>
        </w:tc>
        <w:tc>
          <w:tcPr>
            <w:tcW w:w="0" w:type="auto"/>
            <w:gridSpan w:val="3"/>
            <w:shd w:val="clear" w:color="auto" w:fill="auto"/>
          </w:tcPr>
          <w:p w14:paraId="36CA176A" w14:textId="77777777" w:rsidR="00787570" w:rsidRDefault="00787570">
            <w:pPr>
              <w:rPr>
                <w:rFonts w:ascii="宋体"/>
                <w:vanish/>
              </w:rPr>
            </w:pPr>
          </w:p>
        </w:tc>
        <w:tc>
          <w:tcPr>
            <w:tcW w:w="0" w:type="auto"/>
            <w:gridSpan w:val="3"/>
            <w:shd w:val="clear" w:color="auto" w:fill="auto"/>
            <w:tcMar>
              <w:left w:w="20" w:type="dxa"/>
              <w:right w:w="20" w:type="dxa"/>
            </w:tcMar>
            <w:vAlign w:val="bottom"/>
          </w:tcPr>
          <w:p w14:paraId="36CA176B" w14:textId="77777777" w:rsidR="00787570" w:rsidRDefault="00787570">
            <w:pPr>
              <w:rPr>
                <w:rFonts w:ascii="宋体"/>
              </w:rPr>
            </w:pPr>
          </w:p>
        </w:tc>
        <w:tc>
          <w:tcPr>
            <w:tcW w:w="0" w:type="auto"/>
            <w:gridSpan w:val="9"/>
            <w:shd w:val="clear" w:color="auto" w:fill="auto"/>
            <w:tcMar>
              <w:top w:w="40" w:type="dxa"/>
              <w:left w:w="20" w:type="dxa"/>
              <w:bottom w:w="40" w:type="dxa"/>
              <w:right w:w="20" w:type="dxa"/>
            </w:tcMar>
          </w:tcPr>
          <w:p w14:paraId="36CA176C" w14:textId="77777777" w:rsidR="00787570" w:rsidRDefault="000D56E2">
            <w:pPr>
              <w:textAlignment w:val="top"/>
            </w:pPr>
            <w:r>
              <w:rPr>
                <w:rFonts w:ascii="Arial" w:eastAsia="宋体" w:hAnsi="Arial" w:cs="Arial"/>
                <w:color w:val="333333"/>
                <w:sz w:val="16"/>
                <w:szCs w:val="16"/>
              </w:rPr>
              <w:t xml:space="preserve">Lower gross margin dollars and higher tax rate, partially offset by lower shares </w:t>
            </w:r>
            <w:r>
              <w:rPr>
                <w:rFonts w:ascii="Arial" w:eastAsia="宋体" w:hAnsi="Arial" w:cs="Arial"/>
                <w:color w:val="333333"/>
                <w:sz w:val="16"/>
                <w:szCs w:val="16"/>
              </w:rPr>
              <w:t>outstanding</w:t>
            </w:r>
          </w:p>
        </w:tc>
        <w:tc>
          <w:tcPr>
            <w:tcW w:w="0" w:type="auto"/>
            <w:gridSpan w:val="3"/>
            <w:shd w:val="clear" w:color="auto" w:fill="auto"/>
          </w:tcPr>
          <w:p w14:paraId="36CA176D" w14:textId="77777777" w:rsidR="00787570" w:rsidRDefault="00787570">
            <w:pPr>
              <w:rPr>
                <w:rFonts w:ascii="宋体"/>
                <w:vanish/>
              </w:rPr>
            </w:pPr>
          </w:p>
        </w:tc>
        <w:tc>
          <w:tcPr>
            <w:tcW w:w="0" w:type="auto"/>
            <w:gridSpan w:val="3"/>
            <w:shd w:val="clear" w:color="auto" w:fill="auto"/>
          </w:tcPr>
          <w:p w14:paraId="36CA176E" w14:textId="77777777" w:rsidR="00787570" w:rsidRDefault="00787570">
            <w:pPr>
              <w:rPr>
                <w:rFonts w:ascii="宋体"/>
                <w:vanish/>
              </w:rPr>
            </w:pPr>
          </w:p>
        </w:tc>
        <w:tc>
          <w:tcPr>
            <w:tcW w:w="0" w:type="auto"/>
            <w:gridSpan w:val="3"/>
            <w:shd w:val="clear" w:color="auto" w:fill="auto"/>
            <w:tcMar>
              <w:left w:w="20" w:type="dxa"/>
              <w:right w:w="20" w:type="dxa"/>
            </w:tcMar>
            <w:vAlign w:val="bottom"/>
          </w:tcPr>
          <w:p w14:paraId="36CA176F" w14:textId="77777777" w:rsidR="00787570" w:rsidRDefault="00787570">
            <w:pPr>
              <w:rPr>
                <w:rFonts w:ascii="宋体"/>
              </w:rPr>
            </w:pPr>
          </w:p>
        </w:tc>
        <w:tc>
          <w:tcPr>
            <w:tcW w:w="0" w:type="auto"/>
            <w:gridSpan w:val="8"/>
            <w:shd w:val="clear" w:color="auto" w:fill="auto"/>
            <w:tcMar>
              <w:top w:w="40" w:type="dxa"/>
              <w:left w:w="20" w:type="dxa"/>
              <w:bottom w:w="40" w:type="dxa"/>
              <w:right w:w="20" w:type="dxa"/>
            </w:tcMar>
          </w:tcPr>
          <w:p w14:paraId="36CA1770" w14:textId="77777777" w:rsidR="00787570" w:rsidRDefault="000D56E2">
            <w:pPr>
              <w:textAlignment w:val="top"/>
            </w:pPr>
            <w:r>
              <w:rPr>
                <w:rFonts w:ascii="Arial" w:eastAsia="宋体" w:hAnsi="Arial" w:cs="Arial"/>
                <w:color w:val="333333"/>
                <w:sz w:val="16"/>
                <w:szCs w:val="16"/>
              </w:rPr>
              <w:t>Higher net income, partially offset by working capital changes driven by accounts payable and other assets and liabilities; free cash flow increased due to higher operating cash flow and lower capital spending</w:t>
            </w:r>
          </w:p>
        </w:tc>
        <w:tc>
          <w:tcPr>
            <w:tcW w:w="0" w:type="auto"/>
            <w:shd w:val="clear" w:color="auto" w:fill="auto"/>
          </w:tcPr>
          <w:p w14:paraId="36CA1771" w14:textId="77777777" w:rsidR="00787570" w:rsidRDefault="00787570">
            <w:pPr>
              <w:rPr>
                <w:rFonts w:ascii="宋体"/>
                <w:vanish/>
              </w:rPr>
            </w:pPr>
          </w:p>
        </w:tc>
      </w:tr>
    </w:tbl>
    <w:p w14:paraId="36CA1773" w14:textId="77777777" w:rsidR="00787570" w:rsidRDefault="00787570">
      <w:pPr>
        <w:spacing w:before="180" w:after="180"/>
      </w:pPr>
    </w:p>
    <w:p w14:paraId="36CA1774" w14:textId="77777777" w:rsidR="00787570" w:rsidRDefault="00787570">
      <w:pPr>
        <w:spacing w:after="180"/>
      </w:pPr>
    </w:p>
    <w:p w14:paraId="36CA1775" w14:textId="77777777" w:rsidR="00787570" w:rsidRDefault="00787570">
      <w:pPr>
        <w:spacing w:after="180"/>
      </w:pPr>
    </w:p>
    <w:p w14:paraId="36CA1776" w14:textId="77777777" w:rsidR="00787570" w:rsidRDefault="00787570">
      <w:pPr>
        <w:spacing w:after="180"/>
      </w:pPr>
    </w:p>
    <w:p w14:paraId="36CA1777" w14:textId="77777777" w:rsidR="00787570" w:rsidRDefault="00787570">
      <w:pPr>
        <w:spacing w:after="180"/>
      </w:pPr>
    </w:p>
    <w:p w14:paraId="36CA1778" w14:textId="77777777" w:rsidR="00787570" w:rsidRDefault="00787570">
      <w:pPr>
        <w:spacing w:after="180"/>
      </w:pPr>
    </w:p>
    <w:p w14:paraId="36CA1779" w14:textId="77777777" w:rsidR="00787570" w:rsidRDefault="00787570">
      <w:pPr>
        <w:spacing w:after="180"/>
      </w:pPr>
    </w:p>
    <w:p w14:paraId="36CA177A" w14:textId="77777777" w:rsidR="00787570" w:rsidRDefault="000D56E2">
      <w:r>
        <w:rPr>
          <w:rFonts w:ascii="Arial" w:eastAsia="宋体" w:hAnsi="Arial" w:cs="Arial"/>
          <w:i/>
          <w:iCs/>
          <w:color w:val="333333"/>
          <w:sz w:val="10"/>
          <w:szCs w:val="10"/>
        </w:rPr>
        <w:t xml:space="preserve">1 </w:t>
      </w:r>
      <w:r>
        <w:rPr>
          <w:rFonts w:ascii="Arial" w:eastAsia="宋体" w:hAnsi="Arial" w:cs="Arial"/>
          <w:i/>
          <w:iCs/>
          <w:color w:val="333333"/>
          <w:sz w:val="16"/>
          <w:szCs w:val="16"/>
        </w:rPr>
        <w:t xml:space="preserve">See "Key Terms" within Consolidated Condensed Financial Statements and Supplemental Details. </w:t>
      </w:r>
    </w:p>
    <w:p w14:paraId="36CA177B" w14:textId="77777777" w:rsidR="00787570" w:rsidRDefault="000D56E2">
      <w:r>
        <w:rPr>
          <w:rFonts w:ascii="Arial" w:eastAsia="宋体" w:hAnsi="Arial" w:cs="Arial"/>
          <w:i/>
          <w:iCs/>
          <w:color w:val="333333"/>
          <w:sz w:val="10"/>
          <w:szCs w:val="10"/>
        </w:rPr>
        <w:t xml:space="preserve">2 </w:t>
      </w:r>
      <w:r>
        <w:rPr>
          <w:rFonts w:ascii="Arial" w:eastAsia="宋体" w:hAnsi="Arial" w:cs="Arial"/>
          <w:i/>
          <w:iCs/>
          <w:color w:val="333333"/>
          <w:sz w:val="16"/>
          <w:szCs w:val="16"/>
        </w:rPr>
        <w:t>See "Non-GAAP Financial Measures" within MD&amp;A.</w:t>
      </w:r>
    </w:p>
    <w:p w14:paraId="36CA177C" w14:textId="77777777" w:rsidR="00787570" w:rsidRDefault="00787570">
      <w:pPr>
        <w:spacing w:after="180"/>
      </w:pPr>
    </w:p>
    <w:tbl>
      <w:tblPr>
        <w:tblW w:w="5000" w:type="pct"/>
        <w:tblCellMar>
          <w:top w:w="15" w:type="dxa"/>
          <w:left w:w="15" w:type="dxa"/>
          <w:bottom w:w="15" w:type="dxa"/>
          <w:right w:w="15" w:type="dxa"/>
        </w:tblCellMar>
        <w:tblLook w:val="04A0" w:firstRow="1" w:lastRow="0" w:firstColumn="1" w:lastColumn="0" w:noHBand="0" w:noVBand="1"/>
      </w:tblPr>
      <w:tblGrid>
        <w:gridCol w:w="95"/>
        <w:gridCol w:w="416"/>
        <w:gridCol w:w="36"/>
        <w:gridCol w:w="47"/>
        <w:gridCol w:w="4254"/>
        <w:gridCol w:w="36"/>
        <w:gridCol w:w="47"/>
        <w:gridCol w:w="3369"/>
        <w:gridCol w:w="36"/>
      </w:tblGrid>
      <w:tr w:rsidR="00787570" w14:paraId="36CA1786" w14:textId="77777777">
        <w:tc>
          <w:tcPr>
            <w:tcW w:w="50" w:type="pct"/>
            <w:shd w:val="clear" w:color="auto" w:fill="auto"/>
            <w:vAlign w:val="bottom"/>
          </w:tcPr>
          <w:p w14:paraId="36CA177D" w14:textId="77777777" w:rsidR="00787570" w:rsidRDefault="00787570">
            <w:pPr>
              <w:rPr>
                <w:rFonts w:ascii="宋体"/>
              </w:rPr>
            </w:pPr>
          </w:p>
        </w:tc>
        <w:tc>
          <w:tcPr>
            <w:tcW w:w="220" w:type="pct"/>
            <w:shd w:val="clear" w:color="auto" w:fill="auto"/>
            <w:vAlign w:val="bottom"/>
          </w:tcPr>
          <w:p w14:paraId="36CA177E" w14:textId="77777777" w:rsidR="00787570" w:rsidRDefault="00787570">
            <w:pPr>
              <w:rPr>
                <w:rFonts w:ascii="宋体"/>
              </w:rPr>
            </w:pPr>
          </w:p>
        </w:tc>
        <w:tc>
          <w:tcPr>
            <w:tcW w:w="5" w:type="pct"/>
            <w:shd w:val="clear" w:color="auto" w:fill="auto"/>
            <w:vAlign w:val="bottom"/>
          </w:tcPr>
          <w:p w14:paraId="36CA177F" w14:textId="77777777" w:rsidR="00787570" w:rsidRDefault="00787570">
            <w:pPr>
              <w:rPr>
                <w:rFonts w:ascii="宋体"/>
              </w:rPr>
            </w:pPr>
          </w:p>
        </w:tc>
        <w:tc>
          <w:tcPr>
            <w:tcW w:w="50" w:type="pct"/>
            <w:shd w:val="clear" w:color="auto" w:fill="auto"/>
            <w:vAlign w:val="bottom"/>
          </w:tcPr>
          <w:p w14:paraId="36CA1780" w14:textId="77777777" w:rsidR="00787570" w:rsidRDefault="00787570">
            <w:pPr>
              <w:rPr>
                <w:rFonts w:ascii="宋体"/>
              </w:rPr>
            </w:pPr>
          </w:p>
        </w:tc>
        <w:tc>
          <w:tcPr>
            <w:tcW w:w="2572" w:type="pct"/>
            <w:shd w:val="clear" w:color="auto" w:fill="auto"/>
            <w:vAlign w:val="bottom"/>
          </w:tcPr>
          <w:p w14:paraId="36CA1781" w14:textId="77777777" w:rsidR="00787570" w:rsidRDefault="00787570">
            <w:pPr>
              <w:rPr>
                <w:rFonts w:ascii="宋体"/>
              </w:rPr>
            </w:pPr>
          </w:p>
        </w:tc>
        <w:tc>
          <w:tcPr>
            <w:tcW w:w="5" w:type="pct"/>
            <w:shd w:val="clear" w:color="auto" w:fill="auto"/>
            <w:vAlign w:val="bottom"/>
          </w:tcPr>
          <w:p w14:paraId="36CA1782" w14:textId="77777777" w:rsidR="00787570" w:rsidRDefault="00787570">
            <w:pPr>
              <w:rPr>
                <w:rFonts w:ascii="宋体"/>
              </w:rPr>
            </w:pPr>
          </w:p>
        </w:tc>
        <w:tc>
          <w:tcPr>
            <w:tcW w:w="50" w:type="pct"/>
            <w:shd w:val="clear" w:color="auto" w:fill="auto"/>
            <w:vAlign w:val="bottom"/>
          </w:tcPr>
          <w:p w14:paraId="36CA1783" w14:textId="77777777" w:rsidR="00787570" w:rsidRDefault="00787570">
            <w:pPr>
              <w:rPr>
                <w:rFonts w:ascii="宋体"/>
              </w:rPr>
            </w:pPr>
          </w:p>
        </w:tc>
        <w:tc>
          <w:tcPr>
            <w:tcW w:w="2042" w:type="pct"/>
            <w:shd w:val="clear" w:color="auto" w:fill="auto"/>
            <w:vAlign w:val="bottom"/>
          </w:tcPr>
          <w:p w14:paraId="36CA1784" w14:textId="77777777" w:rsidR="00787570" w:rsidRDefault="00787570">
            <w:pPr>
              <w:rPr>
                <w:rFonts w:ascii="宋体"/>
              </w:rPr>
            </w:pPr>
          </w:p>
        </w:tc>
        <w:tc>
          <w:tcPr>
            <w:tcW w:w="5" w:type="pct"/>
            <w:shd w:val="clear" w:color="auto" w:fill="auto"/>
            <w:vAlign w:val="bottom"/>
          </w:tcPr>
          <w:p w14:paraId="36CA1785" w14:textId="77777777" w:rsidR="00787570" w:rsidRDefault="00787570">
            <w:pPr>
              <w:rPr>
                <w:rFonts w:ascii="宋体"/>
              </w:rPr>
            </w:pPr>
          </w:p>
        </w:tc>
      </w:tr>
      <w:tr w:rsidR="00787570" w14:paraId="36CA178A" w14:textId="77777777">
        <w:tc>
          <w:tcPr>
            <w:tcW w:w="0" w:type="auto"/>
            <w:gridSpan w:val="3"/>
            <w:tcBorders>
              <w:top w:val="single" w:sz="8" w:space="0" w:color="0071C5"/>
            </w:tcBorders>
            <w:shd w:val="clear" w:color="auto" w:fill="auto"/>
            <w:tcMar>
              <w:left w:w="20" w:type="dxa"/>
              <w:right w:w="20" w:type="dxa"/>
            </w:tcMar>
            <w:vAlign w:val="center"/>
          </w:tcPr>
          <w:p w14:paraId="36CA1787" w14:textId="77777777" w:rsidR="00787570" w:rsidRDefault="000D56E2">
            <w:pPr>
              <w:textAlignment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Viewer9_files/intc-20200926_g2.jpg"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36CA5BEE" wp14:editId="36CA5BEF">
                  <wp:extent cx="304800" cy="304800"/>
                  <wp:effectExtent l="0" t="0" r="0" b="0"/>
                  <wp:docPr id="114" name="图片 45" descr="IMG_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图片 45" descr="IMG_329"/>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8" w:space="0" w:color="0071C5"/>
            </w:tcBorders>
            <w:shd w:val="clear" w:color="auto" w:fill="auto"/>
            <w:tcMar>
              <w:top w:w="40" w:type="dxa"/>
              <w:left w:w="20" w:type="dxa"/>
              <w:bottom w:w="40" w:type="dxa"/>
              <w:right w:w="20" w:type="dxa"/>
            </w:tcMar>
            <w:vAlign w:val="center"/>
          </w:tcPr>
          <w:p w14:paraId="36CA1788" w14:textId="77777777" w:rsidR="00787570" w:rsidRDefault="000D56E2">
            <w:pPr>
              <w:textAlignment w:val="center"/>
            </w:pPr>
            <w:r>
              <w:rPr>
                <w:rFonts w:ascii="Arial" w:eastAsia="宋体" w:hAnsi="Arial" w:cs="Arial"/>
                <w:color w:val="333333"/>
                <w:sz w:val="16"/>
                <w:szCs w:val="16"/>
              </w:rPr>
              <w:t>A QUARTER IN REVIEW</w:t>
            </w:r>
          </w:p>
        </w:tc>
        <w:tc>
          <w:tcPr>
            <w:tcW w:w="0" w:type="auto"/>
            <w:gridSpan w:val="3"/>
            <w:tcBorders>
              <w:top w:val="single" w:sz="8" w:space="0" w:color="0071C5"/>
            </w:tcBorders>
            <w:shd w:val="clear" w:color="auto" w:fill="auto"/>
            <w:tcMar>
              <w:top w:w="40" w:type="dxa"/>
              <w:left w:w="20" w:type="dxa"/>
              <w:bottom w:w="40" w:type="dxa"/>
              <w:right w:w="20" w:type="dxa"/>
            </w:tcMar>
            <w:vAlign w:val="center"/>
          </w:tcPr>
          <w:p w14:paraId="36CA1789" w14:textId="77777777" w:rsidR="00787570" w:rsidRDefault="000D56E2">
            <w:pPr>
              <w:jc w:val="right"/>
              <w:textAlignment w:val="center"/>
            </w:pPr>
            <w:r>
              <w:rPr>
                <w:rFonts w:ascii="Arial" w:eastAsia="宋体" w:hAnsi="Arial" w:cs="Arial"/>
                <w:color w:val="333333"/>
                <w:sz w:val="16"/>
                <w:szCs w:val="16"/>
              </w:rPr>
              <w:t>3</w:t>
            </w:r>
          </w:p>
        </w:tc>
      </w:tr>
    </w:tbl>
    <w:p w14:paraId="36CA178B" w14:textId="77777777" w:rsidR="00787570" w:rsidRDefault="000D56E2">
      <w:r>
        <w:pict w14:anchorId="36CA5BF0">
          <v:rect id="_x0000_i1029" style="width:415.3pt;height:1.5pt" o:hralign="center" o:hrstd="t" o:hr="t" fillcolor="#a0a0a0" stroked="f"/>
        </w:pict>
      </w:r>
    </w:p>
    <w:p w14:paraId="36CA178C" w14:textId="77777777" w:rsidR="00787570" w:rsidRDefault="000D56E2">
      <w:pPr>
        <w:spacing w:after="180"/>
        <w:jc w:val="right"/>
      </w:pPr>
      <w:hyperlink r:id="rId31" w:anchor="i32771df14e9449d2bec5be911426bf04_7" w:history="1">
        <w:r>
          <w:rPr>
            <w:rStyle w:val="a5"/>
            <w:rFonts w:ascii="Arial" w:eastAsia="宋体" w:hAnsi="Arial" w:cs="Arial"/>
            <w:b/>
            <w:bCs/>
            <w:sz w:val="16"/>
            <w:szCs w:val="16"/>
          </w:rPr>
          <w:t>Table of Contents</w:t>
        </w:r>
      </w:hyperlink>
    </w:p>
    <w:p w14:paraId="36CA178D" w14:textId="77777777" w:rsidR="00787570" w:rsidRDefault="00787570">
      <w:pPr>
        <w:spacing w:after="180"/>
        <w:jc w:val="right"/>
      </w:pPr>
    </w:p>
    <w:p w14:paraId="36CA178E" w14:textId="77777777" w:rsidR="00787570" w:rsidRDefault="000D56E2">
      <w:pPr>
        <w:spacing w:after="120"/>
      </w:pPr>
      <w:r>
        <w:rPr>
          <w:rFonts w:ascii="Arial" w:eastAsia="宋体" w:hAnsi="Arial" w:cs="Arial"/>
          <w:b/>
          <w:bCs/>
          <w:color w:val="0071C5"/>
        </w:rPr>
        <w:t xml:space="preserve">BUSINESS SUMMARY </w:t>
      </w:r>
    </w:p>
    <w:p w14:paraId="36CA178F" w14:textId="77777777" w:rsidR="00787570" w:rsidRDefault="000D56E2">
      <w:pPr>
        <w:spacing w:after="60"/>
        <w:ind w:hanging="360"/>
      </w:pPr>
      <w:r>
        <w:rPr>
          <w:rFonts w:ascii="Arial" w:eastAsia="宋体" w:hAnsi="Arial" w:cs="Arial"/>
          <w:color w:val="0071C5"/>
          <w:sz w:val="18"/>
          <w:szCs w:val="18"/>
        </w:rPr>
        <w:t>•</w:t>
      </w:r>
      <w:r>
        <w:rPr>
          <w:rFonts w:ascii="Arial" w:eastAsia="宋体" w:hAnsi="Arial" w:cs="Arial"/>
          <w:color w:val="333333"/>
          <w:sz w:val="18"/>
          <w:szCs w:val="18"/>
        </w:rPr>
        <w:t xml:space="preserve">Decline in our data-centric businesses was primarily driven by </w:t>
      </w:r>
      <w:r>
        <w:rPr>
          <w:rFonts w:ascii="Arial" w:eastAsia="宋体" w:hAnsi="Arial" w:cs="Arial"/>
          <w:color w:val="333333"/>
          <w:sz w:val="18"/>
          <w:szCs w:val="18"/>
        </w:rPr>
        <w:t>COVID-related demand impacts on the DCG enterprise and government market segment, IOTG, and NSG. DCG ASPs declined on higher SoC volume and mix shift from enterprise and government to cloud service providers. The data-centric decline was partially offset b</w:t>
      </w:r>
      <w:r>
        <w:rPr>
          <w:rFonts w:ascii="Arial" w:eastAsia="宋体" w:hAnsi="Arial" w:cs="Arial"/>
          <w:color w:val="333333"/>
          <w:sz w:val="18"/>
          <w:szCs w:val="18"/>
        </w:rPr>
        <w:t>y higher platform volume with continued strength in cloud service providers, and improved NAND pricing and cost.</w:t>
      </w:r>
    </w:p>
    <w:p w14:paraId="36CA1790" w14:textId="77777777" w:rsidR="00787570" w:rsidRDefault="000D56E2">
      <w:pPr>
        <w:spacing w:after="60"/>
        <w:ind w:hanging="360"/>
      </w:pPr>
      <w:r>
        <w:rPr>
          <w:rFonts w:ascii="Arial" w:eastAsia="宋体" w:hAnsi="Arial" w:cs="Arial"/>
          <w:color w:val="0071C5"/>
          <w:sz w:val="18"/>
          <w:szCs w:val="18"/>
        </w:rPr>
        <w:t>•</w:t>
      </w:r>
      <w:r>
        <w:rPr>
          <w:rFonts w:ascii="Arial" w:eastAsia="宋体" w:hAnsi="Arial" w:cs="Arial"/>
          <w:color w:val="333333"/>
          <w:sz w:val="18"/>
          <w:szCs w:val="18"/>
        </w:rPr>
        <w:t>Growth in our PC-centric business was driven by strength in notebook demand, partially offset by lower desktop demand, lower notebook ASP resu</w:t>
      </w:r>
      <w:r>
        <w:rPr>
          <w:rFonts w:ascii="Arial" w:eastAsia="宋体" w:hAnsi="Arial" w:cs="Arial"/>
          <w:color w:val="333333"/>
          <w:sz w:val="18"/>
          <w:szCs w:val="18"/>
        </w:rPr>
        <w:t>lting from higher demand for consumer and education PCs, and LTE modem volume decline.</w:t>
      </w:r>
    </w:p>
    <w:p w14:paraId="36CA1791" w14:textId="77777777" w:rsidR="00787570" w:rsidRDefault="000D56E2">
      <w:pPr>
        <w:spacing w:after="60"/>
        <w:ind w:hanging="360"/>
      </w:pPr>
      <w:r>
        <w:rPr>
          <w:rFonts w:ascii="Arial" w:eastAsia="宋体" w:hAnsi="Arial" w:cs="Arial"/>
          <w:color w:val="0071C5"/>
          <w:sz w:val="18"/>
          <w:szCs w:val="18"/>
        </w:rPr>
        <w:t>•</w:t>
      </w:r>
      <w:r>
        <w:rPr>
          <w:rFonts w:ascii="Arial" w:eastAsia="宋体" w:hAnsi="Arial" w:cs="Arial"/>
          <w:color w:val="333333"/>
          <w:sz w:val="18"/>
          <w:szCs w:val="18"/>
        </w:rPr>
        <w:t>We launched our new processor family for laptops, 11th Gen Intel</w:t>
      </w:r>
      <w:r>
        <w:rPr>
          <w:rFonts w:ascii="Arial" w:eastAsia="宋体" w:hAnsi="Arial" w:cs="Arial"/>
          <w:color w:val="333333"/>
          <w:sz w:val="11"/>
          <w:szCs w:val="11"/>
        </w:rPr>
        <w:t>®</w:t>
      </w:r>
      <w:r>
        <w:rPr>
          <w:rFonts w:ascii="Arial" w:eastAsia="宋体" w:hAnsi="Arial" w:cs="Arial"/>
          <w:color w:val="333333"/>
          <w:sz w:val="18"/>
          <w:szCs w:val="18"/>
        </w:rPr>
        <w:t xml:space="preserve"> Core</w:t>
      </w:r>
      <w:r>
        <w:rPr>
          <w:rFonts w:ascii="Arial" w:eastAsia="宋体" w:hAnsi="Arial" w:cs="Arial"/>
          <w:color w:val="333333"/>
          <w:sz w:val="11"/>
          <w:szCs w:val="11"/>
        </w:rPr>
        <w:t>TM</w:t>
      </w:r>
      <w:r>
        <w:rPr>
          <w:rFonts w:ascii="Arial" w:eastAsia="宋体" w:hAnsi="Arial" w:cs="Arial"/>
          <w:color w:val="333333"/>
          <w:sz w:val="18"/>
          <w:szCs w:val="18"/>
        </w:rPr>
        <w:t xml:space="preserve"> processors with Intel</w:t>
      </w:r>
      <w:r>
        <w:rPr>
          <w:rFonts w:ascii="Arial" w:eastAsia="宋体" w:hAnsi="Arial" w:cs="Arial"/>
          <w:color w:val="333333"/>
          <w:sz w:val="11"/>
          <w:szCs w:val="11"/>
        </w:rPr>
        <w:t>®</w:t>
      </w:r>
      <w:r>
        <w:rPr>
          <w:rFonts w:ascii="Arial" w:eastAsia="宋体" w:hAnsi="Arial" w:cs="Arial"/>
          <w:color w:val="333333"/>
          <w:sz w:val="18"/>
          <w:szCs w:val="18"/>
        </w:rPr>
        <w:t xml:space="preserve"> Iris</w:t>
      </w:r>
      <w:r>
        <w:rPr>
          <w:rFonts w:ascii="Arial" w:eastAsia="宋体" w:hAnsi="Arial" w:cs="Arial"/>
          <w:color w:val="333333"/>
          <w:sz w:val="11"/>
          <w:szCs w:val="11"/>
        </w:rPr>
        <w:t>®</w:t>
      </w:r>
      <w:r>
        <w:rPr>
          <w:rFonts w:ascii="Arial" w:eastAsia="宋体" w:hAnsi="Arial" w:cs="Arial"/>
          <w:color w:val="333333"/>
          <w:sz w:val="18"/>
          <w:szCs w:val="18"/>
        </w:rPr>
        <w:t xml:space="preserve"> X</w:t>
      </w:r>
      <w:r>
        <w:rPr>
          <w:rFonts w:ascii="Arial" w:eastAsia="宋体" w:hAnsi="Arial" w:cs="Arial"/>
          <w:color w:val="333333"/>
          <w:sz w:val="11"/>
          <w:szCs w:val="11"/>
        </w:rPr>
        <w:t>e</w:t>
      </w:r>
      <w:r>
        <w:rPr>
          <w:rFonts w:ascii="Arial" w:eastAsia="宋体" w:hAnsi="Arial" w:cs="Arial"/>
          <w:color w:val="333333"/>
          <w:sz w:val="18"/>
          <w:szCs w:val="18"/>
        </w:rPr>
        <w:t xml:space="preserve"> graphics leveraging our new 10nm SuperFin process technology. W</w:t>
      </w:r>
      <w:r>
        <w:rPr>
          <w:rFonts w:ascii="Arial" w:eastAsia="宋体" w:hAnsi="Arial" w:cs="Arial"/>
          <w:color w:val="333333"/>
          <w:sz w:val="18"/>
          <w:szCs w:val="18"/>
        </w:rPr>
        <w:t>e also introduced the Intel</w:t>
      </w:r>
      <w:r>
        <w:rPr>
          <w:rFonts w:ascii="Arial" w:eastAsia="宋体" w:hAnsi="Arial" w:cs="Arial"/>
          <w:color w:val="333333"/>
          <w:sz w:val="11"/>
          <w:szCs w:val="11"/>
        </w:rPr>
        <w:t>®</w:t>
      </w:r>
      <w:r>
        <w:rPr>
          <w:rFonts w:ascii="Arial" w:eastAsia="宋体" w:hAnsi="Arial" w:cs="Arial"/>
          <w:color w:val="333333"/>
          <w:sz w:val="18"/>
          <w:szCs w:val="18"/>
        </w:rPr>
        <w:t xml:space="preserve"> Evo</w:t>
      </w:r>
      <w:r>
        <w:rPr>
          <w:rFonts w:ascii="Arial" w:eastAsia="宋体" w:hAnsi="Arial" w:cs="Arial"/>
          <w:color w:val="333333"/>
          <w:sz w:val="11"/>
          <w:szCs w:val="11"/>
        </w:rPr>
        <w:t>TM</w:t>
      </w:r>
      <w:r>
        <w:rPr>
          <w:rFonts w:ascii="Arial" w:eastAsia="宋体" w:hAnsi="Arial" w:cs="Arial"/>
          <w:color w:val="333333"/>
          <w:sz w:val="18"/>
          <w:szCs w:val="18"/>
        </w:rPr>
        <w:t xml:space="preserve"> platform brand for designs powered by 11th Gen Intel</w:t>
      </w:r>
      <w:r>
        <w:rPr>
          <w:rFonts w:ascii="Arial" w:eastAsia="宋体" w:hAnsi="Arial" w:cs="Arial"/>
          <w:color w:val="333333"/>
          <w:sz w:val="11"/>
          <w:szCs w:val="11"/>
        </w:rPr>
        <w:t>®</w:t>
      </w:r>
      <w:r>
        <w:rPr>
          <w:rFonts w:ascii="Arial" w:eastAsia="宋体" w:hAnsi="Arial" w:cs="Arial"/>
          <w:color w:val="333333"/>
          <w:sz w:val="18"/>
          <w:szCs w:val="18"/>
        </w:rPr>
        <w:t xml:space="preserve"> Core</w:t>
      </w:r>
      <w:r>
        <w:rPr>
          <w:rFonts w:ascii="Arial" w:eastAsia="宋体" w:hAnsi="Arial" w:cs="Arial"/>
          <w:color w:val="333333"/>
          <w:sz w:val="11"/>
          <w:szCs w:val="11"/>
        </w:rPr>
        <w:t>TM</w:t>
      </w:r>
      <w:r>
        <w:rPr>
          <w:rFonts w:ascii="Arial" w:eastAsia="宋体" w:hAnsi="Arial" w:cs="Arial"/>
          <w:color w:val="333333"/>
          <w:sz w:val="18"/>
          <w:szCs w:val="18"/>
        </w:rPr>
        <w:t xml:space="preserve"> processors. Intel</w:t>
      </w:r>
      <w:r>
        <w:rPr>
          <w:rFonts w:ascii="Arial" w:eastAsia="宋体" w:hAnsi="Arial" w:cs="Arial"/>
          <w:color w:val="333333"/>
          <w:sz w:val="11"/>
          <w:szCs w:val="11"/>
        </w:rPr>
        <w:t>®</w:t>
      </w:r>
      <w:r>
        <w:rPr>
          <w:rFonts w:ascii="Arial" w:eastAsia="宋体" w:hAnsi="Arial" w:cs="Arial"/>
          <w:color w:val="333333"/>
          <w:sz w:val="18"/>
          <w:szCs w:val="18"/>
        </w:rPr>
        <w:t xml:space="preserve"> Evo</w:t>
      </w:r>
      <w:r>
        <w:rPr>
          <w:rFonts w:ascii="Arial" w:eastAsia="宋体" w:hAnsi="Arial" w:cs="Arial"/>
          <w:color w:val="333333"/>
          <w:sz w:val="11"/>
          <w:szCs w:val="11"/>
        </w:rPr>
        <w:t>TM</w:t>
      </w:r>
      <w:r>
        <w:rPr>
          <w:rFonts w:ascii="Arial" w:eastAsia="宋体" w:hAnsi="Arial" w:cs="Arial"/>
          <w:color w:val="333333"/>
          <w:sz w:val="18"/>
          <w:szCs w:val="18"/>
        </w:rPr>
        <w:t xml:space="preserve"> technology is verified, measured, and tested against specifications and key experience indicators as part of the next edition of our la</w:t>
      </w:r>
      <w:r>
        <w:rPr>
          <w:rFonts w:ascii="Arial" w:eastAsia="宋体" w:hAnsi="Arial" w:cs="Arial"/>
          <w:color w:val="333333"/>
          <w:sz w:val="18"/>
          <w:szCs w:val="18"/>
        </w:rPr>
        <w:t>ptop innovation program Project Athena.</w:t>
      </w:r>
    </w:p>
    <w:p w14:paraId="36CA1792" w14:textId="77777777" w:rsidR="00787570" w:rsidRDefault="000D56E2">
      <w:pPr>
        <w:spacing w:after="60"/>
        <w:ind w:hanging="360"/>
      </w:pPr>
      <w:r>
        <w:rPr>
          <w:rFonts w:ascii="Arial" w:eastAsia="宋体" w:hAnsi="Arial" w:cs="Arial"/>
          <w:color w:val="0071C5"/>
          <w:sz w:val="18"/>
          <w:szCs w:val="18"/>
        </w:rPr>
        <w:t>•</w:t>
      </w:r>
      <w:r>
        <w:rPr>
          <w:rFonts w:ascii="Arial" w:eastAsia="宋体" w:hAnsi="Arial" w:cs="Arial"/>
          <w:color w:val="333333"/>
          <w:sz w:val="18"/>
          <w:szCs w:val="18"/>
        </w:rPr>
        <w:t>We announced new IoT enhanced processors, Intel Atom</w:t>
      </w:r>
      <w:r>
        <w:rPr>
          <w:rFonts w:ascii="Arial" w:eastAsia="宋体" w:hAnsi="Arial" w:cs="Arial"/>
          <w:color w:val="333333"/>
          <w:sz w:val="11"/>
          <w:szCs w:val="11"/>
        </w:rPr>
        <w:t>®</w:t>
      </w:r>
      <w:r>
        <w:rPr>
          <w:rFonts w:ascii="Arial" w:eastAsia="宋体" w:hAnsi="Arial" w:cs="Arial"/>
          <w:color w:val="333333"/>
          <w:sz w:val="18"/>
          <w:szCs w:val="18"/>
        </w:rPr>
        <w:t xml:space="preserve"> x6000E Series and 11th Gen Intel</w:t>
      </w:r>
      <w:r>
        <w:rPr>
          <w:rFonts w:ascii="Arial" w:eastAsia="宋体" w:hAnsi="Arial" w:cs="Arial"/>
          <w:color w:val="333333"/>
          <w:sz w:val="11"/>
          <w:szCs w:val="11"/>
        </w:rPr>
        <w:t>®</w:t>
      </w:r>
      <w:r>
        <w:rPr>
          <w:rFonts w:ascii="Arial" w:eastAsia="宋体" w:hAnsi="Arial" w:cs="Arial"/>
          <w:color w:val="333333"/>
          <w:sz w:val="18"/>
          <w:szCs w:val="18"/>
        </w:rPr>
        <w:t xml:space="preserve"> Core</w:t>
      </w:r>
      <w:r>
        <w:rPr>
          <w:rFonts w:ascii="Arial" w:eastAsia="宋体" w:hAnsi="Arial" w:cs="Arial"/>
          <w:color w:val="333333"/>
          <w:sz w:val="11"/>
          <w:szCs w:val="11"/>
        </w:rPr>
        <w:t xml:space="preserve">TM </w:t>
      </w:r>
      <w:r>
        <w:rPr>
          <w:rFonts w:ascii="Arial" w:eastAsia="宋体" w:hAnsi="Arial" w:cs="Arial"/>
          <w:color w:val="333333"/>
          <w:sz w:val="18"/>
          <w:szCs w:val="18"/>
        </w:rPr>
        <w:t xml:space="preserve">for IOT, which are designed to solve customers' challenges at the edge. </w:t>
      </w:r>
    </w:p>
    <w:p w14:paraId="36CA1793" w14:textId="77777777" w:rsidR="00787570" w:rsidRDefault="000D56E2">
      <w:pPr>
        <w:spacing w:after="180"/>
        <w:ind w:hanging="360"/>
      </w:pPr>
      <w:r>
        <w:rPr>
          <w:rFonts w:ascii="Arial" w:eastAsia="宋体" w:hAnsi="Arial" w:cs="Arial"/>
          <w:color w:val="0071C5"/>
          <w:sz w:val="18"/>
          <w:szCs w:val="18"/>
        </w:rPr>
        <w:t>•</w:t>
      </w:r>
      <w:r>
        <w:rPr>
          <w:rFonts w:ascii="Arial" w:eastAsia="宋体" w:hAnsi="Arial" w:cs="Arial"/>
          <w:color w:val="333333"/>
          <w:sz w:val="18"/>
          <w:szCs w:val="18"/>
        </w:rPr>
        <w:t>On October 19, 2020, we signed an agreement wi</w:t>
      </w:r>
      <w:r>
        <w:rPr>
          <w:rFonts w:ascii="Arial" w:eastAsia="宋体" w:hAnsi="Arial" w:cs="Arial"/>
          <w:color w:val="333333"/>
          <w:sz w:val="18"/>
          <w:szCs w:val="18"/>
        </w:rPr>
        <w:t xml:space="preserve">th SK hynix to divest of our NAND memory business, including our NAND memory fabrication facility in Dalian, China and certain related equipment and tangible assets (the “Fab Assets”), our NAND solid-state drive business (the “NAND SSD Business”), and our </w:t>
      </w:r>
      <w:r>
        <w:rPr>
          <w:rFonts w:ascii="Arial" w:eastAsia="宋体" w:hAnsi="Arial" w:cs="Arial"/>
          <w:color w:val="333333"/>
          <w:sz w:val="18"/>
          <w:szCs w:val="18"/>
        </w:rPr>
        <w:t>NAND memory technology and manufacturing business (the “NAND Business”), for total consideration of $9.0 billion in cash. We intend to use proceeds from the transaction to invest in our long-term growth priorities. The transaction will occur over two closi</w:t>
      </w:r>
      <w:r>
        <w:rPr>
          <w:rFonts w:ascii="Arial" w:eastAsia="宋体" w:hAnsi="Arial" w:cs="Arial"/>
          <w:color w:val="333333"/>
          <w:sz w:val="18"/>
          <w:szCs w:val="18"/>
        </w:rPr>
        <w:t>ngs, the second of which is expected to occur no earlier than March 2025.</w:t>
      </w:r>
    </w:p>
    <w:p w14:paraId="36CA1794" w14:textId="77777777" w:rsidR="00787570" w:rsidRDefault="00787570">
      <w:pPr>
        <w:spacing w:after="120"/>
      </w:pPr>
    </w:p>
    <w:p w14:paraId="36CA1795" w14:textId="77777777" w:rsidR="00787570" w:rsidRDefault="00787570">
      <w:pPr>
        <w:spacing w:after="120"/>
      </w:pPr>
    </w:p>
    <w:p w14:paraId="36CA1796" w14:textId="77777777" w:rsidR="00787570" w:rsidRDefault="00787570">
      <w:pPr>
        <w:spacing w:after="120"/>
      </w:pPr>
    </w:p>
    <w:p w14:paraId="36CA1797" w14:textId="77777777" w:rsidR="00787570" w:rsidRDefault="00787570">
      <w:pPr>
        <w:spacing w:after="120"/>
      </w:pPr>
    </w:p>
    <w:p w14:paraId="36CA1798" w14:textId="77777777" w:rsidR="00787570" w:rsidRDefault="00787570">
      <w:pPr>
        <w:spacing w:after="120"/>
      </w:pPr>
    </w:p>
    <w:p w14:paraId="36CA1799" w14:textId="77777777" w:rsidR="00787570" w:rsidRDefault="00787570">
      <w:pPr>
        <w:spacing w:after="120"/>
      </w:pPr>
    </w:p>
    <w:p w14:paraId="36CA179A" w14:textId="77777777" w:rsidR="00787570" w:rsidRDefault="00787570">
      <w:pPr>
        <w:spacing w:after="120"/>
      </w:pPr>
    </w:p>
    <w:p w14:paraId="36CA179B" w14:textId="77777777" w:rsidR="00787570" w:rsidRDefault="00787570">
      <w:pPr>
        <w:spacing w:after="120"/>
      </w:pPr>
    </w:p>
    <w:p w14:paraId="36CA179C" w14:textId="77777777" w:rsidR="00787570" w:rsidRDefault="00787570">
      <w:pPr>
        <w:spacing w:after="120"/>
      </w:pPr>
    </w:p>
    <w:p w14:paraId="36CA179D" w14:textId="77777777" w:rsidR="00787570" w:rsidRDefault="00787570">
      <w:pPr>
        <w:spacing w:after="120"/>
      </w:pPr>
    </w:p>
    <w:p w14:paraId="36CA179E" w14:textId="77777777" w:rsidR="00787570" w:rsidRDefault="00787570">
      <w:pPr>
        <w:spacing w:after="120"/>
      </w:pPr>
    </w:p>
    <w:p w14:paraId="36CA179F" w14:textId="77777777" w:rsidR="00787570" w:rsidRDefault="00787570">
      <w:pPr>
        <w:spacing w:after="120"/>
      </w:pPr>
    </w:p>
    <w:p w14:paraId="36CA17A0" w14:textId="77777777" w:rsidR="00787570" w:rsidRDefault="00787570">
      <w:pPr>
        <w:spacing w:after="120"/>
      </w:pPr>
    </w:p>
    <w:p w14:paraId="36CA17A1" w14:textId="77777777" w:rsidR="00787570" w:rsidRDefault="00787570">
      <w:pPr>
        <w:spacing w:after="120"/>
      </w:pPr>
    </w:p>
    <w:p w14:paraId="36CA17A2" w14:textId="77777777" w:rsidR="00787570" w:rsidRDefault="00787570">
      <w:pPr>
        <w:spacing w:after="120"/>
      </w:pPr>
    </w:p>
    <w:p w14:paraId="36CA17A3" w14:textId="77777777" w:rsidR="00787570" w:rsidRDefault="00787570">
      <w:pPr>
        <w:spacing w:after="120"/>
      </w:pPr>
    </w:p>
    <w:p w14:paraId="36CA17A4" w14:textId="77777777" w:rsidR="00787570" w:rsidRDefault="00787570">
      <w:pPr>
        <w:spacing w:after="120"/>
      </w:pPr>
    </w:p>
    <w:p w14:paraId="36CA17A5" w14:textId="77777777" w:rsidR="00787570" w:rsidRDefault="00787570">
      <w:pPr>
        <w:spacing w:after="120"/>
      </w:pPr>
    </w:p>
    <w:p w14:paraId="36CA17A6" w14:textId="77777777" w:rsidR="00787570" w:rsidRDefault="00787570">
      <w:pPr>
        <w:spacing w:after="120"/>
      </w:pPr>
    </w:p>
    <w:p w14:paraId="36CA17A7" w14:textId="77777777" w:rsidR="00787570" w:rsidRDefault="00787570">
      <w:pPr>
        <w:spacing w:after="120"/>
      </w:pPr>
    </w:p>
    <w:p w14:paraId="36CA17A8" w14:textId="77777777" w:rsidR="00787570" w:rsidRDefault="00787570">
      <w:pPr>
        <w:spacing w:after="120"/>
      </w:pPr>
    </w:p>
    <w:p w14:paraId="36CA17A9" w14:textId="77777777" w:rsidR="00787570" w:rsidRDefault="00787570">
      <w:pPr>
        <w:spacing w:after="120"/>
      </w:pPr>
    </w:p>
    <w:p w14:paraId="36CA17AA" w14:textId="77777777" w:rsidR="00787570" w:rsidRDefault="00787570">
      <w:pPr>
        <w:spacing w:after="120"/>
      </w:pPr>
    </w:p>
    <w:p w14:paraId="36CA17AB" w14:textId="77777777" w:rsidR="00787570" w:rsidRDefault="00787570">
      <w:pPr>
        <w:spacing w:after="120"/>
      </w:pPr>
    </w:p>
    <w:p w14:paraId="36CA17AC" w14:textId="77777777" w:rsidR="00787570" w:rsidRDefault="00787570">
      <w:pPr>
        <w:spacing w:after="120"/>
      </w:pPr>
    </w:p>
    <w:p w14:paraId="36CA17AD" w14:textId="77777777" w:rsidR="00787570" w:rsidRDefault="00787570">
      <w:pPr>
        <w:spacing w:after="120"/>
      </w:pPr>
    </w:p>
    <w:p w14:paraId="36CA17AE" w14:textId="77777777" w:rsidR="00787570" w:rsidRDefault="00787570">
      <w:pPr>
        <w:spacing w:after="120"/>
      </w:pPr>
    </w:p>
    <w:p w14:paraId="36CA17AF" w14:textId="77777777" w:rsidR="00787570" w:rsidRDefault="00787570">
      <w:pPr>
        <w:ind w:firstLine="720"/>
      </w:pPr>
    </w:p>
    <w:p w14:paraId="36CA17B0" w14:textId="77777777" w:rsidR="00787570" w:rsidRDefault="00787570"/>
    <w:tbl>
      <w:tblPr>
        <w:tblW w:w="5000" w:type="pct"/>
        <w:tblCellMar>
          <w:top w:w="15" w:type="dxa"/>
          <w:left w:w="15" w:type="dxa"/>
          <w:bottom w:w="15" w:type="dxa"/>
          <w:right w:w="15" w:type="dxa"/>
        </w:tblCellMar>
        <w:tblLook w:val="04A0" w:firstRow="1" w:lastRow="0" w:firstColumn="1" w:lastColumn="0" w:noHBand="0" w:noVBand="1"/>
      </w:tblPr>
      <w:tblGrid>
        <w:gridCol w:w="95"/>
        <w:gridCol w:w="416"/>
        <w:gridCol w:w="36"/>
        <w:gridCol w:w="47"/>
        <w:gridCol w:w="4254"/>
        <w:gridCol w:w="36"/>
        <w:gridCol w:w="47"/>
        <w:gridCol w:w="3369"/>
        <w:gridCol w:w="36"/>
      </w:tblGrid>
      <w:tr w:rsidR="00787570" w14:paraId="36CA17BA" w14:textId="77777777">
        <w:tc>
          <w:tcPr>
            <w:tcW w:w="50" w:type="pct"/>
            <w:shd w:val="clear" w:color="auto" w:fill="auto"/>
            <w:vAlign w:val="bottom"/>
          </w:tcPr>
          <w:p w14:paraId="36CA17B1" w14:textId="77777777" w:rsidR="00787570" w:rsidRDefault="00787570">
            <w:pPr>
              <w:rPr>
                <w:rFonts w:ascii="宋体"/>
              </w:rPr>
            </w:pPr>
          </w:p>
        </w:tc>
        <w:tc>
          <w:tcPr>
            <w:tcW w:w="220" w:type="pct"/>
            <w:shd w:val="clear" w:color="auto" w:fill="auto"/>
            <w:vAlign w:val="bottom"/>
          </w:tcPr>
          <w:p w14:paraId="36CA17B2" w14:textId="77777777" w:rsidR="00787570" w:rsidRDefault="00787570">
            <w:pPr>
              <w:rPr>
                <w:rFonts w:ascii="宋体"/>
              </w:rPr>
            </w:pPr>
          </w:p>
        </w:tc>
        <w:tc>
          <w:tcPr>
            <w:tcW w:w="5" w:type="pct"/>
            <w:shd w:val="clear" w:color="auto" w:fill="auto"/>
            <w:vAlign w:val="bottom"/>
          </w:tcPr>
          <w:p w14:paraId="36CA17B3" w14:textId="77777777" w:rsidR="00787570" w:rsidRDefault="00787570">
            <w:pPr>
              <w:rPr>
                <w:rFonts w:ascii="宋体"/>
              </w:rPr>
            </w:pPr>
          </w:p>
        </w:tc>
        <w:tc>
          <w:tcPr>
            <w:tcW w:w="50" w:type="pct"/>
            <w:shd w:val="clear" w:color="auto" w:fill="auto"/>
            <w:vAlign w:val="bottom"/>
          </w:tcPr>
          <w:p w14:paraId="36CA17B4" w14:textId="77777777" w:rsidR="00787570" w:rsidRDefault="00787570">
            <w:pPr>
              <w:rPr>
                <w:rFonts w:ascii="宋体"/>
              </w:rPr>
            </w:pPr>
          </w:p>
        </w:tc>
        <w:tc>
          <w:tcPr>
            <w:tcW w:w="2572" w:type="pct"/>
            <w:shd w:val="clear" w:color="auto" w:fill="auto"/>
            <w:vAlign w:val="bottom"/>
          </w:tcPr>
          <w:p w14:paraId="36CA17B5" w14:textId="77777777" w:rsidR="00787570" w:rsidRDefault="00787570">
            <w:pPr>
              <w:rPr>
                <w:rFonts w:ascii="宋体"/>
              </w:rPr>
            </w:pPr>
          </w:p>
        </w:tc>
        <w:tc>
          <w:tcPr>
            <w:tcW w:w="5" w:type="pct"/>
            <w:shd w:val="clear" w:color="auto" w:fill="auto"/>
            <w:vAlign w:val="bottom"/>
          </w:tcPr>
          <w:p w14:paraId="36CA17B6" w14:textId="77777777" w:rsidR="00787570" w:rsidRDefault="00787570">
            <w:pPr>
              <w:rPr>
                <w:rFonts w:ascii="宋体"/>
              </w:rPr>
            </w:pPr>
          </w:p>
        </w:tc>
        <w:tc>
          <w:tcPr>
            <w:tcW w:w="50" w:type="pct"/>
            <w:shd w:val="clear" w:color="auto" w:fill="auto"/>
            <w:vAlign w:val="bottom"/>
          </w:tcPr>
          <w:p w14:paraId="36CA17B7" w14:textId="77777777" w:rsidR="00787570" w:rsidRDefault="00787570">
            <w:pPr>
              <w:rPr>
                <w:rFonts w:ascii="宋体"/>
              </w:rPr>
            </w:pPr>
          </w:p>
        </w:tc>
        <w:tc>
          <w:tcPr>
            <w:tcW w:w="2042" w:type="pct"/>
            <w:shd w:val="clear" w:color="auto" w:fill="auto"/>
            <w:vAlign w:val="bottom"/>
          </w:tcPr>
          <w:p w14:paraId="36CA17B8" w14:textId="77777777" w:rsidR="00787570" w:rsidRDefault="00787570">
            <w:pPr>
              <w:rPr>
                <w:rFonts w:ascii="宋体"/>
              </w:rPr>
            </w:pPr>
          </w:p>
        </w:tc>
        <w:tc>
          <w:tcPr>
            <w:tcW w:w="5" w:type="pct"/>
            <w:shd w:val="clear" w:color="auto" w:fill="auto"/>
            <w:vAlign w:val="bottom"/>
          </w:tcPr>
          <w:p w14:paraId="36CA17B9" w14:textId="77777777" w:rsidR="00787570" w:rsidRDefault="00787570">
            <w:pPr>
              <w:rPr>
                <w:rFonts w:ascii="宋体"/>
              </w:rPr>
            </w:pPr>
          </w:p>
        </w:tc>
      </w:tr>
      <w:tr w:rsidR="00787570" w14:paraId="36CA17BE" w14:textId="77777777">
        <w:tc>
          <w:tcPr>
            <w:tcW w:w="0" w:type="auto"/>
            <w:gridSpan w:val="3"/>
            <w:tcBorders>
              <w:top w:val="single" w:sz="8" w:space="0" w:color="0071C5"/>
            </w:tcBorders>
            <w:shd w:val="clear" w:color="auto" w:fill="auto"/>
            <w:tcMar>
              <w:left w:w="20" w:type="dxa"/>
              <w:right w:w="20" w:type="dxa"/>
            </w:tcMar>
            <w:vAlign w:val="center"/>
          </w:tcPr>
          <w:p w14:paraId="36CA17BB" w14:textId="77777777" w:rsidR="00787570" w:rsidRDefault="000D56E2">
            <w:pPr>
              <w:textAlignment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Viewer9_files/intc-20200926_g2.jpg"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36CA5BF1" wp14:editId="36CA5BF2">
                  <wp:extent cx="304800" cy="304800"/>
                  <wp:effectExtent l="0" t="0" r="0" b="0"/>
                  <wp:docPr id="41" name="图片 47" descr="IMG_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7" descr="IMG_329"/>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8" w:space="0" w:color="0071C5"/>
            </w:tcBorders>
            <w:shd w:val="clear" w:color="auto" w:fill="auto"/>
            <w:tcMar>
              <w:top w:w="40" w:type="dxa"/>
              <w:left w:w="20" w:type="dxa"/>
              <w:bottom w:w="40" w:type="dxa"/>
              <w:right w:w="20" w:type="dxa"/>
            </w:tcMar>
            <w:vAlign w:val="center"/>
          </w:tcPr>
          <w:p w14:paraId="36CA17BC" w14:textId="77777777" w:rsidR="00787570" w:rsidRDefault="000D56E2">
            <w:pPr>
              <w:textAlignment w:val="center"/>
            </w:pPr>
            <w:r>
              <w:rPr>
                <w:rFonts w:ascii="Arial" w:eastAsia="宋体" w:hAnsi="Arial" w:cs="Arial"/>
                <w:color w:val="333333"/>
                <w:sz w:val="16"/>
                <w:szCs w:val="16"/>
              </w:rPr>
              <w:t>A QUARTER IN REVIEW</w:t>
            </w:r>
          </w:p>
        </w:tc>
        <w:tc>
          <w:tcPr>
            <w:tcW w:w="0" w:type="auto"/>
            <w:gridSpan w:val="3"/>
            <w:tcBorders>
              <w:top w:val="single" w:sz="8" w:space="0" w:color="0071C5"/>
            </w:tcBorders>
            <w:shd w:val="clear" w:color="auto" w:fill="auto"/>
            <w:tcMar>
              <w:top w:w="40" w:type="dxa"/>
              <w:left w:w="20" w:type="dxa"/>
              <w:bottom w:w="40" w:type="dxa"/>
              <w:right w:w="20" w:type="dxa"/>
            </w:tcMar>
            <w:vAlign w:val="center"/>
          </w:tcPr>
          <w:p w14:paraId="36CA17BD" w14:textId="77777777" w:rsidR="00787570" w:rsidRDefault="000D56E2">
            <w:pPr>
              <w:jc w:val="right"/>
              <w:textAlignment w:val="center"/>
            </w:pPr>
            <w:r>
              <w:rPr>
                <w:rFonts w:ascii="Arial" w:eastAsia="宋体" w:hAnsi="Arial" w:cs="Arial"/>
                <w:color w:val="333333"/>
                <w:sz w:val="16"/>
                <w:szCs w:val="16"/>
              </w:rPr>
              <w:t>4</w:t>
            </w:r>
          </w:p>
        </w:tc>
      </w:tr>
    </w:tbl>
    <w:p w14:paraId="36CA17BF" w14:textId="77777777" w:rsidR="00787570" w:rsidRDefault="000D56E2">
      <w:r>
        <w:pict w14:anchorId="36CA5BF3">
          <v:rect id="_x0000_i1030" style="width:415.3pt;height:1.5pt" o:hralign="center" o:hrstd="t" o:hr="t" fillcolor="#a0a0a0" stroked="f"/>
        </w:pict>
      </w:r>
    </w:p>
    <w:p w14:paraId="36CA17C0" w14:textId="77777777" w:rsidR="00787570" w:rsidRDefault="000D56E2">
      <w:pPr>
        <w:spacing w:after="180"/>
        <w:jc w:val="right"/>
      </w:pPr>
      <w:hyperlink r:id="rId32" w:anchor="i32771df14e9449d2bec5be911426bf04_7" w:history="1">
        <w:r>
          <w:rPr>
            <w:rStyle w:val="a5"/>
            <w:rFonts w:ascii="Arial" w:eastAsia="宋体" w:hAnsi="Arial" w:cs="Arial"/>
            <w:b/>
            <w:bCs/>
            <w:sz w:val="16"/>
            <w:szCs w:val="16"/>
          </w:rPr>
          <w:t>Table of Contents</w:t>
        </w:r>
      </w:hyperlink>
    </w:p>
    <w:p w14:paraId="36CA17C1" w14:textId="77777777" w:rsidR="00787570" w:rsidRDefault="00787570">
      <w:pPr>
        <w:spacing w:after="180"/>
        <w:jc w:val="right"/>
      </w:pP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8231"/>
        <w:gridCol w:w="36"/>
      </w:tblGrid>
      <w:tr w:rsidR="00787570" w14:paraId="36CA17C5" w14:textId="77777777">
        <w:trPr>
          <w:jc w:val="center"/>
        </w:trPr>
        <w:tc>
          <w:tcPr>
            <w:tcW w:w="50" w:type="pct"/>
            <w:shd w:val="clear" w:color="auto" w:fill="auto"/>
          </w:tcPr>
          <w:p w14:paraId="36CA17C2" w14:textId="77777777" w:rsidR="00787570" w:rsidRDefault="00787570">
            <w:pPr>
              <w:rPr>
                <w:rFonts w:ascii="宋体"/>
              </w:rPr>
            </w:pPr>
          </w:p>
        </w:tc>
        <w:tc>
          <w:tcPr>
            <w:tcW w:w="4945" w:type="pct"/>
            <w:shd w:val="clear" w:color="auto" w:fill="auto"/>
          </w:tcPr>
          <w:p w14:paraId="36CA17C3" w14:textId="77777777" w:rsidR="00787570" w:rsidRDefault="00787570">
            <w:pPr>
              <w:rPr>
                <w:rFonts w:ascii="宋体"/>
              </w:rPr>
            </w:pPr>
          </w:p>
        </w:tc>
        <w:tc>
          <w:tcPr>
            <w:tcW w:w="5" w:type="pct"/>
            <w:shd w:val="clear" w:color="auto" w:fill="auto"/>
          </w:tcPr>
          <w:p w14:paraId="36CA17C4" w14:textId="77777777" w:rsidR="00787570" w:rsidRDefault="00787570">
            <w:pPr>
              <w:rPr>
                <w:rFonts w:ascii="宋体"/>
              </w:rPr>
            </w:pPr>
          </w:p>
        </w:tc>
      </w:tr>
      <w:tr w:rsidR="00787570" w14:paraId="36CA17C7" w14:textId="77777777">
        <w:trPr>
          <w:jc w:val="center"/>
        </w:trPr>
        <w:tc>
          <w:tcPr>
            <w:tcW w:w="0" w:type="auto"/>
            <w:gridSpan w:val="3"/>
            <w:shd w:val="clear" w:color="auto" w:fill="0071C5"/>
            <w:tcMar>
              <w:top w:w="40" w:type="dxa"/>
              <w:left w:w="20" w:type="dxa"/>
              <w:bottom w:w="40" w:type="dxa"/>
              <w:right w:w="20" w:type="dxa"/>
            </w:tcMar>
            <w:vAlign w:val="center"/>
          </w:tcPr>
          <w:p w14:paraId="36CA17C6" w14:textId="77777777" w:rsidR="00787570" w:rsidRDefault="000D56E2">
            <w:pPr>
              <w:textAlignment w:val="center"/>
            </w:pPr>
            <w:r>
              <w:rPr>
                <w:rFonts w:ascii="Arial" w:eastAsia="宋体" w:hAnsi="Arial" w:cs="Arial"/>
                <w:b/>
                <w:bCs/>
                <w:color w:val="FFFFFF"/>
                <w:sz w:val="28"/>
                <w:szCs w:val="28"/>
              </w:rPr>
              <w:t xml:space="preserve">CONSOLIDATED CONDENSED STATEMENTS OF INCOME </w:t>
            </w:r>
          </w:p>
        </w:tc>
      </w:tr>
    </w:tbl>
    <w:p w14:paraId="36CA17C8" w14:textId="77777777" w:rsidR="00787570" w:rsidRDefault="00787570">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40"/>
        <w:gridCol w:w="3759"/>
        <w:gridCol w:w="39"/>
        <w:gridCol w:w="36"/>
        <w:gridCol w:w="36"/>
        <w:gridCol w:w="36"/>
        <w:gridCol w:w="136"/>
        <w:gridCol w:w="730"/>
        <w:gridCol w:w="41"/>
        <w:gridCol w:w="36"/>
        <w:gridCol w:w="36"/>
        <w:gridCol w:w="36"/>
        <w:gridCol w:w="136"/>
        <w:gridCol w:w="732"/>
        <w:gridCol w:w="41"/>
        <w:gridCol w:w="36"/>
        <w:gridCol w:w="36"/>
        <w:gridCol w:w="36"/>
        <w:gridCol w:w="136"/>
        <w:gridCol w:w="732"/>
        <w:gridCol w:w="41"/>
        <w:gridCol w:w="36"/>
        <w:gridCol w:w="36"/>
        <w:gridCol w:w="36"/>
        <w:gridCol w:w="136"/>
        <w:gridCol w:w="732"/>
        <w:gridCol w:w="41"/>
        <w:gridCol w:w="36"/>
        <w:gridCol w:w="36"/>
        <w:gridCol w:w="36"/>
        <w:gridCol w:w="36"/>
        <w:gridCol w:w="36"/>
        <w:gridCol w:w="36"/>
        <w:gridCol w:w="36"/>
        <w:gridCol w:w="36"/>
        <w:gridCol w:w="36"/>
        <w:gridCol w:w="36"/>
        <w:gridCol w:w="36"/>
        <w:gridCol w:w="36"/>
      </w:tblGrid>
      <w:tr w:rsidR="00787570" w14:paraId="36CA17E4" w14:textId="77777777">
        <w:trPr>
          <w:gridAfter w:val="12"/>
        </w:trPr>
        <w:tc>
          <w:tcPr>
            <w:tcW w:w="50" w:type="pct"/>
            <w:shd w:val="clear" w:color="auto" w:fill="auto"/>
          </w:tcPr>
          <w:p w14:paraId="36CA17C9" w14:textId="77777777" w:rsidR="00787570" w:rsidRDefault="00787570">
            <w:pPr>
              <w:rPr>
                <w:rFonts w:ascii="宋体"/>
              </w:rPr>
            </w:pPr>
          </w:p>
        </w:tc>
        <w:tc>
          <w:tcPr>
            <w:tcW w:w="2431" w:type="pct"/>
            <w:shd w:val="clear" w:color="auto" w:fill="auto"/>
          </w:tcPr>
          <w:p w14:paraId="36CA17CA" w14:textId="77777777" w:rsidR="00787570" w:rsidRDefault="00787570">
            <w:pPr>
              <w:rPr>
                <w:rFonts w:ascii="宋体"/>
              </w:rPr>
            </w:pPr>
          </w:p>
        </w:tc>
        <w:tc>
          <w:tcPr>
            <w:tcW w:w="5" w:type="pct"/>
            <w:shd w:val="clear" w:color="auto" w:fill="auto"/>
          </w:tcPr>
          <w:p w14:paraId="36CA17CB" w14:textId="77777777" w:rsidR="00787570" w:rsidRDefault="00787570">
            <w:pPr>
              <w:rPr>
                <w:rFonts w:ascii="宋体"/>
              </w:rPr>
            </w:pPr>
          </w:p>
        </w:tc>
        <w:tc>
          <w:tcPr>
            <w:tcW w:w="5" w:type="pct"/>
            <w:shd w:val="clear" w:color="auto" w:fill="auto"/>
          </w:tcPr>
          <w:p w14:paraId="36CA17CC" w14:textId="77777777" w:rsidR="00787570" w:rsidRDefault="00787570">
            <w:pPr>
              <w:rPr>
                <w:rFonts w:ascii="宋体"/>
              </w:rPr>
            </w:pPr>
          </w:p>
        </w:tc>
        <w:tc>
          <w:tcPr>
            <w:tcW w:w="24" w:type="pct"/>
            <w:shd w:val="clear" w:color="auto" w:fill="auto"/>
          </w:tcPr>
          <w:p w14:paraId="36CA17CD" w14:textId="77777777" w:rsidR="00787570" w:rsidRDefault="00787570">
            <w:pPr>
              <w:rPr>
                <w:rFonts w:ascii="宋体"/>
              </w:rPr>
            </w:pPr>
          </w:p>
        </w:tc>
        <w:tc>
          <w:tcPr>
            <w:tcW w:w="5" w:type="pct"/>
            <w:shd w:val="clear" w:color="auto" w:fill="auto"/>
          </w:tcPr>
          <w:p w14:paraId="36CA17CE" w14:textId="77777777" w:rsidR="00787570" w:rsidRDefault="00787570">
            <w:pPr>
              <w:rPr>
                <w:rFonts w:ascii="宋体"/>
              </w:rPr>
            </w:pPr>
          </w:p>
        </w:tc>
        <w:tc>
          <w:tcPr>
            <w:tcW w:w="50" w:type="pct"/>
            <w:shd w:val="clear" w:color="auto" w:fill="auto"/>
          </w:tcPr>
          <w:p w14:paraId="36CA17CF" w14:textId="77777777" w:rsidR="00787570" w:rsidRDefault="00787570">
            <w:pPr>
              <w:rPr>
                <w:rFonts w:ascii="宋体"/>
              </w:rPr>
            </w:pPr>
          </w:p>
        </w:tc>
        <w:tc>
          <w:tcPr>
            <w:tcW w:w="539" w:type="pct"/>
            <w:shd w:val="clear" w:color="auto" w:fill="auto"/>
          </w:tcPr>
          <w:p w14:paraId="36CA17D0" w14:textId="77777777" w:rsidR="00787570" w:rsidRDefault="00787570">
            <w:pPr>
              <w:rPr>
                <w:rFonts w:ascii="宋体"/>
              </w:rPr>
            </w:pPr>
          </w:p>
        </w:tc>
        <w:tc>
          <w:tcPr>
            <w:tcW w:w="5" w:type="pct"/>
            <w:shd w:val="clear" w:color="auto" w:fill="auto"/>
          </w:tcPr>
          <w:p w14:paraId="36CA17D1" w14:textId="77777777" w:rsidR="00787570" w:rsidRDefault="00787570">
            <w:pPr>
              <w:rPr>
                <w:rFonts w:ascii="宋体"/>
              </w:rPr>
            </w:pPr>
          </w:p>
        </w:tc>
        <w:tc>
          <w:tcPr>
            <w:tcW w:w="5" w:type="pct"/>
            <w:shd w:val="clear" w:color="auto" w:fill="auto"/>
          </w:tcPr>
          <w:p w14:paraId="36CA17D2" w14:textId="77777777" w:rsidR="00787570" w:rsidRDefault="00787570">
            <w:pPr>
              <w:rPr>
                <w:rFonts w:ascii="宋体"/>
              </w:rPr>
            </w:pPr>
          </w:p>
        </w:tc>
        <w:tc>
          <w:tcPr>
            <w:tcW w:w="24" w:type="pct"/>
            <w:shd w:val="clear" w:color="auto" w:fill="auto"/>
          </w:tcPr>
          <w:p w14:paraId="36CA17D3" w14:textId="77777777" w:rsidR="00787570" w:rsidRDefault="00787570">
            <w:pPr>
              <w:rPr>
                <w:rFonts w:ascii="宋体"/>
              </w:rPr>
            </w:pPr>
          </w:p>
        </w:tc>
        <w:tc>
          <w:tcPr>
            <w:tcW w:w="5" w:type="pct"/>
            <w:shd w:val="clear" w:color="auto" w:fill="auto"/>
          </w:tcPr>
          <w:p w14:paraId="36CA17D4" w14:textId="77777777" w:rsidR="00787570" w:rsidRDefault="00787570">
            <w:pPr>
              <w:rPr>
                <w:rFonts w:ascii="宋体"/>
              </w:rPr>
            </w:pPr>
          </w:p>
        </w:tc>
        <w:tc>
          <w:tcPr>
            <w:tcW w:w="50" w:type="pct"/>
            <w:shd w:val="clear" w:color="auto" w:fill="auto"/>
          </w:tcPr>
          <w:p w14:paraId="36CA17D5" w14:textId="77777777" w:rsidR="00787570" w:rsidRDefault="00787570">
            <w:pPr>
              <w:rPr>
                <w:rFonts w:ascii="宋体"/>
              </w:rPr>
            </w:pPr>
          </w:p>
        </w:tc>
        <w:tc>
          <w:tcPr>
            <w:tcW w:w="539" w:type="pct"/>
            <w:shd w:val="clear" w:color="auto" w:fill="auto"/>
          </w:tcPr>
          <w:p w14:paraId="36CA17D6" w14:textId="77777777" w:rsidR="00787570" w:rsidRDefault="00787570">
            <w:pPr>
              <w:rPr>
                <w:rFonts w:ascii="宋体"/>
              </w:rPr>
            </w:pPr>
          </w:p>
        </w:tc>
        <w:tc>
          <w:tcPr>
            <w:tcW w:w="5" w:type="pct"/>
            <w:shd w:val="clear" w:color="auto" w:fill="auto"/>
          </w:tcPr>
          <w:p w14:paraId="36CA17D7" w14:textId="77777777" w:rsidR="00787570" w:rsidRDefault="00787570">
            <w:pPr>
              <w:rPr>
                <w:rFonts w:ascii="宋体"/>
              </w:rPr>
            </w:pPr>
          </w:p>
        </w:tc>
        <w:tc>
          <w:tcPr>
            <w:tcW w:w="5" w:type="pct"/>
            <w:shd w:val="clear" w:color="auto" w:fill="auto"/>
          </w:tcPr>
          <w:p w14:paraId="36CA17D8" w14:textId="77777777" w:rsidR="00787570" w:rsidRDefault="00787570">
            <w:pPr>
              <w:rPr>
                <w:rFonts w:ascii="宋体"/>
              </w:rPr>
            </w:pPr>
          </w:p>
        </w:tc>
        <w:tc>
          <w:tcPr>
            <w:tcW w:w="24" w:type="pct"/>
            <w:shd w:val="clear" w:color="auto" w:fill="auto"/>
          </w:tcPr>
          <w:p w14:paraId="36CA17D9" w14:textId="77777777" w:rsidR="00787570" w:rsidRDefault="00787570">
            <w:pPr>
              <w:rPr>
                <w:rFonts w:ascii="宋体"/>
              </w:rPr>
            </w:pPr>
          </w:p>
        </w:tc>
        <w:tc>
          <w:tcPr>
            <w:tcW w:w="5" w:type="pct"/>
            <w:shd w:val="clear" w:color="auto" w:fill="auto"/>
          </w:tcPr>
          <w:p w14:paraId="36CA17DA" w14:textId="77777777" w:rsidR="00787570" w:rsidRDefault="00787570">
            <w:pPr>
              <w:rPr>
                <w:rFonts w:ascii="宋体"/>
              </w:rPr>
            </w:pPr>
          </w:p>
        </w:tc>
        <w:tc>
          <w:tcPr>
            <w:tcW w:w="50" w:type="pct"/>
            <w:shd w:val="clear" w:color="auto" w:fill="auto"/>
          </w:tcPr>
          <w:p w14:paraId="36CA17DB" w14:textId="77777777" w:rsidR="00787570" w:rsidRDefault="00787570">
            <w:pPr>
              <w:rPr>
                <w:rFonts w:ascii="宋体"/>
              </w:rPr>
            </w:pPr>
          </w:p>
        </w:tc>
        <w:tc>
          <w:tcPr>
            <w:tcW w:w="539" w:type="pct"/>
            <w:shd w:val="clear" w:color="auto" w:fill="auto"/>
          </w:tcPr>
          <w:p w14:paraId="36CA17DC" w14:textId="77777777" w:rsidR="00787570" w:rsidRDefault="00787570">
            <w:pPr>
              <w:rPr>
                <w:rFonts w:ascii="宋体"/>
              </w:rPr>
            </w:pPr>
          </w:p>
        </w:tc>
        <w:tc>
          <w:tcPr>
            <w:tcW w:w="5" w:type="pct"/>
            <w:shd w:val="clear" w:color="auto" w:fill="auto"/>
          </w:tcPr>
          <w:p w14:paraId="36CA17DD" w14:textId="77777777" w:rsidR="00787570" w:rsidRDefault="00787570">
            <w:pPr>
              <w:rPr>
                <w:rFonts w:ascii="宋体"/>
              </w:rPr>
            </w:pPr>
          </w:p>
        </w:tc>
        <w:tc>
          <w:tcPr>
            <w:tcW w:w="5" w:type="pct"/>
            <w:shd w:val="clear" w:color="auto" w:fill="auto"/>
          </w:tcPr>
          <w:p w14:paraId="36CA17DE" w14:textId="77777777" w:rsidR="00787570" w:rsidRDefault="00787570">
            <w:pPr>
              <w:rPr>
                <w:rFonts w:ascii="宋体"/>
              </w:rPr>
            </w:pPr>
          </w:p>
        </w:tc>
        <w:tc>
          <w:tcPr>
            <w:tcW w:w="24" w:type="pct"/>
            <w:shd w:val="clear" w:color="auto" w:fill="auto"/>
          </w:tcPr>
          <w:p w14:paraId="36CA17DF" w14:textId="77777777" w:rsidR="00787570" w:rsidRDefault="00787570">
            <w:pPr>
              <w:rPr>
                <w:rFonts w:ascii="宋体"/>
              </w:rPr>
            </w:pPr>
          </w:p>
        </w:tc>
        <w:tc>
          <w:tcPr>
            <w:tcW w:w="5" w:type="pct"/>
            <w:shd w:val="clear" w:color="auto" w:fill="auto"/>
          </w:tcPr>
          <w:p w14:paraId="36CA17E0" w14:textId="77777777" w:rsidR="00787570" w:rsidRDefault="00787570">
            <w:pPr>
              <w:rPr>
                <w:rFonts w:ascii="宋体"/>
              </w:rPr>
            </w:pPr>
          </w:p>
        </w:tc>
        <w:tc>
          <w:tcPr>
            <w:tcW w:w="50" w:type="pct"/>
            <w:shd w:val="clear" w:color="auto" w:fill="auto"/>
          </w:tcPr>
          <w:p w14:paraId="36CA17E1" w14:textId="77777777" w:rsidR="00787570" w:rsidRDefault="00787570">
            <w:pPr>
              <w:rPr>
                <w:rFonts w:ascii="宋体"/>
              </w:rPr>
            </w:pPr>
          </w:p>
        </w:tc>
        <w:tc>
          <w:tcPr>
            <w:tcW w:w="539" w:type="pct"/>
            <w:shd w:val="clear" w:color="auto" w:fill="auto"/>
          </w:tcPr>
          <w:p w14:paraId="36CA17E2" w14:textId="77777777" w:rsidR="00787570" w:rsidRDefault="00787570">
            <w:pPr>
              <w:rPr>
                <w:rFonts w:ascii="宋体"/>
              </w:rPr>
            </w:pPr>
          </w:p>
        </w:tc>
        <w:tc>
          <w:tcPr>
            <w:tcW w:w="5" w:type="pct"/>
            <w:shd w:val="clear" w:color="auto" w:fill="auto"/>
          </w:tcPr>
          <w:p w14:paraId="36CA17E3" w14:textId="77777777" w:rsidR="00787570" w:rsidRDefault="00787570">
            <w:pPr>
              <w:rPr>
                <w:rFonts w:ascii="宋体"/>
              </w:rPr>
            </w:pPr>
          </w:p>
        </w:tc>
      </w:tr>
      <w:tr w:rsidR="00787570" w14:paraId="36CA17EE" w14:textId="77777777">
        <w:tc>
          <w:tcPr>
            <w:tcW w:w="0" w:type="auto"/>
            <w:gridSpan w:val="3"/>
            <w:shd w:val="clear" w:color="auto" w:fill="auto"/>
            <w:tcMar>
              <w:top w:w="40" w:type="dxa"/>
              <w:left w:w="20" w:type="dxa"/>
              <w:bottom w:w="40" w:type="dxa"/>
              <w:right w:w="20" w:type="dxa"/>
            </w:tcMar>
            <w:vAlign w:val="bottom"/>
          </w:tcPr>
          <w:p w14:paraId="36CA17E5" w14:textId="77777777" w:rsidR="00787570" w:rsidRDefault="000D56E2">
            <w:pPr>
              <w:ind w:hanging="180"/>
              <w:textAlignment w:val="bottom"/>
            </w:pPr>
            <w:r>
              <w:rPr>
                <w:rFonts w:ascii="Arial" w:eastAsia="宋体" w:hAnsi="Arial" w:cs="Arial"/>
                <w:color w:val="333333"/>
                <w:sz w:val="16"/>
                <w:szCs w:val="16"/>
              </w:rPr>
              <w:t> </w:t>
            </w:r>
          </w:p>
        </w:tc>
        <w:tc>
          <w:tcPr>
            <w:tcW w:w="0" w:type="auto"/>
            <w:gridSpan w:val="3"/>
            <w:shd w:val="clear" w:color="auto" w:fill="auto"/>
            <w:tcMar>
              <w:left w:w="20" w:type="dxa"/>
              <w:right w:w="20" w:type="dxa"/>
            </w:tcMar>
            <w:vAlign w:val="bottom"/>
          </w:tcPr>
          <w:p w14:paraId="36CA17E6" w14:textId="77777777" w:rsidR="00787570" w:rsidRDefault="00787570">
            <w:pPr>
              <w:rPr>
                <w:rFonts w:ascii="宋体"/>
              </w:rPr>
            </w:pPr>
          </w:p>
        </w:tc>
        <w:tc>
          <w:tcPr>
            <w:tcW w:w="0" w:type="auto"/>
            <w:gridSpan w:val="9"/>
            <w:shd w:val="clear" w:color="auto" w:fill="auto"/>
            <w:tcMar>
              <w:top w:w="40" w:type="dxa"/>
              <w:left w:w="20" w:type="dxa"/>
              <w:bottom w:w="40" w:type="dxa"/>
              <w:right w:w="20" w:type="dxa"/>
            </w:tcMar>
            <w:vAlign w:val="center"/>
          </w:tcPr>
          <w:p w14:paraId="36CA17E7" w14:textId="77777777" w:rsidR="00787570" w:rsidRDefault="000D56E2">
            <w:pPr>
              <w:jc w:val="center"/>
              <w:textAlignment w:val="center"/>
            </w:pPr>
            <w:r>
              <w:rPr>
                <w:rFonts w:ascii="Arial" w:eastAsia="宋体" w:hAnsi="Arial" w:cs="Arial"/>
                <w:b/>
                <w:bCs/>
                <w:color w:val="333333"/>
                <w:sz w:val="18"/>
                <w:szCs w:val="18"/>
              </w:rPr>
              <w:t>Three Months Ended</w:t>
            </w:r>
          </w:p>
        </w:tc>
        <w:tc>
          <w:tcPr>
            <w:tcW w:w="0" w:type="auto"/>
            <w:gridSpan w:val="3"/>
            <w:shd w:val="clear" w:color="auto" w:fill="auto"/>
          </w:tcPr>
          <w:p w14:paraId="36CA17E8" w14:textId="77777777" w:rsidR="00787570" w:rsidRDefault="00787570">
            <w:pPr>
              <w:rPr>
                <w:rFonts w:ascii="宋体"/>
                <w:vanish/>
              </w:rPr>
            </w:pPr>
          </w:p>
        </w:tc>
        <w:tc>
          <w:tcPr>
            <w:tcW w:w="0" w:type="auto"/>
            <w:gridSpan w:val="3"/>
            <w:shd w:val="clear" w:color="auto" w:fill="auto"/>
          </w:tcPr>
          <w:p w14:paraId="36CA17E9" w14:textId="77777777" w:rsidR="00787570" w:rsidRDefault="00787570">
            <w:pPr>
              <w:rPr>
                <w:rFonts w:ascii="宋体"/>
                <w:vanish/>
              </w:rPr>
            </w:pPr>
          </w:p>
        </w:tc>
        <w:tc>
          <w:tcPr>
            <w:tcW w:w="0" w:type="auto"/>
            <w:gridSpan w:val="3"/>
            <w:shd w:val="clear" w:color="auto" w:fill="auto"/>
            <w:tcMar>
              <w:left w:w="20" w:type="dxa"/>
              <w:right w:w="20" w:type="dxa"/>
            </w:tcMar>
            <w:vAlign w:val="bottom"/>
          </w:tcPr>
          <w:p w14:paraId="36CA17EA" w14:textId="77777777" w:rsidR="00787570" w:rsidRDefault="00787570">
            <w:pPr>
              <w:rPr>
                <w:rFonts w:ascii="宋体"/>
              </w:rPr>
            </w:pPr>
          </w:p>
        </w:tc>
        <w:tc>
          <w:tcPr>
            <w:tcW w:w="0" w:type="auto"/>
            <w:gridSpan w:val="9"/>
            <w:shd w:val="clear" w:color="auto" w:fill="auto"/>
            <w:tcMar>
              <w:top w:w="40" w:type="dxa"/>
              <w:left w:w="20" w:type="dxa"/>
              <w:bottom w:w="40" w:type="dxa"/>
              <w:right w:w="20" w:type="dxa"/>
            </w:tcMar>
            <w:vAlign w:val="center"/>
          </w:tcPr>
          <w:p w14:paraId="36CA17EB" w14:textId="77777777" w:rsidR="00787570" w:rsidRDefault="000D56E2">
            <w:pPr>
              <w:jc w:val="center"/>
              <w:textAlignment w:val="center"/>
            </w:pPr>
            <w:r>
              <w:rPr>
                <w:rFonts w:ascii="Arial" w:eastAsia="宋体" w:hAnsi="Arial" w:cs="Arial"/>
                <w:b/>
                <w:bCs/>
                <w:color w:val="333333"/>
                <w:sz w:val="18"/>
                <w:szCs w:val="18"/>
              </w:rPr>
              <w:t>Nine Months Ended</w:t>
            </w:r>
          </w:p>
        </w:tc>
        <w:tc>
          <w:tcPr>
            <w:tcW w:w="0" w:type="auto"/>
            <w:gridSpan w:val="3"/>
            <w:shd w:val="clear" w:color="auto" w:fill="auto"/>
          </w:tcPr>
          <w:p w14:paraId="36CA17EC" w14:textId="77777777" w:rsidR="00787570" w:rsidRDefault="00787570">
            <w:pPr>
              <w:rPr>
                <w:rFonts w:ascii="宋体"/>
                <w:vanish/>
              </w:rPr>
            </w:pPr>
          </w:p>
        </w:tc>
        <w:tc>
          <w:tcPr>
            <w:tcW w:w="0" w:type="auto"/>
            <w:gridSpan w:val="3"/>
            <w:shd w:val="clear" w:color="auto" w:fill="auto"/>
          </w:tcPr>
          <w:p w14:paraId="36CA17ED" w14:textId="77777777" w:rsidR="00787570" w:rsidRDefault="00787570">
            <w:pPr>
              <w:rPr>
                <w:rFonts w:ascii="宋体"/>
                <w:vanish/>
              </w:rPr>
            </w:pPr>
          </w:p>
        </w:tc>
      </w:tr>
      <w:tr w:rsidR="00787570" w14:paraId="36CA1804" w14:textId="77777777">
        <w:tc>
          <w:tcPr>
            <w:tcW w:w="0" w:type="auto"/>
            <w:gridSpan w:val="3"/>
            <w:shd w:val="clear" w:color="auto" w:fill="auto"/>
            <w:tcMar>
              <w:top w:w="40" w:type="dxa"/>
              <w:left w:w="20" w:type="dxa"/>
              <w:bottom w:w="40" w:type="dxa"/>
              <w:right w:w="20" w:type="dxa"/>
            </w:tcMar>
            <w:vAlign w:val="bottom"/>
          </w:tcPr>
          <w:p w14:paraId="36CA17EF" w14:textId="77777777" w:rsidR="00787570" w:rsidRDefault="000D56E2">
            <w:pPr>
              <w:ind w:hanging="180"/>
              <w:textAlignment w:val="bottom"/>
            </w:pPr>
            <w:r>
              <w:rPr>
                <w:rFonts w:ascii="Arial" w:eastAsia="宋体" w:hAnsi="Arial" w:cs="Arial"/>
                <w:b/>
                <w:bCs/>
                <w:color w:val="333333"/>
                <w:sz w:val="18"/>
                <w:szCs w:val="18"/>
              </w:rPr>
              <w:t>(In Millions, Except Per Share Amounts; Unaudited)</w:t>
            </w:r>
          </w:p>
        </w:tc>
        <w:tc>
          <w:tcPr>
            <w:tcW w:w="0" w:type="auto"/>
            <w:gridSpan w:val="3"/>
            <w:shd w:val="clear" w:color="auto" w:fill="auto"/>
            <w:tcMar>
              <w:left w:w="20" w:type="dxa"/>
              <w:right w:w="20" w:type="dxa"/>
            </w:tcMar>
            <w:vAlign w:val="bottom"/>
          </w:tcPr>
          <w:p w14:paraId="36CA17F0" w14:textId="77777777" w:rsidR="00787570" w:rsidRDefault="00787570">
            <w:pPr>
              <w:rPr>
                <w:rFonts w:ascii="宋体"/>
              </w:rPr>
            </w:pPr>
          </w:p>
        </w:tc>
        <w:tc>
          <w:tcPr>
            <w:tcW w:w="0" w:type="auto"/>
            <w:gridSpan w:val="3"/>
            <w:tcBorders>
              <w:top w:val="single" w:sz="8" w:space="0" w:color="0071C5"/>
            </w:tcBorders>
            <w:shd w:val="clear" w:color="auto" w:fill="auto"/>
            <w:tcMar>
              <w:top w:w="40" w:type="dxa"/>
              <w:left w:w="20" w:type="dxa"/>
              <w:bottom w:w="40" w:type="dxa"/>
              <w:right w:w="20" w:type="dxa"/>
            </w:tcMar>
            <w:vAlign w:val="bottom"/>
          </w:tcPr>
          <w:p w14:paraId="36CA17F1" w14:textId="77777777" w:rsidR="00787570" w:rsidRDefault="000D56E2">
            <w:pPr>
              <w:jc w:val="center"/>
              <w:textAlignment w:val="bottom"/>
            </w:pPr>
            <w:r>
              <w:rPr>
                <w:rFonts w:ascii="Arial" w:eastAsia="宋体" w:hAnsi="Arial" w:cs="Arial"/>
                <w:b/>
                <w:bCs/>
                <w:color w:val="333333"/>
                <w:sz w:val="18"/>
                <w:szCs w:val="18"/>
              </w:rPr>
              <w:t>Sep 26, 2020</w:t>
            </w:r>
          </w:p>
        </w:tc>
        <w:tc>
          <w:tcPr>
            <w:tcW w:w="0" w:type="auto"/>
            <w:gridSpan w:val="3"/>
            <w:tcBorders>
              <w:top w:val="single" w:sz="8" w:space="0" w:color="0071C5"/>
            </w:tcBorders>
            <w:shd w:val="clear" w:color="auto" w:fill="auto"/>
            <w:tcMar>
              <w:left w:w="20" w:type="dxa"/>
              <w:right w:w="20" w:type="dxa"/>
            </w:tcMar>
            <w:vAlign w:val="bottom"/>
          </w:tcPr>
          <w:p w14:paraId="36CA17F2" w14:textId="77777777" w:rsidR="00787570" w:rsidRDefault="00787570">
            <w:pPr>
              <w:rPr>
                <w:rFonts w:ascii="宋体"/>
              </w:rPr>
            </w:pPr>
          </w:p>
        </w:tc>
        <w:tc>
          <w:tcPr>
            <w:tcW w:w="0" w:type="auto"/>
            <w:gridSpan w:val="3"/>
            <w:tcBorders>
              <w:top w:val="single" w:sz="8" w:space="0" w:color="0071C5"/>
            </w:tcBorders>
            <w:shd w:val="clear" w:color="auto" w:fill="auto"/>
            <w:tcMar>
              <w:top w:w="40" w:type="dxa"/>
              <w:left w:w="20" w:type="dxa"/>
              <w:bottom w:w="40" w:type="dxa"/>
              <w:right w:w="20" w:type="dxa"/>
            </w:tcMar>
            <w:vAlign w:val="bottom"/>
          </w:tcPr>
          <w:p w14:paraId="36CA17F3" w14:textId="77777777" w:rsidR="00787570" w:rsidRDefault="000D56E2">
            <w:pPr>
              <w:jc w:val="center"/>
              <w:textAlignment w:val="bottom"/>
            </w:pPr>
            <w:r>
              <w:rPr>
                <w:rFonts w:ascii="Arial" w:eastAsia="宋体" w:hAnsi="Arial" w:cs="Arial"/>
                <w:b/>
                <w:bCs/>
                <w:color w:val="333333"/>
                <w:sz w:val="18"/>
                <w:szCs w:val="18"/>
              </w:rPr>
              <w:t>Sep 28, 2019</w:t>
            </w:r>
          </w:p>
        </w:tc>
        <w:tc>
          <w:tcPr>
            <w:tcW w:w="0" w:type="auto"/>
            <w:gridSpan w:val="3"/>
            <w:shd w:val="clear" w:color="auto" w:fill="auto"/>
            <w:tcMar>
              <w:left w:w="20" w:type="dxa"/>
              <w:right w:w="20" w:type="dxa"/>
            </w:tcMar>
            <w:vAlign w:val="bottom"/>
          </w:tcPr>
          <w:p w14:paraId="36CA17F4" w14:textId="77777777" w:rsidR="00787570" w:rsidRDefault="00787570">
            <w:pPr>
              <w:rPr>
                <w:rFonts w:ascii="宋体"/>
              </w:rPr>
            </w:pPr>
          </w:p>
        </w:tc>
        <w:tc>
          <w:tcPr>
            <w:tcW w:w="0" w:type="auto"/>
            <w:gridSpan w:val="3"/>
            <w:tcBorders>
              <w:top w:val="single" w:sz="8" w:space="0" w:color="0071C5"/>
            </w:tcBorders>
            <w:shd w:val="clear" w:color="auto" w:fill="auto"/>
            <w:tcMar>
              <w:top w:w="40" w:type="dxa"/>
              <w:left w:w="20" w:type="dxa"/>
              <w:bottom w:w="40" w:type="dxa"/>
              <w:right w:w="20" w:type="dxa"/>
            </w:tcMar>
            <w:vAlign w:val="bottom"/>
          </w:tcPr>
          <w:p w14:paraId="36CA17F5" w14:textId="77777777" w:rsidR="00787570" w:rsidRDefault="000D56E2">
            <w:pPr>
              <w:jc w:val="center"/>
              <w:textAlignment w:val="bottom"/>
            </w:pPr>
            <w:r>
              <w:rPr>
                <w:rFonts w:ascii="Arial" w:eastAsia="宋体" w:hAnsi="Arial" w:cs="Arial"/>
                <w:b/>
                <w:bCs/>
                <w:color w:val="333333"/>
                <w:sz w:val="18"/>
                <w:szCs w:val="18"/>
              </w:rPr>
              <w:t>Sep 26, 2020</w:t>
            </w:r>
          </w:p>
        </w:tc>
        <w:tc>
          <w:tcPr>
            <w:tcW w:w="0" w:type="auto"/>
            <w:gridSpan w:val="3"/>
            <w:tcBorders>
              <w:top w:val="single" w:sz="8" w:space="0" w:color="0071C5"/>
            </w:tcBorders>
            <w:shd w:val="clear" w:color="auto" w:fill="auto"/>
            <w:tcMar>
              <w:left w:w="20" w:type="dxa"/>
              <w:right w:w="20" w:type="dxa"/>
            </w:tcMar>
            <w:vAlign w:val="bottom"/>
          </w:tcPr>
          <w:p w14:paraId="36CA17F6" w14:textId="77777777" w:rsidR="00787570" w:rsidRDefault="00787570">
            <w:pPr>
              <w:rPr>
                <w:rFonts w:ascii="宋体"/>
              </w:rPr>
            </w:pPr>
          </w:p>
        </w:tc>
        <w:tc>
          <w:tcPr>
            <w:tcW w:w="0" w:type="auto"/>
            <w:gridSpan w:val="3"/>
            <w:tcBorders>
              <w:top w:val="single" w:sz="8" w:space="0" w:color="0071C5"/>
            </w:tcBorders>
            <w:shd w:val="clear" w:color="auto" w:fill="auto"/>
            <w:tcMar>
              <w:top w:w="40" w:type="dxa"/>
              <w:left w:w="20" w:type="dxa"/>
              <w:bottom w:w="40" w:type="dxa"/>
              <w:right w:w="20" w:type="dxa"/>
            </w:tcMar>
            <w:vAlign w:val="bottom"/>
          </w:tcPr>
          <w:p w14:paraId="36CA17F7" w14:textId="77777777" w:rsidR="00787570" w:rsidRDefault="000D56E2">
            <w:pPr>
              <w:jc w:val="center"/>
              <w:textAlignment w:val="bottom"/>
            </w:pPr>
            <w:r>
              <w:rPr>
                <w:rFonts w:ascii="Arial" w:eastAsia="宋体" w:hAnsi="Arial" w:cs="Arial"/>
                <w:b/>
                <w:bCs/>
                <w:color w:val="333333"/>
                <w:sz w:val="18"/>
                <w:szCs w:val="18"/>
              </w:rPr>
              <w:t>Sep 28, 2019</w:t>
            </w:r>
          </w:p>
        </w:tc>
        <w:tc>
          <w:tcPr>
            <w:tcW w:w="0" w:type="auto"/>
            <w:shd w:val="clear" w:color="auto" w:fill="auto"/>
          </w:tcPr>
          <w:p w14:paraId="36CA17F8" w14:textId="77777777" w:rsidR="00787570" w:rsidRDefault="00787570">
            <w:pPr>
              <w:rPr>
                <w:rFonts w:ascii="宋体"/>
              </w:rPr>
            </w:pPr>
          </w:p>
        </w:tc>
        <w:tc>
          <w:tcPr>
            <w:tcW w:w="0" w:type="auto"/>
            <w:shd w:val="clear" w:color="auto" w:fill="auto"/>
          </w:tcPr>
          <w:p w14:paraId="36CA17F9" w14:textId="77777777" w:rsidR="00787570" w:rsidRDefault="00787570">
            <w:pPr>
              <w:rPr>
                <w:rFonts w:ascii="宋体"/>
              </w:rPr>
            </w:pPr>
          </w:p>
        </w:tc>
        <w:tc>
          <w:tcPr>
            <w:tcW w:w="0" w:type="auto"/>
            <w:shd w:val="clear" w:color="auto" w:fill="auto"/>
          </w:tcPr>
          <w:p w14:paraId="36CA17FA" w14:textId="77777777" w:rsidR="00787570" w:rsidRDefault="00787570">
            <w:pPr>
              <w:rPr>
                <w:rFonts w:ascii="宋体"/>
              </w:rPr>
            </w:pPr>
          </w:p>
        </w:tc>
        <w:tc>
          <w:tcPr>
            <w:tcW w:w="0" w:type="auto"/>
            <w:shd w:val="clear" w:color="auto" w:fill="auto"/>
          </w:tcPr>
          <w:p w14:paraId="36CA17FB" w14:textId="77777777" w:rsidR="00787570" w:rsidRDefault="00787570">
            <w:pPr>
              <w:rPr>
                <w:rFonts w:ascii="宋体"/>
              </w:rPr>
            </w:pPr>
          </w:p>
        </w:tc>
        <w:tc>
          <w:tcPr>
            <w:tcW w:w="0" w:type="auto"/>
            <w:shd w:val="clear" w:color="auto" w:fill="auto"/>
          </w:tcPr>
          <w:p w14:paraId="36CA17FC" w14:textId="77777777" w:rsidR="00787570" w:rsidRDefault="00787570">
            <w:pPr>
              <w:rPr>
                <w:rFonts w:ascii="宋体"/>
              </w:rPr>
            </w:pPr>
          </w:p>
        </w:tc>
        <w:tc>
          <w:tcPr>
            <w:tcW w:w="0" w:type="auto"/>
            <w:shd w:val="clear" w:color="auto" w:fill="auto"/>
          </w:tcPr>
          <w:p w14:paraId="36CA17FD" w14:textId="77777777" w:rsidR="00787570" w:rsidRDefault="00787570">
            <w:pPr>
              <w:rPr>
                <w:rFonts w:ascii="宋体"/>
              </w:rPr>
            </w:pPr>
          </w:p>
        </w:tc>
        <w:tc>
          <w:tcPr>
            <w:tcW w:w="0" w:type="auto"/>
            <w:shd w:val="clear" w:color="auto" w:fill="auto"/>
          </w:tcPr>
          <w:p w14:paraId="36CA17FE" w14:textId="77777777" w:rsidR="00787570" w:rsidRDefault="00787570">
            <w:pPr>
              <w:rPr>
                <w:rFonts w:ascii="宋体"/>
              </w:rPr>
            </w:pPr>
          </w:p>
        </w:tc>
        <w:tc>
          <w:tcPr>
            <w:tcW w:w="0" w:type="auto"/>
            <w:shd w:val="clear" w:color="auto" w:fill="auto"/>
          </w:tcPr>
          <w:p w14:paraId="36CA17FF" w14:textId="77777777" w:rsidR="00787570" w:rsidRDefault="00787570">
            <w:pPr>
              <w:rPr>
                <w:rFonts w:ascii="宋体"/>
              </w:rPr>
            </w:pPr>
          </w:p>
        </w:tc>
        <w:tc>
          <w:tcPr>
            <w:tcW w:w="0" w:type="auto"/>
            <w:shd w:val="clear" w:color="auto" w:fill="auto"/>
          </w:tcPr>
          <w:p w14:paraId="36CA1800" w14:textId="77777777" w:rsidR="00787570" w:rsidRDefault="00787570">
            <w:pPr>
              <w:rPr>
                <w:rFonts w:ascii="宋体"/>
              </w:rPr>
            </w:pPr>
          </w:p>
        </w:tc>
        <w:tc>
          <w:tcPr>
            <w:tcW w:w="0" w:type="auto"/>
            <w:shd w:val="clear" w:color="auto" w:fill="auto"/>
          </w:tcPr>
          <w:p w14:paraId="36CA1801" w14:textId="77777777" w:rsidR="00787570" w:rsidRDefault="00787570">
            <w:pPr>
              <w:rPr>
                <w:rFonts w:ascii="宋体"/>
              </w:rPr>
            </w:pPr>
          </w:p>
        </w:tc>
        <w:tc>
          <w:tcPr>
            <w:tcW w:w="0" w:type="auto"/>
            <w:shd w:val="clear" w:color="auto" w:fill="auto"/>
          </w:tcPr>
          <w:p w14:paraId="36CA1802" w14:textId="77777777" w:rsidR="00787570" w:rsidRDefault="00787570">
            <w:pPr>
              <w:rPr>
                <w:rFonts w:ascii="宋体"/>
              </w:rPr>
            </w:pPr>
          </w:p>
        </w:tc>
        <w:tc>
          <w:tcPr>
            <w:tcW w:w="0" w:type="auto"/>
            <w:shd w:val="clear" w:color="auto" w:fill="auto"/>
          </w:tcPr>
          <w:p w14:paraId="36CA1803" w14:textId="77777777" w:rsidR="00787570" w:rsidRDefault="00787570">
            <w:pPr>
              <w:rPr>
                <w:rFonts w:ascii="宋体"/>
              </w:rPr>
            </w:pPr>
          </w:p>
        </w:tc>
      </w:tr>
      <w:tr w:rsidR="00787570" w14:paraId="36CA1822" w14:textId="77777777">
        <w:tc>
          <w:tcPr>
            <w:tcW w:w="0" w:type="auto"/>
            <w:gridSpan w:val="3"/>
            <w:tcBorders>
              <w:top w:val="single" w:sz="8" w:space="0" w:color="0071C5"/>
            </w:tcBorders>
            <w:shd w:val="clear" w:color="auto" w:fill="auto"/>
            <w:tcMar>
              <w:top w:w="40" w:type="dxa"/>
              <w:left w:w="20" w:type="dxa"/>
              <w:bottom w:w="40" w:type="dxa"/>
              <w:right w:w="20" w:type="dxa"/>
            </w:tcMar>
          </w:tcPr>
          <w:p w14:paraId="36CA1805" w14:textId="77777777" w:rsidR="00787570" w:rsidRDefault="000D56E2">
            <w:pPr>
              <w:ind w:hanging="180"/>
              <w:textAlignment w:val="top"/>
            </w:pPr>
            <w:r>
              <w:rPr>
                <w:rFonts w:ascii="Arial" w:eastAsia="宋体" w:hAnsi="Arial" w:cs="Arial"/>
                <w:b/>
                <w:bCs/>
                <w:color w:val="333333"/>
                <w:sz w:val="18"/>
                <w:szCs w:val="18"/>
              </w:rPr>
              <w:t xml:space="preserve">Net </w:t>
            </w:r>
            <w:r>
              <w:rPr>
                <w:rFonts w:ascii="Arial" w:eastAsia="宋体" w:hAnsi="Arial" w:cs="Arial"/>
                <w:b/>
                <w:bCs/>
                <w:color w:val="333333"/>
                <w:sz w:val="18"/>
                <w:szCs w:val="18"/>
              </w:rPr>
              <w:t>revenue</w:t>
            </w:r>
          </w:p>
        </w:tc>
        <w:tc>
          <w:tcPr>
            <w:tcW w:w="0" w:type="auto"/>
            <w:gridSpan w:val="3"/>
            <w:shd w:val="clear" w:color="auto" w:fill="auto"/>
            <w:tcMar>
              <w:left w:w="20" w:type="dxa"/>
              <w:right w:w="20" w:type="dxa"/>
            </w:tcMar>
            <w:vAlign w:val="bottom"/>
          </w:tcPr>
          <w:p w14:paraId="36CA1806" w14:textId="77777777" w:rsidR="00787570" w:rsidRDefault="00787570">
            <w:pPr>
              <w:rPr>
                <w:rFonts w:ascii="宋体"/>
              </w:rPr>
            </w:pPr>
          </w:p>
        </w:tc>
        <w:tc>
          <w:tcPr>
            <w:tcW w:w="0" w:type="auto"/>
            <w:tcBorders>
              <w:top w:val="single" w:sz="8" w:space="0" w:color="0071C5"/>
            </w:tcBorders>
            <w:shd w:val="clear" w:color="auto" w:fill="auto"/>
            <w:tcMar>
              <w:top w:w="40" w:type="dxa"/>
              <w:left w:w="20" w:type="dxa"/>
              <w:bottom w:w="40" w:type="dxa"/>
            </w:tcMar>
            <w:vAlign w:val="bottom"/>
          </w:tcPr>
          <w:p w14:paraId="36CA1807" w14:textId="77777777" w:rsidR="00787570" w:rsidRDefault="000D56E2">
            <w:pPr>
              <w:textAlignment w:val="bottom"/>
            </w:pPr>
            <w:r>
              <w:rPr>
                <w:rFonts w:ascii="Arial" w:eastAsia="宋体" w:hAnsi="Arial" w:cs="Arial"/>
                <w:b/>
                <w:bCs/>
                <w:color w:val="0071C5"/>
                <w:sz w:val="18"/>
                <w:szCs w:val="18"/>
              </w:rPr>
              <w:t>$</w:t>
            </w:r>
          </w:p>
        </w:tc>
        <w:tc>
          <w:tcPr>
            <w:tcW w:w="0" w:type="auto"/>
            <w:tcBorders>
              <w:top w:val="single" w:sz="8" w:space="0" w:color="0071C5"/>
            </w:tcBorders>
            <w:shd w:val="clear" w:color="auto" w:fill="auto"/>
            <w:tcMar>
              <w:top w:w="40" w:type="dxa"/>
              <w:bottom w:w="40" w:type="dxa"/>
              <w:right w:w="0" w:type="dxa"/>
            </w:tcMar>
            <w:vAlign w:val="bottom"/>
          </w:tcPr>
          <w:p w14:paraId="36CA1808" w14:textId="77777777" w:rsidR="00787570" w:rsidRDefault="000D56E2">
            <w:pPr>
              <w:jc w:val="right"/>
              <w:textAlignment w:val="bottom"/>
            </w:pPr>
            <w:r>
              <w:rPr>
                <w:rFonts w:ascii="Arial" w:eastAsia="宋体" w:hAnsi="Arial" w:cs="Arial"/>
                <w:b/>
                <w:bCs/>
                <w:color w:val="0071C5"/>
                <w:sz w:val="18"/>
                <w:szCs w:val="18"/>
              </w:rPr>
              <w:t>18,333</w:t>
            </w:r>
            <w:r>
              <w:rPr>
                <w:rFonts w:ascii="Arial" w:eastAsia="宋体" w:hAnsi="Arial" w:cs="Arial"/>
                <w:color w:val="0071C5"/>
                <w:sz w:val="18"/>
                <w:szCs w:val="18"/>
              </w:rPr>
              <w:t> </w:t>
            </w:r>
          </w:p>
        </w:tc>
        <w:tc>
          <w:tcPr>
            <w:tcW w:w="0" w:type="auto"/>
            <w:tcBorders>
              <w:top w:val="single" w:sz="8" w:space="0" w:color="0071C5"/>
            </w:tcBorders>
            <w:shd w:val="clear" w:color="auto" w:fill="auto"/>
            <w:tcMar>
              <w:top w:w="40" w:type="dxa"/>
              <w:bottom w:w="40" w:type="dxa"/>
              <w:right w:w="20" w:type="dxa"/>
            </w:tcMar>
            <w:vAlign w:val="bottom"/>
          </w:tcPr>
          <w:p w14:paraId="36CA1809"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180A" w14:textId="77777777" w:rsidR="00787570" w:rsidRDefault="00787570">
            <w:pPr>
              <w:rPr>
                <w:rFonts w:ascii="宋体"/>
              </w:rPr>
            </w:pPr>
          </w:p>
        </w:tc>
        <w:tc>
          <w:tcPr>
            <w:tcW w:w="0" w:type="auto"/>
            <w:tcBorders>
              <w:top w:val="single" w:sz="8" w:space="0" w:color="0071C5"/>
            </w:tcBorders>
            <w:shd w:val="clear" w:color="auto" w:fill="auto"/>
            <w:tcMar>
              <w:top w:w="40" w:type="dxa"/>
              <w:left w:w="20" w:type="dxa"/>
              <w:bottom w:w="40" w:type="dxa"/>
            </w:tcMar>
            <w:vAlign w:val="bottom"/>
          </w:tcPr>
          <w:p w14:paraId="36CA180B" w14:textId="77777777" w:rsidR="00787570" w:rsidRDefault="000D56E2">
            <w:pPr>
              <w:textAlignment w:val="bottom"/>
            </w:pPr>
            <w:r>
              <w:rPr>
                <w:rFonts w:ascii="Arial" w:eastAsia="宋体" w:hAnsi="Arial" w:cs="Arial"/>
                <w:b/>
                <w:bCs/>
                <w:color w:val="333333"/>
                <w:sz w:val="18"/>
                <w:szCs w:val="18"/>
              </w:rPr>
              <w:t>$</w:t>
            </w:r>
          </w:p>
        </w:tc>
        <w:tc>
          <w:tcPr>
            <w:tcW w:w="0" w:type="auto"/>
            <w:tcBorders>
              <w:top w:val="single" w:sz="8" w:space="0" w:color="0071C5"/>
            </w:tcBorders>
            <w:shd w:val="clear" w:color="auto" w:fill="auto"/>
            <w:tcMar>
              <w:top w:w="40" w:type="dxa"/>
              <w:bottom w:w="40" w:type="dxa"/>
              <w:right w:w="0" w:type="dxa"/>
            </w:tcMar>
            <w:vAlign w:val="bottom"/>
          </w:tcPr>
          <w:p w14:paraId="36CA180C" w14:textId="77777777" w:rsidR="00787570" w:rsidRDefault="000D56E2">
            <w:pPr>
              <w:jc w:val="right"/>
              <w:textAlignment w:val="bottom"/>
            </w:pPr>
            <w:r>
              <w:rPr>
                <w:rFonts w:ascii="Arial" w:eastAsia="宋体" w:hAnsi="Arial" w:cs="Arial"/>
                <w:b/>
                <w:bCs/>
                <w:color w:val="333333"/>
                <w:sz w:val="18"/>
                <w:szCs w:val="18"/>
              </w:rPr>
              <w:t>19,190</w:t>
            </w:r>
            <w:r>
              <w:rPr>
                <w:rFonts w:ascii="Arial" w:eastAsia="宋体" w:hAnsi="Arial" w:cs="Arial"/>
                <w:color w:val="333333"/>
                <w:sz w:val="18"/>
                <w:szCs w:val="18"/>
              </w:rPr>
              <w:t> </w:t>
            </w:r>
          </w:p>
        </w:tc>
        <w:tc>
          <w:tcPr>
            <w:tcW w:w="0" w:type="auto"/>
            <w:tcBorders>
              <w:top w:val="single" w:sz="8" w:space="0" w:color="0071C5"/>
            </w:tcBorders>
            <w:shd w:val="clear" w:color="auto" w:fill="auto"/>
            <w:tcMar>
              <w:top w:w="40" w:type="dxa"/>
              <w:bottom w:w="40" w:type="dxa"/>
              <w:right w:w="20" w:type="dxa"/>
            </w:tcMar>
            <w:vAlign w:val="bottom"/>
          </w:tcPr>
          <w:p w14:paraId="36CA180D"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180E" w14:textId="77777777" w:rsidR="00787570" w:rsidRDefault="00787570">
            <w:pPr>
              <w:rPr>
                <w:rFonts w:ascii="宋体"/>
              </w:rPr>
            </w:pPr>
          </w:p>
        </w:tc>
        <w:tc>
          <w:tcPr>
            <w:tcW w:w="0" w:type="auto"/>
            <w:tcBorders>
              <w:top w:val="single" w:sz="8" w:space="0" w:color="0071C5"/>
            </w:tcBorders>
            <w:shd w:val="clear" w:color="auto" w:fill="auto"/>
            <w:tcMar>
              <w:top w:w="40" w:type="dxa"/>
              <w:left w:w="20" w:type="dxa"/>
              <w:bottom w:w="40" w:type="dxa"/>
            </w:tcMar>
            <w:vAlign w:val="bottom"/>
          </w:tcPr>
          <w:p w14:paraId="36CA180F" w14:textId="77777777" w:rsidR="00787570" w:rsidRDefault="000D56E2">
            <w:pPr>
              <w:textAlignment w:val="bottom"/>
            </w:pPr>
            <w:r>
              <w:rPr>
                <w:rFonts w:ascii="Arial" w:eastAsia="宋体" w:hAnsi="Arial" w:cs="Arial"/>
                <w:b/>
                <w:bCs/>
                <w:color w:val="0071C5"/>
                <w:sz w:val="18"/>
                <w:szCs w:val="18"/>
              </w:rPr>
              <w:t>$</w:t>
            </w:r>
          </w:p>
        </w:tc>
        <w:tc>
          <w:tcPr>
            <w:tcW w:w="0" w:type="auto"/>
            <w:tcBorders>
              <w:top w:val="single" w:sz="8" w:space="0" w:color="0071C5"/>
            </w:tcBorders>
            <w:shd w:val="clear" w:color="auto" w:fill="auto"/>
            <w:tcMar>
              <w:top w:w="40" w:type="dxa"/>
              <w:bottom w:w="40" w:type="dxa"/>
              <w:right w:w="0" w:type="dxa"/>
            </w:tcMar>
            <w:vAlign w:val="bottom"/>
          </w:tcPr>
          <w:p w14:paraId="36CA1810" w14:textId="77777777" w:rsidR="00787570" w:rsidRDefault="000D56E2">
            <w:pPr>
              <w:jc w:val="right"/>
              <w:textAlignment w:val="bottom"/>
            </w:pPr>
            <w:r>
              <w:rPr>
                <w:rFonts w:ascii="Arial" w:eastAsia="宋体" w:hAnsi="Arial" w:cs="Arial"/>
                <w:b/>
                <w:bCs/>
                <w:color w:val="0071C5"/>
                <w:sz w:val="18"/>
                <w:szCs w:val="18"/>
              </w:rPr>
              <w:t>57,889</w:t>
            </w:r>
            <w:r>
              <w:rPr>
                <w:rFonts w:ascii="Arial" w:eastAsia="宋体" w:hAnsi="Arial" w:cs="Arial"/>
                <w:color w:val="0071C5"/>
                <w:sz w:val="18"/>
                <w:szCs w:val="18"/>
              </w:rPr>
              <w:t> </w:t>
            </w:r>
          </w:p>
        </w:tc>
        <w:tc>
          <w:tcPr>
            <w:tcW w:w="0" w:type="auto"/>
            <w:tcBorders>
              <w:top w:val="single" w:sz="8" w:space="0" w:color="0071C5"/>
            </w:tcBorders>
            <w:shd w:val="clear" w:color="auto" w:fill="auto"/>
            <w:tcMar>
              <w:top w:w="40" w:type="dxa"/>
              <w:bottom w:w="40" w:type="dxa"/>
              <w:right w:w="20" w:type="dxa"/>
            </w:tcMar>
            <w:vAlign w:val="bottom"/>
          </w:tcPr>
          <w:p w14:paraId="36CA1811"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1812" w14:textId="77777777" w:rsidR="00787570" w:rsidRDefault="00787570">
            <w:pPr>
              <w:rPr>
                <w:rFonts w:ascii="宋体"/>
              </w:rPr>
            </w:pPr>
          </w:p>
        </w:tc>
        <w:tc>
          <w:tcPr>
            <w:tcW w:w="0" w:type="auto"/>
            <w:tcBorders>
              <w:top w:val="single" w:sz="8" w:space="0" w:color="0071C5"/>
            </w:tcBorders>
            <w:shd w:val="clear" w:color="auto" w:fill="auto"/>
            <w:tcMar>
              <w:top w:w="40" w:type="dxa"/>
              <w:left w:w="20" w:type="dxa"/>
              <w:bottom w:w="40" w:type="dxa"/>
            </w:tcMar>
            <w:vAlign w:val="bottom"/>
          </w:tcPr>
          <w:p w14:paraId="36CA1813" w14:textId="77777777" w:rsidR="00787570" w:rsidRDefault="000D56E2">
            <w:pPr>
              <w:textAlignment w:val="bottom"/>
            </w:pPr>
            <w:r>
              <w:rPr>
                <w:rFonts w:ascii="Arial" w:eastAsia="宋体" w:hAnsi="Arial" w:cs="Arial"/>
                <w:b/>
                <w:bCs/>
                <w:color w:val="333333"/>
                <w:sz w:val="18"/>
                <w:szCs w:val="18"/>
              </w:rPr>
              <w:t>$</w:t>
            </w:r>
          </w:p>
        </w:tc>
        <w:tc>
          <w:tcPr>
            <w:tcW w:w="0" w:type="auto"/>
            <w:tcBorders>
              <w:top w:val="single" w:sz="8" w:space="0" w:color="0071C5"/>
            </w:tcBorders>
            <w:shd w:val="clear" w:color="auto" w:fill="auto"/>
            <w:tcMar>
              <w:top w:w="40" w:type="dxa"/>
              <w:bottom w:w="40" w:type="dxa"/>
              <w:right w:w="0" w:type="dxa"/>
            </w:tcMar>
            <w:vAlign w:val="bottom"/>
          </w:tcPr>
          <w:p w14:paraId="36CA1814" w14:textId="77777777" w:rsidR="00787570" w:rsidRDefault="000D56E2">
            <w:pPr>
              <w:jc w:val="right"/>
              <w:textAlignment w:val="bottom"/>
            </w:pPr>
            <w:r>
              <w:rPr>
                <w:rFonts w:ascii="Arial" w:eastAsia="宋体" w:hAnsi="Arial" w:cs="Arial"/>
                <w:b/>
                <w:bCs/>
                <w:color w:val="333333"/>
                <w:sz w:val="18"/>
                <w:szCs w:val="18"/>
              </w:rPr>
              <w:t>51,756</w:t>
            </w:r>
            <w:r>
              <w:rPr>
                <w:rFonts w:ascii="Arial" w:eastAsia="宋体" w:hAnsi="Arial" w:cs="Arial"/>
                <w:color w:val="333333"/>
                <w:sz w:val="18"/>
                <w:szCs w:val="18"/>
              </w:rPr>
              <w:t> </w:t>
            </w:r>
          </w:p>
        </w:tc>
        <w:tc>
          <w:tcPr>
            <w:tcW w:w="0" w:type="auto"/>
            <w:tcBorders>
              <w:top w:val="single" w:sz="8" w:space="0" w:color="0071C5"/>
            </w:tcBorders>
            <w:shd w:val="clear" w:color="auto" w:fill="auto"/>
            <w:tcMar>
              <w:top w:w="40" w:type="dxa"/>
              <w:bottom w:w="40" w:type="dxa"/>
              <w:right w:w="20" w:type="dxa"/>
            </w:tcMar>
            <w:vAlign w:val="bottom"/>
          </w:tcPr>
          <w:p w14:paraId="36CA1815" w14:textId="77777777" w:rsidR="00787570" w:rsidRDefault="00787570">
            <w:pPr>
              <w:jc w:val="right"/>
              <w:rPr>
                <w:rFonts w:ascii="宋体"/>
              </w:rPr>
            </w:pPr>
          </w:p>
        </w:tc>
        <w:tc>
          <w:tcPr>
            <w:tcW w:w="0" w:type="auto"/>
            <w:shd w:val="clear" w:color="auto" w:fill="auto"/>
          </w:tcPr>
          <w:p w14:paraId="36CA1816" w14:textId="77777777" w:rsidR="00787570" w:rsidRDefault="00787570">
            <w:pPr>
              <w:rPr>
                <w:rFonts w:ascii="宋体"/>
              </w:rPr>
            </w:pPr>
          </w:p>
        </w:tc>
        <w:tc>
          <w:tcPr>
            <w:tcW w:w="0" w:type="auto"/>
            <w:shd w:val="clear" w:color="auto" w:fill="auto"/>
          </w:tcPr>
          <w:p w14:paraId="36CA1817" w14:textId="77777777" w:rsidR="00787570" w:rsidRDefault="00787570">
            <w:pPr>
              <w:rPr>
                <w:rFonts w:ascii="宋体"/>
              </w:rPr>
            </w:pPr>
          </w:p>
        </w:tc>
        <w:tc>
          <w:tcPr>
            <w:tcW w:w="0" w:type="auto"/>
            <w:shd w:val="clear" w:color="auto" w:fill="auto"/>
          </w:tcPr>
          <w:p w14:paraId="36CA1818" w14:textId="77777777" w:rsidR="00787570" w:rsidRDefault="00787570">
            <w:pPr>
              <w:rPr>
                <w:rFonts w:ascii="宋体"/>
              </w:rPr>
            </w:pPr>
          </w:p>
        </w:tc>
        <w:tc>
          <w:tcPr>
            <w:tcW w:w="0" w:type="auto"/>
            <w:shd w:val="clear" w:color="auto" w:fill="auto"/>
          </w:tcPr>
          <w:p w14:paraId="36CA1819" w14:textId="77777777" w:rsidR="00787570" w:rsidRDefault="00787570">
            <w:pPr>
              <w:rPr>
                <w:rFonts w:ascii="宋体"/>
              </w:rPr>
            </w:pPr>
          </w:p>
        </w:tc>
        <w:tc>
          <w:tcPr>
            <w:tcW w:w="0" w:type="auto"/>
            <w:shd w:val="clear" w:color="auto" w:fill="auto"/>
          </w:tcPr>
          <w:p w14:paraId="36CA181A" w14:textId="77777777" w:rsidR="00787570" w:rsidRDefault="00787570">
            <w:pPr>
              <w:rPr>
                <w:rFonts w:ascii="宋体"/>
              </w:rPr>
            </w:pPr>
          </w:p>
        </w:tc>
        <w:tc>
          <w:tcPr>
            <w:tcW w:w="0" w:type="auto"/>
            <w:shd w:val="clear" w:color="auto" w:fill="auto"/>
          </w:tcPr>
          <w:p w14:paraId="36CA181B" w14:textId="77777777" w:rsidR="00787570" w:rsidRDefault="00787570">
            <w:pPr>
              <w:rPr>
                <w:rFonts w:ascii="宋体"/>
              </w:rPr>
            </w:pPr>
          </w:p>
        </w:tc>
        <w:tc>
          <w:tcPr>
            <w:tcW w:w="0" w:type="auto"/>
            <w:shd w:val="clear" w:color="auto" w:fill="auto"/>
          </w:tcPr>
          <w:p w14:paraId="36CA181C" w14:textId="77777777" w:rsidR="00787570" w:rsidRDefault="00787570">
            <w:pPr>
              <w:rPr>
                <w:rFonts w:ascii="宋体"/>
              </w:rPr>
            </w:pPr>
          </w:p>
        </w:tc>
        <w:tc>
          <w:tcPr>
            <w:tcW w:w="0" w:type="auto"/>
            <w:shd w:val="clear" w:color="auto" w:fill="auto"/>
          </w:tcPr>
          <w:p w14:paraId="36CA181D" w14:textId="77777777" w:rsidR="00787570" w:rsidRDefault="00787570">
            <w:pPr>
              <w:rPr>
                <w:rFonts w:ascii="宋体"/>
              </w:rPr>
            </w:pPr>
          </w:p>
        </w:tc>
        <w:tc>
          <w:tcPr>
            <w:tcW w:w="0" w:type="auto"/>
            <w:shd w:val="clear" w:color="auto" w:fill="auto"/>
          </w:tcPr>
          <w:p w14:paraId="36CA181E" w14:textId="77777777" w:rsidR="00787570" w:rsidRDefault="00787570">
            <w:pPr>
              <w:rPr>
                <w:rFonts w:ascii="宋体"/>
              </w:rPr>
            </w:pPr>
          </w:p>
        </w:tc>
        <w:tc>
          <w:tcPr>
            <w:tcW w:w="0" w:type="auto"/>
            <w:shd w:val="clear" w:color="auto" w:fill="auto"/>
          </w:tcPr>
          <w:p w14:paraId="36CA181F" w14:textId="77777777" w:rsidR="00787570" w:rsidRDefault="00787570">
            <w:pPr>
              <w:rPr>
                <w:rFonts w:ascii="宋体"/>
              </w:rPr>
            </w:pPr>
          </w:p>
        </w:tc>
        <w:tc>
          <w:tcPr>
            <w:tcW w:w="0" w:type="auto"/>
            <w:shd w:val="clear" w:color="auto" w:fill="auto"/>
          </w:tcPr>
          <w:p w14:paraId="36CA1820" w14:textId="77777777" w:rsidR="00787570" w:rsidRDefault="00787570">
            <w:pPr>
              <w:rPr>
                <w:rFonts w:ascii="宋体"/>
              </w:rPr>
            </w:pPr>
          </w:p>
        </w:tc>
        <w:tc>
          <w:tcPr>
            <w:tcW w:w="0" w:type="auto"/>
            <w:shd w:val="clear" w:color="auto" w:fill="auto"/>
          </w:tcPr>
          <w:p w14:paraId="36CA1821" w14:textId="77777777" w:rsidR="00787570" w:rsidRDefault="00787570">
            <w:pPr>
              <w:rPr>
                <w:rFonts w:ascii="宋体"/>
              </w:rPr>
            </w:pPr>
          </w:p>
        </w:tc>
      </w:tr>
      <w:tr w:rsidR="00787570" w14:paraId="36CA183C" w14:textId="77777777">
        <w:tc>
          <w:tcPr>
            <w:tcW w:w="0" w:type="auto"/>
            <w:gridSpan w:val="3"/>
            <w:shd w:val="clear" w:color="auto" w:fill="auto"/>
            <w:tcMar>
              <w:top w:w="40" w:type="dxa"/>
              <w:left w:w="20" w:type="dxa"/>
              <w:bottom w:w="40" w:type="dxa"/>
              <w:right w:w="20" w:type="dxa"/>
            </w:tcMar>
          </w:tcPr>
          <w:p w14:paraId="36CA1823" w14:textId="77777777" w:rsidR="00787570" w:rsidRDefault="000D56E2">
            <w:pPr>
              <w:ind w:hanging="180"/>
              <w:textAlignment w:val="top"/>
            </w:pPr>
            <w:r>
              <w:rPr>
                <w:rFonts w:ascii="Arial" w:eastAsia="宋体" w:hAnsi="Arial" w:cs="Arial"/>
                <w:color w:val="333333"/>
                <w:sz w:val="18"/>
                <w:szCs w:val="18"/>
              </w:rPr>
              <w:t>Cost of sales</w:t>
            </w:r>
          </w:p>
        </w:tc>
        <w:tc>
          <w:tcPr>
            <w:tcW w:w="0" w:type="auto"/>
            <w:gridSpan w:val="3"/>
            <w:shd w:val="clear" w:color="auto" w:fill="auto"/>
            <w:tcMar>
              <w:left w:w="20" w:type="dxa"/>
              <w:right w:w="20" w:type="dxa"/>
            </w:tcMar>
            <w:vAlign w:val="bottom"/>
          </w:tcPr>
          <w:p w14:paraId="36CA1824"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1825" w14:textId="77777777" w:rsidR="00787570" w:rsidRDefault="000D56E2">
            <w:pPr>
              <w:jc w:val="right"/>
              <w:textAlignment w:val="bottom"/>
            </w:pPr>
            <w:r>
              <w:rPr>
                <w:rFonts w:ascii="Arial" w:eastAsia="宋体" w:hAnsi="Arial" w:cs="Arial"/>
                <w:color w:val="0071C5"/>
                <w:sz w:val="18"/>
                <w:szCs w:val="18"/>
              </w:rPr>
              <w:t>8,592 </w:t>
            </w:r>
          </w:p>
        </w:tc>
        <w:tc>
          <w:tcPr>
            <w:tcW w:w="0" w:type="auto"/>
            <w:shd w:val="clear" w:color="auto" w:fill="auto"/>
            <w:tcMar>
              <w:top w:w="40" w:type="dxa"/>
              <w:bottom w:w="40" w:type="dxa"/>
              <w:right w:w="20" w:type="dxa"/>
            </w:tcMar>
            <w:vAlign w:val="bottom"/>
          </w:tcPr>
          <w:p w14:paraId="36CA1826"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1827"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1828" w14:textId="77777777" w:rsidR="00787570" w:rsidRDefault="000D56E2">
            <w:pPr>
              <w:jc w:val="right"/>
              <w:textAlignment w:val="bottom"/>
            </w:pPr>
            <w:r>
              <w:rPr>
                <w:rFonts w:ascii="Arial" w:eastAsia="宋体" w:hAnsi="Arial" w:cs="Arial"/>
                <w:color w:val="333333"/>
                <w:sz w:val="18"/>
                <w:szCs w:val="18"/>
              </w:rPr>
              <w:t>7,895 </w:t>
            </w:r>
          </w:p>
        </w:tc>
        <w:tc>
          <w:tcPr>
            <w:tcW w:w="0" w:type="auto"/>
            <w:shd w:val="clear" w:color="auto" w:fill="auto"/>
            <w:tcMar>
              <w:top w:w="40" w:type="dxa"/>
              <w:bottom w:w="40" w:type="dxa"/>
              <w:right w:w="20" w:type="dxa"/>
            </w:tcMar>
            <w:vAlign w:val="bottom"/>
          </w:tcPr>
          <w:p w14:paraId="36CA1829"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182A"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182B" w14:textId="77777777" w:rsidR="00787570" w:rsidRDefault="000D56E2">
            <w:pPr>
              <w:jc w:val="right"/>
              <w:textAlignment w:val="bottom"/>
            </w:pPr>
            <w:r>
              <w:rPr>
                <w:rFonts w:ascii="Arial" w:eastAsia="宋体" w:hAnsi="Arial" w:cs="Arial"/>
                <w:color w:val="0071C5"/>
                <w:sz w:val="18"/>
                <w:szCs w:val="18"/>
              </w:rPr>
              <w:t>25,625 </w:t>
            </w:r>
          </w:p>
        </w:tc>
        <w:tc>
          <w:tcPr>
            <w:tcW w:w="0" w:type="auto"/>
            <w:shd w:val="clear" w:color="auto" w:fill="auto"/>
            <w:tcMar>
              <w:top w:w="40" w:type="dxa"/>
              <w:bottom w:w="40" w:type="dxa"/>
              <w:right w:w="20" w:type="dxa"/>
            </w:tcMar>
            <w:vAlign w:val="bottom"/>
          </w:tcPr>
          <w:p w14:paraId="36CA182C"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182D"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182E" w14:textId="77777777" w:rsidR="00787570" w:rsidRDefault="000D56E2">
            <w:pPr>
              <w:jc w:val="right"/>
              <w:textAlignment w:val="bottom"/>
            </w:pPr>
            <w:r>
              <w:rPr>
                <w:rFonts w:ascii="Arial" w:eastAsia="宋体" w:hAnsi="Arial" w:cs="Arial"/>
                <w:color w:val="333333"/>
                <w:sz w:val="18"/>
                <w:szCs w:val="18"/>
              </w:rPr>
              <w:t>21,494 </w:t>
            </w:r>
          </w:p>
        </w:tc>
        <w:tc>
          <w:tcPr>
            <w:tcW w:w="0" w:type="auto"/>
            <w:shd w:val="clear" w:color="auto" w:fill="auto"/>
            <w:tcMar>
              <w:top w:w="40" w:type="dxa"/>
              <w:bottom w:w="40" w:type="dxa"/>
              <w:right w:w="20" w:type="dxa"/>
            </w:tcMar>
            <w:vAlign w:val="bottom"/>
          </w:tcPr>
          <w:p w14:paraId="36CA182F" w14:textId="77777777" w:rsidR="00787570" w:rsidRDefault="00787570">
            <w:pPr>
              <w:jc w:val="right"/>
              <w:rPr>
                <w:rFonts w:ascii="宋体"/>
              </w:rPr>
            </w:pPr>
          </w:p>
        </w:tc>
        <w:tc>
          <w:tcPr>
            <w:tcW w:w="0" w:type="auto"/>
            <w:shd w:val="clear" w:color="auto" w:fill="auto"/>
          </w:tcPr>
          <w:p w14:paraId="36CA1830" w14:textId="77777777" w:rsidR="00787570" w:rsidRDefault="00787570">
            <w:pPr>
              <w:rPr>
                <w:rFonts w:ascii="宋体"/>
              </w:rPr>
            </w:pPr>
          </w:p>
        </w:tc>
        <w:tc>
          <w:tcPr>
            <w:tcW w:w="0" w:type="auto"/>
            <w:shd w:val="clear" w:color="auto" w:fill="auto"/>
          </w:tcPr>
          <w:p w14:paraId="36CA1831" w14:textId="77777777" w:rsidR="00787570" w:rsidRDefault="00787570">
            <w:pPr>
              <w:rPr>
                <w:rFonts w:ascii="宋体"/>
              </w:rPr>
            </w:pPr>
          </w:p>
        </w:tc>
        <w:tc>
          <w:tcPr>
            <w:tcW w:w="0" w:type="auto"/>
            <w:shd w:val="clear" w:color="auto" w:fill="auto"/>
          </w:tcPr>
          <w:p w14:paraId="36CA1832" w14:textId="77777777" w:rsidR="00787570" w:rsidRDefault="00787570">
            <w:pPr>
              <w:rPr>
                <w:rFonts w:ascii="宋体"/>
              </w:rPr>
            </w:pPr>
          </w:p>
        </w:tc>
        <w:tc>
          <w:tcPr>
            <w:tcW w:w="0" w:type="auto"/>
            <w:shd w:val="clear" w:color="auto" w:fill="auto"/>
          </w:tcPr>
          <w:p w14:paraId="36CA1833" w14:textId="77777777" w:rsidR="00787570" w:rsidRDefault="00787570">
            <w:pPr>
              <w:rPr>
                <w:rFonts w:ascii="宋体"/>
              </w:rPr>
            </w:pPr>
          </w:p>
        </w:tc>
        <w:tc>
          <w:tcPr>
            <w:tcW w:w="0" w:type="auto"/>
            <w:shd w:val="clear" w:color="auto" w:fill="auto"/>
          </w:tcPr>
          <w:p w14:paraId="36CA1834" w14:textId="77777777" w:rsidR="00787570" w:rsidRDefault="00787570">
            <w:pPr>
              <w:rPr>
                <w:rFonts w:ascii="宋体"/>
              </w:rPr>
            </w:pPr>
          </w:p>
        </w:tc>
        <w:tc>
          <w:tcPr>
            <w:tcW w:w="0" w:type="auto"/>
            <w:shd w:val="clear" w:color="auto" w:fill="auto"/>
          </w:tcPr>
          <w:p w14:paraId="36CA1835" w14:textId="77777777" w:rsidR="00787570" w:rsidRDefault="00787570">
            <w:pPr>
              <w:rPr>
                <w:rFonts w:ascii="宋体"/>
              </w:rPr>
            </w:pPr>
          </w:p>
        </w:tc>
        <w:tc>
          <w:tcPr>
            <w:tcW w:w="0" w:type="auto"/>
            <w:shd w:val="clear" w:color="auto" w:fill="auto"/>
          </w:tcPr>
          <w:p w14:paraId="36CA1836" w14:textId="77777777" w:rsidR="00787570" w:rsidRDefault="00787570">
            <w:pPr>
              <w:rPr>
                <w:rFonts w:ascii="宋体"/>
              </w:rPr>
            </w:pPr>
          </w:p>
        </w:tc>
        <w:tc>
          <w:tcPr>
            <w:tcW w:w="0" w:type="auto"/>
            <w:shd w:val="clear" w:color="auto" w:fill="auto"/>
          </w:tcPr>
          <w:p w14:paraId="36CA1837" w14:textId="77777777" w:rsidR="00787570" w:rsidRDefault="00787570">
            <w:pPr>
              <w:rPr>
                <w:rFonts w:ascii="宋体"/>
              </w:rPr>
            </w:pPr>
          </w:p>
        </w:tc>
        <w:tc>
          <w:tcPr>
            <w:tcW w:w="0" w:type="auto"/>
            <w:shd w:val="clear" w:color="auto" w:fill="auto"/>
          </w:tcPr>
          <w:p w14:paraId="36CA1838" w14:textId="77777777" w:rsidR="00787570" w:rsidRDefault="00787570">
            <w:pPr>
              <w:rPr>
                <w:rFonts w:ascii="宋体"/>
              </w:rPr>
            </w:pPr>
          </w:p>
        </w:tc>
        <w:tc>
          <w:tcPr>
            <w:tcW w:w="0" w:type="auto"/>
            <w:shd w:val="clear" w:color="auto" w:fill="auto"/>
          </w:tcPr>
          <w:p w14:paraId="36CA1839" w14:textId="77777777" w:rsidR="00787570" w:rsidRDefault="00787570">
            <w:pPr>
              <w:rPr>
                <w:rFonts w:ascii="宋体"/>
              </w:rPr>
            </w:pPr>
          </w:p>
        </w:tc>
        <w:tc>
          <w:tcPr>
            <w:tcW w:w="0" w:type="auto"/>
            <w:shd w:val="clear" w:color="auto" w:fill="auto"/>
          </w:tcPr>
          <w:p w14:paraId="36CA183A" w14:textId="77777777" w:rsidR="00787570" w:rsidRDefault="00787570">
            <w:pPr>
              <w:rPr>
                <w:rFonts w:ascii="宋体"/>
              </w:rPr>
            </w:pPr>
          </w:p>
        </w:tc>
        <w:tc>
          <w:tcPr>
            <w:tcW w:w="0" w:type="auto"/>
            <w:shd w:val="clear" w:color="auto" w:fill="auto"/>
          </w:tcPr>
          <w:p w14:paraId="36CA183B" w14:textId="77777777" w:rsidR="00787570" w:rsidRDefault="00787570">
            <w:pPr>
              <w:rPr>
                <w:rFonts w:ascii="宋体"/>
              </w:rPr>
            </w:pPr>
          </w:p>
        </w:tc>
      </w:tr>
      <w:tr w:rsidR="00787570" w14:paraId="36CA1856" w14:textId="77777777">
        <w:tc>
          <w:tcPr>
            <w:tcW w:w="0" w:type="auto"/>
            <w:gridSpan w:val="3"/>
            <w:shd w:val="clear" w:color="auto" w:fill="auto"/>
            <w:tcMar>
              <w:top w:w="40" w:type="dxa"/>
              <w:left w:w="20" w:type="dxa"/>
              <w:bottom w:w="40" w:type="dxa"/>
              <w:right w:w="20" w:type="dxa"/>
            </w:tcMar>
          </w:tcPr>
          <w:p w14:paraId="36CA183D" w14:textId="77777777" w:rsidR="00787570" w:rsidRDefault="000D56E2">
            <w:pPr>
              <w:ind w:hanging="180"/>
              <w:textAlignment w:val="top"/>
            </w:pPr>
            <w:r>
              <w:rPr>
                <w:rFonts w:ascii="Arial" w:eastAsia="宋体" w:hAnsi="Arial" w:cs="Arial"/>
                <w:b/>
                <w:bCs/>
                <w:color w:val="333333"/>
                <w:sz w:val="18"/>
                <w:szCs w:val="18"/>
              </w:rPr>
              <w:t>Gross margin</w:t>
            </w:r>
          </w:p>
        </w:tc>
        <w:tc>
          <w:tcPr>
            <w:tcW w:w="0" w:type="auto"/>
            <w:gridSpan w:val="3"/>
            <w:shd w:val="clear" w:color="auto" w:fill="auto"/>
            <w:tcMar>
              <w:left w:w="20" w:type="dxa"/>
              <w:right w:w="20" w:type="dxa"/>
            </w:tcMar>
            <w:vAlign w:val="bottom"/>
          </w:tcPr>
          <w:p w14:paraId="36CA183E" w14:textId="77777777" w:rsidR="00787570" w:rsidRDefault="00787570">
            <w:pPr>
              <w:rPr>
                <w:rFonts w:ascii="宋体"/>
              </w:rPr>
            </w:pPr>
          </w:p>
        </w:tc>
        <w:tc>
          <w:tcPr>
            <w:tcW w:w="0" w:type="auto"/>
            <w:gridSpan w:val="2"/>
            <w:tcBorders>
              <w:top w:val="single" w:sz="8" w:space="0" w:color="333333"/>
            </w:tcBorders>
            <w:shd w:val="clear" w:color="auto" w:fill="auto"/>
            <w:tcMar>
              <w:top w:w="40" w:type="dxa"/>
              <w:left w:w="20" w:type="dxa"/>
              <w:bottom w:w="40" w:type="dxa"/>
              <w:right w:w="0" w:type="dxa"/>
            </w:tcMar>
            <w:vAlign w:val="bottom"/>
          </w:tcPr>
          <w:p w14:paraId="36CA183F" w14:textId="77777777" w:rsidR="00787570" w:rsidRDefault="000D56E2">
            <w:pPr>
              <w:jc w:val="right"/>
              <w:textAlignment w:val="bottom"/>
            </w:pPr>
            <w:r>
              <w:rPr>
                <w:rFonts w:ascii="Arial" w:eastAsia="宋体" w:hAnsi="Arial" w:cs="Arial"/>
                <w:b/>
                <w:bCs/>
                <w:color w:val="0071C5"/>
                <w:sz w:val="18"/>
                <w:szCs w:val="18"/>
              </w:rPr>
              <w:t>9,741</w:t>
            </w:r>
            <w:r>
              <w:rPr>
                <w:rFonts w:ascii="Arial" w:eastAsia="宋体" w:hAnsi="Arial" w:cs="Arial"/>
                <w:color w:val="0071C5"/>
                <w:sz w:val="18"/>
                <w:szCs w:val="18"/>
              </w:rPr>
              <w:t> </w:t>
            </w:r>
          </w:p>
        </w:tc>
        <w:tc>
          <w:tcPr>
            <w:tcW w:w="0" w:type="auto"/>
            <w:tcBorders>
              <w:top w:val="single" w:sz="8" w:space="0" w:color="333333"/>
            </w:tcBorders>
            <w:shd w:val="clear" w:color="auto" w:fill="auto"/>
            <w:tcMar>
              <w:top w:w="40" w:type="dxa"/>
              <w:bottom w:w="40" w:type="dxa"/>
              <w:right w:w="20" w:type="dxa"/>
            </w:tcMar>
            <w:vAlign w:val="bottom"/>
          </w:tcPr>
          <w:p w14:paraId="36CA1840"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1841" w14:textId="77777777" w:rsidR="00787570" w:rsidRDefault="00787570">
            <w:pPr>
              <w:rPr>
                <w:rFonts w:ascii="宋体"/>
              </w:rPr>
            </w:pPr>
          </w:p>
        </w:tc>
        <w:tc>
          <w:tcPr>
            <w:tcW w:w="0" w:type="auto"/>
            <w:gridSpan w:val="2"/>
            <w:tcBorders>
              <w:top w:val="single" w:sz="8" w:space="0" w:color="333333"/>
            </w:tcBorders>
            <w:shd w:val="clear" w:color="auto" w:fill="auto"/>
            <w:tcMar>
              <w:top w:w="40" w:type="dxa"/>
              <w:left w:w="20" w:type="dxa"/>
              <w:bottom w:w="40" w:type="dxa"/>
              <w:right w:w="0" w:type="dxa"/>
            </w:tcMar>
            <w:vAlign w:val="bottom"/>
          </w:tcPr>
          <w:p w14:paraId="36CA1842" w14:textId="77777777" w:rsidR="00787570" w:rsidRDefault="000D56E2">
            <w:pPr>
              <w:jc w:val="right"/>
              <w:textAlignment w:val="bottom"/>
            </w:pPr>
            <w:r>
              <w:rPr>
                <w:rFonts w:ascii="Arial" w:eastAsia="宋体" w:hAnsi="Arial" w:cs="Arial"/>
                <w:b/>
                <w:bCs/>
                <w:color w:val="333333"/>
                <w:sz w:val="18"/>
                <w:szCs w:val="18"/>
              </w:rPr>
              <w:t>11,295</w:t>
            </w:r>
            <w:r>
              <w:rPr>
                <w:rFonts w:ascii="Arial" w:eastAsia="宋体" w:hAnsi="Arial" w:cs="Arial"/>
                <w:color w:val="333333"/>
                <w:sz w:val="18"/>
                <w:szCs w:val="18"/>
              </w:rPr>
              <w:t> </w:t>
            </w:r>
          </w:p>
        </w:tc>
        <w:tc>
          <w:tcPr>
            <w:tcW w:w="0" w:type="auto"/>
            <w:tcBorders>
              <w:top w:val="single" w:sz="8" w:space="0" w:color="333333"/>
            </w:tcBorders>
            <w:shd w:val="clear" w:color="auto" w:fill="auto"/>
            <w:tcMar>
              <w:top w:w="40" w:type="dxa"/>
              <w:bottom w:w="40" w:type="dxa"/>
              <w:right w:w="20" w:type="dxa"/>
            </w:tcMar>
            <w:vAlign w:val="bottom"/>
          </w:tcPr>
          <w:p w14:paraId="36CA1843"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1844" w14:textId="77777777" w:rsidR="00787570" w:rsidRDefault="00787570">
            <w:pPr>
              <w:rPr>
                <w:rFonts w:ascii="宋体"/>
              </w:rPr>
            </w:pPr>
          </w:p>
        </w:tc>
        <w:tc>
          <w:tcPr>
            <w:tcW w:w="0" w:type="auto"/>
            <w:gridSpan w:val="2"/>
            <w:tcBorders>
              <w:top w:val="single" w:sz="8" w:space="0" w:color="333333"/>
            </w:tcBorders>
            <w:shd w:val="clear" w:color="auto" w:fill="auto"/>
            <w:tcMar>
              <w:top w:w="40" w:type="dxa"/>
              <w:left w:w="20" w:type="dxa"/>
              <w:bottom w:w="40" w:type="dxa"/>
              <w:right w:w="0" w:type="dxa"/>
            </w:tcMar>
            <w:vAlign w:val="bottom"/>
          </w:tcPr>
          <w:p w14:paraId="36CA1845" w14:textId="77777777" w:rsidR="00787570" w:rsidRDefault="000D56E2">
            <w:pPr>
              <w:jc w:val="right"/>
              <w:textAlignment w:val="bottom"/>
            </w:pPr>
            <w:r>
              <w:rPr>
                <w:rFonts w:ascii="Arial" w:eastAsia="宋体" w:hAnsi="Arial" w:cs="Arial"/>
                <w:b/>
                <w:bCs/>
                <w:color w:val="0071C5"/>
                <w:sz w:val="18"/>
                <w:szCs w:val="18"/>
              </w:rPr>
              <w:t>32,264</w:t>
            </w:r>
            <w:r>
              <w:rPr>
                <w:rFonts w:ascii="Arial" w:eastAsia="宋体" w:hAnsi="Arial" w:cs="Arial"/>
                <w:color w:val="0071C5"/>
                <w:sz w:val="18"/>
                <w:szCs w:val="18"/>
              </w:rPr>
              <w:t> </w:t>
            </w:r>
          </w:p>
        </w:tc>
        <w:tc>
          <w:tcPr>
            <w:tcW w:w="0" w:type="auto"/>
            <w:tcBorders>
              <w:top w:val="single" w:sz="8" w:space="0" w:color="333333"/>
            </w:tcBorders>
            <w:shd w:val="clear" w:color="auto" w:fill="auto"/>
            <w:tcMar>
              <w:top w:w="40" w:type="dxa"/>
              <w:bottom w:w="40" w:type="dxa"/>
              <w:right w:w="20" w:type="dxa"/>
            </w:tcMar>
            <w:vAlign w:val="bottom"/>
          </w:tcPr>
          <w:p w14:paraId="36CA1846"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1847" w14:textId="77777777" w:rsidR="00787570" w:rsidRDefault="00787570">
            <w:pPr>
              <w:rPr>
                <w:rFonts w:ascii="宋体"/>
              </w:rPr>
            </w:pPr>
          </w:p>
        </w:tc>
        <w:tc>
          <w:tcPr>
            <w:tcW w:w="0" w:type="auto"/>
            <w:gridSpan w:val="2"/>
            <w:tcBorders>
              <w:top w:val="single" w:sz="8" w:space="0" w:color="333333"/>
            </w:tcBorders>
            <w:shd w:val="clear" w:color="auto" w:fill="auto"/>
            <w:tcMar>
              <w:top w:w="40" w:type="dxa"/>
              <w:left w:w="20" w:type="dxa"/>
              <w:bottom w:w="40" w:type="dxa"/>
              <w:right w:w="0" w:type="dxa"/>
            </w:tcMar>
            <w:vAlign w:val="bottom"/>
          </w:tcPr>
          <w:p w14:paraId="36CA1848" w14:textId="77777777" w:rsidR="00787570" w:rsidRDefault="000D56E2">
            <w:pPr>
              <w:jc w:val="right"/>
              <w:textAlignment w:val="bottom"/>
            </w:pPr>
            <w:r>
              <w:rPr>
                <w:rFonts w:ascii="Arial" w:eastAsia="宋体" w:hAnsi="Arial" w:cs="Arial"/>
                <w:b/>
                <w:bCs/>
                <w:color w:val="333333"/>
                <w:sz w:val="18"/>
                <w:szCs w:val="18"/>
              </w:rPr>
              <w:t>30,262</w:t>
            </w:r>
            <w:r>
              <w:rPr>
                <w:rFonts w:ascii="Arial" w:eastAsia="宋体" w:hAnsi="Arial" w:cs="Arial"/>
                <w:color w:val="333333"/>
                <w:sz w:val="18"/>
                <w:szCs w:val="18"/>
              </w:rPr>
              <w:t> </w:t>
            </w:r>
          </w:p>
        </w:tc>
        <w:tc>
          <w:tcPr>
            <w:tcW w:w="0" w:type="auto"/>
            <w:tcBorders>
              <w:top w:val="single" w:sz="8" w:space="0" w:color="333333"/>
            </w:tcBorders>
            <w:shd w:val="clear" w:color="auto" w:fill="auto"/>
            <w:tcMar>
              <w:top w:w="40" w:type="dxa"/>
              <w:bottom w:w="40" w:type="dxa"/>
              <w:right w:w="20" w:type="dxa"/>
            </w:tcMar>
            <w:vAlign w:val="bottom"/>
          </w:tcPr>
          <w:p w14:paraId="36CA1849" w14:textId="77777777" w:rsidR="00787570" w:rsidRDefault="00787570">
            <w:pPr>
              <w:jc w:val="right"/>
              <w:rPr>
                <w:rFonts w:ascii="宋体"/>
              </w:rPr>
            </w:pPr>
          </w:p>
        </w:tc>
        <w:tc>
          <w:tcPr>
            <w:tcW w:w="0" w:type="auto"/>
            <w:shd w:val="clear" w:color="auto" w:fill="auto"/>
          </w:tcPr>
          <w:p w14:paraId="36CA184A" w14:textId="77777777" w:rsidR="00787570" w:rsidRDefault="00787570">
            <w:pPr>
              <w:rPr>
                <w:rFonts w:ascii="宋体"/>
              </w:rPr>
            </w:pPr>
          </w:p>
        </w:tc>
        <w:tc>
          <w:tcPr>
            <w:tcW w:w="0" w:type="auto"/>
            <w:shd w:val="clear" w:color="auto" w:fill="auto"/>
          </w:tcPr>
          <w:p w14:paraId="36CA184B" w14:textId="77777777" w:rsidR="00787570" w:rsidRDefault="00787570">
            <w:pPr>
              <w:rPr>
                <w:rFonts w:ascii="宋体"/>
              </w:rPr>
            </w:pPr>
          </w:p>
        </w:tc>
        <w:tc>
          <w:tcPr>
            <w:tcW w:w="0" w:type="auto"/>
            <w:shd w:val="clear" w:color="auto" w:fill="auto"/>
          </w:tcPr>
          <w:p w14:paraId="36CA184C" w14:textId="77777777" w:rsidR="00787570" w:rsidRDefault="00787570">
            <w:pPr>
              <w:rPr>
                <w:rFonts w:ascii="宋体"/>
              </w:rPr>
            </w:pPr>
          </w:p>
        </w:tc>
        <w:tc>
          <w:tcPr>
            <w:tcW w:w="0" w:type="auto"/>
            <w:shd w:val="clear" w:color="auto" w:fill="auto"/>
          </w:tcPr>
          <w:p w14:paraId="36CA184D" w14:textId="77777777" w:rsidR="00787570" w:rsidRDefault="00787570">
            <w:pPr>
              <w:rPr>
                <w:rFonts w:ascii="宋体"/>
              </w:rPr>
            </w:pPr>
          </w:p>
        </w:tc>
        <w:tc>
          <w:tcPr>
            <w:tcW w:w="0" w:type="auto"/>
            <w:shd w:val="clear" w:color="auto" w:fill="auto"/>
          </w:tcPr>
          <w:p w14:paraId="36CA184E" w14:textId="77777777" w:rsidR="00787570" w:rsidRDefault="00787570">
            <w:pPr>
              <w:rPr>
                <w:rFonts w:ascii="宋体"/>
              </w:rPr>
            </w:pPr>
          </w:p>
        </w:tc>
        <w:tc>
          <w:tcPr>
            <w:tcW w:w="0" w:type="auto"/>
            <w:shd w:val="clear" w:color="auto" w:fill="auto"/>
          </w:tcPr>
          <w:p w14:paraId="36CA184F" w14:textId="77777777" w:rsidR="00787570" w:rsidRDefault="00787570">
            <w:pPr>
              <w:rPr>
                <w:rFonts w:ascii="宋体"/>
              </w:rPr>
            </w:pPr>
          </w:p>
        </w:tc>
        <w:tc>
          <w:tcPr>
            <w:tcW w:w="0" w:type="auto"/>
            <w:shd w:val="clear" w:color="auto" w:fill="auto"/>
          </w:tcPr>
          <w:p w14:paraId="36CA1850" w14:textId="77777777" w:rsidR="00787570" w:rsidRDefault="00787570">
            <w:pPr>
              <w:rPr>
                <w:rFonts w:ascii="宋体"/>
              </w:rPr>
            </w:pPr>
          </w:p>
        </w:tc>
        <w:tc>
          <w:tcPr>
            <w:tcW w:w="0" w:type="auto"/>
            <w:shd w:val="clear" w:color="auto" w:fill="auto"/>
          </w:tcPr>
          <w:p w14:paraId="36CA1851" w14:textId="77777777" w:rsidR="00787570" w:rsidRDefault="00787570">
            <w:pPr>
              <w:rPr>
                <w:rFonts w:ascii="宋体"/>
              </w:rPr>
            </w:pPr>
          </w:p>
        </w:tc>
        <w:tc>
          <w:tcPr>
            <w:tcW w:w="0" w:type="auto"/>
            <w:shd w:val="clear" w:color="auto" w:fill="auto"/>
          </w:tcPr>
          <w:p w14:paraId="36CA1852" w14:textId="77777777" w:rsidR="00787570" w:rsidRDefault="00787570">
            <w:pPr>
              <w:rPr>
                <w:rFonts w:ascii="宋体"/>
              </w:rPr>
            </w:pPr>
          </w:p>
        </w:tc>
        <w:tc>
          <w:tcPr>
            <w:tcW w:w="0" w:type="auto"/>
            <w:shd w:val="clear" w:color="auto" w:fill="auto"/>
          </w:tcPr>
          <w:p w14:paraId="36CA1853" w14:textId="77777777" w:rsidR="00787570" w:rsidRDefault="00787570">
            <w:pPr>
              <w:rPr>
                <w:rFonts w:ascii="宋体"/>
              </w:rPr>
            </w:pPr>
          </w:p>
        </w:tc>
        <w:tc>
          <w:tcPr>
            <w:tcW w:w="0" w:type="auto"/>
            <w:shd w:val="clear" w:color="auto" w:fill="auto"/>
          </w:tcPr>
          <w:p w14:paraId="36CA1854" w14:textId="77777777" w:rsidR="00787570" w:rsidRDefault="00787570">
            <w:pPr>
              <w:rPr>
                <w:rFonts w:ascii="宋体"/>
              </w:rPr>
            </w:pPr>
          </w:p>
        </w:tc>
        <w:tc>
          <w:tcPr>
            <w:tcW w:w="0" w:type="auto"/>
            <w:shd w:val="clear" w:color="auto" w:fill="auto"/>
          </w:tcPr>
          <w:p w14:paraId="36CA1855" w14:textId="77777777" w:rsidR="00787570" w:rsidRDefault="00787570">
            <w:pPr>
              <w:rPr>
                <w:rFonts w:ascii="宋体"/>
              </w:rPr>
            </w:pPr>
          </w:p>
        </w:tc>
      </w:tr>
      <w:tr w:rsidR="00787570" w14:paraId="36CA1870" w14:textId="77777777">
        <w:tc>
          <w:tcPr>
            <w:tcW w:w="0" w:type="auto"/>
            <w:gridSpan w:val="3"/>
            <w:shd w:val="clear" w:color="auto" w:fill="auto"/>
            <w:tcMar>
              <w:top w:w="40" w:type="dxa"/>
              <w:left w:w="20" w:type="dxa"/>
              <w:bottom w:w="40" w:type="dxa"/>
              <w:right w:w="20" w:type="dxa"/>
            </w:tcMar>
          </w:tcPr>
          <w:p w14:paraId="36CA1857" w14:textId="77777777" w:rsidR="00787570" w:rsidRDefault="000D56E2">
            <w:pPr>
              <w:ind w:hanging="180"/>
              <w:textAlignment w:val="top"/>
            </w:pPr>
            <w:r>
              <w:rPr>
                <w:rFonts w:ascii="Arial" w:eastAsia="宋体" w:hAnsi="Arial" w:cs="Arial"/>
                <w:color w:val="333333"/>
                <w:sz w:val="18"/>
                <w:szCs w:val="18"/>
              </w:rPr>
              <w:t>Research and development</w:t>
            </w:r>
          </w:p>
        </w:tc>
        <w:tc>
          <w:tcPr>
            <w:tcW w:w="0" w:type="auto"/>
            <w:gridSpan w:val="3"/>
            <w:shd w:val="clear" w:color="auto" w:fill="auto"/>
            <w:tcMar>
              <w:left w:w="20" w:type="dxa"/>
              <w:right w:w="20" w:type="dxa"/>
            </w:tcMar>
            <w:vAlign w:val="bottom"/>
          </w:tcPr>
          <w:p w14:paraId="36CA1858" w14:textId="77777777" w:rsidR="00787570" w:rsidRDefault="00787570">
            <w:pPr>
              <w:rPr>
                <w:rFonts w:ascii="宋体"/>
              </w:rPr>
            </w:pPr>
          </w:p>
        </w:tc>
        <w:tc>
          <w:tcPr>
            <w:tcW w:w="0" w:type="auto"/>
            <w:gridSpan w:val="2"/>
            <w:tcBorders>
              <w:top w:val="single" w:sz="8" w:space="0" w:color="333333"/>
            </w:tcBorders>
            <w:shd w:val="clear" w:color="auto" w:fill="auto"/>
            <w:tcMar>
              <w:top w:w="40" w:type="dxa"/>
              <w:left w:w="20" w:type="dxa"/>
              <w:bottom w:w="40" w:type="dxa"/>
              <w:right w:w="0" w:type="dxa"/>
            </w:tcMar>
            <w:vAlign w:val="bottom"/>
          </w:tcPr>
          <w:p w14:paraId="36CA1859" w14:textId="77777777" w:rsidR="00787570" w:rsidRDefault="000D56E2">
            <w:pPr>
              <w:jc w:val="right"/>
              <w:textAlignment w:val="bottom"/>
            </w:pPr>
            <w:r>
              <w:rPr>
                <w:rFonts w:ascii="Arial" w:eastAsia="宋体" w:hAnsi="Arial" w:cs="Arial"/>
                <w:color w:val="0071C5"/>
                <w:sz w:val="18"/>
                <w:szCs w:val="18"/>
              </w:rPr>
              <w:t>3,272 </w:t>
            </w:r>
          </w:p>
        </w:tc>
        <w:tc>
          <w:tcPr>
            <w:tcW w:w="0" w:type="auto"/>
            <w:tcBorders>
              <w:top w:val="single" w:sz="8" w:space="0" w:color="333333"/>
            </w:tcBorders>
            <w:shd w:val="clear" w:color="auto" w:fill="auto"/>
            <w:tcMar>
              <w:top w:w="40" w:type="dxa"/>
              <w:bottom w:w="40" w:type="dxa"/>
              <w:right w:w="20" w:type="dxa"/>
            </w:tcMar>
            <w:vAlign w:val="bottom"/>
          </w:tcPr>
          <w:p w14:paraId="36CA185A"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185B" w14:textId="77777777" w:rsidR="00787570" w:rsidRDefault="00787570">
            <w:pPr>
              <w:rPr>
                <w:rFonts w:ascii="宋体"/>
              </w:rPr>
            </w:pPr>
          </w:p>
        </w:tc>
        <w:tc>
          <w:tcPr>
            <w:tcW w:w="0" w:type="auto"/>
            <w:gridSpan w:val="2"/>
            <w:tcBorders>
              <w:top w:val="single" w:sz="8" w:space="0" w:color="333333"/>
            </w:tcBorders>
            <w:shd w:val="clear" w:color="auto" w:fill="auto"/>
            <w:tcMar>
              <w:top w:w="40" w:type="dxa"/>
              <w:left w:w="20" w:type="dxa"/>
              <w:bottom w:w="40" w:type="dxa"/>
              <w:right w:w="0" w:type="dxa"/>
            </w:tcMar>
            <w:vAlign w:val="bottom"/>
          </w:tcPr>
          <w:p w14:paraId="36CA185C" w14:textId="77777777" w:rsidR="00787570" w:rsidRDefault="000D56E2">
            <w:pPr>
              <w:jc w:val="right"/>
              <w:textAlignment w:val="bottom"/>
            </w:pPr>
            <w:r>
              <w:rPr>
                <w:rFonts w:ascii="Arial" w:eastAsia="宋体" w:hAnsi="Arial" w:cs="Arial"/>
                <w:color w:val="333333"/>
                <w:sz w:val="18"/>
                <w:szCs w:val="18"/>
              </w:rPr>
              <w:t>3,208 </w:t>
            </w:r>
          </w:p>
        </w:tc>
        <w:tc>
          <w:tcPr>
            <w:tcW w:w="0" w:type="auto"/>
            <w:tcBorders>
              <w:top w:val="single" w:sz="8" w:space="0" w:color="333333"/>
            </w:tcBorders>
            <w:shd w:val="clear" w:color="auto" w:fill="auto"/>
            <w:tcMar>
              <w:top w:w="40" w:type="dxa"/>
              <w:bottom w:w="40" w:type="dxa"/>
              <w:right w:w="20" w:type="dxa"/>
            </w:tcMar>
            <w:vAlign w:val="bottom"/>
          </w:tcPr>
          <w:p w14:paraId="36CA185D"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185E" w14:textId="77777777" w:rsidR="00787570" w:rsidRDefault="00787570">
            <w:pPr>
              <w:rPr>
                <w:rFonts w:ascii="宋体"/>
              </w:rPr>
            </w:pPr>
          </w:p>
        </w:tc>
        <w:tc>
          <w:tcPr>
            <w:tcW w:w="0" w:type="auto"/>
            <w:gridSpan w:val="2"/>
            <w:tcBorders>
              <w:top w:val="single" w:sz="8" w:space="0" w:color="333333"/>
            </w:tcBorders>
            <w:shd w:val="clear" w:color="auto" w:fill="auto"/>
            <w:tcMar>
              <w:top w:w="40" w:type="dxa"/>
              <w:left w:w="20" w:type="dxa"/>
              <w:bottom w:w="40" w:type="dxa"/>
              <w:right w:w="0" w:type="dxa"/>
            </w:tcMar>
            <w:vAlign w:val="bottom"/>
          </w:tcPr>
          <w:p w14:paraId="36CA185F" w14:textId="77777777" w:rsidR="00787570" w:rsidRDefault="000D56E2">
            <w:pPr>
              <w:jc w:val="right"/>
              <w:textAlignment w:val="bottom"/>
            </w:pPr>
            <w:r>
              <w:rPr>
                <w:rFonts w:ascii="Arial" w:eastAsia="宋体" w:hAnsi="Arial" w:cs="Arial"/>
                <w:color w:val="0071C5"/>
                <w:sz w:val="18"/>
                <w:szCs w:val="18"/>
              </w:rPr>
              <w:t>9,901 </w:t>
            </w:r>
          </w:p>
        </w:tc>
        <w:tc>
          <w:tcPr>
            <w:tcW w:w="0" w:type="auto"/>
            <w:tcBorders>
              <w:top w:val="single" w:sz="8" w:space="0" w:color="333333"/>
            </w:tcBorders>
            <w:shd w:val="clear" w:color="auto" w:fill="auto"/>
            <w:tcMar>
              <w:top w:w="40" w:type="dxa"/>
              <w:bottom w:w="40" w:type="dxa"/>
              <w:right w:w="20" w:type="dxa"/>
            </w:tcMar>
            <w:vAlign w:val="bottom"/>
          </w:tcPr>
          <w:p w14:paraId="36CA1860"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1861" w14:textId="77777777" w:rsidR="00787570" w:rsidRDefault="00787570">
            <w:pPr>
              <w:rPr>
                <w:rFonts w:ascii="宋体"/>
              </w:rPr>
            </w:pPr>
          </w:p>
        </w:tc>
        <w:tc>
          <w:tcPr>
            <w:tcW w:w="0" w:type="auto"/>
            <w:gridSpan w:val="2"/>
            <w:tcBorders>
              <w:top w:val="single" w:sz="8" w:space="0" w:color="333333"/>
            </w:tcBorders>
            <w:shd w:val="clear" w:color="auto" w:fill="auto"/>
            <w:tcMar>
              <w:top w:w="40" w:type="dxa"/>
              <w:left w:w="20" w:type="dxa"/>
              <w:bottom w:w="40" w:type="dxa"/>
              <w:right w:w="0" w:type="dxa"/>
            </w:tcMar>
            <w:vAlign w:val="bottom"/>
          </w:tcPr>
          <w:p w14:paraId="36CA1862" w14:textId="77777777" w:rsidR="00787570" w:rsidRDefault="000D56E2">
            <w:pPr>
              <w:jc w:val="right"/>
              <w:textAlignment w:val="bottom"/>
            </w:pPr>
            <w:r>
              <w:rPr>
                <w:rFonts w:ascii="Arial" w:eastAsia="宋体" w:hAnsi="Arial" w:cs="Arial"/>
                <w:color w:val="333333"/>
                <w:sz w:val="18"/>
                <w:szCs w:val="18"/>
              </w:rPr>
              <w:t>9,978 </w:t>
            </w:r>
          </w:p>
        </w:tc>
        <w:tc>
          <w:tcPr>
            <w:tcW w:w="0" w:type="auto"/>
            <w:tcBorders>
              <w:top w:val="single" w:sz="8" w:space="0" w:color="333333"/>
            </w:tcBorders>
            <w:shd w:val="clear" w:color="auto" w:fill="auto"/>
            <w:tcMar>
              <w:top w:w="40" w:type="dxa"/>
              <w:bottom w:w="40" w:type="dxa"/>
              <w:right w:w="20" w:type="dxa"/>
            </w:tcMar>
            <w:vAlign w:val="bottom"/>
          </w:tcPr>
          <w:p w14:paraId="36CA1863" w14:textId="77777777" w:rsidR="00787570" w:rsidRDefault="00787570">
            <w:pPr>
              <w:jc w:val="right"/>
              <w:rPr>
                <w:rFonts w:ascii="宋体"/>
              </w:rPr>
            </w:pPr>
          </w:p>
        </w:tc>
        <w:tc>
          <w:tcPr>
            <w:tcW w:w="0" w:type="auto"/>
            <w:shd w:val="clear" w:color="auto" w:fill="auto"/>
          </w:tcPr>
          <w:p w14:paraId="36CA1864" w14:textId="77777777" w:rsidR="00787570" w:rsidRDefault="00787570">
            <w:pPr>
              <w:rPr>
                <w:rFonts w:ascii="宋体"/>
              </w:rPr>
            </w:pPr>
          </w:p>
        </w:tc>
        <w:tc>
          <w:tcPr>
            <w:tcW w:w="0" w:type="auto"/>
            <w:shd w:val="clear" w:color="auto" w:fill="auto"/>
          </w:tcPr>
          <w:p w14:paraId="36CA1865" w14:textId="77777777" w:rsidR="00787570" w:rsidRDefault="00787570">
            <w:pPr>
              <w:rPr>
                <w:rFonts w:ascii="宋体"/>
              </w:rPr>
            </w:pPr>
          </w:p>
        </w:tc>
        <w:tc>
          <w:tcPr>
            <w:tcW w:w="0" w:type="auto"/>
            <w:shd w:val="clear" w:color="auto" w:fill="auto"/>
          </w:tcPr>
          <w:p w14:paraId="36CA1866" w14:textId="77777777" w:rsidR="00787570" w:rsidRDefault="00787570">
            <w:pPr>
              <w:rPr>
                <w:rFonts w:ascii="宋体"/>
              </w:rPr>
            </w:pPr>
          </w:p>
        </w:tc>
        <w:tc>
          <w:tcPr>
            <w:tcW w:w="0" w:type="auto"/>
            <w:shd w:val="clear" w:color="auto" w:fill="auto"/>
          </w:tcPr>
          <w:p w14:paraId="36CA1867" w14:textId="77777777" w:rsidR="00787570" w:rsidRDefault="00787570">
            <w:pPr>
              <w:rPr>
                <w:rFonts w:ascii="宋体"/>
              </w:rPr>
            </w:pPr>
          </w:p>
        </w:tc>
        <w:tc>
          <w:tcPr>
            <w:tcW w:w="0" w:type="auto"/>
            <w:shd w:val="clear" w:color="auto" w:fill="auto"/>
          </w:tcPr>
          <w:p w14:paraId="36CA1868" w14:textId="77777777" w:rsidR="00787570" w:rsidRDefault="00787570">
            <w:pPr>
              <w:rPr>
                <w:rFonts w:ascii="宋体"/>
              </w:rPr>
            </w:pPr>
          </w:p>
        </w:tc>
        <w:tc>
          <w:tcPr>
            <w:tcW w:w="0" w:type="auto"/>
            <w:shd w:val="clear" w:color="auto" w:fill="auto"/>
          </w:tcPr>
          <w:p w14:paraId="36CA1869" w14:textId="77777777" w:rsidR="00787570" w:rsidRDefault="00787570">
            <w:pPr>
              <w:rPr>
                <w:rFonts w:ascii="宋体"/>
              </w:rPr>
            </w:pPr>
          </w:p>
        </w:tc>
        <w:tc>
          <w:tcPr>
            <w:tcW w:w="0" w:type="auto"/>
            <w:shd w:val="clear" w:color="auto" w:fill="auto"/>
          </w:tcPr>
          <w:p w14:paraId="36CA186A" w14:textId="77777777" w:rsidR="00787570" w:rsidRDefault="00787570">
            <w:pPr>
              <w:rPr>
                <w:rFonts w:ascii="宋体"/>
              </w:rPr>
            </w:pPr>
          </w:p>
        </w:tc>
        <w:tc>
          <w:tcPr>
            <w:tcW w:w="0" w:type="auto"/>
            <w:shd w:val="clear" w:color="auto" w:fill="auto"/>
          </w:tcPr>
          <w:p w14:paraId="36CA186B" w14:textId="77777777" w:rsidR="00787570" w:rsidRDefault="00787570">
            <w:pPr>
              <w:rPr>
                <w:rFonts w:ascii="宋体"/>
              </w:rPr>
            </w:pPr>
          </w:p>
        </w:tc>
        <w:tc>
          <w:tcPr>
            <w:tcW w:w="0" w:type="auto"/>
            <w:shd w:val="clear" w:color="auto" w:fill="auto"/>
          </w:tcPr>
          <w:p w14:paraId="36CA186C" w14:textId="77777777" w:rsidR="00787570" w:rsidRDefault="00787570">
            <w:pPr>
              <w:rPr>
                <w:rFonts w:ascii="宋体"/>
              </w:rPr>
            </w:pPr>
          </w:p>
        </w:tc>
        <w:tc>
          <w:tcPr>
            <w:tcW w:w="0" w:type="auto"/>
            <w:shd w:val="clear" w:color="auto" w:fill="auto"/>
          </w:tcPr>
          <w:p w14:paraId="36CA186D" w14:textId="77777777" w:rsidR="00787570" w:rsidRDefault="00787570">
            <w:pPr>
              <w:rPr>
                <w:rFonts w:ascii="宋体"/>
              </w:rPr>
            </w:pPr>
          </w:p>
        </w:tc>
        <w:tc>
          <w:tcPr>
            <w:tcW w:w="0" w:type="auto"/>
            <w:shd w:val="clear" w:color="auto" w:fill="auto"/>
          </w:tcPr>
          <w:p w14:paraId="36CA186E" w14:textId="77777777" w:rsidR="00787570" w:rsidRDefault="00787570">
            <w:pPr>
              <w:rPr>
                <w:rFonts w:ascii="宋体"/>
              </w:rPr>
            </w:pPr>
          </w:p>
        </w:tc>
        <w:tc>
          <w:tcPr>
            <w:tcW w:w="0" w:type="auto"/>
            <w:shd w:val="clear" w:color="auto" w:fill="auto"/>
          </w:tcPr>
          <w:p w14:paraId="36CA186F" w14:textId="77777777" w:rsidR="00787570" w:rsidRDefault="00787570">
            <w:pPr>
              <w:rPr>
                <w:rFonts w:ascii="宋体"/>
              </w:rPr>
            </w:pPr>
          </w:p>
        </w:tc>
      </w:tr>
      <w:tr w:rsidR="00787570" w14:paraId="36CA188A" w14:textId="77777777">
        <w:tc>
          <w:tcPr>
            <w:tcW w:w="0" w:type="auto"/>
            <w:gridSpan w:val="3"/>
            <w:shd w:val="clear" w:color="auto" w:fill="auto"/>
            <w:tcMar>
              <w:top w:w="40" w:type="dxa"/>
              <w:left w:w="20" w:type="dxa"/>
              <w:bottom w:w="40" w:type="dxa"/>
              <w:right w:w="20" w:type="dxa"/>
            </w:tcMar>
          </w:tcPr>
          <w:p w14:paraId="36CA1871" w14:textId="77777777" w:rsidR="00787570" w:rsidRDefault="000D56E2">
            <w:pPr>
              <w:ind w:hanging="180"/>
              <w:textAlignment w:val="top"/>
            </w:pPr>
            <w:r>
              <w:rPr>
                <w:rFonts w:ascii="Arial" w:eastAsia="宋体" w:hAnsi="Arial" w:cs="Arial"/>
                <w:color w:val="333333"/>
                <w:sz w:val="18"/>
                <w:szCs w:val="18"/>
              </w:rPr>
              <w:t>Marketing, general and administrative</w:t>
            </w:r>
          </w:p>
        </w:tc>
        <w:tc>
          <w:tcPr>
            <w:tcW w:w="0" w:type="auto"/>
            <w:gridSpan w:val="3"/>
            <w:shd w:val="clear" w:color="auto" w:fill="auto"/>
            <w:tcMar>
              <w:left w:w="20" w:type="dxa"/>
              <w:right w:w="20" w:type="dxa"/>
            </w:tcMar>
            <w:vAlign w:val="bottom"/>
          </w:tcPr>
          <w:p w14:paraId="36CA1872"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1873" w14:textId="77777777" w:rsidR="00787570" w:rsidRDefault="000D56E2">
            <w:pPr>
              <w:jc w:val="right"/>
              <w:textAlignment w:val="bottom"/>
            </w:pPr>
            <w:r>
              <w:rPr>
                <w:rFonts w:ascii="Arial" w:eastAsia="宋体" w:hAnsi="Arial" w:cs="Arial"/>
                <w:color w:val="0071C5"/>
                <w:sz w:val="18"/>
                <w:szCs w:val="18"/>
              </w:rPr>
              <w:t>1,435 </w:t>
            </w:r>
          </w:p>
        </w:tc>
        <w:tc>
          <w:tcPr>
            <w:tcW w:w="0" w:type="auto"/>
            <w:shd w:val="clear" w:color="auto" w:fill="auto"/>
            <w:tcMar>
              <w:top w:w="40" w:type="dxa"/>
              <w:bottom w:w="40" w:type="dxa"/>
              <w:right w:w="20" w:type="dxa"/>
            </w:tcMar>
            <w:vAlign w:val="bottom"/>
          </w:tcPr>
          <w:p w14:paraId="36CA1874"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1875"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1876" w14:textId="77777777" w:rsidR="00787570" w:rsidRDefault="000D56E2">
            <w:pPr>
              <w:jc w:val="right"/>
              <w:textAlignment w:val="bottom"/>
            </w:pPr>
            <w:r>
              <w:rPr>
                <w:rFonts w:ascii="Arial" w:eastAsia="宋体" w:hAnsi="Arial" w:cs="Arial"/>
                <w:color w:val="333333"/>
                <w:sz w:val="18"/>
                <w:szCs w:val="18"/>
              </w:rPr>
              <w:t>1,536 </w:t>
            </w:r>
          </w:p>
        </w:tc>
        <w:tc>
          <w:tcPr>
            <w:tcW w:w="0" w:type="auto"/>
            <w:shd w:val="clear" w:color="auto" w:fill="auto"/>
            <w:tcMar>
              <w:top w:w="40" w:type="dxa"/>
              <w:bottom w:w="40" w:type="dxa"/>
              <w:right w:w="20" w:type="dxa"/>
            </w:tcMar>
            <w:vAlign w:val="bottom"/>
          </w:tcPr>
          <w:p w14:paraId="36CA1877"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1878"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1879" w14:textId="77777777" w:rsidR="00787570" w:rsidRDefault="000D56E2">
            <w:pPr>
              <w:jc w:val="right"/>
              <w:textAlignment w:val="bottom"/>
            </w:pPr>
            <w:r>
              <w:rPr>
                <w:rFonts w:ascii="Arial" w:eastAsia="宋体" w:hAnsi="Arial" w:cs="Arial"/>
                <w:color w:val="0071C5"/>
                <w:sz w:val="18"/>
                <w:szCs w:val="18"/>
              </w:rPr>
              <w:t>4,423 </w:t>
            </w:r>
          </w:p>
        </w:tc>
        <w:tc>
          <w:tcPr>
            <w:tcW w:w="0" w:type="auto"/>
            <w:shd w:val="clear" w:color="auto" w:fill="auto"/>
            <w:tcMar>
              <w:top w:w="40" w:type="dxa"/>
              <w:bottom w:w="40" w:type="dxa"/>
              <w:right w:w="20" w:type="dxa"/>
            </w:tcMar>
            <w:vAlign w:val="bottom"/>
          </w:tcPr>
          <w:p w14:paraId="36CA187A"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187B"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187C" w14:textId="77777777" w:rsidR="00787570" w:rsidRDefault="000D56E2">
            <w:pPr>
              <w:jc w:val="right"/>
              <w:textAlignment w:val="bottom"/>
            </w:pPr>
            <w:r>
              <w:rPr>
                <w:rFonts w:ascii="Arial" w:eastAsia="宋体" w:hAnsi="Arial" w:cs="Arial"/>
                <w:color w:val="333333"/>
                <w:sz w:val="18"/>
                <w:szCs w:val="18"/>
              </w:rPr>
              <w:t>4,758 </w:t>
            </w:r>
          </w:p>
        </w:tc>
        <w:tc>
          <w:tcPr>
            <w:tcW w:w="0" w:type="auto"/>
            <w:shd w:val="clear" w:color="auto" w:fill="auto"/>
            <w:tcMar>
              <w:top w:w="40" w:type="dxa"/>
              <w:bottom w:w="40" w:type="dxa"/>
              <w:right w:w="20" w:type="dxa"/>
            </w:tcMar>
            <w:vAlign w:val="bottom"/>
          </w:tcPr>
          <w:p w14:paraId="36CA187D" w14:textId="77777777" w:rsidR="00787570" w:rsidRDefault="00787570">
            <w:pPr>
              <w:jc w:val="right"/>
              <w:rPr>
                <w:rFonts w:ascii="宋体"/>
              </w:rPr>
            </w:pPr>
          </w:p>
        </w:tc>
        <w:tc>
          <w:tcPr>
            <w:tcW w:w="0" w:type="auto"/>
            <w:shd w:val="clear" w:color="auto" w:fill="auto"/>
          </w:tcPr>
          <w:p w14:paraId="36CA187E" w14:textId="77777777" w:rsidR="00787570" w:rsidRDefault="00787570">
            <w:pPr>
              <w:rPr>
                <w:rFonts w:ascii="宋体"/>
              </w:rPr>
            </w:pPr>
          </w:p>
        </w:tc>
        <w:tc>
          <w:tcPr>
            <w:tcW w:w="0" w:type="auto"/>
            <w:shd w:val="clear" w:color="auto" w:fill="auto"/>
          </w:tcPr>
          <w:p w14:paraId="36CA187F" w14:textId="77777777" w:rsidR="00787570" w:rsidRDefault="00787570">
            <w:pPr>
              <w:rPr>
                <w:rFonts w:ascii="宋体"/>
              </w:rPr>
            </w:pPr>
          </w:p>
        </w:tc>
        <w:tc>
          <w:tcPr>
            <w:tcW w:w="0" w:type="auto"/>
            <w:shd w:val="clear" w:color="auto" w:fill="auto"/>
          </w:tcPr>
          <w:p w14:paraId="36CA1880" w14:textId="77777777" w:rsidR="00787570" w:rsidRDefault="00787570">
            <w:pPr>
              <w:rPr>
                <w:rFonts w:ascii="宋体"/>
              </w:rPr>
            </w:pPr>
          </w:p>
        </w:tc>
        <w:tc>
          <w:tcPr>
            <w:tcW w:w="0" w:type="auto"/>
            <w:shd w:val="clear" w:color="auto" w:fill="auto"/>
          </w:tcPr>
          <w:p w14:paraId="36CA1881" w14:textId="77777777" w:rsidR="00787570" w:rsidRDefault="00787570">
            <w:pPr>
              <w:rPr>
                <w:rFonts w:ascii="宋体"/>
              </w:rPr>
            </w:pPr>
          </w:p>
        </w:tc>
        <w:tc>
          <w:tcPr>
            <w:tcW w:w="0" w:type="auto"/>
            <w:shd w:val="clear" w:color="auto" w:fill="auto"/>
          </w:tcPr>
          <w:p w14:paraId="36CA1882" w14:textId="77777777" w:rsidR="00787570" w:rsidRDefault="00787570">
            <w:pPr>
              <w:rPr>
                <w:rFonts w:ascii="宋体"/>
              </w:rPr>
            </w:pPr>
          </w:p>
        </w:tc>
        <w:tc>
          <w:tcPr>
            <w:tcW w:w="0" w:type="auto"/>
            <w:shd w:val="clear" w:color="auto" w:fill="auto"/>
          </w:tcPr>
          <w:p w14:paraId="36CA1883" w14:textId="77777777" w:rsidR="00787570" w:rsidRDefault="00787570">
            <w:pPr>
              <w:rPr>
                <w:rFonts w:ascii="宋体"/>
              </w:rPr>
            </w:pPr>
          </w:p>
        </w:tc>
        <w:tc>
          <w:tcPr>
            <w:tcW w:w="0" w:type="auto"/>
            <w:shd w:val="clear" w:color="auto" w:fill="auto"/>
          </w:tcPr>
          <w:p w14:paraId="36CA1884" w14:textId="77777777" w:rsidR="00787570" w:rsidRDefault="00787570">
            <w:pPr>
              <w:rPr>
                <w:rFonts w:ascii="宋体"/>
              </w:rPr>
            </w:pPr>
          </w:p>
        </w:tc>
        <w:tc>
          <w:tcPr>
            <w:tcW w:w="0" w:type="auto"/>
            <w:shd w:val="clear" w:color="auto" w:fill="auto"/>
          </w:tcPr>
          <w:p w14:paraId="36CA1885" w14:textId="77777777" w:rsidR="00787570" w:rsidRDefault="00787570">
            <w:pPr>
              <w:rPr>
                <w:rFonts w:ascii="宋体"/>
              </w:rPr>
            </w:pPr>
          </w:p>
        </w:tc>
        <w:tc>
          <w:tcPr>
            <w:tcW w:w="0" w:type="auto"/>
            <w:shd w:val="clear" w:color="auto" w:fill="auto"/>
          </w:tcPr>
          <w:p w14:paraId="36CA1886" w14:textId="77777777" w:rsidR="00787570" w:rsidRDefault="00787570">
            <w:pPr>
              <w:rPr>
                <w:rFonts w:ascii="宋体"/>
              </w:rPr>
            </w:pPr>
          </w:p>
        </w:tc>
        <w:tc>
          <w:tcPr>
            <w:tcW w:w="0" w:type="auto"/>
            <w:shd w:val="clear" w:color="auto" w:fill="auto"/>
          </w:tcPr>
          <w:p w14:paraId="36CA1887" w14:textId="77777777" w:rsidR="00787570" w:rsidRDefault="00787570">
            <w:pPr>
              <w:rPr>
                <w:rFonts w:ascii="宋体"/>
              </w:rPr>
            </w:pPr>
          </w:p>
        </w:tc>
        <w:tc>
          <w:tcPr>
            <w:tcW w:w="0" w:type="auto"/>
            <w:shd w:val="clear" w:color="auto" w:fill="auto"/>
          </w:tcPr>
          <w:p w14:paraId="36CA1888" w14:textId="77777777" w:rsidR="00787570" w:rsidRDefault="00787570">
            <w:pPr>
              <w:rPr>
                <w:rFonts w:ascii="宋体"/>
              </w:rPr>
            </w:pPr>
          </w:p>
        </w:tc>
        <w:tc>
          <w:tcPr>
            <w:tcW w:w="0" w:type="auto"/>
            <w:shd w:val="clear" w:color="auto" w:fill="auto"/>
          </w:tcPr>
          <w:p w14:paraId="36CA1889" w14:textId="77777777" w:rsidR="00787570" w:rsidRDefault="00787570">
            <w:pPr>
              <w:rPr>
                <w:rFonts w:ascii="宋体"/>
              </w:rPr>
            </w:pPr>
          </w:p>
        </w:tc>
      </w:tr>
      <w:tr w:rsidR="00787570" w14:paraId="36CA18A4" w14:textId="77777777">
        <w:tc>
          <w:tcPr>
            <w:tcW w:w="0" w:type="auto"/>
            <w:gridSpan w:val="3"/>
            <w:shd w:val="clear" w:color="auto" w:fill="auto"/>
            <w:tcMar>
              <w:top w:w="40" w:type="dxa"/>
              <w:left w:w="20" w:type="dxa"/>
              <w:bottom w:w="40" w:type="dxa"/>
              <w:right w:w="20" w:type="dxa"/>
            </w:tcMar>
          </w:tcPr>
          <w:p w14:paraId="36CA188B" w14:textId="77777777" w:rsidR="00787570" w:rsidRDefault="000D56E2">
            <w:pPr>
              <w:ind w:hanging="180"/>
              <w:textAlignment w:val="top"/>
            </w:pPr>
            <w:r>
              <w:rPr>
                <w:rFonts w:ascii="Arial" w:eastAsia="宋体" w:hAnsi="Arial" w:cs="Arial"/>
                <w:color w:val="333333"/>
                <w:sz w:val="18"/>
                <w:szCs w:val="18"/>
              </w:rPr>
              <w:t>Restructuring and other charges</w:t>
            </w:r>
          </w:p>
        </w:tc>
        <w:tc>
          <w:tcPr>
            <w:tcW w:w="0" w:type="auto"/>
            <w:gridSpan w:val="3"/>
            <w:shd w:val="clear" w:color="auto" w:fill="auto"/>
            <w:tcMar>
              <w:left w:w="20" w:type="dxa"/>
              <w:right w:w="20" w:type="dxa"/>
            </w:tcMar>
            <w:vAlign w:val="bottom"/>
          </w:tcPr>
          <w:p w14:paraId="36CA188C"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188D" w14:textId="77777777" w:rsidR="00787570" w:rsidRDefault="000D56E2">
            <w:pPr>
              <w:jc w:val="right"/>
              <w:textAlignment w:val="bottom"/>
            </w:pPr>
            <w:r>
              <w:rPr>
                <w:rFonts w:ascii="Arial" w:eastAsia="宋体" w:hAnsi="Arial" w:cs="Arial"/>
                <w:color w:val="0071C5"/>
                <w:sz w:val="18"/>
                <w:szCs w:val="18"/>
              </w:rPr>
              <w:t>(25)</w:t>
            </w:r>
          </w:p>
        </w:tc>
        <w:tc>
          <w:tcPr>
            <w:tcW w:w="0" w:type="auto"/>
            <w:shd w:val="clear" w:color="auto" w:fill="auto"/>
            <w:tcMar>
              <w:top w:w="40" w:type="dxa"/>
              <w:bottom w:w="40" w:type="dxa"/>
              <w:right w:w="20" w:type="dxa"/>
            </w:tcMar>
            <w:vAlign w:val="bottom"/>
          </w:tcPr>
          <w:p w14:paraId="36CA188E"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188F"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1890" w14:textId="77777777" w:rsidR="00787570" w:rsidRDefault="000D56E2">
            <w:pPr>
              <w:jc w:val="right"/>
              <w:textAlignment w:val="bottom"/>
            </w:pPr>
            <w:r>
              <w:rPr>
                <w:rFonts w:ascii="Arial" w:eastAsia="宋体" w:hAnsi="Arial" w:cs="Arial"/>
                <w:color w:val="333333"/>
                <w:sz w:val="18"/>
                <w:szCs w:val="18"/>
              </w:rPr>
              <w:t>104 </w:t>
            </w:r>
          </w:p>
        </w:tc>
        <w:tc>
          <w:tcPr>
            <w:tcW w:w="0" w:type="auto"/>
            <w:shd w:val="clear" w:color="auto" w:fill="auto"/>
            <w:tcMar>
              <w:top w:w="40" w:type="dxa"/>
              <w:bottom w:w="40" w:type="dxa"/>
              <w:right w:w="20" w:type="dxa"/>
            </w:tcMar>
            <w:vAlign w:val="bottom"/>
          </w:tcPr>
          <w:p w14:paraId="36CA1891"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1892"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1893" w14:textId="77777777" w:rsidR="00787570" w:rsidRDefault="000D56E2">
            <w:pPr>
              <w:jc w:val="right"/>
              <w:textAlignment w:val="bottom"/>
            </w:pPr>
            <w:r>
              <w:rPr>
                <w:rFonts w:ascii="Arial" w:eastAsia="宋体" w:hAnsi="Arial" w:cs="Arial"/>
                <w:color w:val="0071C5"/>
                <w:sz w:val="18"/>
                <w:szCs w:val="18"/>
              </w:rPr>
              <w:t>146 </w:t>
            </w:r>
          </w:p>
        </w:tc>
        <w:tc>
          <w:tcPr>
            <w:tcW w:w="0" w:type="auto"/>
            <w:shd w:val="clear" w:color="auto" w:fill="auto"/>
            <w:tcMar>
              <w:top w:w="40" w:type="dxa"/>
              <w:bottom w:w="40" w:type="dxa"/>
              <w:right w:w="20" w:type="dxa"/>
            </w:tcMar>
            <w:vAlign w:val="bottom"/>
          </w:tcPr>
          <w:p w14:paraId="36CA1894"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1895"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1896" w14:textId="77777777" w:rsidR="00787570" w:rsidRDefault="000D56E2">
            <w:pPr>
              <w:jc w:val="right"/>
              <w:textAlignment w:val="bottom"/>
            </w:pPr>
            <w:r>
              <w:rPr>
                <w:rFonts w:ascii="Arial" w:eastAsia="宋体" w:hAnsi="Arial" w:cs="Arial"/>
                <w:color w:val="333333"/>
                <w:sz w:val="18"/>
                <w:szCs w:val="18"/>
              </w:rPr>
              <w:t>288 </w:t>
            </w:r>
          </w:p>
        </w:tc>
        <w:tc>
          <w:tcPr>
            <w:tcW w:w="0" w:type="auto"/>
            <w:shd w:val="clear" w:color="auto" w:fill="auto"/>
            <w:tcMar>
              <w:top w:w="40" w:type="dxa"/>
              <w:bottom w:w="40" w:type="dxa"/>
              <w:right w:w="20" w:type="dxa"/>
            </w:tcMar>
            <w:vAlign w:val="bottom"/>
          </w:tcPr>
          <w:p w14:paraId="36CA1897" w14:textId="77777777" w:rsidR="00787570" w:rsidRDefault="00787570">
            <w:pPr>
              <w:jc w:val="right"/>
              <w:rPr>
                <w:rFonts w:ascii="宋体"/>
              </w:rPr>
            </w:pPr>
          </w:p>
        </w:tc>
        <w:tc>
          <w:tcPr>
            <w:tcW w:w="0" w:type="auto"/>
            <w:shd w:val="clear" w:color="auto" w:fill="auto"/>
          </w:tcPr>
          <w:p w14:paraId="36CA1898" w14:textId="77777777" w:rsidR="00787570" w:rsidRDefault="00787570">
            <w:pPr>
              <w:rPr>
                <w:rFonts w:ascii="宋体"/>
              </w:rPr>
            </w:pPr>
          </w:p>
        </w:tc>
        <w:tc>
          <w:tcPr>
            <w:tcW w:w="0" w:type="auto"/>
            <w:shd w:val="clear" w:color="auto" w:fill="auto"/>
          </w:tcPr>
          <w:p w14:paraId="36CA1899" w14:textId="77777777" w:rsidR="00787570" w:rsidRDefault="00787570">
            <w:pPr>
              <w:rPr>
                <w:rFonts w:ascii="宋体"/>
              </w:rPr>
            </w:pPr>
          </w:p>
        </w:tc>
        <w:tc>
          <w:tcPr>
            <w:tcW w:w="0" w:type="auto"/>
            <w:shd w:val="clear" w:color="auto" w:fill="auto"/>
          </w:tcPr>
          <w:p w14:paraId="36CA189A" w14:textId="77777777" w:rsidR="00787570" w:rsidRDefault="00787570">
            <w:pPr>
              <w:rPr>
                <w:rFonts w:ascii="宋体"/>
              </w:rPr>
            </w:pPr>
          </w:p>
        </w:tc>
        <w:tc>
          <w:tcPr>
            <w:tcW w:w="0" w:type="auto"/>
            <w:shd w:val="clear" w:color="auto" w:fill="auto"/>
          </w:tcPr>
          <w:p w14:paraId="36CA189B" w14:textId="77777777" w:rsidR="00787570" w:rsidRDefault="00787570">
            <w:pPr>
              <w:rPr>
                <w:rFonts w:ascii="宋体"/>
              </w:rPr>
            </w:pPr>
          </w:p>
        </w:tc>
        <w:tc>
          <w:tcPr>
            <w:tcW w:w="0" w:type="auto"/>
            <w:shd w:val="clear" w:color="auto" w:fill="auto"/>
          </w:tcPr>
          <w:p w14:paraId="36CA189C" w14:textId="77777777" w:rsidR="00787570" w:rsidRDefault="00787570">
            <w:pPr>
              <w:rPr>
                <w:rFonts w:ascii="宋体"/>
              </w:rPr>
            </w:pPr>
          </w:p>
        </w:tc>
        <w:tc>
          <w:tcPr>
            <w:tcW w:w="0" w:type="auto"/>
            <w:shd w:val="clear" w:color="auto" w:fill="auto"/>
          </w:tcPr>
          <w:p w14:paraId="36CA189D" w14:textId="77777777" w:rsidR="00787570" w:rsidRDefault="00787570">
            <w:pPr>
              <w:rPr>
                <w:rFonts w:ascii="宋体"/>
              </w:rPr>
            </w:pPr>
          </w:p>
        </w:tc>
        <w:tc>
          <w:tcPr>
            <w:tcW w:w="0" w:type="auto"/>
            <w:shd w:val="clear" w:color="auto" w:fill="auto"/>
          </w:tcPr>
          <w:p w14:paraId="36CA189E" w14:textId="77777777" w:rsidR="00787570" w:rsidRDefault="00787570">
            <w:pPr>
              <w:rPr>
                <w:rFonts w:ascii="宋体"/>
              </w:rPr>
            </w:pPr>
          </w:p>
        </w:tc>
        <w:tc>
          <w:tcPr>
            <w:tcW w:w="0" w:type="auto"/>
            <w:shd w:val="clear" w:color="auto" w:fill="auto"/>
          </w:tcPr>
          <w:p w14:paraId="36CA189F" w14:textId="77777777" w:rsidR="00787570" w:rsidRDefault="00787570">
            <w:pPr>
              <w:rPr>
                <w:rFonts w:ascii="宋体"/>
              </w:rPr>
            </w:pPr>
          </w:p>
        </w:tc>
        <w:tc>
          <w:tcPr>
            <w:tcW w:w="0" w:type="auto"/>
            <w:shd w:val="clear" w:color="auto" w:fill="auto"/>
          </w:tcPr>
          <w:p w14:paraId="36CA18A0" w14:textId="77777777" w:rsidR="00787570" w:rsidRDefault="00787570">
            <w:pPr>
              <w:rPr>
                <w:rFonts w:ascii="宋体"/>
              </w:rPr>
            </w:pPr>
          </w:p>
        </w:tc>
        <w:tc>
          <w:tcPr>
            <w:tcW w:w="0" w:type="auto"/>
            <w:shd w:val="clear" w:color="auto" w:fill="auto"/>
          </w:tcPr>
          <w:p w14:paraId="36CA18A1" w14:textId="77777777" w:rsidR="00787570" w:rsidRDefault="00787570">
            <w:pPr>
              <w:rPr>
                <w:rFonts w:ascii="宋体"/>
              </w:rPr>
            </w:pPr>
          </w:p>
        </w:tc>
        <w:tc>
          <w:tcPr>
            <w:tcW w:w="0" w:type="auto"/>
            <w:shd w:val="clear" w:color="auto" w:fill="auto"/>
          </w:tcPr>
          <w:p w14:paraId="36CA18A2" w14:textId="77777777" w:rsidR="00787570" w:rsidRDefault="00787570">
            <w:pPr>
              <w:rPr>
                <w:rFonts w:ascii="宋体"/>
              </w:rPr>
            </w:pPr>
          </w:p>
        </w:tc>
        <w:tc>
          <w:tcPr>
            <w:tcW w:w="0" w:type="auto"/>
            <w:shd w:val="clear" w:color="auto" w:fill="auto"/>
          </w:tcPr>
          <w:p w14:paraId="36CA18A3" w14:textId="77777777" w:rsidR="00787570" w:rsidRDefault="00787570">
            <w:pPr>
              <w:rPr>
                <w:rFonts w:ascii="宋体"/>
              </w:rPr>
            </w:pPr>
          </w:p>
        </w:tc>
      </w:tr>
      <w:tr w:rsidR="00787570" w14:paraId="36CA18BE" w14:textId="77777777">
        <w:tc>
          <w:tcPr>
            <w:tcW w:w="0" w:type="auto"/>
            <w:gridSpan w:val="3"/>
            <w:shd w:val="clear" w:color="auto" w:fill="auto"/>
            <w:tcMar>
              <w:top w:w="40" w:type="dxa"/>
              <w:left w:w="20" w:type="dxa"/>
              <w:bottom w:w="40" w:type="dxa"/>
              <w:right w:w="20" w:type="dxa"/>
            </w:tcMar>
          </w:tcPr>
          <w:p w14:paraId="36CA18A5" w14:textId="77777777" w:rsidR="00787570" w:rsidRDefault="000D56E2">
            <w:pPr>
              <w:ind w:hanging="180"/>
              <w:textAlignment w:val="top"/>
            </w:pPr>
            <w:r>
              <w:rPr>
                <w:rFonts w:ascii="Arial" w:eastAsia="宋体" w:hAnsi="Arial" w:cs="Arial"/>
                <w:b/>
                <w:bCs/>
                <w:color w:val="333333"/>
                <w:sz w:val="18"/>
                <w:szCs w:val="18"/>
              </w:rPr>
              <w:t>Operating expenses</w:t>
            </w:r>
          </w:p>
        </w:tc>
        <w:tc>
          <w:tcPr>
            <w:tcW w:w="0" w:type="auto"/>
            <w:gridSpan w:val="3"/>
            <w:shd w:val="clear" w:color="auto" w:fill="auto"/>
            <w:tcMar>
              <w:left w:w="20" w:type="dxa"/>
              <w:right w:w="20" w:type="dxa"/>
            </w:tcMar>
            <w:vAlign w:val="bottom"/>
          </w:tcPr>
          <w:p w14:paraId="36CA18A6" w14:textId="77777777" w:rsidR="00787570" w:rsidRDefault="00787570">
            <w:pPr>
              <w:rPr>
                <w:rFonts w:ascii="宋体"/>
              </w:rPr>
            </w:pPr>
          </w:p>
        </w:tc>
        <w:tc>
          <w:tcPr>
            <w:tcW w:w="0" w:type="auto"/>
            <w:gridSpan w:val="2"/>
            <w:tcBorders>
              <w:top w:val="single" w:sz="8" w:space="0" w:color="333333"/>
            </w:tcBorders>
            <w:shd w:val="clear" w:color="auto" w:fill="auto"/>
            <w:tcMar>
              <w:top w:w="40" w:type="dxa"/>
              <w:left w:w="20" w:type="dxa"/>
              <w:bottom w:w="40" w:type="dxa"/>
              <w:right w:w="0" w:type="dxa"/>
            </w:tcMar>
            <w:vAlign w:val="bottom"/>
          </w:tcPr>
          <w:p w14:paraId="36CA18A7" w14:textId="77777777" w:rsidR="00787570" w:rsidRDefault="000D56E2">
            <w:pPr>
              <w:jc w:val="right"/>
              <w:textAlignment w:val="bottom"/>
            </w:pPr>
            <w:r>
              <w:rPr>
                <w:rFonts w:ascii="Arial" w:eastAsia="宋体" w:hAnsi="Arial" w:cs="Arial"/>
                <w:b/>
                <w:bCs/>
                <w:color w:val="0071C5"/>
                <w:sz w:val="18"/>
                <w:szCs w:val="18"/>
              </w:rPr>
              <w:t>4,682</w:t>
            </w:r>
            <w:r>
              <w:rPr>
                <w:rFonts w:ascii="Arial" w:eastAsia="宋体" w:hAnsi="Arial" w:cs="Arial"/>
                <w:color w:val="0071C5"/>
                <w:sz w:val="18"/>
                <w:szCs w:val="18"/>
              </w:rPr>
              <w:t> </w:t>
            </w:r>
          </w:p>
        </w:tc>
        <w:tc>
          <w:tcPr>
            <w:tcW w:w="0" w:type="auto"/>
            <w:tcBorders>
              <w:top w:val="single" w:sz="8" w:space="0" w:color="333333"/>
            </w:tcBorders>
            <w:shd w:val="clear" w:color="auto" w:fill="auto"/>
            <w:tcMar>
              <w:top w:w="40" w:type="dxa"/>
              <w:bottom w:w="40" w:type="dxa"/>
              <w:right w:w="20" w:type="dxa"/>
            </w:tcMar>
            <w:vAlign w:val="bottom"/>
          </w:tcPr>
          <w:p w14:paraId="36CA18A8"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18A9" w14:textId="77777777" w:rsidR="00787570" w:rsidRDefault="00787570">
            <w:pPr>
              <w:rPr>
                <w:rFonts w:ascii="宋体"/>
              </w:rPr>
            </w:pPr>
          </w:p>
        </w:tc>
        <w:tc>
          <w:tcPr>
            <w:tcW w:w="0" w:type="auto"/>
            <w:gridSpan w:val="2"/>
            <w:tcBorders>
              <w:top w:val="single" w:sz="8" w:space="0" w:color="333333"/>
            </w:tcBorders>
            <w:shd w:val="clear" w:color="auto" w:fill="auto"/>
            <w:tcMar>
              <w:top w:w="40" w:type="dxa"/>
              <w:left w:w="20" w:type="dxa"/>
              <w:bottom w:w="40" w:type="dxa"/>
              <w:right w:w="0" w:type="dxa"/>
            </w:tcMar>
            <w:vAlign w:val="bottom"/>
          </w:tcPr>
          <w:p w14:paraId="36CA18AA" w14:textId="77777777" w:rsidR="00787570" w:rsidRDefault="000D56E2">
            <w:pPr>
              <w:jc w:val="right"/>
              <w:textAlignment w:val="bottom"/>
            </w:pPr>
            <w:r>
              <w:rPr>
                <w:rFonts w:ascii="Arial" w:eastAsia="宋体" w:hAnsi="Arial" w:cs="Arial"/>
                <w:b/>
                <w:bCs/>
                <w:color w:val="333333"/>
                <w:sz w:val="18"/>
                <w:szCs w:val="18"/>
              </w:rPr>
              <w:t>4,848</w:t>
            </w:r>
            <w:r>
              <w:rPr>
                <w:rFonts w:ascii="Arial" w:eastAsia="宋体" w:hAnsi="Arial" w:cs="Arial"/>
                <w:color w:val="333333"/>
                <w:sz w:val="18"/>
                <w:szCs w:val="18"/>
              </w:rPr>
              <w:t> </w:t>
            </w:r>
          </w:p>
        </w:tc>
        <w:tc>
          <w:tcPr>
            <w:tcW w:w="0" w:type="auto"/>
            <w:tcBorders>
              <w:top w:val="single" w:sz="8" w:space="0" w:color="333333"/>
            </w:tcBorders>
            <w:shd w:val="clear" w:color="auto" w:fill="auto"/>
            <w:tcMar>
              <w:top w:w="40" w:type="dxa"/>
              <w:bottom w:w="40" w:type="dxa"/>
              <w:right w:w="20" w:type="dxa"/>
            </w:tcMar>
            <w:vAlign w:val="bottom"/>
          </w:tcPr>
          <w:p w14:paraId="36CA18AB"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18AC" w14:textId="77777777" w:rsidR="00787570" w:rsidRDefault="00787570">
            <w:pPr>
              <w:rPr>
                <w:rFonts w:ascii="宋体"/>
              </w:rPr>
            </w:pPr>
          </w:p>
        </w:tc>
        <w:tc>
          <w:tcPr>
            <w:tcW w:w="0" w:type="auto"/>
            <w:gridSpan w:val="2"/>
            <w:tcBorders>
              <w:top w:val="single" w:sz="8" w:space="0" w:color="333333"/>
            </w:tcBorders>
            <w:shd w:val="clear" w:color="auto" w:fill="auto"/>
            <w:tcMar>
              <w:top w:w="40" w:type="dxa"/>
              <w:left w:w="20" w:type="dxa"/>
              <w:bottom w:w="40" w:type="dxa"/>
              <w:right w:w="0" w:type="dxa"/>
            </w:tcMar>
            <w:vAlign w:val="bottom"/>
          </w:tcPr>
          <w:p w14:paraId="36CA18AD" w14:textId="77777777" w:rsidR="00787570" w:rsidRDefault="000D56E2">
            <w:pPr>
              <w:jc w:val="right"/>
              <w:textAlignment w:val="bottom"/>
            </w:pPr>
            <w:r>
              <w:rPr>
                <w:rFonts w:ascii="Arial" w:eastAsia="宋体" w:hAnsi="Arial" w:cs="Arial"/>
                <w:b/>
                <w:bCs/>
                <w:color w:val="0071C5"/>
                <w:sz w:val="18"/>
                <w:szCs w:val="18"/>
              </w:rPr>
              <w:t>14,470</w:t>
            </w:r>
            <w:r>
              <w:rPr>
                <w:rFonts w:ascii="Arial" w:eastAsia="宋体" w:hAnsi="Arial" w:cs="Arial"/>
                <w:color w:val="0071C5"/>
                <w:sz w:val="18"/>
                <w:szCs w:val="18"/>
              </w:rPr>
              <w:t> </w:t>
            </w:r>
          </w:p>
        </w:tc>
        <w:tc>
          <w:tcPr>
            <w:tcW w:w="0" w:type="auto"/>
            <w:tcBorders>
              <w:top w:val="single" w:sz="8" w:space="0" w:color="333333"/>
            </w:tcBorders>
            <w:shd w:val="clear" w:color="auto" w:fill="auto"/>
            <w:tcMar>
              <w:top w:w="40" w:type="dxa"/>
              <w:bottom w:w="40" w:type="dxa"/>
              <w:right w:w="20" w:type="dxa"/>
            </w:tcMar>
            <w:vAlign w:val="bottom"/>
          </w:tcPr>
          <w:p w14:paraId="36CA18AE"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18AF" w14:textId="77777777" w:rsidR="00787570" w:rsidRDefault="00787570">
            <w:pPr>
              <w:rPr>
                <w:rFonts w:ascii="宋体"/>
              </w:rPr>
            </w:pPr>
          </w:p>
        </w:tc>
        <w:tc>
          <w:tcPr>
            <w:tcW w:w="0" w:type="auto"/>
            <w:gridSpan w:val="2"/>
            <w:tcBorders>
              <w:top w:val="single" w:sz="8" w:space="0" w:color="333333"/>
            </w:tcBorders>
            <w:shd w:val="clear" w:color="auto" w:fill="auto"/>
            <w:tcMar>
              <w:top w:w="40" w:type="dxa"/>
              <w:left w:w="20" w:type="dxa"/>
              <w:bottom w:w="40" w:type="dxa"/>
              <w:right w:w="0" w:type="dxa"/>
            </w:tcMar>
            <w:vAlign w:val="bottom"/>
          </w:tcPr>
          <w:p w14:paraId="36CA18B0" w14:textId="77777777" w:rsidR="00787570" w:rsidRDefault="000D56E2">
            <w:pPr>
              <w:jc w:val="right"/>
              <w:textAlignment w:val="bottom"/>
            </w:pPr>
            <w:r>
              <w:rPr>
                <w:rFonts w:ascii="Arial" w:eastAsia="宋体" w:hAnsi="Arial" w:cs="Arial"/>
                <w:b/>
                <w:bCs/>
                <w:color w:val="333333"/>
                <w:sz w:val="18"/>
                <w:szCs w:val="18"/>
              </w:rPr>
              <w:t>15,024</w:t>
            </w:r>
            <w:r>
              <w:rPr>
                <w:rFonts w:ascii="Arial" w:eastAsia="宋体" w:hAnsi="Arial" w:cs="Arial"/>
                <w:color w:val="333333"/>
                <w:sz w:val="18"/>
                <w:szCs w:val="18"/>
              </w:rPr>
              <w:t> </w:t>
            </w:r>
          </w:p>
        </w:tc>
        <w:tc>
          <w:tcPr>
            <w:tcW w:w="0" w:type="auto"/>
            <w:tcBorders>
              <w:top w:val="single" w:sz="8" w:space="0" w:color="333333"/>
            </w:tcBorders>
            <w:shd w:val="clear" w:color="auto" w:fill="auto"/>
            <w:tcMar>
              <w:top w:w="40" w:type="dxa"/>
              <w:bottom w:w="40" w:type="dxa"/>
              <w:right w:w="20" w:type="dxa"/>
            </w:tcMar>
            <w:vAlign w:val="bottom"/>
          </w:tcPr>
          <w:p w14:paraId="36CA18B1" w14:textId="77777777" w:rsidR="00787570" w:rsidRDefault="00787570">
            <w:pPr>
              <w:jc w:val="right"/>
              <w:rPr>
                <w:rFonts w:ascii="宋体"/>
              </w:rPr>
            </w:pPr>
          </w:p>
        </w:tc>
        <w:tc>
          <w:tcPr>
            <w:tcW w:w="0" w:type="auto"/>
            <w:shd w:val="clear" w:color="auto" w:fill="auto"/>
          </w:tcPr>
          <w:p w14:paraId="36CA18B2" w14:textId="77777777" w:rsidR="00787570" w:rsidRDefault="00787570">
            <w:pPr>
              <w:rPr>
                <w:rFonts w:ascii="宋体"/>
              </w:rPr>
            </w:pPr>
          </w:p>
        </w:tc>
        <w:tc>
          <w:tcPr>
            <w:tcW w:w="0" w:type="auto"/>
            <w:shd w:val="clear" w:color="auto" w:fill="auto"/>
          </w:tcPr>
          <w:p w14:paraId="36CA18B3" w14:textId="77777777" w:rsidR="00787570" w:rsidRDefault="00787570">
            <w:pPr>
              <w:rPr>
                <w:rFonts w:ascii="宋体"/>
              </w:rPr>
            </w:pPr>
          </w:p>
        </w:tc>
        <w:tc>
          <w:tcPr>
            <w:tcW w:w="0" w:type="auto"/>
            <w:shd w:val="clear" w:color="auto" w:fill="auto"/>
          </w:tcPr>
          <w:p w14:paraId="36CA18B4" w14:textId="77777777" w:rsidR="00787570" w:rsidRDefault="00787570">
            <w:pPr>
              <w:rPr>
                <w:rFonts w:ascii="宋体"/>
              </w:rPr>
            </w:pPr>
          </w:p>
        </w:tc>
        <w:tc>
          <w:tcPr>
            <w:tcW w:w="0" w:type="auto"/>
            <w:shd w:val="clear" w:color="auto" w:fill="auto"/>
          </w:tcPr>
          <w:p w14:paraId="36CA18B5" w14:textId="77777777" w:rsidR="00787570" w:rsidRDefault="00787570">
            <w:pPr>
              <w:rPr>
                <w:rFonts w:ascii="宋体"/>
              </w:rPr>
            </w:pPr>
          </w:p>
        </w:tc>
        <w:tc>
          <w:tcPr>
            <w:tcW w:w="0" w:type="auto"/>
            <w:shd w:val="clear" w:color="auto" w:fill="auto"/>
          </w:tcPr>
          <w:p w14:paraId="36CA18B6" w14:textId="77777777" w:rsidR="00787570" w:rsidRDefault="00787570">
            <w:pPr>
              <w:rPr>
                <w:rFonts w:ascii="宋体"/>
              </w:rPr>
            </w:pPr>
          </w:p>
        </w:tc>
        <w:tc>
          <w:tcPr>
            <w:tcW w:w="0" w:type="auto"/>
            <w:shd w:val="clear" w:color="auto" w:fill="auto"/>
          </w:tcPr>
          <w:p w14:paraId="36CA18B7" w14:textId="77777777" w:rsidR="00787570" w:rsidRDefault="00787570">
            <w:pPr>
              <w:rPr>
                <w:rFonts w:ascii="宋体"/>
              </w:rPr>
            </w:pPr>
          </w:p>
        </w:tc>
        <w:tc>
          <w:tcPr>
            <w:tcW w:w="0" w:type="auto"/>
            <w:shd w:val="clear" w:color="auto" w:fill="auto"/>
          </w:tcPr>
          <w:p w14:paraId="36CA18B8" w14:textId="77777777" w:rsidR="00787570" w:rsidRDefault="00787570">
            <w:pPr>
              <w:rPr>
                <w:rFonts w:ascii="宋体"/>
              </w:rPr>
            </w:pPr>
          </w:p>
        </w:tc>
        <w:tc>
          <w:tcPr>
            <w:tcW w:w="0" w:type="auto"/>
            <w:shd w:val="clear" w:color="auto" w:fill="auto"/>
          </w:tcPr>
          <w:p w14:paraId="36CA18B9" w14:textId="77777777" w:rsidR="00787570" w:rsidRDefault="00787570">
            <w:pPr>
              <w:rPr>
                <w:rFonts w:ascii="宋体"/>
              </w:rPr>
            </w:pPr>
          </w:p>
        </w:tc>
        <w:tc>
          <w:tcPr>
            <w:tcW w:w="0" w:type="auto"/>
            <w:shd w:val="clear" w:color="auto" w:fill="auto"/>
          </w:tcPr>
          <w:p w14:paraId="36CA18BA" w14:textId="77777777" w:rsidR="00787570" w:rsidRDefault="00787570">
            <w:pPr>
              <w:rPr>
                <w:rFonts w:ascii="宋体"/>
              </w:rPr>
            </w:pPr>
          </w:p>
        </w:tc>
        <w:tc>
          <w:tcPr>
            <w:tcW w:w="0" w:type="auto"/>
            <w:shd w:val="clear" w:color="auto" w:fill="auto"/>
          </w:tcPr>
          <w:p w14:paraId="36CA18BB" w14:textId="77777777" w:rsidR="00787570" w:rsidRDefault="00787570">
            <w:pPr>
              <w:rPr>
                <w:rFonts w:ascii="宋体"/>
              </w:rPr>
            </w:pPr>
          </w:p>
        </w:tc>
        <w:tc>
          <w:tcPr>
            <w:tcW w:w="0" w:type="auto"/>
            <w:shd w:val="clear" w:color="auto" w:fill="auto"/>
          </w:tcPr>
          <w:p w14:paraId="36CA18BC" w14:textId="77777777" w:rsidR="00787570" w:rsidRDefault="00787570">
            <w:pPr>
              <w:rPr>
                <w:rFonts w:ascii="宋体"/>
              </w:rPr>
            </w:pPr>
          </w:p>
        </w:tc>
        <w:tc>
          <w:tcPr>
            <w:tcW w:w="0" w:type="auto"/>
            <w:shd w:val="clear" w:color="auto" w:fill="auto"/>
          </w:tcPr>
          <w:p w14:paraId="36CA18BD" w14:textId="77777777" w:rsidR="00787570" w:rsidRDefault="00787570">
            <w:pPr>
              <w:rPr>
                <w:rFonts w:ascii="宋体"/>
              </w:rPr>
            </w:pPr>
          </w:p>
        </w:tc>
      </w:tr>
      <w:tr w:rsidR="00787570" w14:paraId="36CA18D8" w14:textId="77777777">
        <w:tc>
          <w:tcPr>
            <w:tcW w:w="0" w:type="auto"/>
            <w:gridSpan w:val="3"/>
            <w:shd w:val="clear" w:color="auto" w:fill="auto"/>
            <w:tcMar>
              <w:top w:w="40" w:type="dxa"/>
              <w:left w:w="20" w:type="dxa"/>
              <w:bottom w:w="40" w:type="dxa"/>
              <w:right w:w="20" w:type="dxa"/>
            </w:tcMar>
          </w:tcPr>
          <w:p w14:paraId="36CA18BF" w14:textId="77777777" w:rsidR="00787570" w:rsidRDefault="000D56E2">
            <w:pPr>
              <w:ind w:hanging="180"/>
              <w:textAlignment w:val="top"/>
            </w:pPr>
            <w:r>
              <w:rPr>
                <w:rFonts w:ascii="Arial" w:eastAsia="宋体" w:hAnsi="Arial" w:cs="Arial"/>
                <w:b/>
                <w:bCs/>
                <w:color w:val="333333"/>
                <w:sz w:val="18"/>
                <w:szCs w:val="18"/>
              </w:rPr>
              <w:t>Operating income</w:t>
            </w:r>
          </w:p>
        </w:tc>
        <w:tc>
          <w:tcPr>
            <w:tcW w:w="0" w:type="auto"/>
            <w:gridSpan w:val="3"/>
            <w:shd w:val="clear" w:color="auto" w:fill="auto"/>
            <w:tcMar>
              <w:left w:w="20" w:type="dxa"/>
              <w:right w:w="20" w:type="dxa"/>
            </w:tcMar>
            <w:vAlign w:val="bottom"/>
          </w:tcPr>
          <w:p w14:paraId="36CA18C0" w14:textId="77777777" w:rsidR="00787570" w:rsidRDefault="00787570">
            <w:pPr>
              <w:rPr>
                <w:rFonts w:ascii="宋体"/>
              </w:rPr>
            </w:pPr>
          </w:p>
        </w:tc>
        <w:tc>
          <w:tcPr>
            <w:tcW w:w="0" w:type="auto"/>
            <w:gridSpan w:val="2"/>
            <w:tcBorders>
              <w:top w:val="single" w:sz="8" w:space="0" w:color="333333"/>
            </w:tcBorders>
            <w:shd w:val="clear" w:color="auto" w:fill="auto"/>
            <w:tcMar>
              <w:top w:w="40" w:type="dxa"/>
              <w:left w:w="20" w:type="dxa"/>
              <w:bottom w:w="40" w:type="dxa"/>
              <w:right w:w="0" w:type="dxa"/>
            </w:tcMar>
            <w:vAlign w:val="bottom"/>
          </w:tcPr>
          <w:p w14:paraId="36CA18C1" w14:textId="77777777" w:rsidR="00787570" w:rsidRDefault="000D56E2">
            <w:pPr>
              <w:jc w:val="right"/>
              <w:textAlignment w:val="bottom"/>
            </w:pPr>
            <w:r>
              <w:rPr>
                <w:rFonts w:ascii="Arial" w:eastAsia="宋体" w:hAnsi="Arial" w:cs="Arial"/>
                <w:b/>
                <w:bCs/>
                <w:color w:val="0071C5"/>
                <w:sz w:val="18"/>
                <w:szCs w:val="18"/>
              </w:rPr>
              <w:t>5,059</w:t>
            </w:r>
            <w:r>
              <w:rPr>
                <w:rFonts w:ascii="Arial" w:eastAsia="宋体" w:hAnsi="Arial" w:cs="Arial"/>
                <w:color w:val="0071C5"/>
                <w:sz w:val="18"/>
                <w:szCs w:val="18"/>
              </w:rPr>
              <w:t> </w:t>
            </w:r>
          </w:p>
        </w:tc>
        <w:tc>
          <w:tcPr>
            <w:tcW w:w="0" w:type="auto"/>
            <w:tcBorders>
              <w:top w:val="single" w:sz="8" w:space="0" w:color="333333"/>
            </w:tcBorders>
            <w:shd w:val="clear" w:color="auto" w:fill="auto"/>
            <w:tcMar>
              <w:top w:w="40" w:type="dxa"/>
              <w:bottom w:w="40" w:type="dxa"/>
              <w:right w:w="20" w:type="dxa"/>
            </w:tcMar>
            <w:vAlign w:val="bottom"/>
          </w:tcPr>
          <w:p w14:paraId="36CA18C2"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18C3" w14:textId="77777777" w:rsidR="00787570" w:rsidRDefault="00787570">
            <w:pPr>
              <w:rPr>
                <w:rFonts w:ascii="宋体"/>
              </w:rPr>
            </w:pPr>
          </w:p>
        </w:tc>
        <w:tc>
          <w:tcPr>
            <w:tcW w:w="0" w:type="auto"/>
            <w:gridSpan w:val="2"/>
            <w:tcBorders>
              <w:top w:val="single" w:sz="8" w:space="0" w:color="333333"/>
            </w:tcBorders>
            <w:shd w:val="clear" w:color="auto" w:fill="auto"/>
            <w:tcMar>
              <w:top w:w="40" w:type="dxa"/>
              <w:left w:w="20" w:type="dxa"/>
              <w:bottom w:w="40" w:type="dxa"/>
              <w:right w:w="0" w:type="dxa"/>
            </w:tcMar>
            <w:vAlign w:val="bottom"/>
          </w:tcPr>
          <w:p w14:paraId="36CA18C4" w14:textId="77777777" w:rsidR="00787570" w:rsidRDefault="000D56E2">
            <w:pPr>
              <w:jc w:val="right"/>
              <w:textAlignment w:val="bottom"/>
            </w:pPr>
            <w:r>
              <w:rPr>
                <w:rFonts w:ascii="Arial" w:eastAsia="宋体" w:hAnsi="Arial" w:cs="Arial"/>
                <w:b/>
                <w:bCs/>
                <w:color w:val="333333"/>
                <w:sz w:val="18"/>
                <w:szCs w:val="18"/>
              </w:rPr>
              <w:t>6,447</w:t>
            </w:r>
            <w:r>
              <w:rPr>
                <w:rFonts w:ascii="Arial" w:eastAsia="宋体" w:hAnsi="Arial" w:cs="Arial"/>
                <w:color w:val="333333"/>
                <w:sz w:val="18"/>
                <w:szCs w:val="18"/>
              </w:rPr>
              <w:t> </w:t>
            </w:r>
          </w:p>
        </w:tc>
        <w:tc>
          <w:tcPr>
            <w:tcW w:w="0" w:type="auto"/>
            <w:tcBorders>
              <w:top w:val="single" w:sz="8" w:space="0" w:color="333333"/>
            </w:tcBorders>
            <w:shd w:val="clear" w:color="auto" w:fill="auto"/>
            <w:tcMar>
              <w:top w:w="40" w:type="dxa"/>
              <w:bottom w:w="40" w:type="dxa"/>
              <w:right w:w="20" w:type="dxa"/>
            </w:tcMar>
            <w:vAlign w:val="bottom"/>
          </w:tcPr>
          <w:p w14:paraId="36CA18C5"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18C6" w14:textId="77777777" w:rsidR="00787570" w:rsidRDefault="00787570">
            <w:pPr>
              <w:rPr>
                <w:rFonts w:ascii="宋体"/>
              </w:rPr>
            </w:pPr>
          </w:p>
        </w:tc>
        <w:tc>
          <w:tcPr>
            <w:tcW w:w="0" w:type="auto"/>
            <w:gridSpan w:val="2"/>
            <w:tcBorders>
              <w:top w:val="single" w:sz="8" w:space="0" w:color="333333"/>
            </w:tcBorders>
            <w:shd w:val="clear" w:color="auto" w:fill="auto"/>
            <w:tcMar>
              <w:top w:w="40" w:type="dxa"/>
              <w:left w:w="20" w:type="dxa"/>
              <w:bottom w:w="40" w:type="dxa"/>
              <w:right w:w="0" w:type="dxa"/>
            </w:tcMar>
            <w:vAlign w:val="bottom"/>
          </w:tcPr>
          <w:p w14:paraId="36CA18C7" w14:textId="77777777" w:rsidR="00787570" w:rsidRDefault="000D56E2">
            <w:pPr>
              <w:jc w:val="right"/>
              <w:textAlignment w:val="bottom"/>
            </w:pPr>
            <w:r>
              <w:rPr>
                <w:rFonts w:ascii="Arial" w:eastAsia="宋体" w:hAnsi="Arial" w:cs="Arial"/>
                <w:b/>
                <w:bCs/>
                <w:color w:val="0071C5"/>
                <w:sz w:val="18"/>
                <w:szCs w:val="18"/>
              </w:rPr>
              <w:t>17,794</w:t>
            </w:r>
            <w:r>
              <w:rPr>
                <w:rFonts w:ascii="Arial" w:eastAsia="宋体" w:hAnsi="Arial" w:cs="Arial"/>
                <w:color w:val="0071C5"/>
                <w:sz w:val="18"/>
                <w:szCs w:val="18"/>
              </w:rPr>
              <w:t> </w:t>
            </w:r>
          </w:p>
        </w:tc>
        <w:tc>
          <w:tcPr>
            <w:tcW w:w="0" w:type="auto"/>
            <w:tcBorders>
              <w:top w:val="single" w:sz="8" w:space="0" w:color="333333"/>
            </w:tcBorders>
            <w:shd w:val="clear" w:color="auto" w:fill="auto"/>
            <w:tcMar>
              <w:top w:w="40" w:type="dxa"/>
              <w:bottom w:w="40" w:type="dxa"/>
              <w:right w:w="20" w:type="dxa"/>
            </w:tcMar>
            <w:vAlign w:val="bottom"/>
          </w:tcPr>
          <w:p w14:paraId="36CA18C8"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18C9" w14:textId="77777777" w:rsidR="00787570" w:rsidRDefault="00787570">
            <w:pPr>
              <w:rPr>
                <w:rFonts w:ascii="宋体"/>
              </w:rPr>
            </w:pPr>
          </w:p>
        </w:tc>
        <w:tc>
          <w:tcPr>
            <w:tcW w:w="0" w:type="auto"/>
            <w:gridSpan w:val="2"/>
            <w:tcBorders>
              <w:top w:val="single" w:sz="8" w:space="0" w:color="333333"/>
            </w:tcBorders>
            <w:shd w:val="clear" w:color="auto" w:fill="auto"/>
            <w:tcMar>
              <w:top w:w="40" w:type="dxa"/>
              <w:left w:w="20" w:type="dxa"/>
              <w:bottom w:w="40" w:type="dxa"/>
              <w:right w:w="0" w:type="dxa"/>
            </w:tcMar>
            <w:vAlign w:val="bottom"/>
          </w:tcPr>
          <w:p w14:paraId="36CA18CA" w14:textId="77777777" w:rsidR="00787570" w:rsidRDefault="000D56E2">
            <w:pPr>
              <w:jc w:val="right"/>
              <w:textAlignment w:val="bottom"/>
            </w:pPr>
            <w:r>
              <w:rPr>
                <w:rFonts w:ascii="Arial" w:eastAsia="宋体" w:hAnsi="Arial" w:cs="Arial"/>
                <w:b/>
                <w:bCs/>
                <w:color w:val="333333"/>
                <w:sz w:val="18"/>
                <w:szCs w:val="18"/>
              </w:rPr>
              <w:t>15,238</w:t>
            </w:r>
            <w:r>
              <w:rPr>
                <w:rFonts w:ascii="Arial" w:eastAsia="宋体" w:hAnsi="Arial" w:cs="Arial"/>
                <w:color w:val="333333"/>
                <w:sz w:val="18"/>
                <w:szCs w:val="18"/>
              </w:rPr>
              <w:t> </w:t>
            </w:r>
          </w:p>
        </w:tc>
        <w:tc>
          <w:tcPr>
            <w:tcW w:w="0" w:type="auto"/>
            <w:tcBorders>
              <w:top w:val="single" w:sz="8" w:space="0" w:color="333333"/>
            </w:tcBorders>
            <w:shd w:val="clear" w:color="auto" w:fill="auto"/>
            <w:tcMar>
              <w:top w:w="40" w:type="dxa"/>
              <w:bottom w:w="40" w:type="dxa"/>
              <w:right w:w="20" w:type="dxa"/>
            </w:tcMar>
            <w:vAlign w:val="bottom"/>
          </w:tcPr>
          <w:p w14:paraId="36CA18CB" w14:textId="77777777" w:rsidR="00787570" w:rsidRDefault="00787570">
            <w:pPr>
              <w:jc w:val="right"/>
              <w:rPr>
                <w:rFonts w:ascii="宋体"/>
              </w:rPr>
            </w:pPr>
          </w:p>
        </w:tc>
        <w:tc>
          <w:tcPr>
            <w:tcW w:w="0" w:type="auto"/>
            <w:shd w:val="clear" w:color="auto" w:fill="auto"/>
          </w:tcPr>
          <w:p w14:paraId="36CA18CC" w14:textId="77777777" w:rsidR="00787570" w:rsidRDefault="00787570">
            <w:pPr>
              <w:rPr>
                <w:rFonts w:ascii="宋体"/>
              </w:rPr>
            </w:pPr>
          </w:p>
        </w:tc>
        <w:tc>
          <w:tcPr>
            <w:tcW w:w="0" w:type="auto"/>
            <w:shd w:val="clear" w:color="auto" w:fill="auto"/>
          </w:tcPr>
          <w:p w14:paraId="36CA18CD" w14:textId="77777777" w:rsidR="00787570" w:rsidRDefault="00787570">
            <w:pPr>
              <w:rPr>
                <w:rFonts w:ascii="宋体"/>
              </w:rPr>
            </w:pPr>
          </w:p>
        </w:tc>
        <w:tc>
          <w:tcPr>
            <w:tcW w:w="0" w:type="auto"/>
            <w:shd w:val="clear" w:color="auto" w:fill="auto"/>
          </w:tcPr>
          <w:p w14:paraId="36CA18CE" w14:textId="77777777" w:rsidR="00787570" w:rsidRDefault="00787570">
            <w:pPr>
              <w:rPr>
                <w:rFonts w:ascii="宋体"/>
              </w:rPr>
            </w:pPr>
          </w:p>
        </w:tc>
        <w:tc>
          <w:tcPr>
            <w:tcW w:w="0" w:type="auto"/>
            <w:shd w:val="clear" w:color="auto" w:fill="auto"/>
          </w:tcPr>
          <w:p w14:paraId="36CA18CF" w14:textId="77777777" w:rsidR="00787570" w:rsidRDefault="00787570">
            <w:pPr>
              <w:rPr>
                <w:rFonts w:ascii="宋体"/>
              </w:rPr>
            </w:pPr>
          </w:p>
        </w:tc>
        <w:tc>
          <w:tcPr>
            <w:tcW w:w="0" w:type="auto"/>
            <w:shd w:val="clear" w:color="auto" w:fill="auto"/>
          </w:tcPr>
          <w:p w14:paraId="36CA18D0" w14:textId="77777777" w:rsidR="00787570" w:rsidRDefault="00787570">
            <w:pPr>
              <w:rPr>
                <w:rFonts w:ascii="宋体"/>
              </w:rPr>
            </w:pPr>
          </w:p>
        </w:tc>
        <w:tc>
          <w:tcPr>
            <w:tcW w:w="0" w:type="auto"/>
            <w:shd w:val="clear" w:color="auto" w:fill="auto"/>
          </w:tcPr>
          <w:p w14:paraId="36CA18D1" w14:textId="77777777" w:rsidR="00787570" w:rsidRDefault="00787570">
            <w:pPr>
              <w:rPr>
                <w:rFonts w:ascii="宋体"/>
              </w:rPr>
            </w:pPr>
          </w:p>
        </w:tc>
        <w:tc>
          <w:tcPr>
            <w:tcW w:w="0" w:type="auto"/>
            <w:shd w:val="clear" w:color="auto" w:fill="auto"/>
          </w:tcPr>
          <w:p w14:paraId="36CA18D2" w14:textId="77777777" w:rsidR="00787570" w:rsidRDefault="00787570">
            <w:pPr>
              <w:rPr>
                <w:rFonts w:ascii="宋体"/>
              </w:rPr>
            </w:pPr>
          </w:p>
        </w:tc>
        <w:tc>
          <w:tcPr>
            <w:tcW w:w="0" w:type="auto"/>
            <w:shd w:val="clear" w:color="auto" w:fill="auto"/>
          </w:tcPr>
          <w:p w14:paraId="36CA18D3" w14:textId="77777777" w:rsidR="00787570" w:rsidRDefault="00787570">
            <w:pPr>
              <w:rPr>
                <w:rFonts w:ascii="宋体"/>
              </w:rPr>
            </w:pPr>
          </w:p>
        </w:tc>
        <w:tc>
          <w:tcPr>
            <w:tcW w:w="0" w:type="auto"/>
            <w:shd w:val="clear" w:color="auto" w:fill="auto"/>
          </w:tcPr>
          <w:p w14:paraId="36CA18D4" w14:textId="77777777" w:rsidR="00787570" w:rsidRDefault="00787570">
            <w:pPr>
              <w:rPr>
                <w:rFonts w:ascii="宋体"/>
              </w:rPr>
            </w:pPr>
          </w:p>
        </w:tc>
        <w:tc>
          <w:tcPr>
            <w:tcW w:w="0" w:type="auto"/>
            <w:shd w:val="clear" w:color="auto" w:fill="auto"/>
          </w:tcPr>
          <w:p w14:paraId="36CA18D5" w14:textId="77777777" w:rsidR="00787570" w:rsidRDefault="00787570">
            <w:pPr>
              <w:rPr>
                <w:rFonts w:ascii="宋体"/>
              </w:rPr>
            </w:pPr>
          </w:p>
        </w:tc>
        <w:tc>
          <w:tcPr>
            <w:tcW w:w="0" w:type="auto"/>
            <w:shd w:val="clear" w:color="auto" w:fill="auto"/>
          </w:tcPr>
          <w:p w14:paraId="36CA18D6" w14:textId="77777777" w:rsidR="00787570" w:rsidRDefault="00787570">
            <w:pPr>
              <w:rPr>
                <w:rFonts w:ascii="宋体"/>
              </w:rPr>
            </w:pPr>
          </w:p>
        </w:tc>
        <w:tc>
          <w:tcPr>
            <w:tcW w:w="0" w:type="auto"/>
            <w:shd w:val="clear" w:color="auto" w:fill="auto"/>
          </w:tcPr>
          <w:p w14:paraId="36CA18D7" w14:textId="77777777" w:rsidR="00787570" w:rsidRDefault="00787570">
            <w:pPr>
              <w:rPr>
                <w:rFonts w:ascii="宋体"/>
              </w:rPr>
            </w:pPr>
          </w:p>
        </w:tc>
      </w:tr>
      <w:tr w:rsidR="00787570" w14:paraId="36CA18F2" w14:textId="77777777">
        <w:tc>
          <w:tcPr>
            <w:tcW w:w="0" w:type="auto"/>
            <w:gridSpan w:val="3"/>
            <w:shd w:val="clear" w:color="auto" w:fill="auto"/>
            <w:tcMar>
              <w:top w:w="40" w:type="dxa"/>
              <w:left w:w="20" w:type="dxa"/>
              <w:bottom w:w="40" w:type="dxa"/>
              <w:right w:w="20" w:type="dxa"/>
            </w:tcMar>
          </w:tcPr>
          <w:p w14:paraId="36CA18D9" w14:textId="77777777" w:rsidR="00787570" w:rsidRDefault="000D56E2">
            <w:pPr>
              <w:ind w:hanging="180"/>
              <w:textAlignment w:val="top"/>
            </w:pPr>
            <w:r>
              <w:rPr>
                <w:rFonts w:ascii="Arial" w:eastAsia="宋体" w:hAnsi="Arial" w:cs="Arial"/>
                <w:color w:val="333333"/>
                <w:sz w:val="18"/>
                <w:szCs w:val="18"/>
              </w:rPr>
              <w:t>Gains (losses) on equity investments, net</w:t>
            </w:r>
          </w:p>
        </w:tc>
        <w:tc>
          <w:tcPr>
            <w:tcW w:w="0" w:type="auto"/>
            <w:gridSpan w:val="3"/>
            <w:shd w:val="clear" w:color="auto" w:fill="auto"/>
            <w:tcMar>
              <w:left w:w="20" w:type="dxa"/>
              <w:right w:w="20" w:type="dxa"/>
            </w:tcMar>
            <w:vAlign w:val="bottom"/>
          </w:tcPr>
          <w:p w14:paraId="36CA18DA"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18DB" w14:textId="77777777" w:rsidR="00787570" w:rsidRDefault="000D56E2">
            <w:pPr>
              <w:jc w:val="right"/>
              <w:textAlignment w:val="bottom"/>
            </w:pPr>
            <w:r>
              <w:rPr>
                <w:rFonts w:ascii="Arial" w:eastAsia="宋体" w:hAnsi="Arial" w:cs="Arial"/>
                <w:color w:val="0071C5"/>
                <w:sz w:val="18"/>
                <w:szCs w:val="18"/>
              </w:rPr>
              <w:t>56 </w:t>
            </w:r>
          </w:p>
        </w:tc>
        <w:tc>
          <w:tcPr>
            <w:tcW w:w="0" w:type="auto"/>
            <w:shd w:val="clear" w:color="auto" w:fill="auto"/>
            <w:tcMar>
              <w:top w:w="40" w:type="dxa"/>
              <w:bottom w:w="40" w:type="dxa"/>
              <w:right w:w="20" w:type="dxa"/>
            </w:tcMar>
            <w:vAlign w:val="bottom"/>
          </w:tcPr>
          <w:p w14:paraId="36CA18DC"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18DD"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18DE" w14:textId="77777777" w:rsidR="00787570" w:rsidRDefault="000D56E2">
            <w:pPr>
              <w:jc w:val="right"/>
              <w:textAlignment w:val="bottom"/>
            </w:pPr>
            <w:r>
              <w:rPr>
                <w:rFonts w:ascii="Arial" w:eastAsia="宋体" w:hAnsi="Arial" w:cs="Arial"/>
                <w:color w:val="333333"/>
                <w:sz w:val="18"/>
                <w:szCs w:val="18"/>
              </w:rPr>
              <w:t>318 </w:t>
            </w:r>
          </w:p>
        </w:tc>
        <w:tc>
          <w:tcPr>
            <w:tcW w:w="0" w:type="auto"/>
            <w:shd w:val="clear" w:color="auto" w:fill="auto"/>
            <w:tcMar>
              <w:top w:w="40" w:type="dxa"/>
              <w:bottom w:w="40" w:type="dxa"/>
              <w:right w:w="20" w:type="dxa"/>
            </w:tcMar>
            <w:vAlign w:val="bottom"/>
          </w:tcPr>
          <w:p w14:paraId="36CA18DF"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18E0"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18E1" w14:textId="77777777" w:rsidR="00787570" w:rsidRDefault="000D56E2">
            <w:pPr>
              <w:jc w:val="right"/>
              <w:textAlignment w:val="bottom"/>
            </w:pPr>
            <w:r>
              <w:rPr>
                <w:rFonts w:ascii="Arial" w:eastAsia="宋体" w:hAnsi="Arial" w:cs="Arial"/>
                <w:color w:val="0071C5"/>
                <w:sz w:val="18"/>
                <w:szCs w:val="18"/>
              </w:rPr>
              <w:t>212 </w:t>
            </w:r>
          </w:p>
        </w:tc>
        <w:tc>
          <w:tcPr>
            <w:tcW w:w="0" w:type="auto"/>
            <w:shd w:val="clear" w:color="auto" w:fill="auto"/>
            <w:tcMar>
              <w:top w:w="40" w:type="dxa"/>
              <w:bottom w:w="40" w:type="dxa"/>
              <w:right w:w="20" w:type="dxa"/>
            </w:tcMar>
            <w:vAlign w:val="bottom"/>
          </w:tcPr>
          <w:p w14:paraId="36CA18E2"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18E3"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18E4" w14:textId="77777777" w:rsidR="00787570" w:rsidRDefault="000D56E2">
            <w:pPr>
              <w:jc w:val="right"/>
              <w:textAlignment w:val="bottom"/>
            </w:pPr>
            <w:r>
              <w:rPr>
                <w:rFonts w:ascii="Arial" w:eastAsia="宋体" w:hAnsi="Arial" w:cs="Arial"/>
                <w:color w:val="333333"/>
                <w:sz w:val="18"/>
                <w:szCs w:val="18"/>
              </w:rPr>
              <w:t>922 </w:t>
            </w:r>
          </w:p>
        </w:tc>
        <w:tc>
          <w:tcPr>
            <w:tcW w:w="0" w:type="auto"/>
            <w:shd w:val="clear" w:color="auto" w:fill="auto"/>
            <w:tcMar>
              <w:top w:w="40" w:type="dxa"/>
              <w:bottom w:w="40" w:type="dxa"/>
              <w:right w:w="20" w:type="dxa"/>
            </w:tcMar>
            <w:vAlign w:val="bottom"/>
          </w:tcPr>
          <w:p w14:paraId="36CA18E5" w14:textId="77777777" w:rsidR="00787570" w:rsidRDefault="00787570">
            <w:pPr>
              <w:jc w:val="right"/>
              <w:rPr>
                <w:rFonts w:ascii="宋体"/>
              </w:rPr>
            </w:pPr>
          </w:p>
        </w:tc>
        <w:tc>
          <w:tcPr>
            <w:tcW w:w="0" w:type="auto"/>
            <w:shd w:val="clear" w:color="auto" w:fill="auto"/>
          </w:tcPr>
          <w:p w14:paraId="36CA18E6" w14:textId="77777777" w:rsidR="00787570" w:rsidRDefault="00787570">
            <w:pPr>
              <w:rPr>
                <w:rFonts w:ascii="宋体"/>
              </w:rPr>
            </w:pPr>
          </w:p>
        </w:tc>
        <w:tc>
          <w:tcPr>
            <w:tcW w:w="0" w:type="auto"/>
            <w:shd w:val="clear" w:color="auto" w:fill="auto"/>
          </w:tcPr>
          <w:p w14:paraId="36CA18E7" w14:textId="77777777" w:rsidR="00787570" w:rsidRDefault="00787570">
            <w:pPr>
              <w:rPr>
                <w:rFonts w:ascii="宋体"/>
              </w:rPr>
            </w:pPr>
          </w:p>
        </w:tc>
        <w:tc>
          <w:tcPr>
            <w:tcW w:w="0" w:type="auto"/>
            <w:shd w:val="clear" w:color="auto" w:fill="auto"/>
          </w:tcPr>
          <w:p w14:paraId="36CA18E8" w14:textId="77777777" w:rsidR="00787570" w:rsidRDefault="00787570">
            <w:pPr>
              <w:rPr>
                <w:rFonts w:ascii="宋体"/>
              </w:rPr>
            </w:pPr>
          </w:p>
        </w:tc>
        <w:tc>
          <w:tcPr>
            <w:tcW w:w="0" w:type="auto"/>
            <w:shd w:val="clear" w:color="auto" w:fill="auto"/>
          </w:tcPr>
          <w:p w14:paraId="36CA18E9" w14:textId="77777777" w:rsidR="00787570" w:rsidRDefault="00787570">
            <w:pPr>
              <w:rPr>
                <w:rFonts w:ascii="宋体"/>
              </w:rPr>
            </w:pPr>
          </w:p>
        </w:tc>
        <w:tc>
          <w:tcPr>
            <w:tcW w:w="0" w:type="auto"/>
            <w:shd w:val="clear" w:color="auto" w:fill="auto"/>
          </w:tcPr>
          <w:p w14:paraId="36CA18EA" w14:textId="77777777" w:rsidR="00787570" w:rsidRDefault="00787570">
            <w:pPr>
              <w:rPr>
                <w:rFonts w:ascii="宋体"/>
              </w:rPr>
            </w:pPr>
          </w:p>
        </w:tc>
        <w:tc>
          <w:tcPr>
            <w:tcW w:w="0" w:type="auto"/>
            <w:shd w:val="clear" w:color="auto" w:fill="auto"/>
          </w:tcPr>
          <w:p w14:paraId="36CA18EB" w14:textId="77777777" w:rsidR="00787570" w:rsidRDefault="00787570">
            <w:pPr>
              <w:rPr>
                <w:rFonts w:ascii="宋体"/>
              </w:rPr>
            </w:pPr>
          </w:p>
        </w:tc>
        <w:tc>
          <w:tcPr>
            <w:tcW w:w="0" w:type="auto"/>
            <w:shd w:val="clear" w:color="auto" w:fill="auto"/>
          </w:tcPr>
          <w:p w14:paraId="36CA18EC" w14:textId="77777777" w:rsidR="00787570" w:rsidRDefault="00787570">
            <w:pPr>
              <w:rPr>
                <w:rFonts w:ascii="宋体"/>
              </w:rPr>
            </w:pPr>
          </w:p>
        </w:tc>
        <w:tc>
          <w:tcPr>
            <w:tcW w:w="0" w:type="auto"/>
            <w:shd w:val="clear" w:color="auto" w:fill="auto"/>
          </w:tcPr>
          <w:p w14:paraId="36CA18ED" w14:textId="77777777" w:rsidR="00787570" w:rsidRDefault="00787570">
            <w:pPr>
              <w:rPr>
                <w:rFonts w:ascii="宋体"/>
              </w:rPr>
            </w:pPr>
          </w:p>
        </w:tc>
        <w:tc>
          <w:tcPr>
            <w:tcW w:w="0" w:type="auto"/>
            <w:shd w:val="clear" w:color="auto" w:fill="auto"/>
          </w:tcPr>
          <w:p w14:paraId="36CA18EE" w14:textId="77777777" w:rsidR="00787570" w:rsidRDefault="00787570">
            <w:pPr>
              <w:rPr>
                <w:rFonts w:ascii="宋体"/>
              </w:rPr>
            </w:pPr>
          </w:p>
        </w:tc>
        <w:tc>
          <w:tcPr>
            <w:tcW w:w="0" w:type="auto"/>
            <w:shd w:val="clear" w:color="auto" w:fill="auto"/>
          </w:tcPr>
          <w:p w14:paraId="36CA18EF" w14:textId="77777777" w:rsidR="00787570" w:rsidRDefault="00787570">
            <w:pPr>
              <w:rPr>
                <w:rFonts w:ascii="宋体"/>
              </w:rPr>
            </w:pPr>
          </w:p>
        </w:tc>
        <w:tc>
          <w:tcPr>
            <w:tcW w:w="0" w:type="auto"/>
            <w:shd w:val="clear" w:color="auto" w:fill="auto"/>
          </w:tcPr>
          <w:p w14:paraId="36CA18F0" w14:textId="77777777" w:rsidR="00787570" w:rsidRDefault="00787570">
            <w:pPr>
              <w:rPr>
                <w:rFonts w:ascii="宋体"/>
              </w:rPr>
            </w:pPr>
          </w:p>
        </w:tc>
        <w:tc>
          <w:tcPr>
            <w:tcW w:w="0" w:type="auto"/>
            <w:shd w:val="clear" w:color="auto" w:fill="auto"/>
          </w:tcPr>
          <w:p w14:paraId="36CA18F1" w14:textId="77777777" w:rsidR="00787570" w:rsidRDefault="00787570">
            <w:pPr>
              <w:rPr>
                <w:rFonts w:ascii="宋体"/>
              </w:rPr>
            </w:pPr>
          </w:p>
        </w:tc>
      </w:tr>
      <w:tr w:rsidR="00787570" w14:paraId="36CA190C" w14:textId="77777777">
        <w:tc>
          <w:tcPr>
            <w:tcW w:w="0" w:type="auto"/>
            <w:gridSpan w:val="3"/>
            <w:shd w:val="clear" w:color="auto" w:fill="auto"/>
            <w:tcMar>
              <w:top w:w="40" w:type="dxa"/>
              <w:left w:w="20" w:type="dxa"/>
              <w:bottom w:w="40" w:type="dxa"/>
              <w:right w:w="20" w:type="dxa"/>
            </w:tcMar>
          </w:tcPr>
          <w:p w14:paraId="36CA18F3" w14:textId="77777777" w:rsidR="00787570" w:rsidRDefault="000D56E2">
            <w:pPr>
              <w:ind w:hanging="180"/>
              <w:textAlignment w:val="top"/>
            </w:pPr>
            <w:r>
              <w:rPr>
                <w:rFonts w:ascii="Arial" w:eastAsia="宋体" w:hAnsi="Arial" w:cs="Arial"/>
                <w:color w:val="333333"/>
                <w:sz w:val="18"/>
                <w:szCs w:val="18"/>
              </w:rPr>
              <w:t>Interest and other, net</w:t>
            </w:r>
          </w:p>
        </w:tc>
        <w:tc>
          <w:tcPr>
            <w:tcW w:w="0" w:type="auto"/>
            <w:gridSpan w:val="3"/>
            <w:shd w:val="clear" w:color="auto" w:fill="auto"/>
            <w:tcMar>
              <w:left w:w="20" w:type="dxa"/>
              <w:right w:w="20" w:type="dxa"/>
            </w:tcMar>
            <w:vAlign w:val="bottom"/>
          </w:tcPr>
          <w:p w14:paraId="36CA18F4"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18F5" w14:textId="77777777" w:rsidR="00787570" w:rsidRDefault="000D56E2">
            <w:pPr>
              <w:jc w:val="right"/>
              <w:textAlignment w:val="bottom"/>
            </w:pPr>
            <w:r>
              <w:rPr>
                <w:rFonts w:ascii="Arial" w:eastAsia="宋体" w:hAnsi="Arial" w:cs="Arial"/>
                <w:color w:val="0071C5"/>
                <w:sz w:val="18"/>
                <w:szCs w:val="18"/>
              </w:rPr>
              <w:t>(74)</w:t>
            </w:r>
          </w:p>
        </w:tc>
        <w:tc>
          <w:tcPr>
            <w:tcW w:w="0" w:type="auto"/>
            <w:shd w:val="clear" w:color="auto" w:fill="auto"/>
            <w:tcMar>
              <w:top w:w="40" w:type="dxa"/>
              <w:bottom w:w="40" w:type="dxa"/>
              <w:right w:w="20" w:type="dxa"/>
            </w:tcMar>
            <w:vAlign w:val="bottom"/>
          </w:tcPr>
          <w:p w14:paraId="36CA18F6"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18F7"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18F8" w14:textId="77777777" w:rsidR="00787570" w:rsidRDefault="000D56E2">
            <w:pPr>
              <w:jc w:val="right"/>
              <w:textAlignment w:val="bottom"/>
            </w:pPr>
            <w:r>
              <w:rPr>
                <w:rFonts w:ascii="Arial" w:eastAsia="宋体" w:hAnsi="Arial" w:cs="Arial"/>
                <w:color w:val="333333"/>
                <w:sz w:val="18"/>
                <w:szCs w:val="18"/>
              </w:rPr>
              <w:t>(46)</w:t>
            </w:r>
          </w:p>
        </w:tc>
        <w:tc>
          <w:tcPr>
            <w:tcW w:w="0" w:type="auto"/>
            <w:shd w:val="clear" w:color="auto" w:fill="auto"/>
            <w:tcMar>
              <w:top w:w="40" w:type="dxa"/>
              <w:bottom w:w="40" w:type="dxa"/>
              <w:right w:w="20" w:type="dxa"/>
            </w:tcMar>
            <w:vAlign w:val="bottom"/>
          </w:tcPr>
          <w:p w14:paraId="36CA18F9"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18FA"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18FB" w14:textId="77777777" w:rsidR="00787570" w:rsidRDefault="000D56E2">
            <w:pPr>
              <w:jc w:val="right"/>
              <w:textAlignment w:val="bottom"/>
            </w:pPr>
            <w:r>
              <w:rPr>
                <w:rFonts w:ascii="Arial" w:eastAsia="宋体" w:hAnsi="Arial" w:cs="Arial"/>
                <w:color w:val="0071C5"/>
                <w:sz w:val="18"/>
                <w:szCs w:val="18"/>
              </w:rPr>
              <w:t>(416)</w:t>
            </w:r>
          </w:p>
        </w:tc>
        <w:tc>
          <w:tcPr>
            <w:tcW w:w="0" w:type="auto"/>
            <w:shd w:val="clear" w:color="auto" w:fill="auto"/>
            <w:tcMar>
              <w:top w:w="40" w:type="dxa"/>
              <w:bottom w:w="40" w:type="dxa"/>
              <w:right w:w="20" w:type="dxa"/>
            </w:tcMar>
            <w:vAlign w:val="bottom"/>
          </w:tcPr>
          <w:p w14:paraId="36CA18FC"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18FD"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18FE" w14:textId="77777777" w:rsidR="00787570" w:rsidRDefault="000D56E2">
            <w:pPr>
              <w:jc w:val="right"/>
              <w:textAlignment w:val="bottom"/>
            </w:pPr>
            <w:r>
              <w:rPr>
                <w:rFonts w:ascii="Arial" w:eastAsia="宋体" w:hAnsi="Arial" w:cs="Arial"/>
                <w:color w:val="333333"/>
                <w:sz w:val="18"/>
                <w:szCs w:val="18"/>
              </w:rPr>
              <w:t>(170)</w:t>
            </w:r>
          </w:p>
        </w:tc>
        <w:tc>
          <w:tcPr>
            <w:tcW w:w="0" w:type="auto"/>
            <w:shd w:val="clear" w:color="auto" w:fill="auto"/>
            <w:tcMar>
              <w:top w:w="40" w:type="dxa"/>
              <w:bottom w:w="40" w:type="dxa"/>
              <w:right w:w="20" w:type="dxa"/>
            </w:tcMar>
            <w:vAlign w:val="bottom"/>
          </w:tcPr>
          <w:p w14:paraId="36CA18FF" w14:textId="77777777" w:rsidR="00787570" w:rsidRDefault="00787570">
            <w:pPr>
              <w:jc w:val="right"/>
              <w:rPr>
                <w:rFonts w:ascii="宋体"/>
              </w:rPr>
            </w:pPr>
          </w:p>
        </w:tc>
        <w:tc>
          <w:tcPr>
            <w:tcW w:w="0" w:type="auto"/>
            <w:shd w:val="clear" w:color="auto" w:fill="auto"/>
          </w:tcPr>
          <w:p w14:paraId="36CA1900" w14:textId="77777777" w:rsidR="00787570" w:rsidRDefault="00787570">
            <w:pPr>
              <w:rPr>
                <w:rFonts w:ascii="宋体"/>
              </w:rPr>
            </w:pPr>
          </w:p>
        </w:tc>
        <w:tc>
          <w:tcPr>
            <w:tcW w:w="0" w:type="auto"/>
            <w:shd w:val="clear" w:color="auto" w:fill="auto"/>
          </w:tcPr>
          <w:p w14:paraId="36CA1901" w14:textId="77777777" w:rsidR="00787570" w:rsidRDefault="00787570">
            <w:pPr>
              <w:rPr>
                <w:rFonts w:ascii="宋体"/>
              </w:rPr>
            </w:pPr>
          </w:p>
        </w:tc>
        <w:tc>
          <w:tcPr>
            <w:tcW w:w="0" w:type="auto"/>
            <w:shd w:val="clear" w:color="auto" w:fill="auto"/>
          </w:tcPr>
          <w:p w14:paraId="36CA1902" w14:textId="77777777" w:rsidR="00787570" w:rsidRDefault="00787570">
            <w:pPr>
              <w:rPr>
                <w:rFonts w:ascii="宋体"/>
              </w:rPr>
            </w:pPr>
          </w:p>
        </w:tc>
        <w:tc>
          <w:tcPr>
            <w:tcW w:w="0" w:type="auto"/>
            <w:shd w:val="clear" w:color="auto" w:fill="auto"/>
          </w:tcPr>
          <w:p w14:paraId="36CA1903" w14:textId="77777777" w:rsidR="00787570" w:rsidRDefault="00787570">
            <w:pPr>
              <w:rPr>
                <w:rFonts w:ascii="宋体"/>
              </w:rPr>
            </w:pPr>
          </w:p>
        </w:tc>
        <w:tc>
          <w:tcPr>
            <w:tcW w:w="0" w:type="auto"/>
            <w:shd w:val="clear" w:color="auto" w:fill="auto"/>
          </w:tcPr>
          <w:p w14:paraId="36CA1904" w14:textId="77777777" w:rsidR="00787570" w:rsidRDefault="00787570">
            <w:pPr>
              <w:rPr>
                <w:rFonts w:ascii="宋体"/>
              </w:rPr>
            </w:pPr>
          </w:p>
        </w:tc>
        <w:tc>
          <w:tcPr>
            <w:tcW w:w="0" w:type="auto"/>
            <w:shd w:val="clear" w:color="auto" w:fill="auto"/>
          </w:tcPr>
          <w:p w14:paraId="36CA1905" w14:textId="77777777" w:rsidR="00787570" w:rsidRDefault="00787570">
            <w:pPr>
              <w:rPr>
                <w:rFonts w:ascii="宋体"/>
              </w:rPr>
            </w:pPr>
          </w:p>
        </w:tc>
        <w:tc>
          <w:tcPr>
            <w:tcW w:w="0" w:type="auto"/>
            <w:shd w:val="clear" w:color="auto" w:fill="auto"/>
          </w:tcPr>
          <w:p w14:paraId="36CA1906" w14:textId="77777777" w:rsidR="00787570" w:rsidRDefault="00787570">
            <w:pPr>
              <w:rPr>
                <w:rFonts w:ascii="宋体"/>
              </w:rPr>
            </w:pPr>
          </w:p>
        </w:tc>
        <w:tc>
          <w:tcPr>
            <w:tcW w:w="0" w:type="auto"/>
            <w:shd w:val="clear" w:color="auto" w:fill="auto"/>
          </w:tcPr>
          <w:p w14:paraId="36CA1907" w14:textId="77777777" w:rsidR="00787570" w:rsidRDefault="00787570">
            <w:pPr>
              <w:rPr>
                <w:rFonts w:ascii="宋体"/>
              </w:rPr>
            </w:pPr>
          </w:p>
        </w:tc>
        <w:tc>
          <w:tcPr>
            <w:tcW w:w="0" w:type="auto"/>
            <w:shd w:val="clear" w:color="auto" w:fill="auto"/>
          </w:tcPr>
          <w:p w14:paraId="36CA1908" w14:textId="77777777" w:rsidR="00787570" w:rsidRDefault="00787570">
            <w:pPr>
              <w:rPr>
                <w:rFonts w:ascii="宋体"/>
              </w:rPr>
            </w:pPr>
          </w:p>
        </w:tc>
        <w:tc>
          <w:tcPr>
            <w:tcW w:w="0" w:type="auto"/>
            <w:shd w:val="clear" w:color="auto" w:fill="auto"/>
          </w:tcPr>
          <w:p w14:paraId="36CA1909" w14:textId="77777777" w:rsidR="00787570" w:rsidRDefault="00787570">
            <w:pPr>
              <w:rPr>
                <w:rFonts w:ascii="宋体"/>
              </w:rPr>
            </w:pPr>
          </w:p>
        </w:tc>
        <w:tc>
          <w:tcPr>
            <w:tcW w:w="0" w:type="auto"/>
            <w:shd w:val="clear" w:color="auto" w:fill="auto"/>
          </w:tcPr>
          <w:p w14:paraId="36CA190A" w14:textId="77777777" w:rsidR="00787570" w:rsidRDefault="00787570">
            <w:pPr>
              <w:rPr>
                <w:rFonts w:ascii="宋体"/>
              </w:rPr>
            </w:pPr>
          </w:p>
        </w:tc>
        <w:tc>
          <w:tcPr>
            <w:tcW w:w="0" w:type="auto"/>
            <w:shd w:val="clear" w:color="auto" w:fill="auto"/>
          </w:tcPr>
          <w:p w14:paraId="36CA190B" w14:textId="77777777" w:rsidR="00787570" w:rsidRDefault="00787570">
            <w:pPr>
              <w:rPr>
                <w:rFonts w:ascii="宋体"/>
              </w:rPr>
            </w:pPr>
          </w:p>
        </w:tc>
      </w:tr>
      <w:tr w:rsidR="00787570" w14:paraId="36CA1926" w14:textId="77777777">
        <w:tc>
          <w:tcPr>
            <w:tcW w:w="0" w:type="auto"/>
            <w:gridSpan w:val="3"/>
            <w:shd w:val="clear" w:color="auto" w:fill="auto"/>
            <w:tcMar>
              <w:top w:w="40" w:type="dxa"/>
              <w:left w:w="20" w:type="dxa"/>
              <w:bottom w:w="40" w:type="dxa"/>
              <w:right w:w="20" w:type="dxa"/>
            </w:tcMar>
          </w:tcPr>
          <w:p w14:paraId="36CA190D" w14:textId="77777777" w:rsidR="00787570" w:rsidRDefault="000D56E2">
            <w:pPr>
              <w:ind w:hanging="180"/>
              <w:textAlignment w:val="top"/>
            </w:pPr>
            <w:r>
              <w:rPr>
                <w:rFonts w:ascii="Arial" w:eastAsia="宋体" w:hAnsi="Arial" w:cs="Arial"/>
                <w:b/>
                <w:bCs/>
                <w:color w:val="333333"/>
                <w:sz w:val="18"/>
                <w:szCs w:val="18"/>
              </w:rPr>
              <w:t>Income before taxes</w:t>
            </w:r>
          </w:p>
        </w:tc>
        <w:tc>
          <w:tcPr>
            <w:tcW w:w="0" w:type="auto"/>
            <w:gridSpan w:val="3"/>
            <w:shd w:val="clear" w:color="auto" w:fill="auto"/>
            <w:tcMar>
              <w:left w:w="20" w:type="dxa"/>
              <w:right w:w="20" w:type="dxa"/>
            </w:tcMar>
            <w:vAlign w:val="bottom"/>
          </w:tcPr>
          <w:p w14:paraId="36CA190E" w14:textId="77777777" w:rsidR="00787570" w:rsidRDefault="00787570">
            <w:pPr>
              <w:rPr>
                <w:rFonts w:ascii="宋体"/>
              </w:rPr>
            </w:pPr>
          </w:p>
        </w:tc>
        <w:tc>
          <w:tcPr>
            <w:tcW w:w="0" w:type="auto"/>
            <w:gridSpan w:val="2"/>
            <w:tcBorders>
              <w:top w:val="single" w:sz="8" w:space="0" w:color="333333"/>
            </w:tcBorders>
            <w:shd w:val="clear" w:color="auto" w:fill="auto"/>
            <w:tcMar>
              <w:top w:w="40" w:type="dxa"/>
              <w:left w:w="20" w:type="dxa"/>
              <w:bottom w:w="40" w:type="dxa"/>
              <w:right w:w="0" w:type="dxa"/>
            </w:tcMar>
            <w:vAlign w:val="bottom"/>
          </w:tcPr>
          <w:p w14:paraId="36CA190F" w14:textId="77777777" w:rsidR="00787570" w:rsidRDefault="000D56E2">
            <w:pPr>
              <w:jc w:val="right"/>
              <w:textAlignment w:val="bottom"/>
            </w:pPr>
            <w:r>
              <w:rPr>
                <w:rFonts w:ascii="Arial" w:eastAsia="宋体" w:hAnsi="Arial" w:cs="Arial"/>
                <w:b/>
                <w:bCs/>
                <w:color w:val="0071C5"/>
                <w:sz w:val="18"/>
                <w:szCs w:val="18"/>
              </w:rPr>
              <w:t>5,041</w:t>
            </w:r>
            <w:r>
              <w:rPr>
                <w:rFonts w:ascii="Arial" w:eastAsia="宋体" w:hAnsi="Arial" w:cs="Arial"/>
                <w:color w:val="0071C5"/>
                <w:sz w:val="18"/>
                <w:szCs w:val="18"/>
              </w:rPr>
              <w:t> </w:t>
            </w:r>
          </w:p>
        </w:tc>
        <w:tc>
          <w:tcPr>
            <w:tcW w:w="0" w:type="auto"/>
            <w:tcBorders>
              <w:top w:val="single" w:sz="8" w:space="0" w:color="333333"/>
            </w:tcBorders>
            <w:shd w:val="clear" w:color="auto" w:fill="auto"/>
            <w:tcMar>
              <w:top w:w="40" w:type="dxa"/>
              <w:bottom w:w="40" w:type="dxa"/>
              <w:right w:w="20" w:type="dxa"/>
            </w:tcMar>
            <w:vAlign w:val="bottom"/>
          </w:tcPr>
          <w:p w14:paraId="36CA1910"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1911" w14:textId="77777777" w:rsidR="00787570" w:rsidRDefault="00787570">
            <w:pPr>
              <w:rPr>
                <w:rFonts w:ascii="宋体"/>
              </w:rPr>
            </w:pPr>
          </w:p>
        </w:tc>
        <w:tc>
          <w:tcPr>
            <w:tcW w:w="0" w:type="auto"/>
            <w:gridSpan w:val="2"/>
            <w:tcBorders>
              <w:top w:val="single" w:sz="8" w:space="0" w:color="333333"/>
            </w:tcBorders>
            <w:shd w:val="clear" w:color="auto" w:fill="auto"/>
            <w:tcMar>
              <w:top w:w="40" w:type="dxa"/>
              <w:left w:w="20" w:type="dxa"/>
              <w:bottom w:w="40" w:type="dxa"/>
              <w:right w:w="0" w:type="dxa"/>
            </w:tcMar>
            <w:vAlign w:val="bottom"/>
          </w:tcPr>
          <w:p w14:paraId="36CA1912" w14:textId="77777777" w:rsidR="00787570" w:rsidRDefault="000D56E2">
            <w:pPr>
              <w:jc w:val="right"/>
              <w:textAlignment w:val="bottom"/>
            </w:pPr>
            <w:r>
              <w:rPr>
                <w:rFonts w:ascii="Arial" w:eastAsia="宋体" w:hAnsi="Arial" w:cs="Arial"/>
                <w:b/>
                <w:bCs/>
                <w:color w:val="333333"/>
                <w:sz w:val="18"/>
                <w:szCs w:val="18"/>
              </w:rPr>
              <w:t>6,719</w:t>
            </w:r>
            <w:r>
              <w:rPr>
                <w:rFonts w:ascii="Arial" w:eastAsia="宋体" w:hAnsi="Arial" w:cs="Arial"/>
                <w:color w:val="333333"/>
                <w:sz w:val="18"/>
                <w:szCs w:val="18"/>
              </w:rPr>
              <w:t> </w:t>
            </w:r>
          </w:p>
        </w:tc>
        <w:tc>
          <w:tcPr>
            <w:tcW w:w="0" w:type="auto"/>
            <w:tcBorders>
              <w:top w:val="single" w:sz="8" w:space="0" w:color="333333"/>
            </w:tcBorders>
            <w:shd w:val="clear" w:color="auto" w:fill="auto"/>
            <w:tcMar>
              <w:top w:w="40" w:type="dxa"/>
              <w:bottom w:w="40" w:type="dxa"/>
              <w:right w:w="20" w:type="dxa"/>
            </w:tcMar>
            <w:vAlign w:val="bottom"/>
          </w:tcPr>
          <w:p w14:paraId="36CA1913"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1914" w14:textId="77777777" w:rsidR="00787570" w:rsidRDefault="00787570">
            <w:pPr>
              <w:rPr>
                <w:rFonts w:ascii="宋体"/>
              </w:rPr>
            </w:pPr>
          </w:p>
        </w:tc>
        <w:tc>
          <w:tcPr>
            <w:tcW w:w="0" w:type="auto"/>
            <w:gridSpan w:val="2"/>
            <w:tcBorders>
              <w:top w:val="single" w:sz="8" w:space="0" w:color="333333"/>
            </w:tcBorders>
            <w:shd w:val="clear" w:color="auto" w:fill="auto"/>
            <w:tcMar>
              <w:top w:w="40" w:type="dxa"/>
              <w:left w:w="20" w:type="dxa"/>
              <w:bottom w:w="40" w:type="dxa"/>
              <w:right w:w="0" w:type="dxa"/>
            </w:tcMar>
            <w:vAlign w:val="bottom"/>
          </w:tcPr>
          <w:p w14:paraId="36CA1915" w14:textId="77777777" w:rsidR="00787570" w:rsidRDefault="000D56E2">
            <w:pPr>
              <w:jc w:val="right"/>
              <w:textAlignment w:val="bottom"/>
            </w:pPr>
            <w:r>
              <w:rPr>
                <w:rFonts w:ascii="Arial" w:eastAsia="宋体" w:hAnsi="Arial" w:cs="Arial"/>
                <w:b/>
                <w:bCs/>
                <w:color w:val="0071C5"/>
                <w:sz w:val="18"/>
                <w:szCs w:val="18"/>
              </w:rPr>
              <w:t>17,590</w:t>
            </w:r>
            <w:r>
              <w:rPr>
                <w:rFonts w:ascii="Arial" w:eastAsia="宋体" w:hAnsi="Arial" w:cs="Arial"/>
                <w:color w:val="0071C5"/>
                <w:sz w:val="18"/>
                <w:szCs w:val="18"/>
              </w:rPr>
              <w:t> </w:t>
            </w:r>
          </w:p>
        </w:tc>
        <w:tc>
          <w:tcPr>
            <w:tcW w:w="0" w:type="auto"/>
            <w:tcBorders>
              <w:top w:val="single" w:sz="8" w:space="0" w:color="333333"/>
            </w:tcBorders>
            <w:shd w:val="clear" w:color="auto" w:fill="auto"/>
            <w:tcMar>
              <w:top w:w="40" w:type="dxa"/>
              <w:bottom w:w="40" w:type="dxa"/>
              <w:right w:w="20" w:type="dxa"/>
            </w:tcMar>
            <w:vAlign w:val="bottom"/>
          </w:tcPr>
          <w:p w14:paraId="36CA1916"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1917" w14:textId="77777777" w:rsidR="00787570" w:rsidRDefault="00787570">
            <w:pPr>
              <w:rPr>
                <w:rFonts w:ascii="宋体"/>
              </w:rPr>
            </w:pPr>
          </w:p>
        </w:tc>
        <w:tc>
          <w:tcPr>
            <w:tcW w:w="0" w:type="auto"/>
            <w:gridSpan w:val="2"/>
            <w:tcBorders>
              <w:top w:val="single" w:sz="8" w:space="0" w:color="333333"/>
            </w:tcBorders>
            <w:shd w:val="clear" w:color="auto" w:fill="auto"/>
            <w:tcMar>
              <w:top w:w="40" w:type="dxa"/>
              <w:left w:w="20" w:type="dxa"/>
              <w:bottom w:w="40" w:type="dxa"/>
              <w:right w:w="0" w:type="dxa"/>
            </w:tcMar>
            <w:vAlign w:val="bottom"/>
          </w:tcPr>
          <w:p w14:paraId="36CA1918" w14:textId="77777777" w:rsidR="00787570" w:rsidRDefault="000D56E2">
            <w:pPr>
              <w:jc w:val="right"/>
              <w:textAlignment w:val="bottom"/>
            </w:pPr>
            <w:r>
              <w:rPr>
                <w:rFonts w:ascii="Arial" w:eastAsia="宋体" w:hAnsi="Arial" w:cs="Arial"/>
                <w:b/>
                <w:bCs/>
                <w:color w:val="333333"/>
                <w:sz w:val="18"/>
                <w:szCs w:val="18"/>
              </w:rPr>
              <w:t>15,990</w:t>
            </w:r>
            <w:r>
              <w:rPr>
                <w:rFonts w:ascii="Arial" w:eastAsia="宋体" w:hAnsi="Arial" w:cs="Arial"/>
                <w:color w:val="333333"/>
                <w:sz w:val="18"/>
                <w:szCs w:val="18"/>
              </w:rPr>
              <w:t> </w:t>
            </w:r>
          </w:p>
        </w:tc>
        <w:tc>
          <w:tcPr>
            <w:tcW w:w="0" w:type="auto"/>
            <w:tcBorders>
              <w:top w:val="single" w:sz="8" w:space="0" w:color="333333"/>
            </w:tcBorders>
            <w:shd w:val="clear" w:color="auto" w:fill="auto"/>
            <w:tcMar>
              <w:top w:w="40" w:type="dxa"/>
              <w:bottom w:w="40" w:type="dxa"/>
              <w:right w:w="20" w:type="dxa"/>
            </w:tcMar>
            <w:vAlign w:val="bottom"/>
          </w:tcPr>
          <w:p w14:paraId="36CA1919" w14:textId="77777777" w:rsidR="00787570" w:rsidRDefault="00787570">
            <w:pPr>
              <w:jc w:val="right"/>
              <w:rPr>
                <w:rFonts w:ascii="宋体"/>
              </w:rPr>
            </w:pPr>
          </w:p>
        </w:tc>
        <w:tc>
          <w:tcPr>
            <w:tcW w:w="0" w:type="auto"/>
            <w:shd w:val="clear" w:color="auto" w:fill="auto"/>
          </w:tcPr>
          <w:p w14:paraId="36CA191A" w14:textId="77777777" w:rsidR="00787570" w:rsidRDefault="00787570">
            <w:pPr>
              <w:rPr>
                <w:rFonts w:ascii="宋体"/>
              </w:rPr>
            </w:pPr>
          </w:p>
        </w:tc>
        <w:tc>
          <w:tcPr>
            <w:tcW w:w="0" w:type="auto"/>
            <w:shd w:val="clear" w:color="auto" w:fill="auto"/>
          </w:tcPr>
          <w:p w14:paraId="36CA191B" w14:textId="77777777" w:rsidR="00787570" w:rsidRDefault="00787570">
            <w:pPr>
              <w:rPr>
                <w:rFonts w:ascii="宋体"/>
              </w:rPr>
            </w:pPr>
          </w:p>
        </w:tc>
        <w:tc>
          <w:tcPr>
            <w:tcW w:w="0" w:type="auto"/>
            <w:shd w:val="clear" w:color="auto" w:fill="auto"/>
          </w:tcPr>
          <w:p w14:paraId="36CA191C" w14:textId="77777777" w:rsidR="00787570" w:rsidRDefault="00787570">
            <w:pPr>
              <w:rPr>
                <w:rFonts w:ascii="宋体"/>
              </w:rPr>
            </w:pPr>
          </w:p>
        </w:tc>
        <w:tc>
          <w:tcPr>
            <w:tcW w:w="0" w:type="auto"/>
            <w:shd w:val="clear" w:color="auto" w:fill="auto"/>
          </w:tcPr>
          <w:p w14:paraId="36CA191D" w14:textId="77777777" w:rsidR="00787570" w:rsidRDefault="00787570">
            <w:pPr>
              <w:rPr>
                <w:rFonts w:ascii="宋体"/>
              </w:rPr>
            </w:pPr>
          </w:p>
        </w:tc>
        <w:tc>
          <w:tcPr>
            <w:tcW w:w="0" w:type="auto"/>
            <w:shd w:val="clear" w:color="auto" w:fill="auto"/>
          </w:tcPr>
          <w:p w14:paraId="36CA191E" w14:textId="77777777" w:rsidR="00787570" w:rsidRDefault="00787570">
            <w:pPr>
              <w:rPr>
                <w:rFonts w:ascii="宋体"/>
              </w:rPr>
            </w:pPr>
          </w:p>
        </w:tc>
        <w:tc>
          <w:tcPr>
            <w:tcW w:w="0" w:type="auto"/>
            <w:shd w:val="clear" w:color="auto" w:fill="auto"/>
          </w:tcPr>
          <w:p w14:paraId="36CA191F" w14:textId="77777777" w:rsidR="00787570" w:rsidRDefault="00787570">
            <w:pPr>
              <w:rPr>
                <w:rFonts w:ascii="宋体"/>
              </w:rPr>
            </w:pPr>
          </w:p>
        </w:tc>
        <w:tc>
          <w:tcPr>
            <w:tcW w:w="0" w:type="auto"/>
            <w:shd w:val="clear" w:color="auto" w:fill="auto"/>
          </w:tcPr>
          <w:p w14:paraId="36CA1920" w14:textId="77777777" w:rsidR="00787570" w:rsidRDefault="00787570">
            <w:pPr>
              <w:rPr>
                <w:rFonts w:ascii="宋体"/>
              </w:rPr>
            </w:pPr>
          </w:p>
        </w:tc>
        <w:tc>
          <w:tcPr>
            <w:tcW w:w="0" w:type="auto"/>
            <w:shd w:val="clear" w:color="auto" w:fill="auto"/>
          </w:tcPr>
          <w:p w14:paraId="36CA1921" w14:textId="77777777" w:rsidR="00787570" w:rsidRDefault="00787570">
            <w:pPr>
              <w:rPr>
                <w:rFonts w:ascii="宋体"/>
              </w:rPr>
            </w:pPr>
          </w:p>
        </w:tc>
        <w:tc>
          <w:tcPr>
            <w:tcW w:w="0" w:type="auto"/>
            <w:shd w:val="clear" w:color="auto" w:fill="auto"/>
          </w:tcPr>
          <w:p w14:paraId="36CA1922" w14:textId="77777777" w:rsidR="00787570" w:rsidRDefault="00787570">
            <w:pPr>
              <w:rPr>
                <w:rFonts w:ascii="宋体"/>
              </w:rPr>
            </w:pPr>
          </w:p>
        </w:tc>
        <w:tc>
          <w:tcPr>
            <w:tcW w:w="0" w:type="auto"/>
            <w:shd w:val="clear" w:color="auto" w:fill="auto"/>
          </w:tcPr>
          <w:p w14:paraId="36CA1923" w14:textId="77777777" w:rsidR="00787570" w:rsidRDefault="00787570">
            <w:pPr>
              <w:rPr>
                <w:rFonts w:ascii="宋体"/>
              </w:rPr>
            </w:pPr>
          </w:p>
        </w:tc>
        <w:tc>
          <w:tcPr>
            <w:tcW w:w="0" w:type="auto"/>
            <w:shd w:val="clear" w:color="auto" w:fill="auto"/>
          </w:tcPr>
          <w:p w14:paraId="36CA1924" w14:textId="77777777" w:rsidR="00787570" w:rsidRDefault="00787570">
            <w:pPr>
              <w:rPr>
                <w:rFonts w:ascii="宋体"/>
              </w:rPr>
            </w:pPr>
          </w:p>
        </w:tc>
        <w:tc>
          <w:tcPr>
            <w:tcW w:w="0" w:type="auto"/>
            <w:shd w:val="clear" w:color="auto" w:fill="auto"/>
          </w:tcPr>
          <w:p w14:paraId="36CA1925" w14:textId="77777777" w:rsidR="00787570" w:rsidRDefault="00787570">
            <w:pPr>
              <w:rPr>
                <w:rFonts w:ascii="宋体"/>
              </w:rPr>
            </w:pPr>
          </w:p>
        </w:tc>
      </w:tr>
      <w:tr w:rsidR="00787570" w14:paraId="36CA1940" w14:textId="77777777">
        <w:tc>
          <w:tcPr>
            <w:tcW w:w="0" w:type="auto"/>
            <w:gridSpan w:val="3"/>
            <w:shd w:val="clear" w:color="auto" w:fill="auto"/>
            <w:tcMar>
              <w:top w:w="40" w:type="dxa"/>
              <w:left w:w="20" w:type="dxa"/>
              <w:bottom w:w="40" w:type="dxa"/>
              <w:right w:w="20" w:type="dxa"/>
            </w:tcMar>
          </w:tcPr>
          <w:p w14:paraId="36CA1927" w14:textId="77777777" w:rsidR="00787570" w:rsidRDefault="000D56E2">
            <w:pPr>
              <w:ind w:hanging="180"/>
              <w:textAlignment w:val="top"/>
            </w:pPr>
            <w:r>
              <w:rPr>
                <w:rFonts w:ascii="Arial" w:eastAsia="宋体" w:hAnsi="Arial" w:cs="Arial"/>
                <w:color w:val="333333"/>
                <w:sz w:val="18"/>
                <w:szCs w:val="18"/>
              </w:rPr>
              <w:t>Provision for taxes</w:t>
            </w:r>
          </w:p>
        </w:tc>
        <w:tc>
          <w:tcPr>
            <w:tcW w:w="0" w:type="auto"/>
            <w:gridSpan w:val="3"/>
            <w:shd w:val="clear" w:color="auto" w:fill="auto"/>
            <w:tcMar>
              <w:left w:w="20" w:type="dxa"/>
              <w:right w:w="20" w:type="dxa"/>
            </w:tcMar>
            <w:vAlign w:val="bottom"/>
          </w:tcPr>
          <w:p w14:paraId="36CA1928"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1929" w14:textId="77777777" w:rsidR="00787570" w:rsidRDefault="000D56E2">
            <w:pPr>
              <w:jc w:val="right"/>
              <w:textAlignment w:val="bottom"/>
            </w:pPr>
            <w:r>
              <w:rPr>
                <w:rFonts w:ascii="Arial" w:eastAsia="宋体" w:hAnsi="Arial" w:cs="Arial"/>
                <w:color w:val="0071C5"/>
                <w:sz w:val="18"/>
                <w:szCs w:val="18"/>
              </w:rPr>
              <w:t>765 </w:t>
            </w:r>
          </w:p>
        </w:tc>
        <w:tc>
          <w:tcPr>
            <w:tcW w:w="0" w:type="auto"/>
            <w:shd w:val="clear" w:color="auto" w:fill="auto"/>
            <w:tcMar>
              <w:top w:w="40" w:type="dxa"/>
              <w:bottom w:w="40" w:type="dxa"/>
              <w:right w:w="20" w:type="dxa"/>
            </w:tcMar>
            <w:vAlign w:val="bottom"/>
          </w:tcPr>
          <w:p w14:paraId="36CA192A"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192B"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192C" w14:textId="77777777" w:rsidR="00787570" w:rsidRDefault="000D56E2">
            <w:pPr>
              <w:jc w:val="right"/>
              <w:textAlignment w:val="bottom"/>
            </w:pPr>
            <w:r>
              <w:rPr>
                <w:rFonts w:ascii="Arial" w:eastAsia="宋体" w:hAnsi="Arial" w:cs="Arial"/>
                <w:color w:val="333333"/>
                <w:sz w:val="18"/>
                <w:szCs w:val="18"/>
              </w:rPr>
              <w:t>729 </w:t>
            </w:r>
          </w:p>
        </w:tc>
        <w:tc>
          <w:tcPr>
            <w:tcW w:w="0" w:type="auto"/>
            <w:shd w:val="clear" w:color="auto" w:fill="auto"/>
            <w:tcMar>
              <w:top w:w="40" w:type="dxa"/>
              <w:bottom w:w="40" w:type="dxa"/>
              <w:right w:w="20" w:type="dxa"/>
            </w:tcMar>
            <w:vAlign w:val="bottom"/>
          </w:tcPr>
          <w:p w14:paraId="36CA192D"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192E"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192F" w14:textId="77777777" w:rsidR="00787570" w:rsidRDefault="000D56E2">
            <w:pPr>
              <w:jc w:val="right"/>
              <w:textAlignment w:val="bottom"/>
            </w:pPr>
            <w:r>
              <w:rPr>
                <w:rFonts w:ascii="Arial" w:eastAsia="宋体" w:hAnsi="Arial" w:cs="Arial"/>
                <w:color w:val="0071C5"/>
                <w:sz w:val="18"/>
                <w:szCs w:val="18"/>
              </w:rPr>
              <w:t>2,548 </w:t>
            </w:r>
          </w:p>
        </w:tc>
        <w:tc>
          <w:tcPr>
            <w:tcW w:w="0" w:type="auto"/>
            <w:shd w:val="clear" w:color="auto" w:fill="auto"/>
            <w:tcMar>
              <w:top w:w="40" w:type="dxa"/>
              <w:bottom w:w="40" w:type="dxa"/>
              <w:right w:w="20" w:type="dxa"/>
            </w:tcMar>
            <w:vAlign w:val="bottom"/>
          </w:tcPr>
          <w:p w14:paraId="36CA1930"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1931"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1932" w14:textId="77777777" w:rsidR="00787570" w:rsidRDefault="000D56E2">
            <w:pPr>
              <w:jc w:val="right"/>
              <w:textAlignment w:val="bottom"/>
            </w:pPr>
            <w:r>
              <w:rPr>
                <w:rFonts w:ascii="Arial" w:eastAsia="宋体" w:hAnsi="Arial" w:cs="Arial"/>
                <w:color w:val="333333"/>
                <w:sz w:val="18"/>
                <w:szCs w:val="18"/>
              </w:rPr>
              <w:t>1,847 </w:t>
            </w:r>
          </w:p>
        </w:tc>
        <w:tc>
          <w:tcPr>
            <w:tcW w:w="0" w:type="auto"/>
            <w:shd w:val="clear" w:color="auto" w:fill="auto"/>
            <w:tcMar>
              <w:top w:w="40" w:type="dxa"/>
              <w:bottom w:w="40" w:type="dxa"/>
              <w:right w:w="20" w:type="dxa"/>
            </w:tcMar>
            <w:vAlign w:val="bottom"/>
          </w:tcPr>
          <w:p w14:paraId="36CA1933" w14:textId="77777777" w:rsidR="00787570" w:rsidRDefault="00787570">
            <w:pPr>
              <w:jc w:val="right"/>
              <w:rPr>
                <w:rFonts w:ascii="宋体"/>
              </w:rPr>
            </w:pPr>
          </w:p>
        </w:tc>
        <w:tc>
          <w:tcPr>
            <w:tcW w:w="0" w:type="auto"/>
            <w:shd w:val="clear" w:color="auto" w:fill="auto"/>
          </w:tcPr>
          <w:p w14:paraId="36CA1934" w14:textId="77777777" w:rsidR="00787570" w:rsidRDefault="00787570">
            <w:pPr>
              <w:rPr>
                <w:rFonts w:ascii="宋体"/>
              </w:rPr>
            </w:pPr>
          </w:p>
        </w:tc>
        <w:tc>
          <w:tcPr>
            <w:tcW w:w="0" w:type="auto"/>
            <w:shd w:val="clear" w:color="auto" w:fill="auto"/>
          </w:tcPr>
          <w:p w14:paraId="36CA1935" w14:textId="77777777" w:rsidR="00787570" w:rsidRDefault="00787570">
            <w:pPr>
              <w:rPr>
                <w:rFonts w:ascii="宋体"/>
              </w:rPr>
            </w:pPr>
          </w:p>
        </w:tc>
        <w:tc>
          <w:tcPr>
            <w:tcW w:w="0" w:type="auto"/>
            <w:shd w:val="clear" w:color="auto" w:fill="auto"/>
          </w:tcPr>
          <w:p w14:paraId="36CA1936" w14:textId="77777777" w:rsidR="00787570" w:rsidRDefault="00787570">
            <w:pPr>
              <w:rPr>
                <w:rFonts w:ascii="宋体"/>
              </w:rPr>
            </w:pPr>
          </w:p>
        </w:tc>
        <w:tc>
          <w:tcPr>
            <w:tcW w:w="0" w:type="auto"/>
            <w:shd w:val="clear" w:color="auto" w:fill="auto"/>
          </w:tcPr>
          <w:p w14:paraId="36CA1937" w14:textId="77777777" w:rsidR="00787570" w:rsidRDefault="00787570">
            <w:pPr>
              <w:rPr>
                <w:rFonts w:ascii="宋体"/>
              </w:rPr>
            </w:pPr>
          </w:p>
        </w:tc>
        <w:tc>
          <w:tcPr>
            <w:tcW w:w="0" w:type="auto"/>
            <w:shd w:val="clear" w:color="auto" w:fill="auto"/>
          </w:tcPr>
          <w:p w14:paraId="36CA1938" w14:textId="77777777" w:rsidR="00787570" w:rsidRDefault="00787570">
            <w:pPr>
              <w:rPr>
                <w:rFonts w:ascii="宋体"/>
              </w:rPr>
            </w:pPr>
          </w:p>
        </w:tc>
        <w:tc>
          <w:tcPr>
            <w:tcW w:w="0" w:type="auto"/>
            <w:shd w:val="clear" w:color="auto" w:fill="auto"/>
          </w:tcPr>
          <w:p w14:paraId="36CA1939" w14:textId="77777777" w:rsidR="00787570" w:rsidRDefault="00787570">
            <w:pPr>
              <w:rPr>
                <w:rFonts w:ascii="宋体"/>
              </w:rPr>
            </w:pPr>
          </w:p>
        </w:tc>
        <w:tc>
          <w:tcPr>
            <w:tcW w:w="0" w:type="auto"/>
            <w:shd w:val="clear" w:color="auto" w:fill="auto"/>
          </w:tcPr>
          <w:p w14:paraId="36CA193A" w14:textId="77777777" w:rsidR="00787570" w:rsidRDefault="00787570">
            <w:pPr>
              <w:rPr>
                <w:rFonts w:ascii="宋体"/>
              </w:rPr>
            </w:pPr>
          </w:p>
        </w:tc>
        <w:tc>
          <w:tcPr>
            <w:tcW w:w="0" w:type="auto"/>
            <w:shd w:val="clear" w:color="auto" w:fill="auto"/>
          </w:tcPr>
          <w:p w14:paraId="36CA193B" w14:textId="77777777" w:rsidR="00787570" w:rsidRDefault="00787570">
            <w:pPr>
              <w:rPr>
                <w:rFonts w:ascii="宋体"/>
              </w:rPr>
            </w:pPr>
          </w:p>
        </w:tc>
        <w:tc>
          <w:tcPr>
            <w:tcW w:w="0" w:type="auto"/>
            <w:shd w:val="clear" w:color="auto" w:fill="auto"/>
          </w:tcPr>
          <w:p w14:paraId="36CA193C" w14:textId="77777777" w:rsidR="00787570" w:rsidRDefault="00787570">
            <w:pPr>
              <w:rPr>
                <w:rFonts w:ascii="宋体"/>
              </w:rPr>
            </w:pPr>
          </w:p>
        </w:tc>
        <w:tc>
          <w:tcPr>
            <w:tcW w:w="0" w:type="auto"/>
            <w:shd w:val="clear" w:color="auto" w:fill="auto"/>
          </w:tcPr>
          <w:p w14:paraId="36CA193D" w14:textId="77777777" w:rsidR="00787570" w:rsidRDefault="00787570">
            <w:pPr>
              <w:rPr>
                <w:rFonts w:ascii="宋体"/>
              </w:rPr>
            </w:pPr>
          </w:p>
        </w:tc>
        <w:tc>
          <w:tcPr>
            <w:tcW w:w="0" w:type="auto"/>
            <w:shd w:val="clear" w:color="auto" w:fill="auto"/>
          </w:tcPr>
          <w:p w14:paraId="36CA193E" w14:textId="77777777" w:rsidR="00787570" w:rsidRDefault="00787570">
            <w:pPr>
              <w:rPr>
                <w:rFonts w:ascii="宋体"/>
              </w:rPr>
            </w:pPr>
          </w:p>
        </w:tc>
        <w:tc>
          <w:tcPr>
            <w:tcW w:w="0" w:type="auto"/>
            <w:shd w:val="clear" w:color="auto" w:fill="auto"/>
          </w:tcPr>
          <w:p w14:paraId="36CA193F" w14:textId="77777777" w:rsidR="00787570" w:rsidRDefault="00787570">
            <w:pPr>
              <w:rPr>
                <w:rFonts w:ascii="宋体"/>
              </w:rPr>
            </w:pPr>
          </w:p>
        </w:tc>
      </w:tr>
      <w:tr w:rsidR="00787570" w14:paraId="36CA195E" w14:textId="77777777">
        <w:tc>
          <w:tcPr>
            <w:tcW w:w="0" w:type="auto"/>
            <w:gridSpan w:val="3"/>
            <w:shd w:val="clear" w:color="auto" w:fill="auto"/>
            <w:tcMar>
              <w:top w:w="40" w:type="dxa"/>
              <w:left w:w="20" w:type="dxa"/>
              <w:bottom w:w="40" w:type="dxa"/>
              <w:right w:w="20" w:type="dxa"/>
            </w:tcMar>
          </w:tcPr>
          <w:p w14:paraId="36CA1941" w14:textId="77777777" w:rsidR="00787570" w:rsidRDefault="000D56E2">
            <w:pPr>
              <w:ind w:hanging="180"/>
              <w:textAlignment w:val="top"/>
            </w:pPr>
            <w:r>
              <w:rPr>
                <w:rFonts w:ascii="Arial" w:eastAsia="宋体" w:hAnsi="Arial" w:cs="Arial"/>
                <w:b/>
                <w:bCs/>
                <w:color w:val="333333"/>
                <w:sz w:val="18"/>
                <w:szCs w:val="18"/>
              </w:rPr>
              <w:t>Net income</w:t>
            </w:r>
          </w:p>
        </w:tc>
        <w:tc>
          <w:tcPr>
            <w:tcW w:w="0" w:type="auto"/>
            <w:gridSpan w:val="3"/>
            <w:shd w:val="clear" w:color="auto" w:fill="auto"/>
            <w:tcMar>
              <w:left w:w="20" w:type="dxa"/>
              <w:right w:w="20" w:type="dxa"/>
            </w:tcMar>
            <w:vAlign w:val="bottom"/>
          </w:tcPr>
          <w:p w14:paraId="36CA1942" w14:textId="77777777" w:rsidR="00787570" w:rsidRDefault="00787570">
            <w:pPr>
              <w:rPr>
                <w:rFonts w:ascii="宋体"/>
              </w:rPr>
            </w:pPr>
          </w:p>
        </w:tc>
        <w:tc>
          <w:tcPr>
            <w:tcW w:w="0" w:type="auto"/>
            <w:tcBorders>
              <w:top w:val="single" w:sz="8" w:space="0" w:color="333333"/>
            </w:tcBorders>
            <w:shd w:val="clear" w:color="auto" w:fill="auto"/>
            <w:tcMar>
              <w:top w:w="40" w:type="dxa"/>
              <w:left w:w="20" w:type="dxa"/>
              <w:bottom w:w="40" w:type="dxa"/>
            </w:tcMar>
            <w:vAlign w:val="bottom"/>
          </w:tcPr>
          <w:p w14:paraId="36CA1943" w14:textId="77777777" w:rsidR="00787570" w:rsidRDefault="000D56E2">
            <w:pPr>
              <w:textAlignment w:val="bottom"/>
            </w:pPr>
            <w:r>
              <w:rPr>
                <w:rFonts w:ascii="Arial" w:eastAsia="宋体" w:hAnsi="Arial" w:cs="Arial"/>
                <w:b/>
                <w:bCs/>
                <w:color w:val="0071C5"/>
                <w:sz w:val="18"/>
                <w:szCs w:val="18"/>
              </w:rPr>
              <w:t>$</w:t>
            </w:r>
          </w:p>
        </w:tc>
        <w:tc>
          <w:tcPr>
            <w:tcW w:w="0" w:type="auto"/>
            <w:tcBorders>
              <w:top w:val="single" w:sz="8" w:space="0" w:color="333333"/>
            </w:tcBorders>
            <w:shd w:val="clear" w:color="auto" w:fill="auto"/>
            <w:tcMar>
              <w:top w:w="40" w:type="dxa"/>
              <w:bottom w:w="40" w:type="dxa"/>
              <w:right w:w="0" w:type="dxa"/>
            </w:tcMar>
            <w:vAlign w:val="bottom"/>
          </w:tcPr>
          <w:p w14:paraId="36CA1944" w14:textId="77777777" w:rsidR="00787570" w:rsidRDefault="000D56E2">
            <w:pPr>
              <w:jc w:val="right"/>
              <w:textAlignment w:val="bottom"/>
            </w:pPr>
            <w:r>
              <w:rPr>
                <w:rFonts w:ascii="Arial" w:eastAsia="宋体" w:hAnsi="Arial" w:cs="Arial"/>
                <w:b/>
                <w:bCs/>
                <w:color w:val="0071C5"/>
                <w:sz w:val="18"/>
                <w:szCs w:val="18"/>
              </w:rPr>
              <w:t>4,276</w:t>
            </w:r>
            <w:r>
              <w:rPr>
                <w:rFonts w:ascii="Arial" w:eastAsia="宋体" w:hAnsi="Arial" w:cs="Arial"/>
                <w:color w:val="0071C5"/>
                <w:sz w:val="18"/>
                <w:szCs w:val="18"/>
              </w:rPr>
              <w:t> </w:t>
            </w:r>
          </w:p>
        </w:tc>
        <w:tc>
          <w:tcPr>
            <w:tcW w:w="0" w:type="auto"/>
            <w:tcBorders>
              <w:top w:val="single" w:sz="8" w:space="0" w:color="333333"/>
            </w:tcBorders>
            <w:shd w:val="clear" w:color="auto" w:fill="auto"/>
            <w:tcMar>
              <w:top w:w="40" w:type="dxa"/>
              <w:bottom w:w="40" w:type="dxa"/>
              <w:right w:w="20" w:type="dxa"/>
            </w:tcMar>
            <w:vAlign w:val="bottom"/>
          </w:tcPr>
          <w:p w14:paraId="36CA1945"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1946" w14:textId="77777777" w:rsidR="00787570" w:rsidRDefault="00787570">
            <w:pPr>
              <w:rPr>
                <w:rFonts w:ascii="宋体"/>
              </w:rPr>
            </w:pPr>
          </w:p>
        </w:tc>
        <w:tc>
          <w:tcPr>
            <w:tcW w:w="0" w:type="auto"/>
            <w:tcBorders>
              <w:top w:val="single" w:sz="8" w:space="0" w:color="333333"/>
            </w:tcBorders>
            <w:shd w:val="clear" w:color="auto" w:fill="auto"/>
            <w:tcMar>
              <w:top w:w="40" w:type="dxa"/>
              <w:left w:w="20" w:type="dxa"/>
              <w:bottom w:w="40" w:type="dxa"/>
            </w:tcMar>
            <w:vAlign w:val="bottom"/>
          </w:tcPr>
          <w:p w14:paraId="36CA1947" w14:textId="77777777" w:rsidR="00787570" w:rsidRDefault="000D56E2">
            <w:pPr>
              <w:textAlignment w:val="bottom"/>
            </w:pPr>
            <w:r>
              <w:rPr>
                <w:rFonts w:ascii="Arial" w:eastAsia="宋体" w:hAnsi="Arial" w:cs="Arial"/>
                <w:b/>
                <w:bCs/>
                <w:color w:val="333333"/>
                <w:sz w:val="18"/>
                <w:szCs w:val="18"/>
              </w:rPr>
              <w:t>$</w:t>
            </w:r>
          </w:p>
        </w:tc>
        <w:tc>
          <w:tcPr>
            <w:tcW w:w="0" w:type="auto"/>
            <w:tcBorders>
              <w:top w:val="single" w:sz="8" w:space="0" w:color="333333"/>
            </w:tcBorders>
            <w:shd w:val="clear" w:color="auto" w:fill="auto"/>
            <w:tcMar>
              <w:top w:w="40" w:type="dxa"/>
              <w:bottom w:w="40" w:type="dxa"/>
              <w:right w:w="0" w:type="dxa"/>
            </w:tcMar>
            <w:vAlign w:val="bottom"/>
          </w:tcPr>
          <w:p w14:paraId="36CA1948" w14:textId="77777777" w:rsidR="00787570" w:rsidRDefault="000D56E2">
            <w:pPr>
              <w:jc w:val="right"/>
              <w:textAlignment w:val="bottom"/>
            </w:pPr>
            <w:r>
              <w:rPr>
                <w:rFonts w:ascii="Arial" w:eastAsia="宋体" w:hAnsi="Arial" w:cs="Arial"/>
                <w:b/>
                <w:bCs/>
                <w:color w:val="333333"/>
                <w:sz w:val="18"/>
                <w:szCs w:val="18"/>
              </w:rPr>
              <w:t>5,990</w:t>
            </w:r>
            <w:r>
              <w:rPr>
                <w:rFonts w:ascii="Arial" w:eastAsia="宋体" w:hAnsi="Arial" w:cs="Arial"/>
                <w:color w:val="333333"/>
                <w:sz w:val="18"/>
                <w:szCs w:val="18"/>
              </w:rPr>
              <w:t> </w:t>
            </w:r>
          </w:p>
        </w:tc>
        <w:tc>
          <w:tcPr>
            <w:tcW w:w="0" w:type="auto"/>
            <w:tcBorders>
              <w:top w:val="single" w:sz="8" w:space="0" w:color="333333"/>
            </w:tcBorders>
            <w:shd w:val="clear" w:color="auto" w:fill="auto"/>
            <w:tcMar>
              <w:top w:w="40" w:type="dxa"/>
              <w:bottom w:w="40" w:type="dxa"/>
              <w:right w:w="20" w:type="dxa"/>
            </w:tcMar>
            <w:vAlign w:val="bottom"/>
          </w:tcPr>
          <w:p w14:paraId="36CA1949"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194A" w14:textId="77777777" w:rsidR="00787570" w:rsidRDefault="00787570">
            <w:pPr>
              <w:rPr>
                <w:rFonts w:ascii="宋体"/>
              </w:rPr>
            </w:pPr>
          </w:p>
        </w:tc>
        <w:tc>
          <w:tcPr>
            <w:tcW w:w="0" w:type="auto"/>
            <w:tcBorders>
              <w:top w:val="single" w:sz="8" w:space="0" w:color="333333"/>
            </w:tcBorders>
            <w:shd w:val="clear" w:color="auto" w:fill="auto"/>
            <w:tcMar>
              <w:top w:w="40" w:type="dxa"/>
              <w:left w:w="20" w:type="dxa"/>
              <w:bottom w:w="40" w:type="dxa"/>
            </w:tcMar>
            <w:vAlign w:val="bottom"/>
          </w:tcPr>
          <w:p w14:paraId="36CA194B" w14:textId="77777777" w:rsidR="00787570" w:rsidRDefault="000D56E2">
            <w:pPr>
              <w:textAlignment w:val="bottom"/>
            </w:pPr>
            <w:r>
              <w:rPr>
                <w:rFonts w:ascii="Arial" w:eastAsia="宋体" w:hAnsi="Arial" w:cs="Arial"/>
                <w:b/>
                <w:bCs/>
                <w:color w:val="0071C5"/>
                <w:sz w:val="18"/>
                <w:szCs w:val="18"/>
              </w:rPr>
              <w:t>$</w:t>
            </w:r>
          </w:p>
        </w:tc>
        <w:tc>
          <w:tcPr>
            <w:tcW w:w="0" w:type="auto"/>
            <w:tcBorders>
              <w:top w:val="single" w:sz="8" w:space="0" w:color="333333"/>
            </w:tcBorders>
            <w:shd w:val="clear" w:color="auto" w:fill="auto"/>
            <w:tcMar>
              <w:top w:w="40" w:type="dxa"/>
              <w:bottom w:w="40" w:type="dxa"/>
              <w:right w:w="0" w:type="dxa"/>
            </w:tcMar>
            <w:vAlign w:val="bottom"/>
          </w:tcPr>
          <w:p w14:paraId="36CA194C" w14:textId="77777777" w:rsidR="00787570" w:rsidRDefault="000D56E2">
            <w:pPr>
              <w:jc w:val="right"/>
              <w:textAlignment w:val="bottom"/>
            </w:pPr>
            <w:r>
              <w:rPr>
                <w:rFonts w:ascii="Arial" w:eastAsia="宋体" w:hAnsi="Arial" w:cs="Arial"/>
                <w:b/>
                <w:bCs/>
                <w:color w:val="0071C5"/>
                <w:sz w:val="18"/>
                <w:szCs w:val="18"/>
              </w:rPr>
              <w:t>15,042</w:t>
            </w:r>
            <w:r>
              <w:rPr>
                <w:rFonts w:ascii="Arial" w:eastAsia="宋体" w:hAnsi="Arial" w:cs="Arial"/>
                <w:color w:val="0071C5"/>
                <w:sz w:val="18"/>
                <w:szCs w:val="18"/>
              </w:rPr>
              <w:t> </w:t>
            </w:r>
          </w:p>
        </w:tc>
        <w:tc>
          <w:tcPr>
            <w:tcW w:w="0" w:type="auto"/>
            <w:tcBorders>
              <w:top w:val="single" w:sz="8" w:space="0" w:color="333333"/>
            </w:tcBorders>
            <w:shd w:val="clear" w:color="auto" w:fill="auto"/>
            <w:tcMar>
              <w:top w:w="40" w:type="dxa"/>
              <w:bottom w:w="40" w:type="dxa"/>
              <w:right w:w="20" w:type="dxa"/>
            </w:tcMar>
            <w:vAlign w:val="bottom"/>
          </w:tcPr>
          <w:p w14:paraId="36CA194D"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194E" w14:textId="77777777" w:rsidR="00787570" w:rsidRDefault="00787570">
            <w:pPr>
              <w:rPr>
                <w:rFonts w:ascii="宋体"/>
              </w:rPr>
            </w:pPr>
          </w:p>
        </w:tc>
        <w:tc>
          <w:tcPr>
            <w:tcW w:w="0" w:type="auto"/>
            <w:tcBorders>
              <w:top w:val="single" w:sz="8" w:space="0" w:color="333333"/>
            </w:tcBorders>
            <w:shd w:val="clear" w:color="auto" w:fill="auto"/>
            <w:tcMar>
              <w:top w:w="40" w:type="dxa"/>
              <w:left w:w="20" w:type="dxa"/>
              <w:bottom w:w="40" w:type="dxa"/>
            </w:tcMar>
            <w:vAlign w:val="bottom"/>
          </w:tcPr>
          <w:p w14:paraId="36CA194F" w14:textId="77777777" w:rsidR="00787570" w:rsidRDefault="000D56E2">
            <w:pPr>
              <w:textAlignment w:val="bottom"/>
            </w:pPr>
            <w:r>
              <w:rPr>
                <w:rFonts w:ascii="Arial" w:eastAsia="宋体" w:hAnsi="Arial" w:cs="Arial"/>
                <w:b/>
                <w:bCs/>
                <w:color w:val="333333"/>
                <w:sz w:val="18"/>
                <w:szCs w:val="18"/>
              </w:rPr>
              <w:t>$</w:t>
            </w:r>
          </w:p>
        </w:tc>
        <w:tc>
          <w:tcPr>
            <w:tcW w:w="0" w:type="auto"/>
            <w:tcBorders>
              <w:top w:val="single" w:sz="8" w:space="0" w:color="333333"/>
            </w:tcBorders>
            <w:shd w:val="clear" w:color="auto" w:fill="auto"/>
            <w:tcMar>
              <w:top w:w="40" w:type="dxa"/>
              <w:bottom w:w="40" w:type="dxa"/>
              <w:right w:w="0" w:type="dxa"/>
            </w:tcMar>
            <w:vAlign w:val="bottom"/>
          </w:tcPr>
          <w:p w14:paraId="36CA1950" w14:textId="77777777" w:rsidR="00787570" w:rsidRDefault="000D56E2">
            <w:pPr>
              <w:jc w:val="right"/>
              <w:textAlignment w:val="bottom"/>
            </w:pPr>
            <w:r>
              <w:rPr>
                <w:rFonts w:ascii="Arial" w:eastAsia="宋体" w:hAnsi="Arial" w:cs="Arial"/>
                <w:b/>
                <w:bCs/>
                <w:color w:val="333333"/>
                <w:sz w:val="18"/>
                <w:szCs w:val="18"/>
              </w:rPr>
              <w:t>14,143</w:t>
            </w:r>
            <w:r>
              <w:rPr>
                <w:rFonts w:ascii="Arial" w:eastAsia="宋体" w:hAnsi="Arial" w:cs="Arial"/>
                <w:color w:val="333333"/>
                <w:sz w:val="18"/>
                <w:szCs w:val="18"/>
              </w:rPr>
              <w:t> </w:t>
            </w:r>
          </w:p>
        </w:tc>
        <w:tc>
          <w:tcPr>
            <w:tcW w:w="0" w:type="auto"/>
            <w:tcBorders>
              <w:top w:val="single" w:sz="8" w:space="0" w:color="333333"/>
            </w:tcBorders>
            <w:shd w:val="clear" w:color="auto" w:fill="auto"/>
            <w:tcMar>
              <w:top w:w="40" w:type="dxa"/>
              <w:bottom w:w="40" w:type="dxa"/>
              <w:right w:w="20" w:type="dxa"/>
            </w:tcMar>
            <w:vAlign w:val="bottom"/>
          </w:tcPr>
          <w:p w14:paraId="36CA1951" w14:textId="77777777" w:rsidR="00787570" w:rsidRDefault="00787570">
            <w:pPr>
              <w:jc w:val="right"/>
              <w:rPr>
                <w:rFonts w:ascii="宋体"/>
              </w:rPr>
            </w:pPr>
          </w:p>
        </w:tc>
        <w:tc>
          <w:tcPr>
            <w:tcW w:w="0" w:type="auto"/>
            <w:shd w:val="clear" w:color="auto" w:fill="auto"/>
          </w:tcPr>
          <w:p w14:paraId="36CA1952" w14:textId="77777777" w:rsidR="00787570" w:rsidRDefault="00787570">
            <w:pPr>
              <w:rPr>
                <w:rFonts w:ascii="宋体"/>
              </w:rPr>
            </w:pPr>
          </w:p>
        </w:tc>
        <w:tc>
          <w:tcPr>
            <w:tcW w:w="0" w:type="auto"/>
            <w:shd w:val="clear" w:color="auto" w:fill="auto"/>
          </w:tcPr>
          <w:p w14:paraId="36CA1953" w14:textId="77777777" w:rsidR="00787570" w:rsidRDefault="00787570">
            <w:pPr>
              <w:rPr>
                <w:rFonts w:ascii="宋体"/>
              </w:rPr>
            </w:pPr>
          </w:p>
        </w:tc>
        <w:tc>
          <w:tcPr>
            <w:tcW w:w="0" w:type="auto"/>
            <w:shd w:val="clear" w:color="auto" w:fill="auto"/>
          </w:tcPr>
          <w:p w14:paraId="36CA1954" w14:textId="77777777" w:rsidR="00787570" w:rsidRDefault="00787570">
            <w:pPr>
              <w:rPr>
                <w:rFonts w:ascii="宋体"/>
              </w:rPr>
            </w:pPr>
          </w:p>
        </w:tc>
        <w:tc>
          <w:tcPr>
            <w:tcW w:w="0" w:type="auto"/>
            <w:shd w:val="clear" w:color="auto" w:fill="auto"/>
          </w:tcPr>
          <w:p w14:paraId="36CA1955" w14:textId="77777777" w:rsidR="00787570" w:rsidRDefault="00787570">
            <w:pPr>
              <w:rPr>
                <w:rFonts w:ascii="宋体"/>
              </w:rPr>
            </w:pPr>
          </w:p>
        </w:tc>
        <w:tc>
          <w:tcPr>
            <w:tcW w:w="0" w:type="auto"/>
            <w:shd w:val="clear" w:color="auto" w:fill="auto"/>
          </w:tcPr>
          <w:p w14:paraId="36CA1956" w14:textId="77777777" w:rsidR="00787570" w:rsidRDefault="00787570">
            <w:pPr>
              <w:rPr>
                <w:rFonts w:ascii="宋体"/>
              </w:rPr>
            </w:pPr>
          </w:p>
        </w:tc>
        <w:tc>
          <w:tcPr>
            <w:tcW w:w="0" w:type="auto"/>
            <w:shd w:val="clear" w:color="auto" w:fill="auto"/>
          </w:tcPr>
          <w:p w14:paraId="36CA1957" w14:textId="77777777" w:rsidR="00787570" w:rsidRDefault="00787570">
            <w:pPr>
              <w:rPr>
                <w:rFonts w:ascii="宋体"/>
              </w:rPr>
            </w:pPr>
          </w:p>
        </w:tc>
        <w:tc>
          <w:tcPr>
            <w:tcW w:w="0" w:type="auto"/>
            <w:shd w:val="clear" w:color="auto" w:fill="auto"/>
          </w:tcPr>
          <w:p w14:paraId="36CA1958" w14:textId="77777777" w:rsidR="00787570" w:rsidRDefault="00787570">
            <w:pPr>
              <w:rPr>
                <w:rFonts w:ascii="宋体"/>
              </w:rPr>
            </w:pPr>
          </w:p>
        </w:tc>
        <w:tc>
          <w:tcPr>
            <w:tcW w:w="0" w:type="auto"/>
            <w:shd w:val="clear" w:color="auto" w:fill="auto"/>
          </w:tcPr>
          <w:p w14:paraId="36CA1959" w14:textId="77777777" w:rsidR="00787570" w:rsidRDefault="00787570">
            <w:pPr>
              <w:rPr>
                <w:rFonts w:ascii="宋体"/>
              </w:rPr>
            </w:pPr>
          </w:p>
        </w:tc>
        <w:tc>
          <w:tcPr>
            <w:tcW w:w="0" w:type="auto"/>
            <w:shd w:val="clear" w:color="auto" w:fill="auto"/>
          </w:tcPr>
          <w:p w14:paraId="36CA195A" w14:textId="77777777" w:rsidR="00787570" w:rsidRDefault="00787570">
            <w:pPr>
              <w:rPr>
                <w:rFonts w:ascii="宋体"/>
              </w:rPr>
            </w:pPr>
          </w:p>
        </w:tc>
        <w:tc>
          <w:tcPr>
            <w:tcW w:w="0" w:type="auto"/>
            <w:shd w:val="clear" w:color="auto" w:fill="auto"/>
          </w:tcPr>
          <w:p w14:paraId="36CA195B" w14:textId="77777777" w:rsidR="00787570" w:rsidRDefault="00787570">
            <w:pPr>
              <w:rPr>
                <w:rFonts w:ascii="宋体"/>
              </w:rPr>
            </w:pPr>
          </w:p>
        </w:tc>
        <w:tc>
          <w:tcPr>
            <w:tcW w:w="0" w:type="auto"/>
            <w:shd w:val="clear" w:color="auto" w:fill="auto"/>
          </w:tcPr>
          <w:p w14:paraId="36CA195C" w14:textId="77777777" w:rsidR="00787570" w:rsidRDefault="00787570">
            <w:pPr>
              <w:rPr>
                <w:rFonts w:ascii="宋体"/>
              </w:rPr>
            </w:pPr>
          </w:p>
        </w:tc>
        <w:tc>
          <w:tcPr>
            <w:tcW w:w="0" w:type="auto"/>
            <w:shd w:val="clear" w:color="auto" w:fill="auto"/>
          </w:tcPr>
          <w:p w14:paraId="36CA195D" w14:textId="77777777" w:rsidR="00787570" w:rsidRDefault="00787570">
            <w:pPr>
              <w:rPr>
                <w:rFonts w:ascii="宋体"/>
              </w:rPr>
            </w:pPr>
          </w:p>
        </w:tc>
      </w:tr>
      <w:tr w:rsidR="00787570" w14:paraId="36CA197C" w14:textId="77777777">
        <w:tc>
          <w:tcPr>
            <w:tcW w:w="0" w:type="auto"/>
            <w:gridSpan w:val="3"/>
            <w:shd w:val="clear" w:color="auto" w:fill="auto"/>
            <w:tcMar>
              <w:top w:w="40" w:type="dxa"/>
              <w:left w:w="20" w:type="dxa"/>
              <w:bottom w:w="40" w:type="dxa"/>
              <w:right w:w="20" w:type="dxa"/>
            </w:tcMar>
          </w:tcPr>
          <w:p w14:paraId="36CA195F" w14:textId="77777777" w:rsidR="00787570" w:rsidRDefault="000D56E2">
            <w:pPr>
              <w:textAlignment w:val="top"/>
            </w:pPr>
            <w:r>
              <w:rPr>
                <w:rFonts w:ascii="Arial" w:eastAsia="宋体" w:hAnsi="Arial" w:cs="Arial"/>
                <w:b/>
                <w:bCs/>
                <w:color w:val="333333"/>
                <w:sz w:val="18"/>
                <w:szCs w:val="18"/>
              </w:rPr>
              <w:t>Earnings per share—basic</w:t>
            </w:r>
          </w:p>
        </w:tc>
        <w:tc>
          <w:tcPr>
            <w:tcW w:w="0" w:type="auto"/>
            <w:gridSpan w:val="3"/>
            <w:shd w:val="clear" w:color="auto" w:fill="auto"/>
            <w:tcMar>
              <w:left w:w="20" w:type="dxa"/>
              <w:right w:w="20" w:type="dxa"/>
            </w:tcMar>
            <w:vAlign w:val="bottom"/>
          </w:tcPr>
          <w:p w14:paraId="36CA1960" w14:textId="77777777" w:rsidR="00787570" w:rsidRDefault="00787570">
            <w:pPr>
              <w:rPr>
                <w:rFonts w:ascii="宋体"/>
              </w:rPr>
            </w:pPr>
          </w:p>
        </w:tc>
        <w:tc>
          <w:tcPr>
            <w:tcW w:w="0" w:type="auto"/>
            <w:tcBorders>
              <w:top w:val="double" w:sz="6" w:space="0" w:color="333333"/>
            </w:tcBorders>
            <w:shd w:val="clear" w:color="auto" w:fill="auto"/>
            <w:tcMar>
              <w:top w:w="40" w:type="dxa"/>
              <w:left w:w="20" w:type="dxa"/>
              <w:bottom w:w="40" w:type="dxa"/>
            </w:tcMar>
            <w:vAlign w:val="bottom"/>
          </w:tcPr>
          <w:p w14:paraId="36CA1961" w14:textId="77777777" w:rsidR="00787570" w:rsidRDefault="000D56E2">
            <w:pPr>
              <w:textAlignment w:val="bottom"/>
            </w:pPr>
            <w:r>
              <w:rPr>
                <w:rFonts w:ascii="Arial" w:eastAsia="宋体" w:hAnsi="Arial" w:cs="Arial"/>
                <w:b/>
                <w:bCs/>
                <w:color w:val="0071C5"/>
                <w:sz w:val="18"/>
                <w:szCs w:val="18"/>
              </w:rPr>
              <w:t>$</w:t>
            </w:r>
          </w:p>
        </w:tc>
        <w:tc>
          <w:tcPr>
            <w:tcW w:w="0" w:type="auto"/>
            <w:tcBorders>
              <w:top w:val="double" w:sz="6" w:space="0" w:color="333333"/>
            </w:tcBorders>
            <w:shd w:val="clear" w:color="auto" w:fill="auto"/>
            <w:tcMar>
              <w:top w:w="40" w:type="dxa"/>
              <w:bottom w:w="40" w:type="dxa"/>
              <w:right w:w="0" w:type="dxa"/>
            </w:tcMar>
            <w:vAlign w:val="bottom"/>
          </w:tcPr>
          <w:p w14:paraId="36CA1962" w14:textId="77777777" w:rsidR="00787570" w:rsidRDefault="000D56E2">
            <w:pPr>
              <w:jc w:val="right"/>
              <w:textAlignment w:val="bottom"/>
            </w:pPr>
            <w:r>
              <w:rPr>
                <w:rFonts w:ascii="Arial" w:eastAsia="宋体" w:hAnsi="Arial" w:cs="Arial"/>
                <w:b/>
                <w:bCs/>
                <w:color w:val="0071C5"/>
                <w:sz w:val="18"/>
                <w:szCs w:val="18"/>
              </w:rPr>
              <w:t>1.02</w:t>
            </w:r>
            <w:r>
              <w:rPr>
                <w:rFonts w:ascii="Arial" w:eastAsia="宋体" w:hAnsi="Arial" w:cs="Arial"/>
                <w:color w:val="0071C5"/>
                <w:sz w:val="18"/>
                <w:szCs w:val="18"/>
              </w:rPr>
              <w:t> </w:t>
            </w:r>
          </w:p>
        </w:tc>
        <w:tc>
          <w:tcPr>
            <w:tcW w:w="0" w:type="auto"/>
            <w:tcBorders>
              <w:top w:val="double" w:sz="6" w:space="0" w:color="333333"/>
            </w:tcBorders>
            <w:shd w:val="clear" w:color="auto" w:fill="auto"/>
            <w:tcMar>
              <w:top w:w="40" w:type="dxa"/>
              <w:bottom w:w="40" w:type="dxa"/>
              <w:right w:w="20" w:type="dxa"/>
            </w:tcMar>
            <w:vAlign w:val="bottom"/>
          </w:tcPr>
          <w:p w14:paraId="36CA1963"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1964" w14:textId="77777777" w:rsidR="00787570" w:rsidRDefault="00787570">
            <w:pPr>
              <w:rPr>
                <w:rFonts w:ascii="宋体"/>
              </w:rPr>
            </w:pPr>
          </w:p>
        </w:tc>
        <w:tc>
          <w:tcPr>
            <w:tcW w:w="0" w:type="auto"/>
            <w:tcBorders>
              <w:top w:val="double" w:sz="6" w:space="0" w:color="333333"/>
            </w:tcBorders>
            <w:shd w:val="clear" w:color="auto" w:fill="auto"/>
            <w:tcMar>
              <w:top w:w="40" w:type="dxa"/>
              <w:left w:w="20" w:type="dxa"/>
              <w:bottom w:w="40" w:type="dxa"/>
            </w:tcMar>
            <w:vAlign w:val="bottom"/>
          </w:tcPr>
          <w:p w14:paraId="36CA1965" w14:textId="77777777" w:rsidR="00787570" w:rsidRDefault="000D56E2">
            <w:pPr>
              <w:textAlignment w:val="bottom"/>
            </w:pPr>
            <w:r>
              <w:rPr>
                <w:rFonts w:ascii="Arial" w:eastAsia="宋体" w:hAnsi="Arial" w:cs="Arial"/>
                <w:b/>
                <w:bCs/>
                <w:color w:val="333333"/>
                <w:sz w:val="18"/>
                <w:szCs w:val="18"/>
              </w:rPr>
              <w:t>$</w:t>
            </w:r>
          </w:p>
        </w:tc>
        <w:tc>
          <w:tcPr>
            <w:tcW w:w="0" w:type="auto"/>
            <w:tcBorders>
              <w:top w:val="double" w:sz="6" w:space="0" w:color="333333"/>
            </w:tcBorders>
            <w:shd w:val="clear" w:color="auto" w:fill="auto"/>
            <w:tcMar>
              <w:top w:w="40" w:type="dxa"/>
              <w:bottom w:w="40" w:type="dxa"/>
              <w:right w:w="0" w:type="dxa"/>
            </w:tcMar>
            <w:vAlign w:val="bottom"/>
          </w:tcPr>
          <w:p w14:paraId="36CA1966" w14:textId="77777777" w:rsidR="00787570" w:rsidRDefault="000D56E2">
            <w:pPr>
              <w:jc w:val="right"/>
              <w:textAlignment w:val="bottom"/>
            </w:pPr>
            <w:r>
              <w:rPr>
                <w:rFonts w:ascii="Arial" w:eastAsia="宋体" w:hAnsi="Arial" w:cs="Arial"/>
                <w:b/>
                <w:bCs/>
                <w:color w:val="333333"/>
                <w:sz w:val="18"/>
                <w:szCs w:val="18"/>
              </w:rPr>
              <w:t>1.36</w:t>
            </w:r>
            <w:r>
              <w:rPr>
                <w:rFonts w:ascii="Arial" w:eastAsia="宋体" w:hAnsi="Arial" w:cs="Arial"/>
                <w:color w:val="333333"/>
                <w:sz w:val="18"/>
                <w:szCs w:val="18"/>
              </w:rPr>
              <w:t> </w:t>
            </w:r>
          </w:p>
        </w:tc>
        <w:tc>
          <w:tcPr>
            <w:tcW w:w="0" w:type="auto"/>
            <w:tcBorders>
              <w:top w:val="double" w:sz="6" w:space="0" w:color="333333"/>
            </w:tcBorders>
            <w:shd w:val="clear" w:color="auto" w:fill="auto"/>
            <w:tcMar>
              <w:top w:w="40" w:type="dxa"/>
              <w:bottom w:w="40" w:type="dxa"/>
              <w:right w:w="20" w:type="dxa"/>
            </w:tcMar>
            <w:vAlign w:val="bottom"/>
          </w:tcPr>
          <w:p w14:paraId="36CA1967"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1968" w14:textId="77777777" w:rsidR="00787570" w:rsidRDefault="00787570">
            <w:pPr>
              <w:rPr>
                <w:rFonts w:ascii="宋体"/>
              </w:rPr>
            </w:pPr>
          </w:p>
        </w:tc>
        <w:tc>
          <w:tcPr>
            <w:tcW w:w="0" w:type="auto"/>
            <w:tcBorders>
              <w:top w:val="double" w:sz="6" w:space="0" w:color="000000"/>
            </w:tcBorders>
            <w:shd w:val="clear" w:color="auto" w:fill="auto"/>
            <w:tcMar>
              <w:top w:w="40" w:type="dxa"/>
              <w:left w:w="20" w:type="dxa"/>
              <w:bottom w:w="40" w:type="dxa"/>
            </w:tcMar>
            <w:vAlign w:val="bottom"/>
          </w:tcPr>
          <w:p w14:paraId="36CA1969" w14:textId="77777777" w:rsidR="00787570" w:rsidRDefault="000D56E2">
            <w:pPr>
              <w:textAlignment w:val="bottom"/>
            </w:pPr>
            <w:r>
              <w:rPr>
                <w:rFonts w:ascii="Arial" w:eastAsia="宋体" w:hAnsi="Arial" w:cs="Arial"/>
                <w:b/>
                <w:bCs/>
                <w:color w:val="0071C5"/>
                <w:sz w:val="18"/>
                <w:szCs w:val="18"/>
              </w:rPr>
              <w:t>$</w:t>
            </w:r>
          </w:p>
        </w:tc>
        <w:tc>
          <w:tcPr>
            <w:tcW w:w="0" w:type="auto"/>
            <w:tcBorders>
              <w:top w:val="double" w:sz="6" w:space="0" w:color="000000"/>
            </w:tcBorders>
            <w:shd w:val="clear" w:color="auto" w:fill="auto"/>
            <w:tcMar>
              <w:top w:w="40" w:type="dxa"/>
              <w:bottom w:w="40" w:type="dxa"/>
              <w:right w:w="0" w:type="dxa"/>
            </w:tcMar>
            <w:vAlign w:val="bottom"/>
          </w:tcPr>
          <w:p w14:paraId="36CA196A" w14:textId="77777777" w:rsidR="00787570" w:rsidRDefault="000D56E2">
            <w:pPr>
              <w:jc w:val="right"/>
              <w:textAlignment w:val="bottom"/>
            </w:pPr>
            <w:r>
              <w:rPr>
                <w:rFonts w:ascii="Arial" w:eastAsia="宋体" w:hAnsi="Arial" w:cs="Arial"/>
                <w:b/>
                <w:bCs/>
                <w:color w:val="0071C5"/>
                <w:sz w:val="18"/>
                <w:szCs w:val="18"/>
              </w:rPr>
              <w:t>3.55</w:t>
            </w:r>
            <w:r>
              <w:rPr>
                <w:rFonts w:ascii="Arial" w:eastAsia="宋体" w:hAnsi="Arial" w:cs="Arial"/>
                <w:color w:val="0071C5"/>
                <w:sz w:val="18"/>
                <w:szCs w:val="18"/>
              </w:rPr>
              <w:t> </w:t>
            </w:r>
          </w:p>
        </w:tc>
        <w:tc>
          <w:tcPr>
            <w:tcW w:w="0" w:type="auto"/>
            <w:tcBorders>
              <w:top w:val="double" w:sz="6" w:space="0" w:color="000000"/>
            </w:tcBorders>
            <w:shd w:val="clear" w:color="auto" w:fill="auto"/>
            <w:tcMar>
              <w:top w:w="40" w:type="dxa"/>
              <w:bottom w:w="40" w:type="dxa"/>
              <w:right w:w="20" w:type="dxa"/>
            </w:tcMar>
            <w:vAlign w:val="bottom"/>
          </w:tcPr>
          <w:p w14:paraId="36CA196B"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196C" w14:textId="77777777" w:rsidR="00787570" w:rsidRDefault="00787570">
            <w:pPr>
              <w:rPr>
                <w:rFonts w:ascii="宋体"/>
              </w:rPr>
            </w:pPr>
          </w:p>
        </w:tc>
        <w:tc>
          <w:tcPr>
            <w:tcW w:w="0" w:type="auto"/>
            <w:tcBorders>
              <w:top w:val="double" w:sz="6" w:space="0" w:color="333333"/>
            </w:tcBorders>
            <w:shd w:val="clear" w:color="auto" w:fill="auto"/>
            <w:tcMar>
              <w:top w:w="40" w:type="dxa"/>
              <w:left w:w="20" w:type="dxa"/>
              <w:bottom w:w="40" w:type="dxa"/>
            </w:tcMar>
            <w:vAlign w:val="bottom"/>
          </w:tcPr>
          <w:p w14:paraId="36CA196D" w14:textId="77777777" w:rsidR="00787570" w:rsidRDefault="000D56E2">
            <w:pPr>
              <w:textAlignment w:val="bottom"/>
            </w:pPr>
            <w:r>
              <w:rPr>
                <w:rFonts w:ascii="Arial" w:eastAsia="宋体" w:hAnsi="Arial" w:cs="Arial"/>
                <w:b/>
                <w:bCs/>
                <w:color w:val="333333"/>
                <w:sz w:val="18"/>
                <w:szCs w:val="18"/>
              </w:rPr>
              <w:t>$</w:t>
            </w:r>
          </w:p>
        </w:tc>
        <w:tc>
          <w:tcPr>
            <w:tcW w:w="0" w:type="auto"/>
            <w:tcBorders>
              <w:top w:val="double" w:sz="6" w:space="0" w:color="333333"/>
            </w:tcBorders>
            <w:shd w:val="clear" w:color="auto" w:fill="auto"/>
            <w:tcMar>
              <w:top w:w="40" w:type="dxa"/>
              <w:bottom w:w="40" w:type="dxa"/>
              <w:right w:w="0" w:type="dxa"/>
            </w:tcMar>
            <w:vAlign w:val="bottom"/>
          </w:tcPr>
          <w:p w14:paraId="36CA196E" w14:textId="77777777" w:rsidR="00787570" w:rsidRDefault="000D56E2">
            <w:pPr>
              <w:jc w:val="right"/>
              <w:textAlignment w:val="bottom"/>
            </w:pPr>
            <w:r>
              <w:rPr>
                <w:rFonts w:ascii="Arial" w:eastAsia="宋体" w:hAnsi="Arial" w:cs="Arial"/>
                <w:b/>
                <w:bCs/>
                <w:color w:val="333333"/>
                <w:sz w:val="18"/>
                <w:szCs w:val="18"/>
              </w:rPr>
              <w:t>3.18</w:t>
            </w:r>
            <w:r>
              <w:rPr>
                <w:rFonts w:ascii="Arial" w:eastAsia="宋体" w:hAnsi="Arial" w:cs="Arial"/>
                <w:color w:val="333333"/>
                <w:sz w:val="18"/>
                <w:szCs w:val="18"/>
              </w:rPr>
              <w:t> </w:t>
            </w:r>
          </w:p>
        </w:tc>
        <w:tc>
          <w:tcPr>
            <w:tcW w:w="0" w:type="auto"/>
            <w:tcBorders>
              <w:top w:val="double" w:sz="6" w:space="0" w:color="333333"/>
            </w:tcBorders>
            <w:shd w:val="clear" w:color="auto" w:fill="auto"/>
            <w:tcMar>
              <w:top w:w="40" w:type="dxa"/>
              <w:bottom w:w="40" w:type="dxa"/>
              <w:right w:w="20" w:type="dxa"/>
            </w:tcMar>
            <w:vAlign w:val="bottom"/>
          </w:tcPr>
          <w:p w14:paraId="36CA196F" w14:textId="77777777" w:rsidR="00787570" w:rsidRDefault="00787570">
            <w:pPr>
              <w:jc w:val="right"/>
              <w:rPr>
                <w:rFonts w:ascii="宋体"/>
              </w:rPr>
            </w:pPr>
          </w:p>
        </w:tc>
        <w:tc>
          <w:tcPr>
            <w:tcW w:w="0" w:type="auto"/>
            <w:shd w:val="clear" w:color="auto" w:fill="auto"/>
          </w:tcPr>
          <w:p w14:paraId="36CA1970" w14:textId="77777777" w:rsidR="00787570" w:rsidRDefault="00787570">
            <w:pPr>
              <w:rPr>
                <w:rFonts w:ascii="宋体"/>
              </w:rPr>
            </w:pPr>
          </w:p>
        </w:tc>
        <w:tc>
          <w:tcPr>
            <w:tcW w:w="0" w:type="auto"/>
            <w:shd w:val="clear" w:color="auto" w:fill="auto"/>
          </w:tcPr>
          <w:p w14:paraId="36CA1971" w14:textId="77777777" w:rsidR="00787570" w:rsidRDefault="00787570">
            <w:pPr>
              <w:rPr>
                <w:rFonts w:ascii="宋体"/>
              </w:rPr>
            </w:pPr>
          </w:p>
        </w:tc>
        <w:tc>
          <w:tcPr>
            <w:tcW w:w="0" w:type="auto"/>
            <w:shd w:val="clear" w:color="auto" w:fill="auto"/>
          </w:tcPr>
          <w:p w14:paraId="36CA1972" w14:textId="77777777" w:rsidR="00787570" w:rsidRDefault="00787570">
            <w:pPr>
              <w:rPr>
                <w:rFonts w:ascii="宋体"/>
              </w:rPr>
            </w:pPr>
          </w:p>
        </w:tc>
        <w:tc>
          <w:tcPr>
            <w:tcW w:w="0" w:type="auto"/>
            <w:shd w:val="clear" w:color="auto" w:fill="auto"/>
          </w:tcPr>
          <w:p w14:paraId="36CA1973" w14:textId="77777777" w:rsidR="00787570" w:rsidRDefault="00787570">
            <w:pPr>
              <w:rPr>
                <w:rFonts w:ascii="宋体"/>
              </w:rPr>
            </w:pPr>
          </w:p>
        </w:tc>
        <w:tc>
          <w:tcPr>
            <w:tcW w:w="0" w:type="auto"/>
            <w:shd w:val="clear" w:color="auto" w:fill="auto"/>
          </w:tcPr>
          <w:p w14:paraId="36CA1974" w14:textId="77777777" w:rsidR="00787570" w:rsidRDefault="00787570">
            <w:pPr>
              <w:rPr>
                <w:rFonts w:ascii="宋体"/>
              </w:rPr>
            </w:pPr>
          </w:p>
        </w:tc>
        <w:tc>
          <w:tcPr>
            <w:tcW w:w="0" w:type="auto"/>
            <w:shd w:val="clear" w:color="auto" w:fill="auto"/>
          </w:tcPr>
          <w:p w14:paraId="36CA1975" w14:textId="77777777" w:rsidR="00787570" w:rsidRDefault="00787570">
            <w:pPr>
              <w:rPr>
                <w:rFonts w:ascii="宋体"/>
              </w:rPr>
            </w:pPr>
          </w:p>
        </w:tc>
        <w:tc>
          <w:tcPr>
            <w:tcW w:w="0" w:type="auto"/>
            <w:shd w:val="clear" w:color="auto" w:fill="auto"/>
          </w:tcPr>
          <w:p w14:paraId="36CA1976" w14:textId="77777777" w:rsidR="00787570" w:rsidRDefault="00787570">
            <w:pPr>
              <w:rPr>
                <w:rFonts w:ascii="宋体"/>
              </w:rPr>
            </w:pPr>
          </w:p>
        </w:tc>
        <w:tc>
          <w:tcPr>
            <w:tcW w:w="0" w:type="auto"/>
            <w:shd w:val="clear" w:color="auto" w:fill="auto"/>
          </w:tcPr>
          <w:p w14:paraId="36CA1977" w14:textId="77777777" w:rsidR="00787570" w:rsidRDefault="00787570">
            <w:pPr>
              <w:rPr>
                <w:rFonts w:ascii="宋体"/>
              </w:rPr>
            </w:pPr>
          </w:p>
        </w:tc>
        <w:tc>
          <w:tcPr>
            <w:tcW w:w="0" w:type="auto"/>
            <w:shd w:val="clear" w:color="auto" w:fill="auto"/>
          </w:tcPr>
          <w:p w14:paraId="36CA1978" w14:textId="77777777" w:rsidR="00787570" w:rsidRDefault="00787570">
            <w:pPr>
              <w:rPr>
                <w:rFonts w:ascii="宋体"/>
              </w:rPr>
            </w:pPr>
          </w:p>
        </w:tc>
        <w:tc>
          <w:tcPr>
            <w:tcW w:w="0" w:type="auto"/>
            <w:shd w:val="clear" w:color="auto" w:fill="auto"/>
          </w:tcPr>
          <w:p w14:paraId="36CA1979" w14:textId="77777777" w:rsidR="00787570" w:rsidRDefault="00787570">
            <w:pPr>
              <w:rPr>
                <w:rFonts w:ascii="宋体"/>
              </w:rPr>
            </w:pPr>
          </w:p>
        </w:tc>
        <w:tc>
          <w:tcPr>
            <w:tcW w:w="0" w:type="auto"/>
            <w:shd w:val="clear" w:color="auto" w:fill="auto"/>
          </w:tcPr>
          <w:p w14:paraId="36CA197A" w14:textId="77777777" w:rsidR="00787570" w:rsidRDefault="00787570">
            <w:pPr>
              <w:rPr>
                <w:rFonts w:ascii="宋体"/>
              </w:rPr>
            </w:pPr>
          </w:p>
        </w:tc>
        <w:tc>
          <w:tcPr>
            <w:tcW w:w="0" w:type="auto"/>
            <w:shd w:val="clear" w:color="auto" w:fill="auto"/>
          </w:tcPr>
          <w:p w14:paraId="36CA197B" w14:textId="77777777" w:rsidR="00787570" w:rsidRDefault="00787570">
            <w:pPr>
              <w:rPr>
                <w:rFonts w:ascii="宋体"/>
              </w:rPr>
            </w:pPr>
          </w:p>
        </w:tc>
      </w:tr>
      <w:tr w:rsidR="00787570" w14:paraId="36CA199A" w14:textId="77777777">
        <w:tc>
          <w:tcPr>
            <w:tcW w:w="0" w:type="auto"/>
            <w:gridSpan w:val="3"/>
            <w:shd w:val="clear" w:color="auto" w:fill="auto"/>
            <w:tcMar>
              <w:top w:w="40" w:type="dxa"/>
              <w:left w:w="20" w:type="dxa"/>
              <w:bottom w:w="40" w:type="dxa"/>
              <w:right w:w="20" w:type="dxa"/>
            </w:tcMar>
          </w:tcPr>
          <w:p w14:paraId="36CA197D" w14:textId="77777777" w:rsidR="00787570" w:rsidRDefault="000D56E2">
            <w:pPr>
              <w:ind w:hanging="180"/>
              <w:textAlignment w:val="top"/>
            </w:pPr>
            <w:r>
              <w:rPr>
                <w:rFonts w:ascii="Arial" w:eastAsia="宋体" w:hAnsi="Arial" w:cs="Arial"/>
                <w:b/>
                <w:bCs/>
                <w:color w:val="333333"/>
                <w:sz w:val="18"/>
                <w:szCs w:val="18"/>
              </w:rPr>
              <w:t>Earnings per share—diluted</w:t>
            </w:r>
          </w:p>
        </w:tc>
        <w:tc>
          <w:tcPr>
            <w:tcW w:w="0" w:type="auto"/>
            <w:gridSpan w:val="3"/>
            <w:shd w:val="clear" w:color="auto" w:fill="auto"/>
            <w:tcMar>
              <w:left w:w="20" w:type="dxa"/>
              <w:right w:w="20" w:type="dxa"/>
            </w:tcMar>
            <w:vAlign w:val="bottom"/>
          </w:tcPr>
          <w:p w14:paraId="36CA197E" w14:textId="77777777" w:rsidR="00787570" w:rsidRDefault="00787570">
            <w:pPr>
              <w:rPr>
                <w:rFonts w:ascii="宋体"/>
              </w:rPr>
            </w:pPr>
          </w:p>
        </w:tc>
        <w:tc>
          <w:tcPr>
            <w:tcW w:w="0" w:type="auto"/>
            <w:tcBorders>
              <w:top w:val="double" w:sz="6" w:space="0" w:color="333333"/>
            </w:tcBorders>
            <w:shd w:val="clear" w:color="auto" w:fill="auto"/>
            <w:tcMar>
              <w:top w:w="40" w:type="dxa"/>
              <w:left w:w="20" w:type="dxa"/>
              <w:bottom w:w="40" w:type="dxa"/>
            </w:tcMar>
            <w:vAlign w:val="bottom"/>
          </w:tcPr>
          <w:p w14:paraId="36CA197F" w14:textId="77777777" w:rsidR="00787570" w:rsidRDefault="000D56E2">
            <w:pPr>
              <w:textAlignment w:val="bottom"/>
            </w:pPr>
            <w:r>
              <w:rPr>
                <w:rFonts w:ascii="Arial" w:eastAsia="宋体" w:hAnsi="Arial" w:cs="Arial"/>
                <w:b/>
                <w:bCs/>
                <w:color w:val="0071C5"/>
                <w:sz w:val="18"/>
                <w:szCs w:val="18"/>
              </w:rPr>
              <w:t>$</w:t>
            </w:r>
          </w:p>
        </w:tc>
        <w:tc>
          <w:tcPr>
            <w:tcW w:w="0" w:type="auto"/>
            <w:tcBorders>
              <w:top w:val="double" w:sz="6" w:space="0" w:color="333333"/>
            </w:tcBorders>
            <w:shd w:val="clear" w:color="auto" w:fill="auto"/>
            <w:tcMar>
              <w:top w:w="40" w:type="dxa"/>
              <w:bottom w:w="40" w:type="dxa"/>
              <w:right w:w="0" w:type="dxa"/>
            </w:tcMar>
            <w:vAlign w:val="bottom"/>
          </w:tcPr>
          <w:p w14:paraId="36CA1980" w14:textId="77777777" w:rsidR="00787570" w:rsidRDefault="000D56E2">
            <w:pPr>
              <w:jc w:val="right"/>
              <w:textAlignment w:val="bottom"/>
            </w:pPr>
            <w:r>
              <w:rPr>
                <w:rFonts w:ascii="Arial" w:eastAsia="宋体" w:hAnsi="Arial" w:cs="Arial"/>
                <w:b/>
                <w:bCs/>
                <w:color w:val="0071C5"/>
                <w:sz w:val="18"/>
                <w:szCs w:val="18"/>
              </w:rPr>
              <w:t>1.02</w:t>
            </w:r>
            <w:r>
              <w:rPr>
                <w:rFonts w:ascii="Arial" w:eastAsia="宋体" w:hAnsi="Arial" w:cs="Arial"/>
                <w:color w:val="0071C5"/>
                <w:sz w:val="18"/>
                <w:szCs w:val="18"/>
              </w:rPr>
              <w:t> </w:t>
            </w:r>
          </w:p>
        </w:tc>
        <w:tc>
          <w:tcPr>
            <w:tcW w:w="0" w:type="auto"/>
            <w:tcBorders>
              <w:top w:val="double" w:sz="6" w:space="0" w:color="333333"/>
            </w:tcBorders>
            <w:shd w:val="clear" w:color="auto" w:fill="auto"/>
            <w:tcMar>
              <w:top w:w="40" w:type="dxa"/>
              <w:bottom w:w="40" w:type="dxa"/>
              <w:right w:w="20" w:type="dxa"/>
            </w:tcMar>
            <w:vAlign w:val="bottom"/>
          </w:tcPr>
          <w:p w14:paraId="36CA1981"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1982" w14:textId="77777777" w:rsidR="00787570" w:rsidRDefault="00787570">
            <w:pPr>
              <w:rPr>
                <w:rFonts w:ascii="宋体"/>
              </w:rPr>
            </w:pPr>
          </w:p>
        </w:tc>
        <w:tc>
          <w:tcPr>
            <w:tcW w:w="0" w:type="auto"/>
            <w:tcBorders>
              <w:top w:val="double" w:sz="6" w:space="0" w:color="333333"/>
            </w:tcBorders>
            <w:shd w:val="clear" w:color="auto" w:fill="auto"/>
            <w:tcMar>
              <w:top w:w="40" w:type="dxa"/>
              <w:left w:w="20" w:type="dxa"/>
              <w:bottom w:w="40" w:type="dxa"/>
            </w:tcMar>
            <w:vAlign w:val="bottom"/>
          </w:tcPr>
          <w:p w14:paraId="36CA1983" w14:textId="77777777" w:rsidR="00787570" w:rsidRDefault="000D56E2">
            <w:pPr>
              <w:textAlignment w:val="bottom"/>
            </w:pPr>
            <w:r>
              <w:rPr>
                <w:rFonts w:ascii="Arial" w:eastAsia="宋体" w:hAnsi="Arial" w:cs="Arial"/>
                <w:b/>
                <w:bCs/>
                <w:color w:val="333333"/>
                <w:sz w:val="18"/>
                <w:szCs w:val="18"/>
              </w:rPr>
              <w:t>$</w:t>
            </w:r>
          </w:p>
        </w:tc>
        <w:tc>
          <w:tcPr>
            <w:tcW w:w="0" w:type="auto"/>
            <w:tcBorders>
              <w:top w:val="double" w:sz="6" w:space="0" w:color="333333"/>
            </w:tcBorders>
            <w:shd w:val="clear" w:color="auto" w:fill="auto"/>
            <w:tcMar>
              <w:top w:w="40" w:type="dxa"/>
              <w:bottom w:w="40" w:type="dxa"/>
              <w:right w:w="0" w:type="dxa"/>
            </w:tcMar>
            <w:vAlign w:val="bottom"/>
          </w:tcPr>
          <w:p w14:paraId="36CA1984" w14:textId="77777777" w:rsidR="00787570" w:rsidRDefault="000D56E2">
            <w:pPr>
              <w:jc w:val="right"/>
              <w:textAlignment w:val="bottom"/>
            </w:pPr>
            <w:r>
              <w:rPr>
                <w:rFonts w:ascii="Arial" w:eastAsia="宋体" w:hAnsi="Arial" w:cs="Arial"/>
                <w:b/>
                <w:bCs/>
                <w:color w:val="333333"/>
                <w:sz w:val="18"/>
                <w:szCs w:val="18"/>
              </w:rPr>
              <w:t>1.35</w:t>
            </w:r>
            <w:r>
              <w:rPr>
                <w:rFonts w:ascii="Arial" w:eastAsia="宋体" w:hAnsi="Arial" w:cs="Arial"/>
                <w:color w:val="333333"/>
                <w:sz w:val="18"/>
                <w:szCs w:val="18"/>
              </w:rPr>
              <w:t> </w:t>
            </w:r>
          </w:p>
        </w:tc>
        <w:tc>
          <w:tcPr>
            <w:tcW w:w="0" w:type="auto"/>
            <w:tcBorders>
              <w:top w:val="double" w:sz="6" w:space="0" w:color="333333"/>
            </w:tcBorders>
            <w:shd w:val="clear" w:color="auto" w:fill="auto"/>
            <w:tcMar>
              <w:top w:w="40" w:type="dxa"/>
              <w:bottom w:w="40" w:type="dxa"/>
              <w:right w:w="20" w:type="dxa"/>
            </w:tcMar>
            <w:vAlign w:val="bottom"/>
          </w:tcPr>
          <w:p w14:paraId="36CA1985"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1986" w14:textId="77777777" w:rsidR="00787570" w:rsidRDefault="00787570">
            <w:pPr>
              <w:rPr>
                <w:rFonts w:ascii="宋体"/>
              </w:rPr>
            </w:pPr>
          </w:p>
        </w:tc>
        <w:tc>
          <w:tcPr>
            <w:tcW w:w="0" w:type="auto"/>
            <w:tcBorders>
              <w:top w:val="double" w:sz="6" w:space="0" w:color="333333"/>
            </w:tcBorders>
            <w:shd w:val="clear" w:color="auto" w:fill="auto"/>
            <w:tcMar>
              <w:top w:w="40" w:type="dxa"/>
              <w:left w:w="20" w:type="dxa"/>
              <w:bottom w:w="40" w:type="dxa"/>
            </w:tcMar>
            <w:vAlign w:val="bottom"/>
          </w:tcPr>
          <w:p w14:paraId="36CA1987" w14:textId="77777777" w:rsidR="00787570" w:rsidRDefault="000D56E2">
            <w:pPr>
              <w:textAlignment w:val="bottom"/>
            </w:pPr>
            <w:r>
              <w:rPr>
                <w:rFonts w:ascii="Arial" w:eastAsia="宋体" w:hAnsi="Arial" w:cs="Arial"/>
                <w:b/>
                <w:bCs/>
                <w:color w:val="0071C5"/>
                <w:sz w:val="18"/>
                <w:szCs w:val="18"/>
              </w:rPr>
              <w:t>$</w:t>
            </w:r>
          </w:p>
        </w:tc>
        <w:tc>
          <w:tcPr>
            <w:tcW w:w="0" w:type="auto"/>
            <w:tcBorders>
              <w:top w:val="double" w:sz="6" w:space="0" w:color="333333"/>
            </w:tcBorders>
            <w:shd w:val="clear" w:color="auto" w:fill="auto"/>
            <w:tcMar>
              <w:top w:w="40" w:type="dxa"/>
              <w:bottom w:w="40" w:type="dxa"/>
              <w:right w:w="0" w:type="dxa"/>
            </w:tcMar>
            <w:vAlign w:val="bottom"/>
          </w:tcPr>
          <w:p w14:paraId="36CA1988" w14:textId="77777777" w:rsidR="00787570" w:rsidRDefault="000D56E2">
            <w:pPr>
              <w:jc w:val="right"/>
              <w:textAlignment w:val="bottom"/>
            </w:pPr>
            <w:r>
              <w:rPr>
                <w:rFonts w:ascii="Arial" w:eastAsia="宋体" w:hAnsi="Arial" w:cs="Arial"/>
                <w:b/>
                <w:bCs/>
                <w:color w:val="0071C5"/>
                <w:sz w:val="18"/>
                <w:szCs w:val="18"/>
              </w:rPr>
              <w:t>3.52</w:t>
            </w:r>
            <w:r>
              <w:rPr>
                <w:rFonts w:ascii="Arial" w:eastAsia="宋体" w:hAnsi="Arial" w:cs="Arial"/>
                <w:color w:val="0071C5"/>
                <w:sz w:val="18"/>
                <w:szCs w:val="18"/>
              </w:rPr>
              <w:t> </w:t>
            </w:r>
          </w:p>
        </w:tc>
        <w:tc>
          <w:tcPr>
            <w:tcW w:w="0" w:type="auto"/>
            <w:tcBorders>
              <w:top w:val="double" w:sz="6" w:space="0" w:color="333333"/>
            </w:tcBorders>
            <w:shd w:val="clear" w:color="auto" w:fill="auto"/>
            <w:tcMar>
              <w:top w:w="40" w:type="dxa"/>
              <w:bottom w:w="40" w:type="dxa"/>
              <w:right w:w="20" w:type="dxa"/>
            </w:tcMar>
            <w:vAlign w:val="bottom"/>
          </w:tcPr>
          <w:p w14:paraId="36CA1989"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198A" w14:textId="77777777" w:rsidR="00787570" w:rsidRDefault="00787570">
            <w:pPr>
              <w:rPr>
                <w:rFonts w:ascii="宋体"/>
              </w:rPr>
            </w:pPr>
          </w:p>
        </w:tc>
        <w:tc>
          <w:tcPr>
            <w:tcW w:w="0" w:type="auto"/>
            <w:tcBorders>
              <w:top w:val="double" w:sz="6" w:space="0" w:color="333333"/>
            </w:tcBorders>
            <w:shd w:val="clear" w:color="auto" w:fill="auto"/>
            <w:tcMar>
              <w:top w:w="40" w:type="dxa"/>
              <w:left w:w="20" w:type="dxa"/>
              <w:bottom w:w="40" w:type="dxa"/>
            </w:tcMar>
            <w:vAlign w:val="bottom"/>
          </w:tcPr>
          <w:p w14:paraId="36CA198B" w14:textId="77777777" w:rsidR="00787570" w:rsidRDefault="000D56E2">
            <w:pPr>
              <w:textAlignment w:val="bottom"/>
            </w:pPr>
            <w:r>
              <w:rPr>
                <w:rFonts w:ascii="Arial" w:eastAsia="宋体" w:hAnsi="Arial" w:cs="Arial"/>
                <w:b/>
                <w:bCs/>
                <w:color w:val="333333"/>
                <w:sz w:val="18"/>
                <w:szCs w:val="18"/>
              </w:rPr>
              <w:t>$</w:t>
            </w:r>
          </w:p>
        </w:tc>
        <w:tc>
          <w:tcPr>
            <w:tcW w:w="0" w:type="auto"/>
            <w:tcBorders>
              <w:top w:val="double" w:sz="6" w:space="0" w:color="333333"/>
            </w:tcBorders>
            <w:shd w:val="clear" w:color="auto" w:fill="auto"/>
            <w:tcMar>
              <w:top w:w="40" w:type="dxa"/>
              <w:bottom w:w="40" w:type="dxa"/>
              <w:right w:w="0" w:type="dxa"/>
            </w:tcMar>
            <w:vAlign w:val="bottom"/>
          </w:tcPr>
          <w:p w14:paraId="36CA198C" w14:textId="77777777" w:rsidR="00787570" w:rsidRDefault="000D56E2">
            <w:pPr>
              <w:jc w:val="right"/>
              <w:textAlignment w:val="bottom"/>
            </w:pPr>
            <w:r>
              <w:rPr>
                <w:rFonts w:ascii="Arial" w:eastAsia="宋体" w:hAnsi="Arial" w:cs="Arial"/>
                <w:b/>
                <w:bCs/>
                <w:color w:val="333333"/>
                <w:sz w:val="18"/>
                <w:szCs w:val="18"/>
              </w:rPr>
              <w:t>3.14</w:t>
            </w:r>
            <w:r>
              <w:rPr>
                <w:rFonts w:ascii="Arial" w:eastAsia="宋体" w:hAnsi="Arial" w:cs="Arial"/>
                <w:color w:val="333333"/>
                <w:sz w:val="18"/>
                <w:szCs w:val="18"/>
              </w:rPr>
              <w:t> </w:t>
            </w:r>
          </w:p>
        </w:tc>
        <w:tc>
          <w:tcPr>
            <w:tcW w:w="0" w:type="auto"/>
            <w:tcBorders>
              <w:top w:val="double" w:sz="6" w:space="0" w:color="333333"/>
            </w:tcBorders>
            <w:shd w:val="clear" w:color="auto" w:fill="auto"/>
            <w:tcMar>
              <w:top w:w="40" w:type="dxa"/>
              <w:bottom w:w="40" w:type="dxa"/>
              <w:right w:w="20" w:type="dxa"/>
            </w:tcMar>
            <w:vAlign w:val="bottom"/>
          </w:tcPr>
          <w:p w14:paraId="36CA198D" w14:textId="77777777" w:rsidR="00787570" w:rsidRDefault="00787570">
            <w:pPr>
              <w:jc w:val="right"/>
              <w:rPr>
                <w:rFonts w:ascii="宋体"/>
              </w:rPr>
            </w:pPr>
          </w:p>
        </w:tc>
        <w:tc>
          <w:tcPr>
            <w:tcW w:w="0" w:type="auto"/>
            <w:shd w:val="clear" w:color="auto" w:fill="auto"/>
          </w:tcPr>
          <w:p w14:paraId="36CA198E" w14:textId="77777777" w:rsidR="00787570" w:rsidRDefault="00787570">
            <w:pPr>
              <w:rPr>
                <w:rFonts w:ascii="宋体"/>
              </w:rPr>
            </w:pPr>
          </w:p>
        </w:tc>
        <w:tc>
          <w:tcPr>
            <w:tcW w:w="0" w:type="auto"/>
            <w:shd w:val="clear" w:color="auto" w:fill="auto"/>
          </w:tcPr>
          <w:p w14:paraId="36CA198F" w14:textId="77777777" w:rsidR="00787570" w:rsidRDefault="00787570">
            <w:pPr>
              <w:rPr>
                <w:rFonts w:ascii="宋体"/>
              </w:rPr>
            </w:pPr>
          </w:p>
        </w:tc>
        <w:tc>
          <w:tcPr>
            <w:tcW w:w="0" w:type="auto"/>
            <w:shd w:val="clear" w:color="auto" w:fill="auto"/>
          </w:tcPr>
          <w:p w14:paraId="36CA1990" w14:textId="77777777" w:rsidR="00787570" w:rsidRDefault="00787570">
            <w:pPr>
              <w:rPr>
                <w:rFonts w:ascii="宋体"/>
              </w:rPr>
            </w:pPr>
          </w:p>
        </w:tc>
        <w:tc>
          <w:tcPr>
            <w:tcW w:w="0" w:type="auto"/>
            <w:shd w:val="clear" w:color="auto" w:fill="auto"/>
          </w:tcPr>
          <w:p w14:paraId="36CA1991" w14:textId="77777777" w:rsidR="00787570" w:rsidRDefault="00787570">
            <w:pPr>
              <w:rPr>
                <w:rFonts w:ascii="宋体"/>
              </w:rPr>
            </w:pPr>
          </w:p>
        </w:tc>
        <w:tc>
          <w:tcPr>
            <w:tcW w:w="0" w:type="auto"/>
            <w:shd w:val="clear" w:color="auto" w:fill="auto"/>
          </w:tcPr>
          <w:p w14:paraId="36CA1992" w14:textId="77777777" w:rsidR="00787570" w:rsidRDefault="00787570">
            <w:pPr>
              <w:rPr>
                <w:rFonts w:ascii="宋体"/>
              </w:rPr>
            </w:pPr>
          </w:p>
        </w:tc>
        <w:tc>
          <w:tcPr>
            <w:tcW w:w="0" w:type="auto"/>
            <w:shd w:val="clear" w:color="auto" w:fill="auto"/>
          </w:tcPr>
          <w:p w14:paraId="36CA1993" w14:textId="77777777" w:rsidR="00787570" w:rsidRDefault="00787570">
            <w:pPr>
              <w:rPr>
                <w:rFonts w:ascii="宋体"/>
              </w:rPr>
            </w:pPr>
          </w:p>
        </w:tc>
        <w:tc>
          <w:tcPr>
            <w:tcW w:w="0" w:type="auto"/>
            <w:shd w:val="clear" w:color="auto" w:fill="auto"/>
          </w:tcPr>
          <w:p w14:paraId="36CA1994" w14:textId="77777777" w:rsidR="00787570" w:rsidRDefault="00787570">
            <w:pPr>
              <w:rPr>
                <w:rFonts w:ascii="宋体"/>
              </w:rPr>
            </w:pPr>
          </w:p>
        </w:tc>
        <w:tc>
          <w:tcPr>
            <w:tcW w:w="0" w:type="auto"/>
            <w:shd w:val="clear" w:color="auto" w:fill="auto"/>
          </w:tcPr>
          <w:p w14:paraId="36CA1995" w14:textId="77777777" w:rsidR="00787570" w:rsidRDefault="00787570">
            <w:pPr>
              <w:rPr>
                <w:rFonts w:ascii="宋体"/>
              </w:rPr>
            </w:pPr>
          </w:p>
        </w:tc>
        <w:tc>
          <w:tcPr>
            <w:tcW w:w="0" w:type="auto"/>
            <w:shd w:val="clear" w:color="auto" w:fill="auto"/>
          </w:tcPr>
          <w:p w14:paraId="36CA1996" w14:textId="77777777" w:rsidR="00787570" w:rsidRDefault="00787570">
            <w:pPr>
              <w:rPr>
                <w:rFonts w:ascii="宋体"/>
              </w:rPr>
            </w:pPr>
          </w:p>
        </w:tc>
        <w:tc>
          <w:tcPr>
            <w:tcW w:w="0" w:type="auto"/>
            <w:shd w:val="clear" w:color="auto" w:fill="auto"/>
          </w:tcPr>
          <w:p w14:paraId="36CA1997" w14:textId="77777777" w:rsidR="00787570" w:rsidRDefault="00787570">
            <w:pPr>
              <w:rPr>
                <w:rFonts w:ascii="宋体"/>
              </w:rPr>
            </w:pPr>
          </w:p>
        </w:tc>
        <w:tc>
          <w:tcPr>
            <w:tcW w:w="0" w:type="auto"/>
            <w:shd w:val="clear" w:color="auto" w:fill="auto"/>
          </w:tcPr>
          <w:p w14:paraId="36CA1998" w14:textId="77777777" w:rsidR="00787570" w:rsidRDefault="00787570">
            <w:pPr>
              <w:rPr>
                <w:rFonts w:ascii="宋体"/>
              </w:rPr>
            </w:pPr>
          </w:p>
        </w:tc>
        <w:tc>
          <w:tcPr>
            <w:tcW w:w="0" w:type="auto"/>
            <w:shd w:val="clear" w:color="auto" w:fill="auto"/>
          </w:tcPr>
          <w:p w14:paraId="36CA1999" w14:textId="77777777" w:rsidR="00787570" w:rsidRDefault="00787570">
            <w:pPr>
              <w:rPr>
                <w:rFonts w:ascii="宋体"/>
              </w:rPr>
            </w:pPr>
          </w:p>
        </w:tc>
      </w:tr>
      <w:tr w:rsidR="00787570" w14:paraId="36CA19B0" w14:textId="77777777">
        <w:trPr>
          <w:hidden/>
        </w:trPr>
        <w:tc>
          <w:tcPr>
            <w:tcW w:w="0" w:type="auto"/>
            <w:gridSpan w:val="3"/>
            <w:shd w:val="clear" w:color="auto" w:fill="auto"/>
          </w:tcPr>
          <w:p w14:paraId="36CA199B" w14:textId="77777777" w:rsidR="00787570" w:rsidRDefault="00787570">
            <w:pPr>
              <w:rPr>
                <w:rFonts w:ascii="宋体"/>
                <w:vanish/>
              </w:rPr>
            </w:pPr>
          </w:p>
        </w:tc>
        <w:tc>
          <w:tcPr>
            <w:tcW w:w="0" w:type="auto"/>
            <w:gridSpan w:val="3"/>
            <w:shd w:val="clear" w:color="auto" w:fill="auto"/>
          </w:tcPr>
          <w:p w14:paraId="36CA199C" w14:textId="77777777" w:rsidR="00787570" w:rsidRDefault="00787570">
            <w:pPr>
              <w:rPr>
                <w:rFonts w:ascii="宋体"/>
                <w:vanish/>
              </w:rPr>
            </w:pPr>
          </w:p>
        </w:tc>
        <w:tc>
          <w:tcPr>
            <w:tcW w:w="0" w:type="auto"/>
            <w:gridSpan w:val="3"/>
            <w:shd w:val="clear" w:color="auto" w:fill="auto"/>
          </w:tcPr>
          <w:p w14:paraId="36CA199D" w14:textId="77777777" w:rsidR="00787570" w:rsidRDefault="00787570">
            <w:pPr>
              <w:rPr>
                <w:rFonts w:ascii="宋体"/>
                <w:vanish/>
              </w:rPr>
            </w:pPr>
          </w:p>
        </w:tc>
        <w:tc>
          <w:tcPr>
            <w:tcW w:w="0" w:type="auto"/>
            <w:gridSpan w:val="3"/>
            <w:shd w:val="clear" w:color="auto" w:fill="auto"/>
          </w:tcPr>
          <w:p w14:paraId="36CA199E" w14:textId="77777777" w:rsidR="00787570" w:rsidRDefault="00787570">
            <w:pPr>
              <w:rPr>
                <w:rFonts w:ascii="宋体"/>
                <w:vanish/>
              </w:rPr>
            </w:pPr>
          </w:p>
        </w:tc>
        <w:tc>
          <w:tcPr>
            <w:tcW w:w="0" w:type="auto"/>
            <w:gridSpan w:val="3"/>
            <w:shd w:val="clear" w:color="auto" w:fill="auto"/>
          </w:tcPr>
          <w:p w14:paraId="36CA199F" w14:textId="77777777" w:rsidR="00787570" w:rsidRDefault="00787570">
            <w:pPr>
              <w:rPr>
                <w:rFonts w:ascii="宋体"/>
                <w:vanish/>
              </w:rPr>
            </w:pPr>
          </w:p>
        </w:tc>
        <w:tc>
          <w:tcPr>
            <w:tcW w:w="0" w:type="auto"/>
            <w:gridSpan w:val="3"/>
            <w:shd w:val="clear" w:color="auto" w:fill="auto"/>
          </w:tcPr>
          <w:p w14:paraId="36CA19A0" w14:textId="77777777" w:rsidR="00787570" w:rsidRDefault="00787570">
            <w:pPr>
              <w:rPr>
                <w:rFonts w:ascii="宋体"/>
                <w:vanish/>
              </w:rPr>
            </w:pPr>
          </w:p>
        </w:tc>
        <w:tc>
          <w:tcPr>
            <w:tcW w:w="0" w:type="auto"/>
            <w:gridSpan w:val="3"/>
            <w:shd w:val="clear" w:color="auto" w:fill="auto"/>
          </w:tcPr>
          <w:p w14:paraId="36CA19A1" w14:textId="77777777" w:rsidR="00787570" w:rsidRDefault="00787570">
            <w:pPr>
              <w:rPr>
                <w:rFonts w:ascii="宋体"/>
                <w:vanish/>
              </w:rPr>
            </w:pPr>
          </w:p>
        </w:tc>
        <w:tc>
          <w:tcPr>
            <w:tcW w:w="0" w:type="auto"/>
            <w:gridSpan w:val="3"/>
            <w:shd w:val="clear" w:color="auto" w:fill="auto"/>
          </w:tcPr>
          <w:p w14:paraId="36CA19A2" w14:textId="77777777" w:rsidR="00787570" w:rsidRDefault="00787570">
            <w:pPr>
              <w:rPr>
                <w:rFonts w:ascii="宋体"/>
                <w:vanish/>
              </w:rPr>
            </w:pPr>
          </w:p>
        </w:tc>
        <w:tc>
          <w:tcPr>
            <w:tcW w:w="0" w:type="auto"/>
            <w:gridSpan w:val="3"/>
            <w:shd w:val="clear" w:color="auto" w:fill="auto"/>
          </w:tcPr>
          <w:p w14:paraId="36CA19A3" w14:textId="77777777" w:rsidR="00787570" w:rsidRDefault="00787570">
            <w:pPr>
              <w:rPr>
                <w:rFonts w:ascii="宋体"/>
                <w:vanish/>
              </w:rPr>
            </w:pPr>
          </w:p>
        </w:tc>
        <w:tc>
          <w:tcPr>
            <w:tcW w:w="0" w:type="auto"/>
            <w:shd w:val="clear" w:color="auto" w:fill="auto"/>
          </w:tcPr>
          <w:p w14:paraId="36CA19A4" w14:textId="77777777" w:rsidR="00787570" w:rsidRDefault="00787570">
            <w:pPr>
              <w:rPr>
                <w:rFonts w:ascii="宋体"/>
              </w:rPr>
            </w:pPr>
          </w:p>
        </w:tc>
        <w:tc>
          <w:tcPr>
            <w:tcW w:w="0" w:type="auto"/>
            <w:shd w:val="clear" w:color="auto" w:fill="auto"/>
          </w:tcPr>
          <w:p w14:paraId="36CA19A5" w14:textId="77777777" w:rsidR="00787570" w:rsidRDefault="00787570">
            <w:pPr>
              <w:rPr>
                <w:rFonts w:ascii="宋体"/>
              </w:rPr>
            </w:pPr>
          </w:p>
        </w:tc>
        <w:tc>
          <w:tcPr>
            <w:tcW w:w="0" w:type="auto"/>
            <w:shd w:val="clear" w:color="auto" w:fill="auto"/>
          </w:tcPr>
          <w:p w14:paraId="36CA19A6" w14:textId="77777777" w:rsidR="00787570" w:rsidRDefault="00787570">
            <w:pPr>
              <w:rPr>
                <w:rFonts w:ascii="宋体"/>
              </w:rPr>
            </w:pPr>
          </w:p>
        </w:tc>
        <w:tc>
          <w:tcPr>
            <w:tcW w:w="0" w:type="auto"/>
            <w:shd w:val="clear" w:color="auto" w:fill="auto"/>
          </w:tcPr>
          <w:p w14:paraId="36CA19A7" w14:textId="77777777" w:rsidR="00787570" w:rsidRDefault="00787570">
            <w:pPr>
              <w:rPr>
                <w:rFonts w:ascii="宋体"/>
              </w:rPr>
            </w:pPr>
          </w:p>
        </w:tc>
        <w:tc>
          <w:tcPr>
            <w:tcW w:w="0" w:type="auto"/>
            <w:shd w:val="clear" w:color="auto" w:fill="auto"/>
          </w:tcPr>
          <w:p w14:paraId="36CA19A8" w14:textId="77777777" w:rsidR="00787570" w:rsidRDefault="00787570">
            <w:pPr>
              <w:rPr>
                <w:rFonts w:ascii="宋体"/>
              </w:rPr>
            </w:pPr>
          </w:p>
        </w:tc>
        <w:tc>
          <w:tcPr>
            <w:tcW w:w="0" w:type="auto"/>
            <w:shd w:val="clear" w:color="auto" w:fill="auto"/>
          </w:tcPr>
          <w:p w14:paraId="36CA19A9" w14:textId="77777777" w:rsidR="00787570" w:rsidRDefault="00787570">
            <w:pPr>
              <w:rPr>
                <w:rFonts w:ascii="宋体"/>
              </w:rPr>
            </w:pPr>
          </w:p>
        </w:tc>
        <w:tc>
          <w:tcPr>
            <w:tcW w:w="0" w:type="auto"/>
            <w:shd w:val="clear" w:color="auto" w:fill="auto"/>
          </w:tcPr>
          <w:p w14:paraId="36CA19AA" w14:textId="77777777" w:rsidR="00787570" w:rsidRDefault="00787570">
            <w:pPr>
              <w:rPr>
                <w:rFonts w:ascii="宋体"/>
              </w:rPr>
            </w:pPr>
          </w:p>
        </w:tc>
        <w:tc>
          <w:tcPr>
            <w:tcW w:w="0" w:type="auto"/>
            <w:shd w:val="clear" w:color="auto" w:fill="auto"/>
          </w:tcPr>
          <w:p w14:paraId="36CA19AB" w14:textId="77777777" w:rsidR="00787570" w:rsidRDefault="00787570">
            <w:pPr>
              <w:rPr>
                <w:rFonts w:ascii="宋体"/>
              </w:rPr>
            </w:pPr>
          </w:p>
        </w:tc>
        <w:tc>
          <w:tcPr>
            <w:tcW w:w="0" w:type="auto"/>
            <w:shd w:val="clear" w:color="auto" w:fill="auto"/>
          </w:tcPr>
          <w:p w14:paraId="36CA19AC" w14:textId="77777777" w:rsidR="00787570" w:rsidRDefault="00787570">
            <w:pPr>
              <w:rPr>
                <w:rFonts w:ascii="宋体"/>
              </w:rPr>
            </w:pPr>
          </w:p>
        </w:tc>
        <w:tc>
          <w:tcPr>
            <w:tcW w:w="0" w:type="auto"/>
            <w:shd w:val="clear" w:color="auto" w:fill="auto"/>
          </w:tcPr>
          <w:p w14:paraId="36CA19AD" w14:textId="77777777" w:rsidR="00787570" w:rsidRDefault="00787570">
            <w:pPr>
              <w:rPr>
                <w:rFonts w:ascii="宋体"/>
              </w:rPr>
            </w:pPr>
          </w:p>
        </w:tc>
        <w:tc>
          <w:tcPr>
            <w:tcW w:w="0" w:type="auto"/>
            <w:shd w:val="clear" w:color="auto" w:fill="auto"/>
          </w:tcPr>
          <w:p w14:paraId="36CA19AE" w14:textId="77777777" w:rsidR="00787570" w:rsidRDefault="00787570">
            <w:pPr>
              <w:rPr>
                <w:rFonts w:ascii="宋体"/>
              </w:rPr>
            </w:pPr>
          </w:p>
        </w:tc>
        <w:tc>
          <w:tcPr>
            <w:tcW w:w="0" w:type="auto"/>
            <w:shd w:val="clear" w:color="auto" w:fill="auto"/>
          </w:tcPr>
          <w:p w14:paraId="36CA19AF" w14:textId="77777777" w:rsidR="00787570" w:rsidRDefault="00787570">
            <w:pPr>
              <w:rPr>
                <w:rFonts w:ascii="宋体"/>
              </w:rPr>
            </w:pPr>
          </w:p>
        </w:tc>
      </w:tr>
      <w:tr w:rsidR="00787570" w14:paraId="36CA19C6" w14:textId="77777777">
        <w:tc>
          <w:tcPr>
            <w:tcW w:w="0" w:type="auto"/>
            <w:gridSpan w:val="3"/>
            <w:shd w:val="clear" w:color="auto" w:fill="auto"/>
            <w:tcMar>
              <w:top w:w="40" w:type="dxa"/>
              <w:left w:w="20" w:type="dxa"/>
              <w:bottom w:w="40" w:type="dxa"/>
              <w:right w:w="20" w:type="dxa"/>
            </w:tcMar>
          </w:tcPr>
          <w:p w14:paraId="36CA19B1" w14:textId="77777777" w:rsidR="00787570" w:rsidRDefault="000D56E2">
            <w:pPr>
              <w:ind w:hanging="180"/>
              <w:textAlignment w:val="top"/>
            </w:pPr>
            <w:r>
              <w:rPr>
                <w:rFonts w:ascii="Arial" w:eastAsia="宋体" w:hAnsi="Arial" w:cs="Arial"/>
                <w:color w:val="333333"/>
                <w:sz w:val="18"/>
                <w:szCs w:val="18"/>
              </w:rPr>
              <w:t>Weighted average shares of common stock outstanding:</w:t>
            </w:r>
          </w:p>
        </w:tc>
        <w:tc>
          <w:tcPr>
            <w:tcW w:w="0" w:type="auto"/>
            <w:gridSpan w:val="3"/>
            <w:shd w:val="clear" w:color="auto" w:fill="auto"/>
            <w:tcMar>
              <w:left w:w="20" w:type="dxa"/>
              <w:right w:w="20" w:type="dxa"/>
            </w:tcMar>
            <w:vAlign w:val="bottom"/>
          </w:tcPr>
          <w:p w14:paraId="36CA19B2" w14:textId="77777777" w:rsidR="00787570" w:rsidRDefault="00787570">
            <w:pPr>
              <w:rPr>
                <w:rFonts w:ascii="宋体"/>
              </w:rPr>
            </w:pPr>
          </w:p>
        </w:tc>
        <w:tc>
          <w:tcPr>
            <w:tcW w:w="0" w:type="auto"/>
            <w:gridSpan w:val="3"/>
            <w:tcBorders>
              <w:top w:val="double" w:sz="6" w:space="0" w:color="333333"/>
            </w:tcBorders>
            <w:shd w:val="clear" w:color="auto" w:fill="auto"/>
            <w:tcMar>
              <w:left w:w="20" w:type="dxa"/>
              <w:right w:w="20" w:type="dxa"/>
            </w:tcMar>
            <w:vAlign w:val="bottom"/>
          </w:tcPr>
          <w:p w14:paraId="36CA19B3"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19B4" w14:textId="77777777" w:rsidR="00787570" w:rsidRDefault="00787570">
            <w:pPr>
              <w:rPr>
                <w:rFonts w:ascii="宋体"/>
              </w:rPr>
            </w:pPr>
          </w:p>
        </w:tc>
        <w:tc>
          <w:tcPr>
            <w:tcW w:w="0" w:type="auto"/>
            <w:gridSpan w:val="3"/>
            <w:tcBorders>
              <w:top w:val="double" w:sz="6" w:space="0" w:color="333333"/>
            </w:tcBorders>
            <w:shd w:val="clear" w:color="auto" w:fill="auto"/>
            <w:tcMar>
              <w:left w:w="20" w:type="dxa"/>
              <w:right w:w="20" w:type="dxa"/>
            </w:tcMar>
            <w:vAlign w:val="bottom"/>
          </w:tcPr>
          <w:p w14:paraId="36CA19B5"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19B6" w14:textId="77777777" w:rsidR="00787570" w:rsidRDefault="00787570">
            <w:pPr>
              <w:rPr>
                <w:rFonts w:ascii="宋体"/>
              </w:rPr>
            </w:pPr>
          </w:p>
        </w:tc>
        <w:tc>
          <w:tcPr>
            <w:tcW w:w="0" w:type="auto"/>
            <w:gridSpan w:val="3"/>
            <w:tcBorders>
              <w:top w:val="double" w:sz="6" w:space="0" w:color="333333"/>
            </w:tcBorders>
            <w:shd w:val="clear" w:color="auto" w:fill="auto"/>
            <w:tcMar>
              <w:left w:w="20" w:type="dxa"/>
              <w:right w:w="20" w:type="dxa"/>
            </w:tcMar>
            <w:vAlign w:val="bottom"/>
          </w:tcPr>
          <w:p w14:paraId="36CA19B7"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19B8" w14:textId="77777777" w:rsidR="00787570" w:rsidRDefault="00787570">
            <w:pPr>
              <w:rPr>
                <w:rFonts w:ascii="宋体"/>
              </w:rPr>
            </w:pPr>
          </w:p>
        </w:tc>
        <w:tc>
          <w:tcPr>
            <w:tcW w:w="0" w:type="auto"/>
            <w:gridSpan w:val="3"/>
            <w:tcBorders>
              <w:top w:val="double" w:sz="6" w:space="0" w:color="333333"/>
            </w:tcBorders>
            <w:shd w:val="clear" w:color="auto" w:fill="auto"/>
            <w:tcMar>
              <w:left w:w="20" w:type="dxa"/>
              <w:right w:w="20" w:type="dxa"/>
            </w:tcMar>
            <w:vAlign w:val="bottom"/>
          </w:tcPr>
          <w:p w14:paraId="36CA19B9" w14:textId="77777777" w:rsidR="00787570" w:rsidRDefault="00787570">
            <w:pPr>
              <w:rPr>
                <w:rFonts w:ascii="宋体"/>
              </w:rPr>
            </w:pPr>
          </w:p>
        </w:tc>
        <w:tc>
          <w:tcPr>
            <w:tcW w:w="0" w:type="auto"/>
            <w:shd w:val="clear" w:color="auto" w:fill="auto"/>
          </w:tcPr>
          <w:p w14:paraId="36CA19BA" w14:textId="77777777" w:rsidR="00787570" w:rsidRDefault="00787570">
            <w:pPr>
              <w:rPr>
                <w:rFonts w:ascii="宋体"/>
              </w:rPr>
            </w:pPr>
          </w:p>
        </w:tc>
        <w:tc>
          <w:tcPr>
            <w:tcW w:w="0" w:type="auto"/>
            <w:shd w:val="clear" w:color="auto" w:fill="auto"/>
          </w:tcPr>
          <w:p w14:paraId="36CA19BB" w14:textId="77777777" w:rsidR="00787570" w:rsidRDefault="00787570">
            <w:pPr>
              <w:rPr>
                <w:rFonts w:ascii="宋体"/>
              </w:rPr>
            </w:pPr>
          </w:p>
        </w:tc>
        <w:tc>
          <w:tcPr>
            <w:tcW w:w="0" w:type="auto"/>
            <w:shd w:val="clear" w:color="auto" w:fill="auto"/>
          </w:tcPr>
          <w:p w14:paraId="36CA19BC" w14:textId="77777777" w:rsidR="00787570" w:rsidRDefault="00787570">
            <w:pPr>
              <w:rPr>
                <w:rFonts w:ascii="宋体"/>
              </w:rPr>
            </w:pPr>
          </w:p>
        </w:tc>
        <w:tc>
          <w:tcPr>
            <w:tcW w:w="0" w:type="auto"/>
            <w:shd w:val="clear" w:color="auto" w:fill="auto"/>
          </w:tcPr>
          <w:p w14:paraId="36CA19BD" w14:textId="77777777" w:rsidR="00787570" w:rsidRDefault="00787570">
            <w:pPr>
              <w:rPr>
                <w:rFonts w:ascii="宋体"/>
              </w:rPr>
            </w:pPr>
          </w:p>
        </w:tc>
        <w:tc>
          <w:tcPr>
            <w:tcW w:w="0" w:type="auto"/>
            <w:shd w:val="clear" w:color="auto" w:fill="auto"/>
          </w:tcPr>
          <w:p w14:paraId="36CA19BE" w14:textId="77777777" w:rsidR="00787570" w:rsidRDefault="00787570">
            <w:pPr>
              <w:rPr>
                <w:rFonts w:ascii="宋体"/>
              </w:rPr>
            </w:pPr>
          </w:p>
        </w:tc>
        <w:tc>
          <w:tcPr>
            <w:tcW w:w="0" w:type="auto"/>
            <w:shd w:val="clear" w:color="auto" w:fill="auto"/>
          </w:tcPr>
          <w:p w14:paraId="36CA19BF" w14:textId="77777777" w:rsidR="00787570" w:rsidRDefault="00787570">
            <w:pPr>
              <w:rPr>
                <w:rFonts w:ascii="宋体"/>
              </w:rPr>
            </w:pPr>
          </w:p>
        </w:tc>
        <w:tc>
          <w:tcPr>
            <w:tcW w:w="0" w:type="auto"/>
            <w:shd w:val="clear" w:color="auto" w:fill="auto"/>
          </w:tcPr>
          <w:p w14:paraId="36CA19C0" w14:textId="77777777" w:rsidR="00787570" w:rsidRDefault="00787570">
            <w:pPr>
              <w:rPr>
                <w:rFonts w:ascii="宋体"/>
              </w:rPr>
            </w:pPr>
          </w:p>
        </w:tc>
        <w:tc>
          <w:tcPr>
            <w:tcW w:w="0" w:type="auto"/>
            <w:shd w:val="clear" w:color="auto" w:fill="auto"/>
          </w:tcPr>
          <w:p w14:paraId="36CA19C1" w14:textId="77777777" w:rsidR="00787570" w:rsidRDefault="00787570">
            <w:pPr>
              <w:rPr>
                <w:rFonts w:ascii="宋体"/>
              </w:rPr>
            </w:pPr>
          </w:p>
        </w:tc>
        <w:tc>
          <w:tcPr>
            <w:tcW w:w="0" w:type="auto"/>
            <w:shd w:val="clear" w:color="auto" w:fill="auto"/>
          </w:tcPr>
          <w:p w14:paraId="36CA19C2" w14:textId="77777777" w:rsidR="00787570" w:rsidRDefault="00787570">
            <w:pPr>
              <w:rPr>
                <w:rFonts w:ascii="宋体"/>
              </w:rPr>
            </w:pPr>
          </w:p>
        </w:tc>
        <w:tc>
          <w:tcPr>
            <w:tcW w:w="0" w:type="auto"/>
            <w:shd w:val="clear" w:color="auto" w:fill="auto"/>
          </w:tcPr>
          <w:p w14:paraId="36CA19C3" w14:textId="77777777" w:rsidR="00787570" w:rsidRDefault="00787570">
            <w:pPr>
              <w:rPr>
                <w:rFonts w:ascii="宋体"/>
              </w:rPr>
            </w:pPr>
          </w:p>
        </w:tc>
        <w:tc>
          <w:tcPr>
            <w:tcW w:w="0" w:type="auto"/>
            <w:shd w:val="clear" w:color="auto" w:fill="auto"/>
          </w:tcPr>
          <w:p w14:paraId="36CA19C4" w14:textId="77777777" w:rsidR="00787570" w:rsidRDefault="00787570">
            <w:pPr>
              <w:rPr>
                <w:rFonts w:ascii="宋体"/>
              </w:rPr>
            </w:pPr>
          </w:p>
        </w:tc>
        <w:tc>
          <w:tcPr>
            <w:tcW w:w="0" w:type="auto"/>
            <w:shd w:val="clear" w:color="auto" w:fill="auto"/>
          </w:tcPr>
          <w:p w14:paraId="36CA19C5" w14:textId="77777777" w:rsidR="00787570" w:rsidRDefault="00787570">
            <w:pPr>
              <w:rPr>
                <w:rFonts w:ascii="宋体"/>
              </w:rPr>
            </w:pPr>
          </w:p>
        </w:tc>
      </w:tr>
      <w:tr w:rsidR="00787570" w14:paraId="36CA19E0" w14:textId="77777777">
        <w:tc>
          <w:tcPr>
            <w:tcW w:w="0" w:type="auto"/>
            <w:gridSpan w:val="3"/>
            <w:shd w:val="clear" w:color="auto" w:fill="auto"/>
            <w:tcMar>
              <w:top w:w="40" w:type="dxa"/>
              <w:left w:w="20" w:type="dxa"/>
              <w:bottom w:w="40" w:type="dxa"/>
              <w:right w:w="20" w:type="dxa"/>
            </w:tcMar>
          </w:tcPr>
          <w:p w14:paraId="36CA19C7" w14:textId="77777777" w:rsidR="00787570" w:rsidRDefault="000D56E2">
            <w:pPr>
              <w:ind w:hanging="180"/>
              <w:textAlignment w:val="top"/>
            </w:pPr>
            <w:r>
              <w:rPr>
                <w:rFonts w:ascii="Arial" w:eastAsia="宋体" w:hAnsi="Arial" w:cs="Arial"/>
                <w:b/>
                <w:bCs/>
                <w:color w:val="333333"/>
                <w:sz w:val="18"/>
                <w:szCs w:val="18"/>
              </w:rPr>
              <w:t>Basic</w:t>
            </w:r>
          </w:p>
        </w:tc>
        <w:tc>
          <w:tcPr>
            <w:tcW w:w="0" w:type="auto"/>
            <w:gridSpan w:val="3"/>
            <w:shd w:val="clear" w:color="auto" w:fill="auto"/>
            <w:tcMar>
              <w:left w:w="20" w:type="dxa"/>
              <w:right w:w="20" w:type="dxa"/>
            </w:tcMar>
            <w:vAlign w:val="bottom"/>
          </w:tcPr>
          <w:p w14:paraId="36CA19C8"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19C9" w14:textId="77777777" w:rsidR="00787570" w:rsidRDefault="000D56E2">
            <w:pPr>
              <w:jc w:val="right"/>
              <w:textAlignment w:val="bottom"/>
            </w:pPr>
            <w:r>
              <w:rPr>
                <w:rFonts w:ascii="Arial" w:eastAsia="宋体" w:hAnsi="Arial" w:cs="Arial"/>
                <w:b/>
                <w:bCs/>
                <w:color w:val="0071C5"/>
                <w:sz w:val="18"/>
                <w:szCs w:val="18"/>
              </w:rPr>
              <w:t>4,188</w:t>
            </w:r>
            <w:r>
              <w:rPr>
                <w:rFonts w:ascii="Arial" w:eastAsia="宋体" w:hAnsi="Arial" w:cs="Arial"/>
                <w:color w:val="0071C5"/>
                <w:sz w:val="18"/>
                <w:szCs w:val="18"/>
              </w:rPr>
              <w:t> </w:t>
            </w:r>
          </w:p>
        </w:tc>
        <w:tc>
          <w:tcPr>
            <w:tcW w:w="0" w:type="auto"/>
            <w:shd w:val="clear" w:color="auto" w:fill="auto"/>
            <w:tcMar>
              <w:top w:w="40" w:type="dxa"/>
              <w:bottom w:w="40" w:type="dxa"/>
              <w:right w:w="20" w:type="dxa"/>
            </w:tcMar>
            <w:vAlign w:val="bottom"/>
          </w:tcPr>
          <w:p w14:paraId="36CA19CA"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19CB"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19CC" w14:textId="77777777" w:rsidR="00787570" w:rsidRDefault="000D56E2">
            <w:pPr>
              <w:jc w:val="right"/>
              <w:textAlignment w:val="bottom"/>
            </w:pPr>
            <w:r>
              <w:rPr>
                <w:rFonts w:ascii="Arial" w:eastAsia="宋体" w:hAnsi="Arial" w:cs="Arial"/>
                <w:b/>
                <w:bCs/>
                <w:color w:val="333333"/>
                <w:sz w:val="18"/>
                <w:szCs w:val="18"/>
              </w:rPr>
              <w:t>4,391</w:t>
            </w:r>
            <w:r>
              <w:rPr>
                <w:rFonts w:ascii="Arial" w:eastAsia="宋体" w:hAnsi="Arial" w:cs="Arial"/>
                <w:color w:val="333333"/>
                <w:sz w:val="18"/>
                <w:szCs w:val="18"/>
              </w:rPr>
              <w:t> </w:t>
            </w:r>
          </w:p>
        </w:tc>
        <w:tc>
          <w:tcPr>
            <w:tcW w:w="0" w:type="auto"/>
            <w:shd w:val="clear" w:color="auto" w:fill="auto"/>
            <w:tcMar>
              <w:top w:w="40" w:type="dxa"/>
              <w:bottom w:w="40" w:type="dxa"/>
              <w:right w:w="20" w:type="dxa"/>
            </w:tcMar>
            <w:vAlign w:val="bottom"/>
          </w:tcPr>
          <w:p w14:paraId="36CA19CD"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19CE"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19CF" w14:textId="77777777" w:rsidR="00787570" w:rsidRDefault="000D56E2">
            <w:pPr>
              <w:jc w:val="right"/>
              <w:textAlignment w:val="bottom"/>
            </w:pPr>
            <w:r>
              <w:rPr>
                <w:rFonts w:ascii="Arial" w:eastAsia="宋体" w:hAnsi="Arial" w:cs="Arial"/>
                <w:b/>
                <w:bCs/>
                <w:color w:val="0071C5"/>
                <w:sz w:val="18"/>
                <w:szCs w:val="18"/>
              </w:rPr>
              <w:t>4,233</w:t>
            </w:r>
            <w:r>
              <w:rPr>
                <w:rFonts w:ascii="Arial" w:eastAsia="宋体" w:hAnsi="Arial" w:cs="Arial"/>
                <w:color w:val="0071C5"/>
                <w:sz w:val="18"/>
                <w:szCs w:val="18"/>
              </w:rPr>
              <w:t> </w:t>
            </w:r>
          </w:p>
        </w:tc>
        <w:tc>
          <w:tcPr>
            <w:tcW w:w="0" w:type="auto"/>
            <w:shd w:val="clear" w:color="auto" w:fill="auto"/>
            <w:tcMar>
              <w:top w:w="40" w:type="dxa"/>
              <w:bottom w:w="40" w:type="dxa"/>
              <w:right w:w="20" w:type="dxa"/>
            </w:tcMar>
            <w:vAlign w:val="bottom"/>
          </w:tcPr>
          <w:p w14:paraId="36CA19D0"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19D1"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19D2" w14:textId="77777777" w:rsidR="00787570" w:rsidRDefault="000D56E2">
            <w:pPr>
              <w:jc w:val="right"/>
              <w:textAlignment w:val="bottom"/>
            </w:pPr>
            <w:r>
              <w:rPr>
                <w:rFonts w:ascii="Arial" w:eastAsia="宋体" w:hAnsi="Arial" w:cs="Arial"/>
                <w:b/>
                <w:bCs/>
                <w:color w:val="333333"/>
                <w:sz w:val="18"/>
                <w:szCs w:val="18"/>
              </w:rPr>
              <w:t>4,450</w:t>
            </w:r>
            <w:r>
              <w:rPr>
                <w:rFonts w:ascii="Arial" w:eastAsia="宋体" w:hAnsi="Arial" w:cs="Arial"/>
                <w:color w:val="333333"/>
                <w:sz w:val="18"/>
                <w:szCs w:val="18"/>
              </w:rPr>
              <w:t> </w:t>
            </w:r>
          </w:p>
        </w:tc>
        <w:tc>
          <w:tcPr>
            <w:tcW w:w="0" w:type="auto"/>
            <w:shd w:val="clear" w:color="auto" w:fill="auto"/>
            <w:tcMar>
              <w:top w:w="40" w:type="dxa"/>
              <w:bottom w:w="40" w:type="dxa"/>
              <w:right w:w="20" w:type="dxa"/>
            </w:tcMar>
            <w:vAlign w:val="bottom"/>
          </w:tcPr>
          <w:p w14:paraId="36CA19D3" w14:textId="77777777" w:rsidR="00787570" w:rsidRDefault="00787570">
            <w:pPr>
              <w:jc w:val="right"/>
              <w:rPr>
                <w:rFonts w:ascii="宋体"/>
              </w:rPr>
            </w:pPr>
          </w:p>
        </w:tc>
        <w:tc>
          <w:tcPr>
            <w:tcW w:w="0" w:type="auto"/>
            <w:shd w:val="clear" w:color="auto" w:fill="auto"/>
          </w:tcPr>
          <w:p w14:paraId="36CA19D4" w14:textId="77777777" w:rsidR="00787570" w:rsidRDefault="00787570">
            <w:pPr>
              <w:rPr>
                <w:rFonts w:ascii="宋体"/>
              </w:rPr>
            </w:pPr>
          </w:p>
        </w:tc>
        <w:tc>
          <w:tcPr>
            <w:tcW w:w="0" w:type="auto"/>
            <w:shd w:val="clear" w:color="auto" w:fill="auto"/>
          </w:tcPr>
          <w:p w14:paraId="36CA19D5" w14:textId="77777777" w:rsidR="00787570" w:rsidRDefault="00787570">
            <w:pPr>
              <w:rPr>
                <w:rFonts w:ascii="宋体"/>
              </w:rPr>
            </w:pPr>
          </w:p>
        </w:tc>
        <w:tc>
          <w:tcPr>
            <w:tcW w:w="0" w:type="auto"/>
            <w:shd w:val="clear" w:color="auto" w:fill="auto"/>
          </w:tcPr>
          <w:p w14:paraId="36CA19D6" w14:textId="77777777" w:rsidR="00787570" w:rsidRDefault="00787570">
            <w:pPr>
              <w:rPr>
                <w:rFonts w:ascii="宋体"/>
              </w:rPr>
            </w:pPr>
          </w:p>
        </w:tc>
        <w:tc>
          <w:tcPr>
            <w:tcW w:w="0" w:type="auto"/>
            <w:shd w:val="clear" w:color="auto" w:fill="auto"/>
          </w:tcPr>
          <w:p w14:paraId="36CA19D7" w14:textId="77777777" w:rsidR="00787570" w:rsidRDefault="00787570">
            <w:pPr>
              <w:rPr>
                <w:rFonts w:ascii="宋体"/>
              </w:rPr>
            </w:pPr>
          </w:p>
        </w:tc>
        <w:tc>
          <w:tcPr>
            <w:tcW w:w="0" w:type="auto"/>
            <w:shd w:val="clear" w:color="auto" w:fill="auto"/>
          </w:tcPr>
          <w:p w14:paraId="36CA19D8" w14:textId="77777777" w:rsidR="00787570" w:rsidRDefault="00787570">
            <w:pPr>
              <w:rPr>
                <w:rFonts w:ascii="宋体"/>
              </w:rPr>
            </w:pPr>
          </w:p>
        </w:tc>
        <w:tc>
          <w:tcPr>
            <w:tcW w:w="0" w:type="auto"/>
            <w:shd w:val="clear" w:color="auto" w:fill="auto"/>
          </w:tcPr>
          <w:p w14:paraId="36CA19D9" w14:textId="77777777" w:rsidR="00787570" w:rsidRDefault="00787570">
            <w:pPr>
              <w:rPr>
                <w:rFonts w:ascii="宋体"/>
              </w:rPr>
            </w:pPr>
          </w:p>
        </w:tc>
        <w:tc>
          <w:tcPr>
            <w:tcW w:w="0" w:type="auto"/>
            <w:shd w:val="clear" w:color="auto" w:fill="auto"/>
          </w:tcPr>
          <w:p w14:paraId="36CA19DA" w14:textId="77777777" w:rsidR="00787570" w:rsidRDefault="00787570">
            <w:pPr>
              <w:rPr>
                <w:rFonts w:ascii="宋体"/>
              </w:rPr>
            </w:pPr>
          </w:p>
        </w:tc>
        <w:tc>
          <w:tcPr>
            <w:tcW w:w="0" w:type="auto"/>
            <w:shd w:val="clear" w:color="auto" w:fill="auto"/>
          </w:tcPr>
          <w:p w14:paraId="36CA19DB" w14:textId="77777777" w:rsidR="00787570" w:rsidRDefault="00787570">
            <w:pPr>
              <w:rPr>
                <w:rFonts w:ascii="宋体"/>
              </w:rPr>
            </w:pPr>
          </w:p>
        </w:tc>
        <w:tc>
          <w:tcPr>
            <w:tcW w:w="0" w:type="auto"/>
            <w:shd w:val="clear" w:color="auto" w:fill="auto"/>
          </w:tcPr>
          <w:p w14:paraId="36CA19DC" w14:textId="77777777" w:rsidR="00787570" w:rsidRDefault="00787570">
            <w:pPr>
              <w:rPr>
                <w:rFonts w:ascii="宋体"/>
              </w:rPr>
            </w:pPr>
          </w:p>
        </w:tc>
        <w:tc>
          <w:tcPr>
            <w:tcW w:w="0" w:type="auto"/>
            <w:shd w:val="clear" w:color="auto" w:fill="auto"/>
          </w:tcPr>
          <w:p w14:paraId="36CA19DD" w14:textId="77777777" w:rsidR="00787570" w:rsidRDefault="00787570">
            <w:pPr>
              <w:rPr>
                <w:rFonts w:ascii="宋体"/>
              </w:rPr>
            </w:pPr>
          </w:p>
        </w:tc>
        <w:tc>
          <w:tcPr>
            <w:tcW w:w="0" w:type="auto"/>
            <w:shd w:val="clear" w:color="auto" w:fill="auto"/>
          </w:tcPr>
          <w:p w14:paraId="36CA19DE" w14:textId="77777777" w:rsidR="00787570" w:rsidRDefault="00787570">
            <w:pPr>
              <w:rPr>
                <w:rFonts w:ascii="宋体"/>
              </w:rPr>
            </w:pPr>
          </w:p>
        </w:tc>
        <w:tc>
          <w:tcPr>
            <w:tcW w:w="0" w:type="auto"/>
            <w:shd w:val="clear" w:color="auto" w:fill="auto"/>
          </w:tcPr>
          <w:p w14:paraId="36CA19DF" w14:textId="77777777" w:rsidR="00787570" w:rsidRDefault="00787570">
            <w:pPr>
              <w:rPr>
                <w:rFonts w:ascii="宋体"/>
              </w:rPr>
            </w:pPr>
          </w:p>
        </w:tc>
      </w:tr>
      <w:tr w:rsidR="00787570" w14:paraId="36CA19FA" w14:textId="77777777">
        <w:tc>
          <w:tcPr>
            <w:tcW w:w="0" w:type="auto"/>
            <w:gridSpan w:val="3"/>
            <w:shd w:val="clear" w:color="auto" w:fill="auto"/>
            <w:tcMar>
              <w:top w:w="40" w:type="dxa"/>
              <w:left w:w="20" w:type="dxa"/>
              <w:bottom w:w="40" w:type="dxa"/>
              <w:right w:w="20" w:type="dxa"/>
            </w:tcMar>
          </w:tcPr>
          <w:p w14:paraId="36CA19E1" w14:textId="77777777" w:rsidR="00787570" w:rsidRDefault="000D56E2">
            <w:pPr>
              <w:ind w:hanging="180"/>
              <w:textAlignment w:val="top"/>
            </w:pPr>
            <w:r>
              <w:rPr>
                <w:rFonts w:ascii="Arial" w:eastAsia="宋体" w:hAnsi="Arial" w:cs="Arial"/>
                <w:b/>
                <w:bCs/>
                <w:color w:val="333333"/>
                <w:sz w:val="18"/>
                <w:szCs w:val="18"/>
              </w:rPr>
              <w:t>Diluted</w:t>
            </w:r>
          </w:p>
        </w:tc>
        <w:tc>
          <w:tcPr>
            <w:tcW w:w="0" w:type="auto"/>
            <w:gridSpan w:val="3"/>
            <w:shd w:val="clear" w:color="auto" w:fill="auto"/>
            <w:tcMar>
              <w:left w:w="20" w:type="dxa"/>
              <w:right w:w="20" w:type="dxa"/>
            </w:tcMar>
            <w:vAlign w:val="bottom"/>
          </w:tcPr>
          <w:p w14:paraId="36CA19E2" w14:textId="77777777" w:rsidR="00787570" w:rsidRDefault="00787570">
            <w:pPr>
              <w:rPr>
                <w:rFonts w:ascii="宋体"/>
              </w:rPr>
            </w:pPr>
          </w:p>
        </w:tc>
        <w:tc>
          <w:tcPr>
            <w:tcW w:w="0" w:type="auto"/>
            <w:gridSpan w:val="2"/>
            <w:tcBorders>
              <w:top w:val="double" w:sz="6" w:space="0" w:color="333333"/>
              <w:bottom w:val="double" w:sz="6" w:space="0" w:color="333333"/>
            </w:tcBorders>
            <w:shd w:val="clear" w:color="auto" w:fill="auto"/>
            <w:tcMar>
              <w:top w:w="40" w:type="dxa"/>
              <w:left w:w="20" w:type="dxa"/>
              <w:bottom w:w="40" w:type="dxa"/>
              <w:right w:w="0" w:type="dxa"/>
            </w:tcMar>
            <w:vAlign w:val="bottom"/>
          </w:tcPr>
          <w:p w14:paraId="36CA19E3" w14:textId="77777777" w:rsidR="00787570" w:rsidRDefault="000D56E2">
            <w:pPr>
              <w:jc w:val="right"/>
              <w:textAlignment w:val="bottom"/>
            </w:pPr>
            <w:r>
              <w:rPr>
                <w:rFonts w:ascii="Arial" w:eastAsia="宋体" w:hAnsi="Arial" w:cs="Arial"/>
                <w:b/>
                <w:bCs/>
                <w:color w:val="0071C5"/>
                <w:sz w:val="18"/>
                <w:szCs w:val="18"/>
              </w:rPr>
              <w:t>4,211</w:t>
            </w:r>
            <w:r>
              <w:rPr>
                <w:rFonts w:ascii="Arial" w:eastAsia="宋体" w:hAnsi="Arial" w:cs="Arial"/>
                <w:color w:val="0071C5"/>
                <w:sz w:val="18"/>
                <w:szCs w:val="18"/>
              </w:rPr>
              <w:t> </w:t>
            </w:r>
          </w:p>
        </w:tc>
        <w:tc>
          <w:tcPr>
            <w:tcW w:w="0" w:type="auto"/>
            <w:tcBorders>
              <w:top w:val="double" w:sz="6" w:space="0" w:color="333333"/>
              <w:bottom w:val="double" w:sz="6" w:space="0" w:color="333333"/>
            </w:tcBorders>
            <w:shd w:val="clear" w:color="auto" w:fill="auto"/>
            <w:tcMar>
              <w:top w:w="40" w:type="dxa"/>
              <w:bottom w:w="40" w:type="dxa"/>
              <w:right w:w="20" w:type="dxa"/>
            </w:tcMar>
            <w:vAlign w:val="bottom"/>
          </w:tcPr>
          <w:p w14:paraId="36CA19E4"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19E5" w14:textId="77777777" w:rsidR="00787570" w:rsidRDefault="00787570">
            <w:pPr>
              <w:rPr>
                <w:rFonts w:ascii="宋体"/>
              </w:rPr>
            </w:pPr>
          </w:p>
        </w:tc>
        <w:tc>
          <w:tcPr>
            <w:tcW w:w="0" w:type="auto"/>
            <w:gridSpan w:val="2"/>
            <w:tcBorders>
              <w:top w:val="double" w:sz="6" w:space="0" w:color="333333"/>
              <w:bottom w:val="double" w:sz="6" w:space="0" w:color="333333"/>
            </w:tcBorders>
            <w:shd w:val="clear" w:color="auto" w:fill="auto"/>
            <w:tcMar>
              <w:top w:w="40" w:type="dxa"/>
              <w:left w:w="20" w:type="dxa"/>
              <w:bottom w:w="40" w:type="dxa"/>
              <w:right w:w="0" w:type="dxa"/>
            </w:tcMar>
            <w:vAlign w:val="bottom"/>
          </w:tcPr>
          <w:p w14:paraId="36CA19E6" w14:textId="77777777" w:rsidR="00787570" w:rsidRDefault="000D56E2">
            <w:pPr>
              <w:jc w:val="right"/>
              <w:textAlignment w:val="bottom"/>
            </w:pPr>
            <w:r>
              <w:rPr>
                <w:rFonts w:ascii="Arial" w:eastAsia="宋体" w:hAnsi="Arial" w:cs="Arial"/>
                <w:b/>
                <w:bCs/>
                <w:color w:val="333333"/>
                <w:sz w:val="18"/>
                <w:szCs w:val="18"/>
              </w:rPr>
              <w:t>4,433</w:t>
            </w:r>
            <w:r>
              <w:rPr>
                <w:rFonts w:ascii="Arial" w:eastAsia="宋体" w:hAnsi="Arial" w:cs="Arial"/>
                <w:color w:val="333333"/>
                <w:sz w:val="18"/>
                <w:szCs w:val="18"/>
              </w:rPr>
              <w:t> </w:t>
            </w:r>
          </w:p>
        </w:tc>
        <w:tc>
          <w:tcPr>
            <w:tcW w:w="0" w:type="auto"/>
            <w:tcBorders>
              <w:top w:val="double" w:sz="6" w:space="0" w:color="333333"/>
              <w:bottom w:val="double" w:sz="6" w:space="0" w:color="333333"/>
            </w:tcBorders>
            <w:shd w:val="clear" w:color="auto" w:fill="auto"/>
            <w:tcMar>
              <w:top w:w="40" w:type="dxa"/>
              <w:bottom w:w="40" w:type="dxa"/>
              <w:right w:w="20" w:type="dxa"/>
            </w:tcMar>
            <w:vAlign w:val="bottom"/>
          </w:tcPr>
          <w:p w14:paraId="36CA19E7"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19E8" w14:textId="77777777" w:rsidR="00787570" w:rsidRDefault="00787570">
            <w:pPr>
              <w:rPr>
                <w:rFonts w:ascii="宋体"/>
              </w:rPr>
            </w:pPr>
          </w:p>
        </w:tc>
        <w:tc>
          <w:tcPr>
            <w:tcW w:w="0" w:type="auto"/>
            <w:gridSpan w:val="2"/>
            <w:tcBorders>
              <w:top w:val="double" w:sz="6" w:space="0" w:color="333333"/>
              <w:bottom w:val="double" w:sz="6" w:space="0" w:color="333333"/>
            </w:tcBorders>
            <w:shd w:val="clear" w:color="auto" w:fill="auto"/>
            <w:tcMar>
              <w:top w:w="40" w:type="dxa"/>
              <w:left w:w="20" w:type="dxa"/>
              <w:bottom w:w="40" w:type="dxa"/>
              <w:right w:w="0" w:type="dxa"/>
            </w:tcMar>
            <w:vAlign w:val="bottom"/>
          </w:tcPr>
          <w:p w14:paraId="36CA19E9" w14:textId="77777777" w:rsidR="00787570" w:rsidRDefault="000D56E2">
            <w:pPr>
              <w:jc w:val="right"/>
              <w:textAlignment w:val="bottom"/>
            </w:pPr>
            <w:r>
              <w:rPr>
                <w:rFonts w:ascii="Arial" w:eastAsia="宋体" w:hAnsi="Arial" w:cs="Arial"/>
                <w:b/>
                <w:bCs/>
                <w:color w:val="0071C5"/>
                <w:sz w:val="18"/>
                <w:szCs w:val="18"/>
              </w:rPr>
              <w:t>4,269</w:t>
            </w:r>
            <w:r>
              <w:rPr>
                <w:rFonts w:ascii="Arial" w:eastAsia="宋体" w:hAnsi="Arial" w:cs="Arial"/>
                <w:color w:val="0071C5"/>
                <w:sz w:val="18"/>
                <w:szCs w:val="18"/>
              </w:rPr>
              <w:t> </w:t>
            </w:r>
          </w:p>
        </w:tc>
        <w:tc>
          <w:tcPr>
            <w:tcW w:w="0" w:type="auto"/>
            <w:tcBorders>
              <w:top w:val="double" w:sz="6" w:space="0" w:color="333333"/>
              <w:bottom w:val="double" w:sz="6" w:space="0" w:color="333333"/>
            </w:tcBorders>
            <w:shd w:val="clear" w:color="auto" w:fill="auto"/>
            <w:tcMar>
              <w:top w:w="40" w:type="dxa"/>
              <w:bottom w:w="40" w:type="dxa"/>
              <w:right w:w="20" w:type="dxa"/>
            </w:tcMar>
            <w:vAlign w:val="bottom"/>
          </w:tcPr>
          <w:p w14:paraId="36CA19EA"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19EB" w14:textId="77777777" w:rsidR="00787570" w:rsidRDefault="00787570">
            <w:pPr>
              <w:rPr>
                <w:rFonts w:ascii="宋体"/>
              </w:rPr>
            </w:pPr>
          </w:p>
        </w:tc>
        <w:tc>
          <w:tcPr>
            <w:tcW w:w="0" w:type="auto"/>
            <w:gridSpan w:val="2"/>
            <w:tcBorders>
              <w:top w:val="double" w:sz="6" w:space="0" w:color="333333"/>
              <w:bottom w:val="double" w:sz="6" w:space="0" w:color="333333"/>
            </w:tcBorders>
            <w:shd w:val="clear" w:color="auto" w:fill="auto"/>
            <w:tcMar>
              <w:top w:w="40" w:type="dxa"/>
              <w:left w:w="20" w:type="dxa"/>
              <w:bottom w:w="40" w:type="dxa"/>
              <w:right w:w="0" w:type="dxa"/>
            </w:tcMar>
            <w:vAlign w:val="bottom"/>
          </w:tcPr>
          <w:p w14:paraId="36CA19EC" w14:textId="77777777" w:rsidR="00787570" w:rsidRDefault="000D56E2">
            <w:pPr>
              <w:jc w:val="right"/>
              <w:textAlignment w:val="bottom"/>
            </w:pPr>
            <w:r>
              <w:rPr>
                <w:rFonts w:ascii="Arial" w:eastAsia="宋体" w:hAnsi="Arial" w:cs="Arial"/>
                <w:b/>
                <w:bCs/>
                <w:color w:val="333333"/>
                <w:sz w:val="18"/>
                <w:szCs w:val="18"/>
              </w:rPr>
              <w:t>4,507</w:t>
            </w:r>
            <w:r>
              <w:rPr>
                <w:rFonts w:ascii="Arial" w:eastAsia="宋体" w:hAnsi="Arial" w:cs="Arial"/>
                <w:color w:val="333333"/>
                <w:sz w:val="18"/>
                <w:szCs w:val="18"/>
              </w:rPr>
              <w:t> </w:t>
            </w:r>
          </w:p>
        </w:tc>
        <w:tc>
          <w:tcPr>
            <w:tcW w:w="0" w:type="auto"/>
            <w:tcBorders>
              <w:top w:val="double" w:sz="6" w:space="0" w:color="333333"/>
              <w:bottom w:val="double" w:sz="6" w:space="0" w:color="333333"/>
            </w:tcBorders>
            <w:shd w:val="clear" w:color="auto" w:fill="auto"/>
            <w:tcMar>
              <w:top w:w="40" w:type="dxa"/>
              <w:bottom w:w="40" w:type="dxa"/>
              <w:right w:w="20" w:type="dxa"/>
            </w:tcMar>
            <w:vAlign w:val="bottom"/>
          </w:tcPr>
          <w:p w14:paraId="36CA19ED" w14:textId="77777777" w:rsidR="00787570" w:rsidRDefault="00787570">
            <w:pPr>
              <w:jc w:val="right"/>
              <w:rPr>
                <w:rFonts w:ascii="宋体"/>
              </w:rPr>
            </w:pPr>
          </w:p>
        </w:tc>
        <w:tc>
          <w:tcPr>
            <w:tcW w:w="0" w:type="auto"/>
            <w:shd w:val="clear" w:color="auto" w:fill="auto"/>
          </w:tcPr>
          <w:p w14:paraId="36CA19EE" w14:textId="77777777" w:rsidR="00787570" w:rsidRDefault="00787570">
            <w:pPr>
              <w:rPr>
                <w:rFonts w:ascii="宋体"/>
              </w:rPr>
            </w:pPr>
          </w:p>
        </w:tc>
        <w:tc>
          <w:tcPr>
            <w:tcW w:w="0" w:type="auto"/>
            <w:shd w:val="clear" w:color="auto" w:fill="auto"/>
          </w:tcPr>
          <w:p w14:paraId="36CA19EF" w14:textId="77777777" w:rsidR="00787570" w:rsidRDefault="00787570">
            <w:pPr>
              <w:rPr>
                <w:rFonts w:ascii="宋体"/>
              </w:rPr>
            </w:pPr>
          </w:p>
        </w:tc>
        <w:tc>
          <w:tcPr>
            <w:tcW w:w="0" w:type="auto"/>
            <w:shd w:val="clear" w:color="auto" w:fill="auto"/>
          </w:tcPr>
          <w:p w14:paraId="36CA19F0" w14:textId="77777777" w:rsidR="00787570" w:rsidRDefault="00787570">
            <w:pPr>
              <w:rPr>
                <w:rFonts w:ascii="宋体"/>
              </w:rPr>
            </w:pPr>
          </w:p>
        </w:tc>
        <w:tc>
          <w:tcPr>
            <w:tcW w:w="0" w:type="auto"/>
            <w:shd w:val="clear" w:color="auto" w:fill="auto"/>
          </w:tcPr>
          <w:p w14:paraId="36CA19F1" w14:textId="77777777" w:rsidR="00787570" w:rsidRDefault="00787570">
            <w:pPr>
              <w:rPr>
                <w:rFonts w:ascii="宋体"/>
              </w:rPr>
            </w:pPr>
          </w:p>
        </w:tc>
        <w:tc>
          <w:tcPr>
            <w:tcW w:w="0" w:type="auto"/>
            <w:shd w:val="clear" w:color="auto" w:fill="auto"/>
          </w:tcPr>
          <w:p w14:paraId="36CA19F2" w14:textId="77777777" w:rsidR="00787570" w:rsidRDefault="00787570">
            <w:pPr>
              <w:rPr>
                <w:rFonts w:ascii="宋体"/>
              </w:rPr>
            </w:pPr>
          </w:p>
        </w:tc>
        <w:tc>
          <w:tcPr>
            <w:tcW w:w="0" w:type="auto"/>
            <w:shd w:val="clear" w:color="auto" w:fill="auto"/>
          </w:tcPr>
          <w:p w14:paraId="36CA19F3" w14:textId="77777777" w:rsidR="00787570" w:rsidRDefault="00787570">
            <w:pPr>
              <w:rPr>
                <w:rFonts w:ascii="宋体"/>
              </w:rPr>
            </w:pPr>
          </w:p>
        </w:tc>
        <w:tc>
          <w:tcPr>
            <w:tcW w:w="0" w:type="auto"/>
            <w:shd w:val="clear" w:color="auto" w:fill="auto"/>
          </w:tcPr>
          <w:p w14:paraId="36CA19F4" w14:textId="77777777" w:rsidR="00787570" w:rsidRDefault="00787570">
            <w:pPr>
              <w:rPr>
                <w:rFonts w:ascii="宋体"/>
              </w:rPr>
            </w:pPr>
          </w:p>
        </w:tc>
        <w:tc>
          <w:tcPr>
            <w:tcW w:w="0" w:type="auto"/>
            <w:shd w:val="clear" w:color="auto" w:fill="auto"/>
          </w:tcPr>
          <w:p w14:paraId="36CA19F5" w14:textId="77777777" w:rsidR="00787570" w:rsidRDefault="00787570">
            <w:pPr>
              <w:rPr>
                <w:rFonts w:ascii="宋体"/>
              </w:rPr>
            </w:pPr>
          </w:p>
        </w:tc>
        <w:tc>
          <w:tcPr>
            <w:tcW w:w="0" w:type="auto"/>
            <w:shd w:val="clear" w:color="auto" w:fill="auto"/>
          </w:tcPr>
          <w:p w14:paraId="36CA19F6" w14:textId="77777777" w:rsidR="00787570" w:rsidRDefault="00787570">
            <w:pPr>
              <w:rPr>
                <w:rFonts w:ascii="宋体"/>
              </w:rPr>
            </w:pPr>
          </w:p>
        </w:tc>
        <w:tc>
          <w:tcPr>
            <w:tcW w:w="0" w:type="auto"/>
            <w:shd w:val="clear" w:color="auto" w:fill="auto"/>
          </w:tcPr>
          <w:p w14:paraId="36CA19F7" w14:textId="77777777" w:rsidR="00787570" w:rsidRDefault="00787570">
            <w:pPr>
              <w:rPr>
                <w:rFonts w:ascii="宋体"/>
              </w:rPr>
            </w:pPr>
          </w:p>
        </w:tc>
        <w:tc>
          <w:tcPr>
            <w:tcW w:w="0" w:type="auto"/>
            <w:shd w:val="clear" w:color="auto" w:fill="auto"/>
          </w:tcPr>
          <w:p w14:paraId="36CA19F8" w14:textId="77777777" w:rsidR="00787570" w:rsidRDefault="00787570">
            <w:pPr>
              <w:rPr>
                <w:rFonts w:ascii="宋体"/>
              </w:rPr>
            </w:pPr>
          </w:p>
        </w:tc>
        <w:tc>
          <w:tcPr>
            <w:tcW w:w="0" w:type="auto"/>
            <w:shd w:val="clear" w:color="auto" w:fill="auto"/>
          </w:tcPr>
          <w:p w14:paraId="36CA19F9" w14:textId="77777777" w:rsidR="00787570" w:rsidRDefault="00787570">
            <w:pPr>
              <w:rPr>
                <w:rFonts w:ascii="宋体"/>
              </w:rPr>
            </w:pPr>
          </w:p>
        </w:tc>
      </w:tr>
    </w:tbl>
    <w:p w14:paraId="36CA19FB" w14:textId="77777777" w:rsidR="00787570" w:rsidRDefault="000D56E2">
      <w:pPr>
        <w:spacing w:before="180" w:after="180"/>
      </w:pPr>
      <w:r>
        <w:rPr>
          <w:rFonts w:ascii="Arial" w:eastAsia="宋体" w:hAnsi="Arial" w:cs="Arial"/>
          <w:i/>
          <w:iCs/>
          <w:color w:val="333333"/>
          <w:sz w:val="16"/>
          <w:szCs w:val="16"/>
        </w:rPr>
        <w:t>See accompanying notes.</w:t>
      </w:r>
    </w:p>
    <w:tbl>
      <w:tblPr>
        <w:tblW w:w="5000" w:type="pct"/>
        <w:tblCellMar>
          <w:top w:w="15" w:type="dxa"/>
          <w:left w:w="15" w:type="dxa"/>
          <w:bottom w:w="15" w:type="dxa"/>
          <w:right w:w="15" w:type="dxa"/>
        </w:tblCellMar>
        <w:tblLook w:val="04A0" w:firstRow="1" w:lastRow="0" w:firstColumn="1" w:lastColumn="0" w:noHBand="0" w:noVBand="1"/>
      </w:tblPr>
      <w:tblGrid>
        <w:gridCol w:w="86"/>
        <w:gridCol w:w="426"/>
        <w:gridCol w:w="36"/>
        <w:gridCol w:w="62"/>
        <w:gridCol w:w="1678"/>
        <w:gridCol w:w="36"/>
        <w:gridCol w:w="62"/>
        <w:gridCol w:w="2725"/>
        <w:gridCol w:w="36"/>
        <w:gridCol w:w="62"/>
        <w:gridCol w:w="3091"/>
        <w:gridCol w:w="36"/>
      </w:tblGrid>
      <w:tr w:rsidR="00787570" w14:paraId="36CA1A08" w14:textId="77777777">
        <w:tc>
          <w:tcPr>
            <w:tcW w:w="50" w:type="pct"/>
            <w:shd w:val="clear" w:color="auto" w:fill="auto"/>
            <w:vAlign w:val="bottom"/>
          </w:tcPr>
          <w:p w14:paraId="36CA19FC" w14:textId="77777777" w:rsidR="00787570" w:rsidRDefault="00787570">
            <w:pPr>
              <w:rPr>
                <w:rFonts w:ascii="宋体"/>
              </w:rPr>
            </w:pPr>
          </w:p>
        </w:tc>
        <w:tc>
          <w:tcPr>
            <w:tcW w:w="248" w:type="pct"/>
            <w:shd w:val="clear" w:color="auto" w:fill="auto"/>
            <w:vAlign w:val="bottom"/>
          </w:tcPr>
          <w:p w14:paraId="36CA19FD" w14:textId="77777777" w:rsidR="00787570" w:rsidRDefault="00787570">
            <w:pPr>
              <w:rPr>
                <w:rFonts w:ascii="宋体"/>
              </w:rPr>
            </w:pPr>
          </w:p>
        </w:tc>
        <w:tc>
          <w:tcPr>
            <w:tcW w:w="5" w:type="pct"/>
            <w:shd w:val="clear" w:color="auto" w:fill="auto"/>
            <w:vAlign w:val="bottom"/>
          </w:tcPr>
          <w:p w14:paraId="36CA19FE" w14:textId="77777777" w:rsidR="00787570" w:rsidRDefault="00787570">
            <w:pPr>
              <w:rPr>
                <w:rFonts w:ascii="宋体"/>
              </w:rPr>
            </w:pPr>
          </w:p>
        </w:tc>
        <w:tc>
          <w:tcPr>
            <w:tcW w:w="50" w:type="pct"/>
            <w:shd w:val="clear" w:color="auto" w:fill="auto"/>
            <w:vAlign w:val="bottom"/>
          </w:tcPr>
          <w:p w14:paraId="36CA19FF" w14:textId="77777777" w:rsidR="00787570" w:rsidRDefault="00787570">
            <w:pPr>
              <w:rPr>
                <w:rFonts w:ascii="宋体"/>
              </w:rPr>
            </w:pPr>
          </w:p>
        </w:tc>
        <w:tc>
          <w:tcPr>
            <w:tcW w:w="1018" w:type="pct"/>
            <w:shd w:val="clear" w:color="auto" w:fill="auto"/>
            <w:vAlign w:val="bottom"/>
          </w:tcPr>
          <w:p w14:paraId="36CA1A00" w14:textId="77777777" w:rsidR="00787570" w:rsidRDefault="00787570">
            <w:pPr>
              <w:rPr>
                <w:rFonts w:ascii="宋体"/>
              </w:rPr>
            </w:pPr>
          </w:p>
        </w:tc>
        <w:tc>
          <w:tcPr>
            <w:tcW w:w="5" w:type="pct"/>
            <w:shd w:val="clear" w:color="auto" w:fill="auto"/>
            <w:vAlign w:val="bottom"/>
          </w:tcPr>
          <w:p w14:paraId="36CA1A01" w14:textId="77777777" w:rsidR="00787570" w:rsidRDefault="00787570">
            <w:pPr>
              <w:rPr>
                <w:rFonts w:ascii="宋体"/>
              </w:rPr>
            </w:pPr>
          </w:p>
        </w:tc>
        <w:tc>
          <w:tcPr>
            <w:tcW w:w="50" w:type="pct"/>
            <w:shd w:val="clear" w:color="auto" w:fill="auto"/>
            <w:vAlign w:val="bottom"/>
          </w:tcPr>
          <w:p w14:paraId="36CA1A02" w14:textId="77777777" w:rsidR="00787570" w:rsidRDefault="00787570">
            <w:pPr>
              <w:rPr>
                <w:rFonts w:ascii="宋体"/>
              </w:rPr>
            </w:pPr>
          </w:p>
        </w:tc>
        <w:tc>
          <w:tcPr>
            <w:tcW w:w="1646" w:type="pct"/>
            <w:shd w:val="clear" w:color="auto" w:fill="auto"/>
            <w:vAlign w:val="bottom"/>
          </w:tcPr>
          <w:p w14:paraId="36CA1A03" w14:textId="77777777" w:rsidR="00787570" w:rsidRDefault="00787570">
            <w:pPr>
              <w:rPr>
                <w:rFonts w:ascii="宋体"/>
              </w:rPr>
            </w:pPr>
          </w:p>
        </w:tc>
        <w:tc>
          <w:tcPr>
            <w:tcW w:w="5" w:type="pct"/>
            <w:shd w:val="clear" w:color="auto" w:fill="auto"/>
            <w:vAlign w:val="bottom"/>
          </w:tcPr>
          <w:p w14:paraId="36CA1A04" w14:textId="77777777" w:rsidR="00787570" w:rsidRDefault="00787570">
            <w:pPr>
              <w:rPr>
                <w:rFonts w:ascii="宋体"/>
              </w:rPr>
            </w:pPr>
          </w:p>
        </w:tc>
        <w:tc>
          <w:tcPr>
            <w:tcW w:w="50" w:type="pct"/>
            <w:shd w:val="clear" w:color="auto" w:fill="auto"/>
            <w:vAlign w:val="bottom"/>
          </w:tcPr>
          <w:p w14:paraId="36CA1A05" w14:textId="77777777" w:rsidR="00787570" w:rsidRDefault="00787570">
            <w:pPr>
              <w:rPr>
                <w:rFonts w:ascii="宋体"/>
              </w:rPr>
            </w:pPr>
          </w:p>
        </w:tc>
        <w:tc>
          <w:tcPr>
            <w:tcW w:w="1865" w:type="pct"/>
            <w:shd w:val="clear" w:color="auto" w:fill="auto"/>
            <w:vAlign w:val="bottom"/>
          </w:tcPr>
          <w:p w14:paraId="36CA1A06" w14:textId="77777777" w:rsidR="00787570" w:rsidRDefault="00787570">
            <w:pPr>
              <w:rPr>
                <w:rFonts w:ascii="宋体"/>
              </w:rPr>
            </w:pPr>
          </w:p>
        </w:tc>
        <w:tc>
          <w:tcPr>
            <w:tcW w:w="5" w:type="pct"/>
            <w:shd w:val="clear" w:color="auto" w:fill="auto"/>
            <w:vAlign w:val="bottom"/>
          </w:tcPr>
          <w:p w14:paraId="36CA1A07" w14:textId="77777777" w:rsidR="00787570" w:rsidRDefault="00787570">
            <w:pPr>
              <w:rPr>
                <w:rFonts w:ascii="宋体"/>
              </w:rPr>
            </w:pPr>
          </w:p>
        </w:tc>
      </w:tr>
      <w:tr w:rsidR="00787570" w14:paraId="36CA1A0D" w14:textId="77777777">
        <w:tc>
          <w:tcPr>
            <w:tcW w:w="0" w:type="auto"/>
            <w:gridSpan w:val="3"/>
            <w:tcBorders>
              <w:top w:val="single" w:sz="8" w:space="0" w:color="0071C5"/>
            </w:tcBorders>
            <w:shd w:val="clear" w:color="auto" w:fill="auto"/>
            <w:tcMar>
              <w:left w:w="20" w:type="dxa"/>
              <w:right w:w="20" w:type="dxa"/>
            </w:tcMar>
            <w:vAlign w:val="center"/>
          </w:tcPr>
          <w:p w14:paraId="36CA1A09" w14:textId="77777777" w:rsidR="00787570" w:rsidRDefault="000D56E2">
            <w:pPr>
              <w:textAlignment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Viewer9_files/intc-20200926_g2.jpg"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36CA5BF4" wp14:editId="36CA5BF5">
                  <wp:extent cx="304800" cy="304800"/>
                  <wp:effectExtent l="0" t="0" r="0" b="0"/>
                  <wp:docPr id="8" name="图片 49" descr="IMG_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9" descr="IMG_329"/>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8" w:space="0" w:color="0071C5"/>
            </w:tcBorders>
            <w:shd w:val="clear" w:color="auto" w:fill="auto"/>
            <w:tcMar>
              <w:top w:w="40" w:type="dxa"/>
              <w:left w:w="20" w:type="dxa"/>
              <w:bottom w:w="40" w:type="dxa"/>
              <w:right w:w="20" w:type="dxa"/>
            </w:tcMar>
            <w:vAlign w:val="center"/>
          </w:tcPr>
          <w:p w14:paraId="36CA1A0A" w14:textId="77777777" w:rsidR="00787570" w:rsidRDefault="000D56E2">
            <w:pPr>
              <w:textAlignment w:val="center"/>
            </w:pPr>
            <w:r>
              <w:rPr>
                <w:rFonts w:ascii="Arial" w:eastAsia="宋体" w:hAnsi="Arial" w:cs="Arial"/>
                <w:color w:val="333333"/>
                <w:sz w:val="16"/>
                <w:szCs w:val="16"/>
              </w:rPr>
              <w:t> FINANCIAL STATEMENTS</w:t>
            </w:r>
          </w:p>
        </w:tc>
        <w:tc>
          <w:tcPr>
            <w:tcW w:w="0" w:type="auto"/>
            <w:gridSpan w:val="3"/>
            <w:tcBorders>
              <w:top w:val="single" w:sz="8" w:space="0" w:color="0071C5"/>
              <w:left w:val="single" w:sz="24" w:space="0" w:color="0071C5"/>
            </w:tcBorders>
            <w:shd w:val="clear" w:color="auto" w:fill="auto"/>
            <w:tcMar>
              <w:top w:w="40" w:type="dxa"/>
              <w:left w:w="20" w:type="dxa"/>
              <w:bottom w:w="40" w:type="dxa"/>
              <w:right w:w="20" w:type="dxa"/>
            </w:tcMar>
            <w:vAlign w:val="center"/>
          </w:tcPr>
          <w:p w14:paraId="36CA1A0B" w14:textId="77777777" w:rsidR="00787570" w:rsidRDefault="000D56E2">
            <w:pPr>
              <w:textAlignment w:val="center"/>
            </w:pPr>
            <w:r>
              <w:rPr>
                <w:rFonts w:ascii="Arial" w:eastAsia="宋体" w:hAnsi="Arial" w:cs="Arial"/>
                <w:color w:val="333333"/>
                <w:sz w:val="16"/>
                <w:szCs w:val="16"/>
              </w:rPr>
              <w:t>  Consolidated Condensed Statements of Income</w:t>
            </w:r>
          </w:p>
        </w:tc>
        <w:tc>
          <w:tcPr>
            <w:tcW w:w="0" w:type="auto"/>
            <w:gridSpan w:val="3"/>
            <w:tcBorders>
              <w:top w:val="single" w:sz="8" w:space="0" w:color="0071C5"/>
            </w:tcBorders>
            <w:shd w:val="clear" w:color="auto" w:fill="auto"/>
            <w:tcMar>
              <w:top w:w="40" w:type="dxa"/>
              <w:left w:w="20" w:type="dxa"/>
              <w:bottom w:w="40" w:type="dxa"/>
              <w:right w:w="20" w:type="dxa"/>
            </w:tcMar>
            <w:vAlign w:val="center"/>
          </w:tcPr>
          <w:p w14:paraId="36CA1A0C" w14:textId="77777777" w:rsidR="00787570" w:rsidRDefault="000D56E2">
            <w:pPr>
              <w:jc w:val="right"/>
              <w:textAlignment w:val="center"/>
            </w:pPr>
            <w:r>
              <w:rPr>
                <w:rFonts w:ascii="Arial" w:eastAsia="宋体" w:hAnsi="Arial" w:cs="Arial"/>
                <w:color w:val="333333"/>
                <w:sz w:val="16"/>
                <w:szCs w:val="16"/>
              </w:rPr>
              <w:t>5</w:t>
            </w:r>
          </w:p>
        </w:tc>
      </w:tr>
    </w:tbl>
    <w:p w14:paraId="36CA1A0E" w14:textId="77777777" w:rsidR="00787570" w:rsidRDefault="000D56E2">
      <w:r>
        <w:pict w14:anchorId="36CA5BF6">
          <v:rect id="_x0000_i1031" style="width:415.3pt;height:1.5pt" o:hralign="center" o:hrstd="t" o:hr="t" fillcolor="#a0a0a0" stroked="f"/>
        </w:pict>
      </w:r>
    </w:p>
    <w:p w14:paraId="36CA1A0F" w14:textId="77777777" w:rsidR="00787570" w:rsidRDefault="000D56E2">
      <w:pPr>
        <w:spacing w:after="180"/>
        <w:jc w:val="right"/>
      </w:pPr>
      <w:hyperlink r:id="rId33" w:anchor="i32771df14e9449d2bec5be911426bf04_7" w:history="1">
        <w:r>
          <w:rPr>
            <w:rStyle w:val="a5"/>
            <w:rFonts w:ascii="Arial" w:eastAsia="宋体" w:hAnsi="Arial" w:cs="Arial"/>
            <w:b/>
            <w:bCs/>
            <w:sz w:val="16"/>
            <w:szCs w:val="16"/>
          </w:rPr>
          <w:t>Table of Contents</w:t>
        </w:r>
      </w:hyperlink>
    </w:p>
    <w:p w14:paraId="36CA1A10" w14:textId="77777777" w:rsidR="00787570" w:rsidRDefault="00787570">
      <w:pPr>
        <w:spacing w:after="180"/>
        <w:jc w:val="right"/>
      </w:pP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8231"/>
        <w:gridCol w:w="36"/>
      </w:tblGrid>
      <w:tr w:rsidR="00787570" w14:paraId="36CA1A14" w14:textId="77777777">
        <w:trPr>
          <w:jc w:val="center"/>
        </w:trPr>
        <w:tc>
          <w:tcPr>
            <w:tcW w:w="50" w:type="pct"/>
            <w:shd w:val="clear" w:color="auto" w:fill="auto"/>
          </w:tcPr>
          <w:p w14:paraId="36CA1A11" w14:textId="77777777" w:rsidR="00787570" w:rsidRDefault="00787570">
            <w:pPr>
              <w:rPr>
                <w:rFonts w:ascii="宋体"/>
              </w:rPr>
            </w:pPr>
          </w:p>
        </w:tc>
        <w:tc>
          <w:tcPr>
            <w:tcW w:w="4945" w:type="pct"/>
            <w:shd w:val="clear" w:color="auto" w:fill="auto"/>
          </w:tcPr>
          <w:p w14:paraId="36CA1A12" w14:textId="77777777" w:rsidR="00787570" w:rsidRDefault="00787570">
            <w:pPr>
              <w:rPr>
                <w:rFonts w:ascii="宋体"/>
              </w:rPr>
            </w:pPr>
          </w:p>
        </w:tc>
        <w:tc>
          <w:tcPr>
            <w:tcW w:w="5" w:type="pct"/>
            <w:shd w:val="clear" w:color="auto" w:fill="auto"/>
          </w:tcPr>
          <w:p w14:paraId="36CA1A13" w14:textId="77777777" w:rsidR="00787570" w:rsidRDefault="00787570">
            <w:pPr>
              <w:rPr>
                <w:rFonts w:ascii="宋体"/>
              </w:rPr>
            </w:pPr>
          </w:p>
        </w:tc>
      </w:tr>
      <w:tr w:rsidR="00787570" w14:paraId="36CA1A16" w14:textId="77777777">
        <w:trPr>
          <w:jc w:val="center"/>
        </w:trPr>
        <w:tc>
          <w:tcPr>
            <w:tcW w:w="0" w:type="auto"/>
            <w:gridSpan w:val="3"/>
            <w:shd w:val="clear" w:color="auto" w:fill="0071C5"/>
            <w:tcMar>
              <w:top w:w="40" w:type="dxa"/>
              <w:left w:w="20" w:type="dxa"/>
              <w:bottom w:w="40" w:type="dxa"/>
              <w:right w:w="20" w:type="dxa"/>
            </w:tcMar>
            <w:vAlign w:val="center"/>
          </w:tcPr>
          <w:p w14:paraId="36CA1A15" w14:textId="77777777" w:rsidR="00787570" w:rsidRDefault="000D56E2">
            <w:pPr>
              <w:textAlignment w:val="center"/>
            </w:pPr>
            <w:r>
              <w:rPr>
                <w:rFonts w:ascii="Arial" w:eastAsia="宋体" w:hAnsi="Arial" w:cs="Arial"/>
                <w:b/>
                <w:bCs/>
                <w:color w:val="FFFFFF"/>
                <w:sz w:val="28"/>
                <w:szCs w:val="28"/>
              </w:rPr>
              <w:t>CONSOLIDATED CONDENSED STATEMENTS OF COMPREHENSIVE INCOME</w:t>
            </w:r>
          </w:p>
        </w:tc>
      </w:tr>
    </w:tbl>
    <w:p w14:paraId="36CA1A17" w14:textId="77777777" w:rsidR="00787570" w:rsidRDefault="00787570">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39"/>
        <w:gridCol w:w="3760"/>
        <w:gridCol w:w="38"/>
        <w:gridCol w:w="36"/>
        <w:gridCol w:w="36"/>
        <w:gridCol w:w="36"/>
        <w:gridCol w:w="137"/>
        <w:gridCol w:w="804"/>
        <w:gridCol w:w="42"/>
        <w:gridCol w:w="37"/>
        <w:gridCol w:w="36"/>
        <w:gridCol w:w="36"/>
        <w:gridCol w:w="136"/>
        <w:gridCol w:w="803"/>
        <w:gridCol w:w="41"/>
        <w:gridCol w:w="36"/>
        <w:gridCol w:w="36"/>
        <w:gridCol w:w="36"/>
        <w:gridCol w:w="136"/>
        <w:gridCol w:w="616"/>
        <w:gridCol w:w="41"/>
        <w:gridCol w:w="36"/>
        <w:gridCol w:w="36"/>
        <w:gridCol w:w="36"/>
        <w:gridCol w:w="136"/>
        <w:gridCol w:w="701"/>
        <w:gridCol w:w="41"/>
        <w:gridCol w:w="36"/>
        <w:gridCol w:w="36"/>
        <w:gridCol w:w="36"/>
        <w:gridCol w:w="36"/>
        <w:gridCol w:w="36"/>
        <w:gridCol w:w="36"/>
        <w:gridCol w:w="36"/>
        <w:gridCol w:w="36"/>
        <w:gridCol w:w="36"/>
        <w:gridCol w:w="36"/>
        <w:gridCol w:w="36"/>
        <w:gridCol w:w="36"/>
      </w:tblGrid>
      <w:tr w:rsidR="00787570" w14:paraId="36CA1A33" w14:textId="77777777">
        <w:trPr>
          <w:gridAfter w:val="12"/>
        </w:trPr>
        <w:tc>
          <w:tcPr>
            <w:tcW w:w="50" w:type="pct"/>
            <w:shd w:val="clear" w:color="auto" w:fill="auto"/>
          </w:tcPr>
          <w:p w14:paraId="36CA1A18" w14:textId="77777777" w:rsidR="00787570" w:rsidRDefault="00787570">
            <w:pPr>
              <w:rPr>
                <w:rFonts w:ascii="宋体"/>
              </w:rPr>
            </w:pPr>
          </w:p>
        </w:tc>
        <w:tc>
          <w:tcPr>
            <w:tcW w:w="2431" w:type="pct"/>
            <w:shd w:val="clear" w:color="auto" w:fill="auto"/>
          </w:tcPr>
          <w:p w14:paraId="36CA1A19" w14:textId="77777777" w:rsidR="00787570" w:rsidRDefault="00787570">
            <w:pPr>
              <w:rPr>
                <w:rFonts w:ascii="宋体"/>
              </w:rPr>
            </w:pPr>
          </w:p>
        </w:tc>
        <w:tc>
          <w:tcPr>
            <w:tcW w:w="5" w:type="pct"/>
            <w:shd w:val="clear" w:color="auto" w:fill="auto"/>
          </w:tcPr>
          <w:p w14:paraId="36CA1A1A" w14:textId="77777777" w:rsidR="00787570" w:rsidRDefault="00787570">
            <w:pPr>
              <w:rPr>
                <w:rFonts w:ascii="宋体"/>
              </w:rPr>
            </w:pPr>
          </w:p>
        </w:tc>
        <w:tc>
          <w:tcPr>
            <w:tcW w:w="5" w:type="pct"/>
            <w:shd w:val="clear" w:color="auto" w:fill="auto"/>
          </w:tcPr>
          <w:p w14:paraId="36CA1A1B" w14:textId="77777777" w:rsidR="00787570" w:rsidRDefault="00787570">
            <w:pPr>
              <w:rPr>
                <w:rFonts w:ascii="宋体"/>
              </w:rPr>
            </w:pPr>
          </w:p>
        </w:tc>
        <w:tc>
          <w:tcPr>
            <w:tcW w:w="24" w:type="pct"/>
            <w:shd w:val="clear" w:color="auto" w:fill="auto"/>
          </w:tcPr>
          <w:p w14:paraId="36CA1A1C" w14:textId="77777777" w:rsidR="00787570" w:rsidRDefault="00787570">
            <w:pPr>
              <w:rPr>
                <w:rFonts w:ascii="宋体"/>
              </w:rPr>
            </w:pPr>
          </w:p>
        </w:tc>
        <w:tc>
          <w:tcPr>
            <w:tcW w:w="5" w:type="pct"/>
            <w:shd w:val="clear" w:color="auto" w:fill="auto"/>
          </w:tcPr>
          <w:p w14:paraId="36CA1A1D" w14:textId="77777777" w:rsidR="00787570" w:rsidRDefault="00787570">
            <w:pPr>
              <w:rPr>
                <w:rFonts w:ascii="宋体"/>
              </w:rPr>
            </w:pPr>
          </w:p>
        </w:tc>
        <w:tc>
          <w:tcPr>
            <w:tcW w:w="50" w:type="pct"/>
            <w:shd w:val="clear" w:color="auto" w:fill="auto"/>
          </w:tcPr>
          <w:p w14:paraId="36CA1A1E" w14:textId="77777777" w:rsidR="00787570" w:rsidRDefault="00787570">
            <w:pPr>
              <w:rPr>
                <w:rFonts w:ascii="宋体"/>
              </w:rPr>
            </w:pPr>
          </w:p>
        </w:tc>
        <w:tc>
          <w:tcPr>
            <w:tcW w:w="539" w:type="pct"/>
            <w:shd w:val="clear" w:color="auto" w:fill="auto"/>
          </w:tcPr>
          <w:p w14:paraId="36CA1A1F" w14:textId="77777777" w:rsidR="00787570" w:rsidRDefault="00787570">
            <w:pPr>
              <w:rPr>
                <w:rFonts w:ascii="宋体"/>
              </w:rPr>
            </w:pPr>
          </w:p>
        </w:tc>
        <w:tc>
          <w:tcPr>
            <w:tcW w:w="5" w:type="pct"/>
            <w:shd w:val="clear" w:color="auto" w:fill="auto"/>
          </w:tcPr>
          <w:p w14:paraId="36CA1A20" w14:textId="77777777" w:rsidR="00787570" w:rsidRDefault="00787570">
            <w:pPr>
              <w:rPr>
                <w:rFonts w:ascii="宋体"/>
              </w:rPr>
            </w:pPr>
          </w:p>
        </w:tc>
        <w:tc>
          <w:tcPr>
            <w:tcW w:w="5" w:type="pct"/>
            <w:shd w:val="clear" w:color="auto" w:fill="auto"/>
          </w:tcPr>
          <w:p w14:paraId="36CA1A21" w14:textId="77777777" w:rsidR="00787570" w:rsidRDefault="00787570">
            <w:pPr>
              <w:rPr>
                <w:rFonts w:ascii="宋体"/>
              </w:rPr>
            </w:pPr>
          </w:p>
        </w:tc>
        <w:tc>
          <w:tcPr>
            <w:tcW w:w="24" w:type="pct"/>
            <w:shd w:val="clear" w:color="auto" w:fill="auto"/>
          </w:tcPr>
          <w:p w14:paraId="36CA1A22" w14:textId="77777777" w:rsidR="00787570" w:rsidRDefault="00787570">
            <w:pPr>
              <w:rPr>
                <w:rFonts w:ascii="宋体"/>
              </w:rPr>
            </w:pPr>
          </w:p>
        </w:tc>
        <w:tc>
          <w:tcPr>
            <w:tcW w:w="5" w:type="pct"/>
            <w:shd w:val="clear" w:color="auto" w:fill="auto"/>
          </w:tcPr>
          <w:p w14:paraId="36CA1A23" w14:textId="77777777" w:rsidR="00787570" w:rsidRDefault="00787570">
            <w:pPr>
              <w:rPr>
                <w:rFonts w:ascii="宋体"/>
              </w:rPr>
            </w:pPr>
          </w:p>
        </w:tc>
        <w:tc>
          <w:tcPr>
            <w:tcW w:w="50" w:type="pct"/>
            <w:shd w:val="clear" w:color="auto" w:fill="auto"/>
          </w:tcPr>
          <w:p w14:paraId="36CA1A24" w14:textId="77777777" w:rsidR="00787570" w:rsidRDefault="00787570">
            <w:pPr>
              <w:rPr>
                <w:rFonts w:ascii="宋体"/>
              </w:rPr>
            </w:pPr>
          </w:p>
        </w:tc>
        <w:tc>
          <w:tcPr>
            <w:tcW w:w="539" w:type="pct"/>
            <w:shd w:val="clear" w:color="auto" w:fill="auto"/>
          </w:tcPr>
          <w:p w14:paraId="36CA1A25" w14:textId="77777777" w:rsidR="00787570" w:rsidRDefault="00787570">
            <w:pPr>
              <w:rPr>
                <w:rFonts w:ascii="宋体"/>
              </w:rPr>
            </w:pPr>
          </w:p>
        </w:tc>
        <w:tc>
          <w:tcPr>
            <w:tcW w:w="5" w:type="pct"/>
            <w:shd w:val="clear" w:color="auto" w:fill="auto"/>
          </w:tcPr>
          <w:p w14:paraId="36CA1A26" w14:textId="77777777" w:rsidR="00787570" w:rsidRDefault="00787570">
            <w:pPr>
              <w:rPr>
                <w:rFonts w:ascii="宋体"/>
              </w:rPr>
            </w:pPr>
          </w:p>
        </w:tc>
        <w:tc>
          <w:tcPr>
            <w:tcW w:w="5" w:type="pct"/>
            <w:shd w:val="clear" w:color="auto" w:fill="auto"/>
          </w:tcPr>
          <w:p w14:paraId="36CA1A27" w14:textId="77777777" w:rsidR="00787570" w:rsidRDefault="00787570">
            <w:pPr>
              <w:rPr>
                <w:rFonts w:ascii="宋体"/>
              </w:rPr>
            </w:pPr>
          </w:p>
        </w:tc>
        <w:tc>
          <w:tcPr>
            <w:tcW w:w="24" w:type="pct"/>
            <w:shd w:val="clear" w:color="auto" w:fill="auto"/>
          </w:tcPr>
          <w:p w14:paraId="36CA1A28" w14:textId="77777777" w:rsidR="00787570" w:rsidRDefault="00787570">
            <w:pPr>
              <w:rPr>
                <w:rFonts w:ascii="宋体"/>
              </w:rPr>
            </w:pPr>
          </w:p>
        </w:tc>
        <w:tc>
          <w:tcPr>
            <w:tcW w:w="5" w:type="pct"/>
            <w:shd w:val="clear" w:color="auto" w:fill="auto"/>
          </w:tcPr>
          <w:p w14:paraId="36CA1A29" w14:textId="77777777" w:rsidR="00787570" w:rsidRDefault="00787570">
            <w:pPr>
              <w:rPr>
                <w:rFonts w:ascii="宋体"/>
              </w:rPr>
            </w:pPr>
          </w:p>
        </w:tc>
        <w:tc>
          <w:tcPr>
            <w:tcW w:w="50" w:type="pct"/>
            <w:shd w:val="clear" w:color="auto" w:fill="auto"/>
          </w:tcPr>
          <w:p w14:paraId="36CA1A2A" w14:textId="77777777" w:rsidR="00787570" w:rsidRDefault="00787570">
            <w:pPr>
              <w:rPr>
                <w:rFonts w:ascii="宋体"/>
              </w:rPr>
            </w:pPr>
          </w:p>
        </w:tc>
        <w:tc>
          <w:tcPr>
            <w:tcW w:w="539" w:type="pct"/>
            <w:shd w:val="clear" w:color="auto" w:fill="auto"/>
          </w:tcPr>
          <w:p w14:paraId="36CA1A2B" w14:textId="77777777" w:rsidR="00787570" w:rsidRDefault="00787570">
            <w:pPr>
              <w:rPr>
                <w:rFonts w:ascii="宋体"/>
              </w:rPr>
            </w:pPr>
          </w:p>
        </w:tc>
        <w:tc>
          <w:tcPr>
            <w:tcW w:w="5" w:type="pct"/>
            <w:shd w:val="clear" w:color="auto" w:fill="auto"/>
          </w:tcPr>
          <w:p w14:paraId="36CA1A2C" w14:textId="77777777" w:rsidR="00787570" w:rsidRDefault="00787570">
            <w:pPr>
              <w:rPr>
                <w:rFonts w:ascii="宋体"/>
              </w:rPr>
            </w:pPr>
          </w:p>
        </w:tc>
        <w:tc>
          <w:tcPr>
            <w:tcW w:w="5" w:type="pct"/>
            <w:shd w:val="clear" w:color="auto" w:fill="auto"/>
          </w:tcPr>
          <w:p w14:paraId="36CA1A2D" w14:textId="77777777" w:rsidR="00787570" w:rsidRDefault="00787570">
            <w:pPr>
              <w:rPr>
                <w:rFonts w:ascii="宋体"/>
              </w:rPr>
            </w:pPr>
          </w:p>
        </w:tc>
        <w:tc>
          <w:tcPr>
            <w:tcW w:w="24" w:type="pct"/>
            <w:shd w:val="clear" w:color="auto" w:fill="auto"/>
          </w:tcPr>
          <w:p w14:paraId="36CA1A2E" w14:textId="77777777" w:rsidR="00787570" w:rsidRDefault="00787570">
            <w:pPr>
              <w:rPr>
                <w:rFonts w:ascii="宋体"/>
              </w:rPr>
            </w:pPr>
          </w:p>
        </w:tc>
        <w:tc>
          <w:tcPr>
            <w:tcW w:w="5" w:type="pct"/>
            <w:shd w:val="clear" w:color="auto" w:fill="auto"/>
          </w:tcPr>
          <w:p w14:paraId="36CA1A2F" w14:textId="77777777" w:rsidR="00787570" w:rsidRDefault="00787570">
            <w:pPr>
              <w:rPr>
                <w:rFonts w:ascii="宋体"/>
              </w:rPr>
            </w:pPr>
          </w:p>
        </w:tc>
        <w:tc>
          <w:tcPr>
            <w:tcW w:w="50" w:type="pct"/>
            <w:shd w:val="clear" w:color="auto" w:fill="auto"/>
          </w:tcPr>
          <w:p w14:paraId="36CA1A30" w14:textId="77777777" w:rsidR="00787570" w:rsidRDefault="00787570">
            <w:pPr>
              <w:rPr>
                <w:rFonts w:ascii="宋体"/>
              </w:rPr>
            </w:pPr>
          </w:p>
        </w:tc>
        <w:tc>
          <w:tcPr>
            <w:tcW w:w="539" w:type="pct"/>
            <w:shd w:val="clear" w:color="auto" w:fill="auto"/>
          </w:tcPr>
          <w:p w14:paraId="36CA1A31" w14:textId="77777777" w:rsidR="00787570" w:rsidRDefault="00787570">
            <w:pPr>
              <w:rPr>
                <w:rFonts w:ascii="宋体"/>
              </w:rPr>
            </w:pPr>
          </w:p>
        </w:tc>
        <w:tc>
          <w:tcPr>
            <w:tcW w:w="5" w:type="pct"/>
            <w:shd w:val="clear" w:color="auto" w:fill="auto"/>
          </w:tcPr>
          <w:p w14:paraId="36CA1A32" w14:textId="77777777" w:rsidR="00787570" w:rsidRDefault="00787570">
            <w:pPr>
              <w:rPr>
                <w:rFonts w:ascii="宋体"/>
              </w:rPr>
            </w:pPr>
          </w:p>
        </w:tc>
      </w:tr>
      <w:tr w:rsidR="00787570" w14:paraId="36CA1A3D" w14:textId="77777777">
        <w:tc>
          <w:tcPr>
            <w:tcW w:w="0" w:type="auto"/>
            <w:gridSpan w:val="3"/>
            <w:shd w:val="clear" w:color="auto" w:fill="auto"/>
            <w:tcMar>
              <w:left w:w="20" w:type="dxa"/>
              <w:right w:w="20" w:type="dxa"/>
            </w:tcMar>
            <w:vAlign w:val="bottom"/>
          </w:tcPr>
          <w:p w14:paraId="36CA1A34"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1A35" w14:textId="77777777" w:rsidR="00787570" w:rsidRDefault="00787570">
            <w:pPr>
              <w:rPr>
                <w:rFonts w:ascii="宋体"/>
              </w:rPr>
            </w:pPr>
          </w:p>
        </w:tc>
        <w:tc>
          <w:tcPr>
            <w:tcW w:w="0" w:type="auto"/>
            <w:gridSpan w:val="9"/>
            <w:shd w:val="clear" w:color="auto" w:fill="auto"/>
            <w:tcMar>
              <w:top w:w="40" w:type="dxa"/>
              <w:left w:w="20" w:type="dxa"/>
              <w:bottom w:w="40" w:type="dxa"/>
              <w:right w:w="20" w:type="dxa"/>
            </w:tcMar>
            <w:vAlign w:val="center"/>
          </w:tcPr>
          <w:p w14:paraId="36CA1A36" w14:textId="77777777" w:rsidR="00787570" w:rsidRDefault="000D56E2">
            <w:pPr>
              <w:jc w:val="center"/>
              <w:textAlignment w:val="center"/>
            </w:pPr>
            <w:r>
              <w:rPr>
                <w:rFonts w:ascii="Arial" w:eastAsia="宋体" w:hAnsi="Arial" w:cs="Arial"/>
                <w:b/>
                <w:bCs/>
                <w:color w:val="333333"/>
                <w:sz w:val="18"/>
                <w:szCs w:val="18"/>
              </w:rPr>
              <w:t>Three Months Ended</w:t>
            </w:r>
          </w:p>
        </w:tc>
        <w:tc>
          <w:tcPr>
            <w:tcW w:w="0" w:type="auto"/>
            <w:gridSpan w:val="3"/>
            <w:shd w:val="clear" w:color="auto" w:fill="auto"/>
          </w:tcPr>
          <w:p w14:paraId="36CA1A37" w14:textId="77777777" w:rsidR="00787570" w:rsidRDefault="00787570">
            <w:pPr>
              <w:rPr>
                <w:rFonts w:ascii="宋体"/>
                <w:vanish/>
              </w:rPr>
            </w:pPr>
          </w:p>
        </w:tc>
        <w:tc>
          <w:tcPr>
            <w:tcW w:w="0" w:type="auto"/>
            <w:gridSpan w:val="3"/>
            <w:shd w:val="clear" w:color="auto" w:fill="auto"/>
          </w:tcPr>
          <w:p w14:paraId="36CA1A38" w14:textId="77777777" w:rsidR="00787570" w:rsidRDefault="00787570">
            <w:pPr>
              <w:rPr>
                <w:rFonts w:ascii="宋体"/>
                <w:vanish/>
              </w:rPr>
            </w:pPr>
          </w:p>
        </w:tc>
        <w:tc>
          <w:tcPr>
            <w:tcW w:w="0" w:type="auto"/>
            <w:gridSpan w:val="3"/>
            <w:shd w:val="clear" w:color="auto" w:fill="auto"/>
            <w:tcMar>
              <w:left w:w="20" w:type="dxa"/>
              <w:right w:w="20" w:type="dxa"/>
            </w:tcMar>
            <w:vAlign w:val="bottom"/>
          </w:tcPr>
          <w:p w14:paraId="36CA1A39" w14:textId="77777777" w:rsidR="00787570" w:rsidRDefault="00787570">
            <w:pPr>
              <w:rPr>
                <w:rFonts w:ascii="宋体"/>
              </w:rPr>
            </w:pPr>
          </w:p>
        </w:tc>
        <w:tc>
          <w:tcPr>
            <w:tcW w:w="0" w:type="auto"/>
            <w:gridSpan w:val="9"/>
            <w:shd w:val="clear" w:color="auto" w:fill="auto"/>
            <w:tcMar>
              <w:top w:w="40" w:type="dxa"/>
              <w:left w:w="20" w:type="dxa"/>
              <w:bottom w:w="40" w:type="dxa"/>
              <w:right w:w="20" w:type="dxa"/>
            </w:tcMar>
            <w:vAlign w:val="center"/>
          </w:tcPr>
          <w:p w14:paraId="36CA1A3A" w14:textId="77777777" w:rsidR="00787570" w:rsidRDefault="000D56E2">
            <w:pPr>
              <w:jc w:val="center"/>
              <w:textAlignment w:val="center"/>
            </w:pPr>
            <w:r>
              <w:rPr>
                <w:rFonts w:ascii="Arial" w:eastAsia="宋体" w:hAnsi="Arial" w:cs="Arial"/>
                <w:b/>
                <w:bCs/>
                <w:color w:val="333333"/>
                <w:sz w:val="18"/>
                <w:szCs w:val="18"/>
              </w:rPr>
              <w:t>Nine Months Ended</w:t>
            </w:r>
          </w:p>
        </w:tc>
        <w:tc>
          <w:tcPr>
            <w:tcW w:w="0" w:type="auto"/>
            <w:gridSpan w:val="3"/>
            <w:shd w:val="clear" w:color="auto" w:fill="auto"/>
          </w:tcPr>
          <w:p w14:paraId="36CA1A3B" w14:textId="77777777" w:rsidR="00787570" w:rsidRDefault="00787570">
            <w:pPr>
              <w:rPr>
                <w:rFonts w:ascii="宋体"/>
                <w:vanish/>
              </w:rPr>
            </w:pPr>
          </w:p>
        </w:tc>
        <w:tc>
          <w:tcPr>
            <w:tcW w:w="0" w:type="auto"/>
            <w:gridSpan w:val="3"/>
            <w:shd w:val="clear" w:color="auto" w:fill="auto"/>
          </w:tcPr>
          <w:p w14:paraId="36CA1A3C" w14:textId="77777777" w:rsidR="00787570" w:rsidRDefault="00787570">
            <w:pPr>
              <w:rPr>
                <w:rFonts w:ascii="宋体"/>
                <w:vanish/>
              </w:rPr>
            </w:pPr>
          </w:p>
        </w:tc>
      </w:tr>
      <w:tr w:rsidR="00787570" w14:paraId="36CA1A53" w14:textId="77777777">
        <w:tc>
          <w:tcPr>
            <w:tcW w:w="0" w:type="auto"/>
            <w:gridSpan w:val="3"/>
            <w:shd w:val="clear" w:color="auto" w:fill="auto"/>
            <w:tcMar>
              <w:top w:w="40" w:type="dxa"/>
              <w:left w:w="20" w:type="dxa"/>
              <w:bottom w:w="40" w:type="dxa"/>
              <w:right w:w="20" w:type="dxa"/>
            </w:tcMar>
            <w:vAlign w:val="bottom"/>
          </w:tcPr>
          <w:p w14:paraId="36CA1A3E" w14:textId="77777777" w:rsidR="00787570" w:rsidRDefault="000D56E2">
            <w:pPr>
              <w:ind w:hanging="180"/>
              <w:textAlignment w:val="bottom"/>
            </w:pPr>
            <w:r>
              <w:rPr>
                <w:rFonts w:ascii="Arial" w:eastAsia="宋体" w:hAnsi="Arial" w:cs="Arial"/>
                <w:b/>
                <w:bCs/>
                <w:color w:val="333333"/>
                <w:sz w:val="18"/>
                <w:szCs w:val="18"/>
              </w:rPr>
              <w:t>(In Millions; Unaudited)</w:t>
            </w:r>
          </w:p>
        </w:tc>
        <w:tc>
          <w:tcPr>
            <w:tcW w:w="0" w:type="auto"/>
            <w:gridSpan w:val="3"/>
            <w:shd w:val="clear" w:color="auto" w:fill="auto"/>
            <w:tcMar>
              <w:left w:w="20" w:type="dxa"/>
              <w:right w:w="20" w:type="dxa"/>
            </w:tcMar>
            <w:vAlign w:val="bottom"/>
          </w:tcPr>
          <w:p w14:paraId="36CA1A3F" w14:textId="77777777" w:rsidR="00787570" w:rsidRDefault="00787570">
            <w:pPr>
              <w:rPr>
                <w:rFonts w:ascii="宋体"/>
              </w:rPr>
            </w:pPr>
          </w:p>
        </w:tc>
        <w:tc>
          <w:tcPr>
            <w:tcW w:w="0" w:type="auto"/>
            <w:gridSpan w:val="3"/>
            <w:tcBorders>
              <w:top w:val="single" w:sz="8" w:space="0" w:color="0071C5"/>
            </w:tcBorders>
            <w:shd w:val="clear" w:color="auto" w:fill="auto"/>
            <w:tcMar>
              <w:top w:w="40" w:type="dxa"/>
              <w:left w:w="20" w:type="dxa"/>
              <w:bottom w:w="40" w:type="dxa"/>
              <w:right w:w="20" w:type="dxa"/>
            </w:tcMar>
            <w:vAlign w:val="bottom"/>
          </w:tcPr>
          <w:p w14:paraId="36CA1A40" w14:textId="77777777" w:rsidR="00787570" w:rsidRDefault="000D56E2">
            <w:pPr>
              <w:jc w:val="center"/>
              <w:textAlignment w:val="bottom"/>
            </w:pPr>
            <w:r>
              <w:rPr>
                <w:rFonts w:ascii="Arial" w:eastAsia="宋体" w:hAnsi="Arial" w:cs="Arial"/>
                <w:b/>
                <w:bCs/>
                <w:color w:val="333333"/>
                <w:sz w:val="18"/>
                <w:szCs w:val="18"/>
              </w:rPr>
              <w:t>Sep 26, 2020</w:t>
            </w:r>
          </w:p>
        </w:tc>
        <w:tc>
          <w:tcPr>
            <w:tcW w:w="0" w:type="auto"/>
            <w:gridSpan w:val="3"/>
            <w:tcBorders>
              <w:top w:val="single" w:sz="8" w:space="0" w:color="0071C5"/>
            </w:tcBorders>
            <w:shd w:val="clear" w:color="auto" w:fill="auto"/>
            <w:tcMar>
              <w:left w:w="20" w:type="dxa"/>
              <w:right w:w="20" w:type="dxa"/>
            </w:tcMar>
            <w:vAlign w:val="bottom"/>
          </w:tcPr>
          <w:p w14:paraId="36CA1A41" w14:textId="77777777" w:rsidR="00787570" w:rsidRDefault="00787570">
            <w:pPr>
              <w:rPr>
                <w:rFonts w:ascii="宋体"/>
              </w:rPr>
            </w:pPr>
          </w:p>
        </w:tc>
        <w:tc>
          <w:tcPr>
            <w:tcW w:w="0" w:type="auto"/>
            <w:gridSpan w:val="3"/>
            <w:tcBorders>
              <w:top w:val="single" w:sz="8" w:space="0" w:color="0071C5"/>
            </w:tcBorders>
            <w:shd w:val="clear" w:color="auto" w:fill="auto"/>
            <w:tcMar>
              <w:top w:w="40" w:type="dxa"/>
              <w:left w:w="20" w:type="dxa"/>
              <w:bottom w:w="40" w:type="dxa"/>
              <w:right w:w="20" w:type="dxa"/>
            </w:tcMar>
            <w:vAlign w:val="bottom"/>
          </w:tcPr>
          <w:p w14:paraId="36CA1A42" w14:textId="77777777" w:rsidR="00787570" w:rsidRDefault="000D56E2">
            <w:pPr>
              <w:jc w:val="center"/>
              <w:textAlignment w:val="bottom"/>
            </w:pPr>
            <w:r>
              <w:rPr>
                <w:rFonts w:ascii="Arial" w:eastAsia="宋体" w:hAnsi="Arial" w:cs="Arial"/>
                <w:b/>
                <w:bCs/>
                <w:color w:val="333333"/>
                <w:sz w:val="18"/>
                <w:szCs w:val="18"/>
              </w:rPr>
              <w:t>Sep 28, 2019</w:t>
            </w:r>
          </w:p>
        </w:tc>
        <w:tc>
          <w:tcPr>
            <w:tcW w:w="0" w:type="auto"/>
            <w:gridSpan w:val="3"/>
            <w:shd w:val="clear" w:color="auto" w:fill="auto"/>
            <w:tcMar>
              <w:left w:w="20" w:type="dxa"/>
              <w:right w:w="20" w:type="dxa"/>
            </w:tcMar>
            <w:vAlign w:val="bottom"/>
          </w:tcPr>
          <w:p w14:paraId="36CA1A43" w14:textId="77777777" w:rsidR="00787570" w:rsidRDefault="00787570">
            <w:pPr>
              <w:rPr>
                <w:rFonts w:ascii="宋体"/>
              </w:rPr>
            </w:pPr>
          </w:p>
        </w:tc>
        <w:tc>
          <w:tcPr>
            <w:tcW w:w="0" w:type="auto"/>
            <w:gridSpan w:val="3"/>
            <w:tcBorders>
              <w:top w:val="single" w:sz="8" w:space="0" w:color="0071C5"/>
            </w:tcBorders>
            <w:shd w:val="clear" w:color="auto" w:fill="auto"/>
            <w:tcMar>
              <w:top w:w="40" w:type="dxa"/>
              <w:left w:w="20" w:type="dxa"/>
              <w:bottom w:w="40" w:type="dxa"/>
              <w:right w:w="20" w:type="dxa"/>
            </w:tcMar>
            <w:vAlign w:val="bottom"/>
          </w:tcPr>
          <w:p w14:paraId="36CA1A44" w14:textId="77777777" w:rsidR="00787570" w:rsidRDefault="000D56E2">
            <w:pPr>
              <w:jc w:val="center"/>
              <w:textAlignment w:val="bottom"/>
            </w:pPr>
            <w:r>
              <w:rPr>
                <w:rFonts w:ascii="Arial" w:eastAsia="宋体" w:hAnsi="Arial" w:cs="Arial"/>
                <w:b/>
                <w:bCs/>
                <w:color w:val="333333"/>
                <w:sz w:val="18"/>
                <w:szCs w:val="18"/>
              </w:rPr>
              <w:t>Sep 26, 2020</w:t>
            </w:r>
          </w:p>
        </w:tc>
        <w:tc>
          <w:tcPr>
            <w:tcW w:w="0" w:type="auto"/>
            <w:gridSpan w:val="3"/>
            <w:tcBorders>
              <w:top w:val="single" w:sz="8" w:space="0" w:color="0071C5"/>
            </w:tcBorders>
            <w:shd w:val="clear" w:color="auto" w:fill="auto"/>
            <w:tcMar>
              <w:left w:w="20" w:type="dxa"/>
              <w:right w:w="20" w:type="dxa"/>
            </w:tcMar>
            <w:vAlign w:val="bottom"/>
          </w:tcPr>
          <w:p w14:paraId="36CA1A45" w14:textId="77777777" w:rsidR="00787570" w:rsidRDefault="00787570">
            <w:pPr>
              <w:rPr>
                <w:rFonts w:ascii="宋体"/>
              </w:rPr>
            </w:pPr>
          </w:p>
        </w:tc>
        <w:tc>
          <w:tcPr>
            <w:tcW w:w="0" w:type="auto"/>
            <w:gridSpan w:val="3"/>
            <w:tcBorders>
              <w:top w:val="single" w:sz="8" w:space="0" w:color="0071C5"/>
            </w:tcBorders>
            <w:shd w:val="clear" w:color="auto" w:fill="auto"/>
            <w:tcMar>
              <w:top w:w="40" w:type="dxa"/>
              <w:left w:w="20" w:type="dxa"/>
              <w:bottom w:w="40" w:type="dxa"/>
              <w:right w:w="20" w:type="dxa"/>
            </w:tcMar>
            <w:vAlign w:val="bottom"/>
          </w:tcPr>
          <w:p w14:paraId="36CA1A46" w14:textId="77777777" w:rsidR="00787570" w:rsidRDefault="000D56E2">
            <w:pPr>
              <w:jc w:val="center"/>
              <w:textAlignment w:val="bottom"/>
            </w:pPr>
            <w:r>
              <w:rPr>
                <w:rFonts w:ascii="Arial" w:eastAsia="宋体" w:hAnsi="Arial" w:cs="Arial"/>
                <w:b/>
                <w:bCs/>
                <w:color w:val="333333"/>
                <w:sz w:val="18"/>
                <w:szCs w:val="18"/>
              </w:rPr>
              <w:t>Sep 28, 2019</w:t>
            </w:r>
          </w:p>
        </w:tc>
        <w:tc>
          <w:tcPr>
            <w:tcW w:w="0" w:type="auto"/>
            <w:shd w:val="clear" w:color="auto" w:fill="auto"/>
          </w:tcPr>
          <w:p w14:paraId="36CA1A47" w14:textId="77777777" w:rsidR="00787570" w:rsidRDefault="00787570">
            <w:pPr>
              <w:rPr>
                <w:rFonts w:ascii="宋体"/>
              </w:rPr>
            </w:pPr>
          </w:p>
        </w:tc>
        <w:tc>
          <w:tcPr>
            <w:tcW w:w="0" w:type="auto"/>
            <w:shd w:val="clear" w:color="auto" w:fill="auto"/>
          </w:tcPr>
          <w:p w14:paraId="36CA1A48" w14:textId="77777777" w:rsidR="00787570" w:rsidRDefault="00787570">
            <w:pPr>
              <w:rPr>
                <w:rFonts w:ascii="宋体"/>
              </w:rPr>
            </w:pPr>
          </w:p>
        </w:tc>
        <w:tc>
          <w:tcPr>
            <w:tcW w:w="0" w:type="auto"/>
            <w:shd w:val="clear" w:color="auto" w:fill="auto"/>
          </w:tcPr>
          <w:p w14:paraId="36CA1A49" w14:textId="77777777" w:rsidR="00787570" w:rsidRDefault="00787570">
            <w:pPr>
              <w:rPr>
                <w:rFonts w:ascii="宋体"/>
              </w:rPr>
            </w:pPr>
          </w:p>
        </w:tc>
        <w:tc>
          <w:tcPr>
            <w:tcW w:w="0" w:type="auto"/>
            <w:shd w:val="clear" w:color="auto" w:fill="auto"/>
          </w:tcPr>
          <w:p w14:paraId="36CA1A4A" w14:textId="77777777" w:rsidR="00787570" w:rsidRDefault="00787570">
            <w:pPr>
              <w:rPr>
                <w:rFonts w:ascii="宋体"/>
              </w:rPr>
            </w:pPr>
          </w:p>
        </w:tc>
        <w:tc>
          <w:tcPr>
            <w:tcW w:w="0" w:type="auto"/>
            <w:shd w:val="clear" w:color="auto" w:fill="auto"/>
          </w:tcPr>
          <w:p w14:paraId="36CA1A4B" w14:textId="77777777" w:rsidR="00787570" w:rsidRDefault="00787570">
            <w:pPr>
              <w:rPr>
                <w:rFonts w:ascii="宋体"/>
              </w:rPr>
            </w:pPr>
          </w:p>
        </w:tc>
        <w:tc>
          <w:tcPr>
            <w:tcW w:w="0" w:type="auto"/>
            <w:shd w:val="clear" w:color="auto" w:fill="auto"/>
          </w:tcPr>
          <w:p w14:paraId="36CA1A4C" w14:textId="77777777" w:rsidR="00787570" w:rsidRDefault="00787570">
            <w:pPr>
              <w:rPr>
                <w:rFonts w:ascii="宋体"/>
              </w:rPr>
            </w:pPr>
          </w:p>
        </w:tc>
        <w:tc>
          <w:tcPr>
            <w:tcW w:w="0" w:type="auto"/>
            <w:shd w:val="clear" w:color="auto" w:fill="auto"/>
          </w:tcPr>
          <w:p w14:paraId="36CA1A4D" w14:textId="77777777" w:rsidR="00787570" w:rsidRDefault="00787570">
            <w:pPr>
              <w:rPr>
                <w:rFonts w:ascii="宋体"/>
              </w:rPr>
            </w:pPr>
          </w:p>
        </w:tc>
        <w:tc>
          <w:tcPr>
            <w:tcW w:w="0" w:type="auto"/>
            <w:shd w:val="clear" w:color="auto" w:fill="auto"/>
          </w:tcPr>
          <w:p w14:paraId="36CA1A4E" w14:textId="77777777" w:rsidR="00787570" w:rsidRDefault="00787570">
            <w:pPr>
              <w:rPr>
                <w:rFonts w:ascii="宋体"/>
              </w:rPr>
            </w:pPr>
          </w:p>
        </w:tc>
        <w:tc>
          <w:tcPr>
            <w:tcW w:w="0" w:type="auto"/>
            <w:shd w:val="clear" w:color="auto" w:fill="auto"/>
          </w:tcPr>
          <w:p w14:paraId="36CA1A4F" w14:textId="77777777" w:rsidR="00787570" w:rsidRDefault="00787570">
            <w:pPr>
              <w:rPr>
                <w:rFonts w:ascii="宋体"/>
              </w:rPr>
            </w:pPr>
          </w:p>
        </w:tc>
        <w:tc>
          <w:tcPr>
            <w:tcW w:w="0" w:type="auto"/>
            <w:shd w:val="clear" w:color="auto" w:fill="auto"/>
          </w:tcPr>
          <w:p w14:paraId="36CA1A50" w14:textId="77777777" w:rsidR="00787570" w:rsidRDefault="00787570">
            <w:pPr>
              <w:rPr>
                <w:rFonts w:ascii="宋体"/>
              </w:rPr>
            </w:pPr>
          </w:p>
        </w:tc>
        <w:tc>
          <w:tcPr>
            <w:tcW w:w="0" w:type="auto"/>
            <w:shd w:val="clear" w:color="auto" w:fill="auto"/>
          </w:tcPr>
          <w:p w14:paraId="36CA1A51" w14:textId="77777777" w:rsidR="00787570" w:rsidRDefault="00787570">
            <w:pPr>
              <w:rPr>
                <w:rFonts w:ascii="宋体"/>
              </w:rPr>
            </w:pPr>
          </w:p>
        </w:tc>
        <w:tc>
          <w:tcPr>
            <w:tcW w:w="0" w:type="auto"/>
            <w:shd w:val="clear" w:color="auto" w:fill="auto"/>
          </w:tcPr>
          <w:p w14:paraId="36CA1A52" w14:textId="77777777" w:rsidR="00787570" w:rsidRDefault="00787570">
            <w:pPr>
              <w:rPr>
                <w:rFonts w:ascii="宋体"/>
              </w:rPr>
            </w:pPr>
          </w:p>
        </w:tc>
      </w:tr>
      <w:tr w:rsidR="00787570" w14:paraId="36CA1A71" w14:textId="77777777">
        <w:tc>
          <w:tcPr>
            <w:tcW w:w="0" w:type="auto"/>
            <w:gridSpan w:val="3"/>
            <w:tcBorders>
              <w:top w:val="single" w:sz="8" w:space="0" w:color="0071C5"/>
            </w:tcBorders>
            <w:shd w:val="clear" w:color="auto" w:fill="auto"/>
            <w:tcMar>
              <w:top w:w="40" w:type="dxa"/>
              <w:left w:w="20" w:type="dxa"/>
              <w:bottom w:w="40" w:type="dxa"/>
              <w:right w:w="20" w:type="dxa"/>
            </w:tcMar>
          </w:tcPr>
          <w:p w14:paraId="36CA1A54" w14:textId="77777777" w:rsidR="00787570" w:rsidRDefault="000D56E2">
            <w:pPr>
              <w:ind w:hanging="180"/>
              <w:textAlignment w:val="top"/>
            </w:pPr>
            <w:r>
              <w:rPr>
                <w:rFonts w:ascii="Arial" w:eastAsia="宋体" w:hAnsi="Arial" w:cs="Arial"/>
                <w:b/>
                <w:bCs/>
                <w:color w:val="333333"/>
                <w:sz w:val="18"/>
                <w:szCs w:val="18"/>
              </w:rPr>
              <w:t>Net inc</w:t>
            </w:r>
            <w:r>
              <w:rPr>
                <w:rFonts w:ascii="Arial" w:eastAsia="宋体" w:hAnsi="Arial" w:cs="Arial"/>
                <w:b/>
                <w:bCs/>
                <w:color w:val="333333"/>
                <w:sz w:val="18"/>
                <w:szCs w:val="18"/>
              </w:rPr>
              <w:t>ome</w:t>
            </w:r>
          </w:p>
        </w:tc>
        <w:tc>
          <w:tcPr>
            <w:tcW w:w="0" w:type="auto"/>
            <w:gridSpan w:val="3"/>
            <w:shd w:val="clear" w:color="auto" w:fill="auto"/>
            <w:tcMar>
              <w:left w:w="20" w:type="dxa"/>
              <w:right w:w="20" w:type="dxa"/>
            </w:tcMar>
            <w:vAlign w:val="bottom"/>
          </w:tcPr>
          <w:p w14:paraId="36CA1A55" w14:textId="77777777" w:rsidR="00787570" w:rsidRDefault="00787570">
            <w:pPr>
              <w:rPr>
                <w:rFonts w:ascii="宋体"/>
              </w:rPr>
            </w:pPr>
          </w:p>
        </w:tc>
        <w:tc>
          <w:tcPr>
            <w:tcW w:w="0" w:type="auto"/>
            <w:tcBorders>
              <w:top w:val="single" w:sz="8" w:space="0" w:color="0071C5"/>
            </w:tcBorders>
            <w:shd w:val="clear" w:color="auto" w:fill="auto"/>
            <w:tcMar>
              <w:top w:w="40" w:type="dxa"/>
              <w:left w:w="20" w:type="dxa"/>
              <w:bottom w:w="40" w:type="dxa"/>
            </w:tcMar>
            <w:vAlign w:val="bottom"/>
          </w:tcPr>
          <w:p w14:paraId="36CA1A56" w14:textId="77777777" w:rsidR="00787570" w:rsidRDefault="000D56E2">
            <w:pPr>
              <w:textAlignment w:val="bottom"/>
            </w:pPr>
            <w:r>
              <w:rPr>
                <w:rFonts w:ascii="Arial" w:eastAsia="宋体" w:hAnsi="Arial" w:cs="Arial"/>
                <w:b/>
                <w:bCs/>
                <w:color w:val="0071C5"/>
                <w:sz w:val="18"/>
                <w:szCs w:val="18"/>
              </w:rPr>
              <w:t>$</w:t>
            </w:r>
          </w:p>
        </w:tc>
        <w:tc>
          <w:tcPr>
            <w:tcW w:w="0" w:type="auto"/>
            <w:tcBorders>
              <w:top w:val="single" w:sz="8" w:space="0" w:color="0071C5"/>
            </w:tcBorders>
            <w:shd w:val="clear" w:color="auto" w:fill="auto"/>
            <w:tcMar>
              <w:top w:w="40" w:type="dxa"/>
              <w:bottom w:w="40" w:type="dxa"/>
              <w:right w:w="0" w:type="dxa"/>
            </w:tcMar>
            <w:vAlign w:val="bottom"/>
          </w:tcPr>
          <w:p w14:paraId="36CA1A57" w14:textId="77777777" w:rsidR="00787570" w:rsidRDefault="000D56E2">
            <w:pPr>
              <w:jc w:val="right"/>
              <w:textAlignment w:val="bottom"/>
            </w:pPr>
            <w:r>
              <w:rPr>
                <w:rFonts w:ascii="Arial" w:eastAsia="宋体" w:hAnsi="Arial" w:cs="Arial"/>
                <w:b/>
                <w:bCs/>
                <w:color w:val="0071C5"/>
                <w:sz w:val="18"/>
                <w:szCs w:val="18"/>
              </w:rPr>
              <w:t>4,276</w:t>
            </w:r>
            <w:r>
              <w:rPr>
                <w:rFonts w:ascii="Arial" w:eastAsia="宋体" w:hAnsi="Arial" w:cs="Arial"/>
                <w:color w:val="0071C5"/>
                <w:sz w:val="18"/>
                <w:szCs w:val="18"/>
              </w:rPr>
              <w:t> </w:t>
            </w:r>
          </w:p>
        </w:tc>
        <w:tc>
          <w:tcPr>
            <w:tcW w:w="0" w:type="auto"/>
            <w:tcBorders>
              <w:top w:val="single" w:sz="8" w:space="0" w:color="0071C5"/>
            </w:tcBorders>
            <w:shd w:val="clear" w:color="auto" w:fill="auto"/>
            <w:tcMar>
              <w:top w:w="40" w:type="dxa"/>
              <w:bottom w:w="40" w:type="dxa"/>
              <w:right w:w="20" w:type="dxa"/>
            </w:tcMar>
            <w:vAlign w:val="bottom"/>
          </w:tcPr>
          <w:p w14:paraId="36CA1A58"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1A59" w14:textId="77777777" w:rsidR="00787570" w:rsidRDefault="00787570">
            <w:pPr>
              <w:rPr>
                <w:rFonts w:ascii="宋体"/>
              </w:rPr>
            </w:pPr>
          </w:p>
        </w:tc>
        <w:tc>
          <w:tcPr>
            <w:tcW w:w="0" w:type="auto"/>
            <w:tcBorders>
              <w:top w:val="single" w:sz="8" w:space="0" w:color="0071C5"/>
            </w:tcBorders>
            <w:shd w:val="clear" w:color="auto" w:fill="auto"/>
            <w:tcMar>
              <w:top w:w="40" w:type="dxa"/>
              <w:left w:w="20" w:type="dxa"/>
              <w:bottom w:w="40" w:type="dxa"/>
            </w:tcMar>
            <w:vAlign w:val="bottom"/>
          </w:tcPr>
          <w:p w14:paraId="36CA1A5A" w14:textId="77777777" w:rsidR="00787570" w:rsidRDefault="000D56E2">
            <w:pPr>
              <w:textAlignment w:val="bottom"/>
            </w:pPr>
            <w:r>
              <w:rPr>
                <w:rFonts w:ascii="Arial" w:eastAsia="宋体" w:hAnsi="Arial" w:cs="Arial"/>
                <w:b/>
                <w:bCs/>
                <w:color w:val="333333"/>
                <w:sz w:val="18"/>
                <w:szCs w:val="18"/>
              </w:rPr>
              <w:t>$</w:t>
            </w:r>
          </w:p>
        </w:tc>
        <w:tc>
          <w:tcPr>
            <w:tcW w:w="0" w:type="auto"/>
            <w:tcBorders>
              <w:top w:val="single" w:sz="8" w:space="0" w:color="0071C5"/>
            </w:tcBorders>
            <w:shd w:val="clear" w:color="auto" w:fill="auto"/>
            <w:tcMar>
              <w:top w:w="40" w:type="dxa"/>
              <w:bottom w:w="40" w:type="dxa"/>
              <w:right w:w="0" w:type="dxa"/>
            </w:tcMar>
            <w:vAlign w:val="bottom"/>
          </w:tcPr>
          <w:p w14:paraId="36CA1A5B" w14:textId="77777777" w:rsidR="00787570" w:rsidRDefault="000D56E2">
            <w:pPr>
              <w:jc w:val="right"/>
              <w:textAlignment w:val="bottom"/>
            </w:pPr>
            <w:r>
              <w:rPr>
                <w:rFonts w:ascii="Arial" w:eastAsia="宋体" w:hAnsi="Arial" w:cs="Arial"/>
                <w:b/>
                <w:bCs/>
                <w:color w:val="333333"/>
                <w:sz w:val="18"/>
                <w:szCs w:val="18"/>
              </w:rPr>
              <w:t>5,990</w:t>
            </w:r>
            <w:r>
              <w:rPr>
                <w:rFonts w:ascii="Arial" w:eastAsia="宋体" w:hAnsi="Arial" w:cs="Arial"/>
                <w:color w:val="333333"/>
                <w:sz w:val="18"/>
                <w:szCs w:val="18"/>
              </w:rPr>
              <w:t> </w:t>
            </w:r>
          </w:p>
        </w:tc>
        <w:tc>
          <w:tcPr>
            <w:tcW w:w="0" w:type="auto"/>
            <w:tcBorders>
              <w:top w:val="single" w:sz="8" w:space="0" w:color="0071C5"/>
            </w:tcBorders>
            <w:shd w:val="clear" w:color="auto" w:fill="auto"/>
            <w:tcMar>
              <w:top w:w="40" w:type="dxa"/>
              <w:bottom w:w="40" w:type="dxa"/>
              <w:right w:w="20" w:type="dxa"/>
            </w:tcMar>
            <w:vAlign w:val="bottom"/>
          </w:tcPr>
          <w:p w14:paraId="36CA1A5C"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1A5D" w14:textId="77777777" w:rsidR="00787570" w:rsidRDefault="00787570">
            <w:pPr>
              <w:rPr>
                <w:rFonts w:ascii="宋体"/>
              </w:rPr>
            </w:pPr>
          </w:p>
        </w:tc>
        <w:tc>
          <w:tcPr>
            <w:tcW w:w="0" w:type="auto"/>
            <w:tcBorders>
              <w:top w:val="single" w:sz="8" w:space="0" w:color="0071C5"/>
            </w:tcBorders>
            <w:shd w:val="clear" w:color="auto" w:fill="auto"/>
            <w:tcMar>
              <w:top w:w="40" w:type="dxa"/>
              <w:left w:w="20" w:type="dxa"/>
              <w:bottom w:w="40" w:type="dxa"/>
            </w:tcMar>
            <w:vAlign w:val="bottom"/>
          </w:tcPr>
          <w:p w14:paraId="36CA1A5E" w14:textId="77777777" w:rsidR="00787570" w:rsidRDefault="000D56E2">
            <w:pPr>
              <w:textAlignment w:val="bottom"/>
            </w:pPr>
            <w:r>
              <w:rPr>
                <w:rFonts w:ascii="Arial" w:eastAsia="宋体" w:hAnsi="Arial" w:cs="Arial"/>
                <w:b/>
                <w:bCs/>
                <w:color w:val="0071C5"/>
                <w:sz w:val="18"/>
                <w:szCs w:val="18"/>
              </w:rPr>
              <w:t>$</w:t>
            </w:r>
          </w:p>
        </w:tc>
        <w:tc>
          <w:tcPr>
            <w:tcW w:w="0" w:type="auto"/>
            <w:tcBorders>
              <w:top w:val="single" w:sz="8" w:space="0" w:color="0071C5"/>
            </w:tcBorders>
            <w:shd w:val="clear" w:color="auto" w:fill="auto"/>
            <w:tcMar>
              <w:top w:w="40" w:type="dxa"/>
              <w:bottom w:w="40" w:type="dxa"/>
              <w:right w:w="0" w:type="dxa"/>
            </w:tcMar>
            <w:vAlign w:val="bottom"/>
          </w:tcPr>
          <w:p w14:paraId="36CA1A5F" w14:textId="77777777" w:rsidR="00787570" w:rsidRDefault="000D56E2">
            <w:pPr>
              <w:jc w:val="right"/>
              <w:textAlignment w:val="bottom"/>
            </w:pPr>
            <w:r>
              <w:rPr>
                <w:rFonts w:ascii="Arial" w:eastAsia="宋体" w:hAnsi="Arial" w:cs="Arial"/>
                <w:b/>
                <w:bCs/>
                <w:color w:val="0071C5"/>
                <w:sz w:val="18"/>
                <w:szCs w:val="18"/>
              </w:rPr>
              <w:t>15,042</w:t>
            </w:r>
            <w:r>
              <w:rPr>
                <w:rFonts w:ascii="Arial" w:eastAsia="宋体" w:hAnsi="Arial" w:cs="Arial"/>
                <w:color w:val="0071C5"/>
                <w:sz w:val="18"/>
                <w:szCs w:val="18"/>
              </w:rPr>
              <w:t> </w:t>
            </w:r>
          </w:p>
        </w:tc>
        <w:tc>
          <w:tcPr>
            <w:tcW w:w="0" w:type="auto"/>
            <w:tcBorders>
              <w:top w:val="single" w:sz="8" w:space="0" w:color="0071C5"/>
            </w:tcBorders>
            <w:shd w:val="clear" w:color="auto" w:fill="auto"/>
            <w:tcMar>
              <w:top w:w="40" w:type="dxa"/>
              <w:bottom w:w="40" w:type="dxa"/>
              <w:right w:w="20" w:type="dxa"/>
            </w:tcMar>
            <w:vAlign w:val="bottom"/>
          </w:tcPr>
          <w:p w14:paraId="36CA1A60"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1A61" w14:textId="77777777" w:rsidR="00787570" w:rsidRDefault="00787570">
            <w:pPr>
              <w:rPr>
                <w:rFonts w:ascii="宋体"/>
              </w:rPr>
            </w:pPr>
          </w:p>
        </w:tc>
        <w:tc>
          <w:tcPr>
            <w:tcW w:w="0" w:type="auto"/>
            <w:tcBorders>
              <w:top w:val="single" w:sz="8" w:space="0" w:color="0071C5"/>
            </w:tcBorders>
            <w:shd w:val="clear" w:color="auto" w:fill="auto"/>
            <w:tcMar>
              <w:top w:w="40" w:type="dxa"/>
              <w:left w:w="20" w:type="dxa"/>
              <w:bottom w:w="40" w:type="dxa"/>
            </w:tcMar>
            <w:vAlign w:val="bottom"/>
          </w:tcPr>
          <w:p w14:paraId="36CA1A62" w14:textId="77777777" w:rsidR="00787570" w:rsidRDefault="000D56E2">
            <w:pPr>
              <w:textAlignment w:val="bottom"/>
            </w:pPr>
            <w:r>
              <w:rPr>
                <w:rFonts w:ascii="Arial" w:eastAsia="宋体" w:hAnsi="Arial" w:cs="Arial"/>
                <w:b/>
                <w:bCs/>
                <w:color w:val="333333"/>
                <w:sz w:val="18"/>
                <w:szCs w:val="18"/>
              </w:rPr>
              <w:t>$</w:t>
            </w:r>
          </w:p>
        </w:tc>
        <w:tc>
          <w:tcPr>
            <w:tcW w:w="0" w:type="auto"/>
            <w:tcBorders>
              <w:top w:val="single" w:sz="8" w:space="0" w:color="0071C5"/>
            </w:tcBorders>
            <w:shd w:val="clear" w:color="auto" w:fill="auto"/>
            <w:tcMar>
              <w:top w:w="40" w:type="dxa"/>
              <w:bottom w:w="40" w:type="dxa"/>
              <w:right w:w="0" w:type="dxa"/>
            </w:tcMar>
            <w:vAlign w:val="bottom"/>
          </w:tcPr>
          <w:p w14:paraId="36CA1A63" w14:textId="77777777" w:rsidR="00787570" w:rsidRDefault="000D56E2">
            <w:pPr>
              <w:jc w:val="right"/>
              <w:textAlignment w:val="bottom"/>
            </w:pPr>
            <w:r>
              <w:rPr>
                <w:rFonts w:ascii="Arial" w:eastAsia="宋体" w:hAnsi="Arial" w:cs="Arial"/>
                <w:b/>
                <w:bCs/>
                <w:color w:val="333333"/>
                <w:sz w:val="18"/>
                <w:szCs w:val="18"/>
              </w:rPr>
              <w:t>14,143</w:t>
            </w:r>
            <w:r>
              <w:rPr>
                <w:rFonts w:ascii="Arial" w:eastAsia="宋体" w:hAnsi="Arial" w:cs="Arial"/>
                <w:color w:val="333333"/>
                <w:sz w:val="18"/>
                <w:szCs w:val="18"/>
              </w:rPr>
              <w:t> </w:t>
            </w:r>
          </w:p>
        </w:tc>
        <w:tc>
          <w:tcPr>
            <w:tcW w:w="0" w:type="auto"/>
            <w:tcBorders>
              <w:top w:val="single" w:sz="8" w:space="0" w:color="0071C5"/>
            </w:tcBorders>
            <w:shd w:val="clear" w:color="auto" w:fill="auto"/>
            <w:tcMar>
              <w:top w:w="40" w:type="dxa"/>
              <w:bottom w:w="40" w:type="dxa"/>
              <w:right w:w="20" w:type="dxa"/>
            </w:tcMar>
            <w:vAlign w:val="bottom"/>
          </w:tcPr>
          <w:p w14:paraId="36CA1A64" w14:textId="77777777" w:rsidR="00787570" w:rsidRDefault="00787570">
            <w:pPr>
              <w:jc w:val="right"/>
              <w:rPr>
                <w:rFonts w:ascii="宋体"/>
              </w:rPr>
            </w:pPr>
          </w:p>
        </w:tc>
        <w:tc>
          <w:tcPr>
            <w:tcW w:w="0" w:type="auto"/>
            <w:shd w:val="clear" w:color="auto" w:fill="auto"/>
          </w:tcPr>
          <w:p w14:paraId="36CA1A65" w14:textId="77777777" w:rsidR="00787570" w:rsidRDefault="00787570">
            <w:pPr>
              <w:rPr>
                <w:rFonts w:ascii="宋体"/>
              </w:rPr>
            </w:pPr>
          </w:p>
        </w:tc>
        <w:tc>
          <w:tcPr>
            <w:tcW w:w="0" w:type="auto"/>
            <w:shd w:val="clear" w:color="auto" w:fill="auto"/>
          </w:tcPr>
          <w:p w14:paraId="36CA1A66" w14:textId="77777777" w:rsidR="00787570" w:rsidRDefault="00787570">
            <w:pPr>
              <w:rPr>
                <w:rFonts w:ascii="宋体"/>
              </w:rPr>
            </w:pPr>
          </w:p>
        </w:tc>
        <w:tc>
          <w:tcPr>
            <w:tcW w:w="0" w:type="auto"/>
            <w:shd w:val="clear" w:color="auto" w:fill="auto"/>
          </w:tcPr>
          <w:p w14:paraId="36CA1A67" w14:textId="77777777" w:rsidR="00787570" w:rsidRDefault="00787570">
            <w:pPr>
              <w:rPr>
                <w:rFonts w:ascii="宋体"/>
              </w:rPr>
            </w:pPr>
          </w:p>
        </w:tc>
        <w:tc>
          <w:tcPr>
            <w:tcW w:w="0" w:type="auto"/>
            <w:shd w:val="clear" w:color="auto" w:fill="auto"/>
          </w:tcPr>
          <w:p w14:paraId="36CA1A68" w14:textId="77777777" w:rsidR="00787570" w:rsidRDefault="00787570">
            <w:pPr>
              <w:rPr>
                <w:rFonts w:ascii="宋体"/>
              </w:rPr>
            </w:pPr>
          </w:p>
        </w:tc>
        <w:tc>
          <w:tcPr>
            <w:tcW w:w="0" w:type="auto"/>
            <w:shd w:val="clear" w:color="auto" w:fill="auto"/>
          </w:tcPr>
          <w:p w14:paraId="36CA1A69" w14:textId="77777777" w:rsidR="00787570" w:rsidRDefault="00787570">
            <w:pPr>
              <w:rPr>
                <w:rFonts w:ascii="宋体"/>
              </w:rPr>
            </w:pPr>
          </w:p>
        </w:tc>
        <w:tc>
          <w:tcPr>
            <w:tcW w:w="0" w:type="auto"/>
            <w:shd w:val="clear" w:color="auto" w:fill="auto"/>
          </w:tcPr>
          <w:p w14:paraId="36CA1A6A" w14:textId="77777777" w:rsidR="00787570" w:rsidRDefault="00787570">
            <w:pPr>
              <w:rPr>
                <w:rFonts w:ascii="宋体"/>
              </w:rPr>
            </w:pPr>
          </w:p>
        </w:tc>
        <w:tc>
          <w:tcPr>
            <w:tcW w:w="0" w:type="auto"/>
            <w:shd w:val="clear" w:color="auto" w:fill="auto"/>
          </w:tcPr>
          <w:p w14:paraId="36CA1A6B" w14:textId="77777777" w:rsidR="00787570" w:rsidRDefault="00787570">
            <w:pPr>
              <w:rPr>
                <w:rFonts w:ascii="宋体"/>
              </w:rPr>
            </w:pPr>
          </w:p>
        </w:tc>
        <w:tc>
          <w:tcPr>
            <w:tcW w:w="0" w:type="auto"/>
            <w:shd w:val="clear" w:color="auto" w:fill="auto"/>
          </w:tcPr>
          <w:p w14:paraId="36CA1A6C" w14:textId="77777777" w:rsidR="00787570" w:rsidRDefault="00787570">
            <w:pPr>
              <w:rPr>
                <w:rFonts w:ascii="宋体"/>
              </w:rPr>
            </w:pPr>
          </w:p>
        </w:tc>
        <w:tc>
          <w:tcPr>
            <w:tcW w:w="0" w:type="auto"/>
            <w:shd w:val="clear" w:color="auto" w:fill="auto"/>
          </w:tcPr>
          <w:p w14:paraId="36CA1A6D" w14:textId="77777777" w:rsidR="00787570" w:rsidRDefault="00787570">
            <w:pPr>
              <w:rPr>
                <w:rFonts w:ascii="宋体"/>
              </w:rPr>
            </w:pPr>
          </w:p>
        </w:tc>
        <w:tc>
          <w:tcPr>
            <w:tcW w:w="0" w:type="auto"/>
            <w:shd w:val="clear" w:color="auto" w:fill="auto"/>
          </w:tcPr>
          <w:p w14:paraId="36CA1A6E" w14:textId="77777777" w:rsidR="00787570" w:rsidRDefault="00787570">
            <w:pPr>
              <w:rPr>
                <w:rFonts w:ascii="宋体"/>
              </w:rPr>
            </w:pPr>
          </w:p>
        </w:tc>
        <w:tc>
          <w:tcPr>
            <w:tcW w:w="0" w:type="auto"/>
            <w:shd w:val="clear" w:color="auto" w:fill="auto"/>
          </w:tcPr>
          <w:p w14:paraId="36CA1A6F" w14:textId="77777777" w:rsidR="00787570" w:rsidRDefault="00787570">
            <w:pPr>
              <w:rPr>
                <w:rFonts w:ascii="宋体"/>
              </w:rPr>
            </w:pPr>
          </w:p>
        </w:tc>
        <w:tc>
          <w:tcPr>
            <w:tcW w:w="0" w:type="auto"/>
            <w:shd w:val="clear" w:color="auto" w:fill="auto"/>
          </w:tcPr>
          <w:p w14:paraId="36CA1A70" w14:textId="77777777" w:rsidR="00787570" w:rsidRDefault="00787570">
            <w:pPr>
              <w:rPr>
                <w:rFonts w:ascii="宋体"/>
              </w:rPr>
            </w:pPr>
          </w:p>
        </w:tc>
      </w:tr>
      <w:tr w:rsidR="00787570" w14:paraId="36CA1A87" w14:textId="77777777">
        <w:tc>
          <w:tcPr>
            <w:tcW w:w="0" w:type="auto"/>
            <w:gridSpan w:val="3"/>
            <w:shd w:val="clear" w:color="auto" w:fill="auto"/>
            <w:tcMar>
              <w:top w:w="40" w:type="dxa"/>
              <w:left w:w="20" w:type="dxa"/>
              <w:bottom w:w="40" w:type="dxa"/>
              <w:right w:w="20" w:type="dxa"/>
            </w:tcMar>
          </w:tcPr>
          <w:p w14:paraId="36CA1A72" w14:textId="77777777" w:rsidR="00787570" w:rsidRDefault="000D56E2">
            <w:pPr>
              <w:textAlignment w:val="top"/>
            </w:pPr>
            <w:r>
              <w:rPr>
                <w:rFonts w:ascii="Arial" w:eastAsia="宋体" w:hAnsi="Arial" w:cs="Arial"/>
                <w:color w:val="333333"/>
                <w:sz w:val="18"/>
                <w:szCs w:val="18"/>
              </w:rPr>
              <w:t>Changes in other comprehensive income, net of tax:</w:t>
            </w:r>
          </w:p>
        </w:tc>
        <w:tc>
          <w:tcPr>
            <w:tcW w:w="0" w:type="auto"/>
            <w:gridSpan w:val="3"/>
            <w:shd w:val="clear" w:color="auto" w:fill="auto"/>
            <w:tcMar>
              <w:left w:w="20" w:type="dxa"/>
              <w:right w:w="20" w:type="dxa"/>
            </w:tcMar>
            <w:vAlign w:val="bottom"/>
          </w:tcPr>
          <w:p w14:paraId="36CA1A73" w14:textId="77777777" w:rsidR="00787570" w:rsidRDefault="00787570">
            <w:pPr>
              <w:rPr>
                <w:rFonts w:ascii="宋体"/>
              </w:rPr>
            </w:pPr>
          </w:p>
        </w:tc>
        <w:tc>
          <w:tcPr>
            <w:tcW w:w="0" w:type="auto"/>
            <w:gridSpan w:val="3"/>
            <w:tcBorders>
              <w:top w:val="single" w:sz="8" w:space="0" w:color="333333"/>
            </w:tcBorders>
            <w:shd w:val="clear" w:color="auto" w:fill="auto"/>
            <w:tcMar>
              <w:left w:w="20" w:type="dxa"/>
              <w:right w:w="20" w:type="dxa"/>
            </w:tcMar>
            <w:vAlign w:val="bottom"/>
          </w:tcPr>
          <w:p w14:paraId="36CA1A74"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1A75" w14:textId="77777777" w:rsidR="00787570" w:rsidRDefault="00787570">
            <w:pPr>
              <w:rPr>
                <w:rFonts w:ascii="宋体"/>
              </w:rPr>
            </w:pPr>
          </w:p>
        </w:tc>
        <w:tc>
          <w:tcPr>
            <w:tcW w:w="0" w:type="auto"/>
            <w:gridSpan w:val="3"/>
            <w:tcBorders>
              <w:top w:val="single" w:sz="8" w:space="0" w:color="333333"/>
            </w:tcBorders>
            <w:shd w:val="clear" w:color="auto" w:fill="auto"/>
            <w:tcMar>
              <w:left w:w="20" w:type="dxa"/>
              <w:right w:w="20" w:type="dxa"/>
            </w:tcMar>
            <w:vAlign w:val="bottom"/>
          </w:tcPr>
          <w:p w14:paraId="36CA1A76"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1A77" w14:textId="77777777" w:rsidR="00787570" w:rsidRDefault="00787570">
            <w:pPr>
              <w:rPr>
                <w:rFonts w:ascii="宋体"/>
              </w:rPr>
            </w:pPr>
          </w:p>
        </w:tc>
        <w:tc>
          <w:tcPr>
            <w:tcW w:w="0" w:type="auto"/>
            <w:gridSpan w:val="3"/>
            <w:tcBorders>
              <w:top w:val="single" w:sz="8" w:space="0" w:color="333333"/>
            </w:tcBorders>
            <w:shd w:val="clear" w:color="auto" w:fill="auto"/>
            <w:tcMar>
              <w:left w:w="20" w:type="dxa"/>
              <w:right w:w="20" w:type="dxa"/>
            </w:tcMar>
            <w:vAlign w:val="bottom"/>
          </w:tcPr>
          <w:p w14:paraId="36CA1A78"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1A79" w14:textId="77777777" w:rsidR="00787570" w:rsidRDefault="00787570">
            <w:pPr>
              <w:rPr>
                <w:rFonts w:ascii="宋体"/>
              </w:rPr>
            </w:pPr>
          </w:p>
        </w:tc>
        <w:tc>
          <w:tcPr>
            <w:tcW w:w="0" w:type="auto"/>
            <w:gridSpan w:val="3"/>
            <w:tcBorders>
              <w:top w:val="single" w:sz="8" w:space="0" w:color="333333"/>
            </w:tcBorders>
            <w:shd w:val="clear" w:color="auto" w:fill="auto"/>
            <w:tcMar>
              <w:left w:w="20" w:type="dxa"/>
              <w:right w:w="20" w:type="dxa"/>
            </w:tcMar>
            <w:vAlign w:val="bottom"/>
          </w:tcPr>
          <w:p w14:paraId="36CA1A7A" w14:textId="77777777" w:rsidR="00787570" w:rsidRDefault="00787570">
            <w:pPr>
              <w:rPr>
                <w:rFonts w:ascii="宋体"/>
              </w:rPr>
            </w:pPr>
          </w:p>
        </w:tc>
        <w:tc>
          <w:tcPr>
            <w:tcW w:w="0" w:type="auto"/>
            <w:shd w:val="clear" w:color="auto" w:fill="auto"/>
          </w:tcPr>
          <w:p w14:paraId="36CA1A7B" w14:textId="77777777" w:rsidR="00787570" w:rsidRDefault="00787570">
            <w:pPr>
              <w:rPr>
                <w:rFonts w:ascii="宋体"/>
              </w:rPr>
            </w:pPr>
          </w:p>
        </w:tc>
        <w:tc>
          <w:tcPr>
            <w:tcW w:w="0" w:type="auto"/>
            <w:shd w:val="clear" w:color="auto" w:fill="auto"/>
          </w:tcPr>
          <w:p w14:paraId="36CA1A7C" w14:textId="77777777" w:rsidR="00787570" w:rsidRDefault="00787570">
            <w:pPr>
              <w:rPr>
                <w:rFonts w:ascii="宋体"/>
              </w:rPr>
            </w:pPr>
          </w:p>
        </w:tc>
        <w:tc>
          <w:tcPr>
            <w:tcW w:w="0" w:type="auto"/>
            <w:shd w:val="clear" w:color="auto" w:fill="auto"/>
          </w:tcPr>
          <w:p w14:paraId="36CA1A7D" w14:textId="77777777" w:rsidR="00787570" w:rsidRDefault="00787570">
            <w:pPr>
              <w:rPr>
                <w:rFonts w:ascii="宋体"/>
              </w:rPr>
            </w:pPr>
          </w:p>
        </w:tc>
        <w:tc>
          <w:tcPr>
            <w:tcW w:w="0" w:type="auto"/>
            <w:shd w:val="clear" w:color="auto" w:fill="auto"/>
          </w:tcPr>
          <w:p w14:paraId="36CA1A7E" w14:textId="77777777" w:rsidR="00787570" w:rsidRDefault="00787570">
            <w:pPr>
              <w:rPr>
                <w:rFonts w:ascii="宋体"/>
              </w:rPr>
            </w:pPr>
          </w:p>
        </w:tc>
        <w:tc>
          <w:tcPr>
            <w:tcW w:w="0" w:type="auto"/>
            <w:shd w:val="clear" w:color="auto" w:fill="auto"/>
          </w:tcPr>
          <w:p w14:paraId="36CA1A7F" w14:textId="77777777" w:rsidR="00787570" w:rsidRDefault="00787570">
            <w:pPr>
              <w:rPr>
                <w:rFonts w:ascii="宋体"/>
              </w:rPr>
            </w:pPr>
          </w:p>
        </w:tc>
        <w:tc>
          <w:tcPr>
            <w:tcW w:w="0" w:type="auto"/>
            <w:shd w:val="clear" w:color="auto" w:fill="auto"/>
          </w:tcPr>
          <w:p w14:paraId="36CA1A80" w14:textId="77777777" w:rsidR="00787570" w:rsidRDefault="00787570">
            <w:pPr>
              <w:rPr>
                <w:rFonts w:ascii="宋体"/>
              </w:rPr>
            </w:pPr>
          </w:p>
        </w:tc>
        <w:tc>
          <w:tcPr>
            <w:tcW w:w="0" w:type="auto"/>
            <w:shd w:val="clear" w:color="auto" w:fill="auto"/>
          </w:tcPr>
          <w:p w14:paraId="36CA1A81" w14:textId="77777777" w:rsidR="00787570" w:rsidRDefault="00787570">
            <w:pPr>
              <w:rPr>
                <w:rFonts w:ascii="宋体"/>
              </w:rPr>
            </w:pPr>
          </w:p>
        </w:tc>
        <w:tc>
          <w:tcPr>
            <w:tcW w:w="0" w:type="auto"/>
            <w:shd w:val="clear" w:color="auto" w:fill="auto"/>
          </w:tcPr>
          <w:p w14:paraId="36CA1A82" w14:textId="77777777" w:rsidR="00787570" w:rsidRDefault="00787570">
            <w:pPr>
              <w:rPr>
                <w:rFonts w:ascii="宋体"/>
              </w:rPr>
            </w:pPr>
          </w:p>
        </w:tc>
        <w:tc>
          <w:tcPr>
            <w:tcW w:w="0" w:type="auto"/>
            <w:shd w:val="clear" w:color="auto" w:fill="auto"/>
          </w:tcPr>
          <w:p w14:paraId="36CA1A83" w14:textId="77777777" w:rsidR="00787570" w:rsidRDefault="00787570">
            <w:pPr>
              <w:rPr>
                <w:rFonts w:ascii="宋体"/>
              </w:rPr>
            </w:pPr>
          </w:p>
        </w:tc>
        <w:tc>
          <w:tcPr>
            <w:tcW w:w="0" w:type="auto"/>
            <w:shd w:val="clear" w:color="auto" w:fill="auto"/>
          </w:tcPr>
          <w:p w14:paraId="36CA1A84" w14:textId="77777777" w:rsidR="00787570" w:rsidRDefault="00787570">
            <w:pPr>
              <w:rPr>
                <w:rFonts w:ascii="宋体"/>
              </w:rPr>
            </w:pPr>
          </w:p>
        </w:tc>
        <w:tc>
          <w:tcPr>
            <w:tcW w:w="0" w:type="auto"/>
            <w:shd w:val="clear" w:color="auto" w:fill="auto"/>
          </w:tcPr>
          <w:p w14:paraId="36CA1A85" w14:textId="77777777" w:rsidR="00787570" w:rsidRDefault="00787570">
            <w:pPr>
              <w:rPr>
                <w:rFonts w:ascii="宋体"/>
              </w:rPr>
            </w:pPr>
          </w:p>
        </w:tc>
        <w:tc>
          <w:tcPr>
            <w:tcW w:w="0" w:type="auto"/>
            <w:shd w:val="clear" w:color="auto" w:fill="auto"/>
          </w:tcPr>
          <w:p w14:paraId="36CA1A86" w14:textId="77777777" w:rsidR="00787570" w:rsidRDefault="00787570">
            <w:pPr>
              <w:rPr>
                <w:rFonts w:ascii="宋体"/>
              </w:rPr>
            </w:pPr>
          </w:p>
        </w:tc>
      </w:tr>
      <w:tr w:rsidR="00787570" w14:paraId="36CA1A9D" w14:textId="77777777">
        <w:trPr>
          <w:hidden/>
        </w:trPr>
        <w:tc>
          <w:tcPr>
            <w:tcW w:w="0" w:type="auto"/>
            <w:gridSpan w:val="3"/>
            <w:shd w:val="clear" w:color="auto" w:fill="auto"/>
          </w:tcPr>
          <w:p w14:paraId="36CA1A88" w14:textId="77777777" w:rsidR="00787570" w:rsidRDefault="00787570">
            <w:pPr>
              <w:rPr>
                <w:rFonts w:ascii="宋体"/>
                <w:vanish/>
              </w:rPr>
            </w:pPr>
          </w:p>
        </w:tc>
        <w:tc>
          <w:tcPr>
            <w:tcW w:w="0" w:type="auto"/>
            <w:gridSpan w:val="3"/>
            <w:shd w:val="clear" w:color="auto" w:fill="auto"/>
          </w:tcPr>
          <w:p w14:paraId="36CA1A89" w14:textId="77777777" w:rsidR="00787570" w:rsidRDefault="00787570">
            <w:pPr>
              <w:rPr>
                <w:rFonts w:ascii="宋体"/>
                <w:vanish/>
              </w:rPr>
            </w:pPr>
          </w:p>
        </w:tc>
        <w:tc>
          <w:tcPr>
            <w:tcW w:w="0" w:type="auto"/>
            <w:gridSpan w:val="3"/>
            <w:shd w:val="clear" w:color="auto" w:fill="auto"/>
          </w:tcPr>
          <w:p w14:paraId="36CA1A8A" w14:textId="77777777" w:rsidR="00787570" w:rsidRDefault="00787570">
            <w:pPr>
              <w:rPr>
                <w:rFonts w:ascii="宋体"/>
                <w:vanish/>
              </w:rPr>
            </w:pPr>
          </w:p>
        </w:tc>
        <w:tc>
          <w:tcPr>
            <w:tcW w:w="0" w:type="auto"/>
            <w:gridSpan w:val="3"/>
            <w:shd w:val="clear" w:color="auto" w:fill="auto"/>
          </w:tcPr>
          <w:p w14:paraId="36CA1A8B" w14:textId="77777777" w:rsidR="00787570" w:rsidRDefault="00787570">
            <w:pPr>
              <w:rPr>
                <w:rFonts w:ascii="宋体"/>
                <w:vanish/>
              </w:rPr>
            </w:pPr>
          </w:p>
        </w:tc>
        <w:tc>
          <w:tcPr>
            <w:tcW w:w="0" w:type="auto"/>
            <w:gridSpan w:val="3"/>
            <w:shd w:val="clear" w:color="auto" w:fill="auto"/>
          </w:tcPr>
          <w:p w14:paraId="36CA1A8C" w14:textId="77777777" w:rsidR="00787570" w:rsidRDefault="00787570">
            <w:pPr>
              <w:rPr>
                <w:rFonts w:ascii="宋体"/>
                <w:vanish/>
              </w:rPr>
            </w:pPr>
          </w:p>
        </w:tc>
        <w:tc>
          <w:tcPr>
            <w:tcW w:w="0" w:type="auto"/>
            <w:gridSpan w:val="3"/>
            <w:shd w:val="clear" w:color="auto" w:fill="auto"/>
          </w:tcPr>
          <w:p w14:paraId="36CA1A8D" w14:textId="77777777" w:rsidR="00787570" w:rsidRDefault="00787570">
            <w:pPr>
              <w:rPr>
                <w:rFonts w:ascii="宋体"/>
                <w:vanish/>
              </w:rPr>
            </w:pPr>
          </w:p>
        </w:tc>
        <w:tc>
          <w:tcPr>
            <w:tcW w:w="0" w:type="auto"/>
            <w:gridSpan w:val="3"/>
            <w:shd w:val="clear" w:color="auto" w:fill="auto"/>
          </w:tcPr>
          <w:p w14:paraId="36CA1A8E" w14:textId="77777777" w:rsidR="00787570" w:rsidRDefault="00787570">
            <w:pPr>
              <w:rPr>
                <w:rFonts w:ascii="宋体"/>
                <w:vanish/>
              </w:rPr>
            </w:pPr>
          </w:p>
        </w:tc>
        <w:tc>
          <w:tcPr>
            <w:tcW w:w="0" w:type="auto"/>
            <w:gridSpan w:val="3"/>
            <w:shd w:val="clear" w:color="auto" w:fill="auto"/>
          </w:tcPr>
          <w:p w14:paraId="36CA1A8F" w14:textId="77777777" w:rsidR="00787570" w:rsidRDefault="00787570">
            <w:pPr>
              <w:rPr>
                <w:rFonts w:ascii="宋体"/>
                <w:vanish/>
              </w:rPr>
            </w:pPr>
          </w:p>
        </w:tc>
        <w:tc>
          <w:tcPr>
            <w:tcW w:w="0" w:type="auto"/>
            <w:gridSpan w:val="3"/>
            <w:shd w:val="clear" w:color="auto" w:fill="auto"/>
          </w:tcPr>
          <w:p w14:paraId="36CA1A90" w14:textId="77777777" w:rsidR="00787570" w:rsidRDefault="00787570">
            <w:pPr>
              <w:rPr>
                <w:rFonts w:ascii="宋体"/>
                <w:vanish/>
              </w:rPr>
            </w:pPr>
          </w:p>
        </w:tc>
        <w:tc>
          <w:tcPr>
            <w:tcW w:w="0" w:type="auto"/>
            <w:shd w:val="clear" w:color="auto" w:fill="auto"/>
          </w:tcPr>
          <w:p w14:paraId="36CA1A91" w14:textId="77777777" w:rsidR="00787570" w:rsidRDefault="00787570">
            <w:pPr>
              <w:rPr>
                <w:rFonts w:ascii="宋体"/>
              </w:rPr>
            </w:pPr>
          </w:p>
        </w:tc>
        <w:tc>
          <w:tcPr>
            <w:tcW w:w="0" w:type="auto"/>
            <w:shd w:val="clear" w:color="auto" w:fill="auto"/>
          </w:tcPr>
          <w:p w14:paraId="36CA1A92" w14:textId="77777777" w:rsidR="00787570" w:rsidRDefault="00787570">
            <w:pPr>
              <w:rPr>
                <w:rFonts w:ascii="宋体"/>
              </w:rPr>
            </w:pPr>
          </w:p>
        </w:tc>
        <w:tc>
          <w:tcPr>
            <w:tcW w:w="0" w:type="auto"/>
            <w:shd w:val="clear" w:color="auto" w:fill="auto"/>
          </w:tcPr>
          <w:p w14:paraId="36CA1A93" w14:textId="77777777" w:rsidR="00787570" w:rsidRDefault="00787570">
            <w:pPr>
              <w:rPr>
                <w:rFonts w:ascii="宋体"/>
              </w:rPr>
            </w:pPr>
          </w:p>
        </w:tc>
        <w:tc>
          <w:tcPr>
            <w:tcW w:w="0" w:type="auto"/>
            <w:shd w:val="clear" w:color="auto" w:fill="auto"/>
          </w:tcPr>
          <w:p w14:paraId="36CA1A94" w14:textId="77777777" w:rsidR="00787570" w:rsidRDefault="00787570">
            <w:pPr>
              <w:rPr>
                <w:rFonts w:ascii="宋体"/>
              </w:rPr>
            </w:pPr>
          </w:p>
        </w:tc>
        <w:tc>
          <w:tcPr>
            <w:tcW w:w="0" w:type="auto"/>
            <w:shd w:val="clear" w:color="auto" w:fill="auto"/>
          </w:tcPr>
          <w:p w14:paraId="36CA1A95" w14:textId="77777777" w:rsidR="00787570" w:rsidRDefault="00787570">
            <w:pPr>
              <w:rPr>
                <w:rFonts w:ascii="宋体"/>
              </w:rPr>
            </w:pPr>
          </w:p>
        </w:tc>
        <w:tc>
          <w:tcPr>
            <w:tcW w:w="0" w:type="auto"/>
            <w:shd w:val="clear" w:color="auto" w:fill="auto"/>
          </w:tcPr>
          <w:p w14:paraId="36CA1A96" w14:textId="77777777" w:rsidR="00787570" w:rsidRDefault="00787570">
            <w:pPr>
              <w:rPr>
                <w:rFonts w:ascii="宋体"/>
              </w:rPr>
            </w:pPr>
          </w:p>
        </w:tc>
        <w:tc>
          <w:tcPr>
            <w:tcW w:w="0" w:type="auto"/>
            <w:shd w:val="clear" w:color="auto" w:fill="auto"/>
          </w:tcPr>
          <w:p w14:paraId="36CA1A97" w14:textId="77777777" w:rsidR="00787570" w:rsidRDefault="00787570">
            <w:pPr>
              <w:rPr>
                <w:rFonts w:ascii="宋体"/>
              </w:rPr>
            </w:pPr>
          </w:p>
        </w:tc>
        <w:tc>
          <w:tcPr>
            <w:tcW w:w="0" w:type="auto"/>
            <w:shd w:val="clear" w:color="auto" w:fill="auto"/>
          </w:tcPr>
          <w:p w14:paraId="36CA1A98" w14:textId="77777777" w:rsidR="00787570" w:rsidRDefault="00787570">
            <w:pPr>
              <w:rPr>
                <w:rFonts w:ascii="宋体"/>
              </w:rPr>
            </w:pPr>
          </w:p>
        </w:tc>
        <w:tc>
          <w:tcPr>
            <w:tcW w:w="0" w:type="auto"/>
            <w:shd w:val="clear" w:color="auto" w:fill="auto"/>
          </w:tcPr>
          <w:p w14:paraId="36CA1A99" w14:textId="77777777" w:rsidR="00787570" w:rsidRDefault="00787570">
            <w:pPr>
              <w:rPr>
                <w:rFonts w:ascii="宋体"/>
              </w:rPr>
            </w:pPr>
          </w:p>
        </w:tc>
        <w:tc>
          <w:tcPr>
            <w:tcW w:w="0" w:type="auto"/>
            <w:shd w:val="clear" w:color="auto" w:fill="auto"/>
          </w:tcPr>
          <w:p w14:paraId="36CA1A9A" w14:textId="77777777" w:rsidR="00787570" w:rsidRDefault="00787570">
            <w:pPr>
              <w:rPr>
                <w:rFonts w:ascii="宋体"/>
              </w:rPr>
            </w:pPr>
          </w:p>
        </w:tc>
        <w:tc>
          <w:tcPr>
            <w:tcW w:w="0" w:type="auto"/>
            <w:shd w:val="clear" w:color="auto" w:fill="auto"/>
          </w:tcPr>
          <w:p w14:paraId="36CA1A9B" w14:textId="77777777" w:rsidR="00787570" w:rsidRDefault="00787570">
            <w:pPr>
              <w:rPr>
                <w:rFonts w:ascii="宋体"/>
              </w:rPr>
            </w:pPr>
          </w:p>
        </w:tc>
        <w:tc>
          <w:tcPr>
            <w:tcW w:w="0" w:type="auto"/>
            <w:shd w:val="clear" w:color="auto" w:fill="auto"/>
          </w:tcPr>
          <w:p w14:paraId="36CA1A9C" w14:textId="77777777" w:rsidR="00787570" w:rsidRDefault="00787570">
            <w:pPr>
              <w:rPr>
                <w:rFonts w:ascii="宋体"/>
              </w:rPr>
            </w:pPr>
          </w:p>
        </w:tc>
      </w:tr>
      <w:tr w:rsidR="00787570" w14:paraId="36CA1AB3" w14:textId="77777777">
        <w:trPr>
          <w:hidden/>
        </w:trPr>
        <w:tc>
          <w:tcPr>
            <w:tcW w:w="0" w:type="auto"/>
            <w:gridSpan w:val="3"/>
            <w:shd w:val="clear" w:color="auto" w:fill="auto"/>
          </w:tcPr>
          <w:p w14:paraId="36CA1A9E" w14:textId="77777777" w:rsidR="00787570" w:rsidRDefault="00787570">
            <w:pPr>
              <w:rPr>
                <w:rFonts w:ascii="宋体"/>
                <w:vanish/>
              </w:rPr>
            </w:pPr>
          </w:p>
        </w:tc>
        <w:tc>
          <w:tcPr>
            <w:tcW w:w="0" w:type="auto"/>
            <w:gridSpan w:val="3"/>
            <w:shd w:val="clear" w:color="auto" w:fill="auto"/>
          </w:tcPr>
          <w:p w14:paraId="36CA1A9F" w14:textId="77777777" w:rsidR="00787570" w:rsidRDefault="00787570">
            <w:pPr>
              <w:rPr>
                <w:rFonts w:ascii="宋体"/>
                <w:vanish/>
              </w:rPr>
            </w:pPr>
          </w:p>
        </w:tc>
        <w:tc>
          <w:tcPr>
            <w:tcW w:w="0" w:type="auto"/>
            <w:gridSpan w:val="3"/>
            <w:shd w:val="clear" w:color="auto" w:fill="auto"/>
          </w:tcPr>
          <w:p w14:paraId="36CA1AA0" w14:textId="77777777" w:rsidR="00787570" w:rsidRDefault="00787570">
            <w:pPr>
              <w:rPr>
                <w:rFonts w:ascii="宋体"/>
                <w:vanish/>
              </w:rPr>
            </w:pPr>
          </w:p>
        </w:tc>
        <w:tc>
          <w:tcPr>
            <w:tcW w:w="0" w:type="auto"/>
            <w:gridSpan w:val="3"/>
            <w:shd w:val="clear" w:color="auto" w:fill="auto"/>
          </w:tcPr>
          <w:p w14:paraId="36CA1AA1" w14:textId="77777777" w:rsidR="00787570" w:rsidRDefault="00787570">
            <w:pPr>
              <w:rPr>
                <w:rFonts w:ascii="宋体"/>
                <w:vanish/>
              </w:rPr>
            </w:pPr>
          </w:p>
        </w:tc>
        <w:tc>
          <w:tcPr>
            <w:tcW w:w="0" w:type="auto"/>
            <w:gridSpan w:val="3"/>
            <w:shd w:val="clear" w:color="auto" w:fill="auto"/>
          </w:tcPr>
          <w:p w14:paraId="36CA1AA2" w14:textId="77777777" w:rsidR="00787570" w:rsidRDefault="00787570">
            <w:pPr>
              <w:rPr>
                <w:rFonts w:ascii="宋体"/>
                <w:vanish/>
              </w:rPr>
            </w:pPr>
          </w:p>
        </w:tc>
        <w:tc>
          <w:tcPr>
            <w:tcW w:w="0" w:type="auto"/>
            <w:gridSpan w:val="3"/>
            <w:shd w:val="clear" w:color="auto" w:fill="auto"/>
          </w:tcPr>
          <w:p w14:paraId="36CA1AA3" w14:textId="77777777" w:rsidR="00787570" w:rsidRDefault="00787570">
            <w:pPr>
              <w:rPr>
                <w:rFonts w:ascii="宋体"/>
                <w:vanish/>
              </w:rPr>
            </w:pPr>
          </w:p>
        </w:tc>
        <w:tc>
          <w:tcPr>
            <w:tcW w:w="0" w:type="auto"/>
            <w:gridSpan w:val="3"/>
            <w:shd w:val="clear" w:color="auto" w:fill="auto"/>
          </w:tcPr>
          <w:p w14:paraId="36CA1AA4" w14:textId="77777777" w:rsidR="00787570" w:rsidRDefault="00787570">
            <w:pPr>
              <w:rPr>
                <w:rFonts w:ascii="宋体"/>
                <w:vanish/>
              </w:rPr>
            </w:pPr>
          </w:p>
        </w:tc>
        <w:tc>
          <w:tcPr>
            <w:tcW w:w="0" w:type="auto"/>
            <w:gridSpan w:val="3"/>
            <w:shd w:val="clear" w:color="auto" w:fill="auto"/>
          </w:tcPr>
          <w:p w14:paraId="36CA1AA5" w14:textId="77777777" w:rsidR="00787570" w:rsidRDefault="00787570">
            <w:pPr>
              <w:rPr>
                <w:rFonts w:ascii="宋体"/>
                <w:vanish/>
              </w:rPr>
            </w:pPr>
          </w:p>
        </w:tc>
        <w:tc>
          <w:tcPr>
            <w:tcW w:w="0" w:type="auto"/>
            <w:gridSpan w:val="3"/>
            <w:shd w:val="clear" w:color="auto" w:fill="auto"/>
          </w:tcPr>
          <w:p w14:paraId="36CA1AA6" w14:textId="77777777" w:rsidR="00787570" w:rsidRDefault="00787570">
            <w:pPr>
              <w:rPr>
                <w:rFonts w:ascii="宋体"/>
                <w:vanish/>
              </w:rPr>
            </w:pPr>
          </w:p>
        </w:tc>
        <w:tc>
          <w:tcPr>
            <w:tcW w:w="0" w:type="auto"/>
            <w:shd w:val="clear" w:color="auto" w:fill="auto"/>
          </w:tcPr>
          <w:p w14:paraId="36CA1AA7" w14:textId="77777777" w:rsidR="00787570" w:rsidRDefault="00787570">
            <w:pPr>
              <w:rPr>
                <w:rFonts w:ascii="宋体"/>
              </w:rPr>
            </w:pPr>
          </w:p>
        </w:tc>
        <w:tc>
          <w:tcPr>
            <w:tcW w:w="0" w:type="auto"/>
            <w:shd w:val="clear" w:color="auto" w:fill="auto"/>
          </w:tcPr>
          <w:p w14:paraId="36CA1AA8" w14:textId="77777777" w:rsidR="00787570" w:rsidRDefault="00787570">
            <w:pPr>
              <w:rPr>
                <w:rFonts w:ascii="宋体"/>
              </w:rPr>
            </w:pPr>
          </w:p>
        </w:tc>
        <w:tc>
          <w:tcPr>
            <w:tcW w:w="0" w:type="auto"/>
            <w:shd w:val="clear" w:color="auto" w:fill="auto"/>
          </w:tcPr>
          <w:p w14:paraId="36CA1AA9" w14:textId="77777777" w:rsidR="00787570" w:rsidRDefault="00787570">
            <w:pPr>
              <w:rPr>
                <w:rFonts w:ascii="宋体"/>
              </w:rPr>
            </w:pPr>
          </w:p>
        </w:tc>
        <w:tc>
          <w:tcPr>
            <w:tcW w:w="0" w:type="auto"/>
            <w:shd w:val="clear" w:color="auto" w:fill="auto"/>
          </w:tcPr>
          <w:p w14:paraId="36CA1AAA" w14:textId="77777777" w:rsidR="00787570" w:rsidRDefault="00787570">
            <w:pPr>
              <w:rPr>
                <w:rFonts w:ascii="宋体"/>
              </w:rPr>
            </w:pPr>
          </w:p>
        </w:tc>
        <w:tc>
          <w:tcPr>
            <w:tcW w:w="0" w:type="auto"/>
            <w:shd w:val="clear" w:color="auto" w:fill="auto"/>
          </w:tcPr>
          <w:p w14:paraId="36CA1AAB" w14:textId="77777777" w:rsidR="00787570" w:rsidRDefault="00787570">
            <w:pPr>
              <w:rPr>
                <w:rFonts w:ascii="宋体"/>
              </w:rPr>
            </w:pPr>
          </w:p>
        </w:tc>
        <w:tc>
          <w:tcPr>
            <w:tcW w:w="0" w:type="auto"/>
            <w:shd w:val="clear" w:color="auto" w:fill="auto"/>
          </w:tcPr>
          <w:p w14:paraId="36CA1AAC" w14:textId="77777777" w:rsidR="00787570" w:rsidRDefault="00787570">
            <w:pPr>
              <w:rPr>
                <w:rFonts w:ascii="宋体"/>
              </w:rPr>
            </w:pPr>
          </w:p>
        </w:tc>
        <w:tc>
          <w:tcPr>
            <w:tcW w:w="0" w:type="auto"/>
            <w:shd w:val="clear" w:color="auto" w:fill="auto"/>
          </w:tcPr>
          <w:p w14:paraId="36CA1AAD" w14:textId="77777777" w:rsidR="00787570" w:rsidRDefault="00787570">
            <w:pPr>
              <w:rPr>
                <w:rFonts w:ascii="宋体"/>
              </w:rPr>
            </w:pPr>
          </w:p>
        </w:tc>
        <w:tc>
          <w:tcPr>
            <w:tcW w:w="0" w:type="auto"/>
            <w:shd w:val="clear" w:color="auto" w:fill="auto"/>
          </w:tcPr>
          <w:p w14:paraId="36CA1AAE" w14:textId="77777777" w:rsidR="00787570" w:rsidRDefault="00787570">
            <w:pPr>
              <w:rPr>
                <w:rFonts w:ascii="宋体"/>
              </w:rPr>
            </w:pPr>
          </w:p>
        </w:tc>
        <w:tc>
          <w:tcPr>
            <w:tcW w:w="0" w:type="auto"/>
            <w:shd w:val="clear" w:color="auto" w:fill="auto"/>
          </w:tcPr>
          <w:p w14:paraId="36CA1AAF" w14:textId="77777777" w:rsidR="00787570" w:rsidRDefault="00787570">
            <w:pPr>
              <w:rPr>
                <w:rFonts w:ascii="宋体"/>
              </w:rPr>
            </w:pPr>
          </w:p>
        </w:tc>
        <w:tc>
          <w:tcPr>
            <w:tcW w:w="0" w:type="auto"/>
            <w:shd w:val="clear" w:color="auto" w:fill="auto"/>
          </w:tcPr>
          <w:p w14:paraId="36CA1AB0" w14:textId="77777777" w:rsidR="00787570" w:rsidRDefault="00787570">
            <w:pPr>
              <w:rPr>
                <w:rFonts w:ascii="宋体"/>
              </w:rPr>
            </w:pPr>
          </w:p>
        </w:tc>
        <w:tc>
          <w:tcPr>
            <w:tcW w:w="0" w:type="auto"/>
            <w:shd w:val="clear" w:color="auto" w:fill="auto"/>
          </w:tcPr>
          <w:p w14:paraId="36CA1AB1" w14:textId="77777777" w:rsidR="00787570" w:rsidRDefault="00787570">
            <w:pPr>
              <w:rPr>
                <w:rFonts w:ascii="宋体"/>
              </w:rPr>
            </w:pPr>
          </w:p>
        </w:tc>
        <w:tc>
          <w:tcPr>
            <w:tcW w:w="0" w:type="auto"/>
            <w:shd w:val="clear" w:color="auto" w:fill="auto"/>
          </w:tcPr>
          <w:p w14:paraId="36CA1AB2" w14:textId="77777777" w:rsidR="00787570" w:rsidRDefault="00787570">
            <w:pPr>
              <w:rPr>
                <w:rFonts w:ascii="宋体"/>
              </w:rPr>
            </w:pPr>
          </w:p>
        </w:tc>
      </w:tr>
      <w:tr w:rsidR="00787570" w14:paraId="36CA1ACD" w14:textId="77777777">
        <w:tc>
          <w:tcPr>
            <w:tcW w:w="0" w:type="auto"/>
            <w:gridSpan w:val="3"/>
            <w:shd w:val="clear" w:color="auto" w:fill="auto"/>
            <w:tcMar>
              <w:top w:w="40" w:type="dxa"/>
              <w:left w:w="120" w:type="dxa"/>
              <w:bottom w:w="40" w:type="dxa"/>
              <w:right w:w="20" w:type="dxa"/>
            </w:tcMar>
          </w:tcPr>
          <w:p w14:paraId="36CA1AB4" w14:textId="77777777" w:rsidR="00787570" w:rsidRDefault="000D56E2">
            <w:pPr>
              <w:textAlignment w:val="top"/>
            </w:pPr>
            <w:r>
              <w:rPr>
                <w:rFonts w:ascii="Arial" w:eastAsia="宋体" w:hAnsi="Arial" w:cs="Arial"/>
                <w:color w:val="333333"/>
                <w:sz w:val="18"/>
                <w:szCs w:val="18"/>
              </w:rPr>
              <w:t>Net unrealized holding gains (losses) on derivatives</w:t>
            </w:r>
          </w:p>
        </w:tc>
        <w:tc>
          <w:tcPr>
            <w:tcW w:w="0" w:type="auto"/>
            <w:gridSpan w:val="3"/>
            <w:shd w:val="clear" w:color="auto" w:fill="auto"/>
            <w:tcMar>
              <w:left w:w="20" w:type="dxa"/>
              <w:right w:w="20" w:type="dxa"/>
            </w:tcMar>
            <w:vAlign w:val="bottom"/>
          </w:tcPr>
          <w:p w14:paraId="36CA1AB5"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1AB6" w14:textId="77777777" w:rsidR="00787570" w:rsidRDefault="000D56E2">
            <w:pPr>
              <w:jc w:val="right"/>
              <w:textAlignment w:val="bottom"/>
            </w:pPr>
            <w:r>
              <w:rPr>
                <w:rFonts w:ascii="Arial" w:eastAsia="宋体" w:hAnsi="Arial" w:cs="Arial"/>
                <w:color w:val="0071C5"/>
                <w:sz w:val="18"/>
                <w:szCs w:val="18"/>
              </w:rPr>
              <w:t>206 </w:t>
            </w:r>
          </w:p>
        </w:tc>
        <w:tc>
          <w:tcPr>
            <w:tcW w:w="0" w:type="auto"/>
            <w:shd w:val="clear" w:color="auto" w:fill="auto"/>
            <w:tcMar>
              <w:top w:w="40" w:type="dxa"/>
              <w:bottom w:w="40" w:type="dxa"/>
              <w:right w:w="20" w:type="dxa"/>
            </w:tcMar>
            <w:vAlign w:val="bottom"/>
          </w:tcPr>
          <w:p w14:paraId="36CA1AB7"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1AB8"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1AB9" w14:textId="77777777" w:rsidR="00787570" w:rsidRDefault="000D56E2">
            <w:pPr>
              <w:jc w:val="right"/>
              <w:textAlignment w:val="bottom"/>
            </w:pPr>
            <w:r>
              <w:rPr>
                <w:rFonts w:ascii="Arial" w:eastAsia="宋体" w:hAnsi="Arial" w:cs="Arial"/>
                <w:color w:val="333333"/>
                <w:sz w:val="18"/>
                <w:szCs w:val="18"/>
              </w:rPr>
              <w:t>(115)</w:t>
            </w:r>
          </w:p>
        </w:tc>
        <w:tc>
          <w:tcPr>
            <w:tcW w:w="0" w:type="auto"/>
            <w:shd w:val="clear" w:color="auto" w:fill="auto"/>
            <w:tcMar>
              <w:top w:w="40" w:type="dxa"/>
              <w:bottom w:w="40" w:type="dxa"/>
              <w:right w:w="20" w:type="dxa"/>
            </w:tcMar>
            <w:vAlign w:val="bottom"/>
          </w:tcPr>
          <w:p w14:paraId="36CA1ABA"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1ABB"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1ABC" w14:textId="77777777" w:rsidR="00787570" w:rsidRDefault="000D56E2">
            <w:pPr>
              <w:jc w:val="right"/>
              <w:textAlignment w:val="bottom"/>
            </w:pPr>
            <w:r>
              <w:rPr>
                <w:rFonts w:ascii="Arial" w:eastAsia="宋体" w:hAnsi="Arial" w:cs="Arial"/>
                <w:color w:val="0071C5"/>
                <w:sz w:val="18"/>
                <w:szCs w:val="18"/>
              </w:rPr>
              <w:t>257 </w:t>
            </w:r>
          </w:p>
        </w:tc>
        <w:tc>
          <w:tcPr>
            <w:tcW w:w="0" w:type="auto"/>
            <w:shd w:val="clear" w:color="auto" w:fill="auto"/>
            <w:tcMar>
              <w:top w:w="40" w:type="dxa"/>
              <w:bottom w:w="40" w:type="dxa"/>
              <w:right w:w="20" w:type="dxa"/>
            </w:tcMar>
            <w:vAlign w:val="bottom"/>
          </w:tcPr>
          <w:p w14:paraId="36CA1ABD"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1ABE"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1ABF" w14:textId="77777777" w:rsidR="00787570" w:rsidRDefault="000D56E2">
            <w:pPr>
              <w:jc w:val="right"/>
              <w:textAlignment w:val="bottom"/>
            </w:pPr>
            <w:r>
              <w:rPr>
                <w:rFonts w:ascii="Arial" w:eastAsia="宋体" w:hAnsi="Arial" w:cs="Arial"/>
                <w:color w:val="333333"/>
                <w:sz w:val="18"/>
                <w:szCs w:val="18"/>
              </w:rPr>
              <w:t>138 </w:t>
            </w:r>
          </w:p>
        </w:tc>
        <w:tc>
          <w:tcPr>
            <w:tcW w:w="0" w:type="auto"/>
            <w:shd w:val="clear" w:color="auto" w:fill="auto"/>
            <w:tcMar>
              <w:top w:w="40" w:type="dxa"/>
              <w:bottom w:w="40" w:type="dxa"/>
              <w:right w:w="20" w:type="dxa"/>
            </w:tcMar>
            <w:vAlign w:val="bottom"/>
          </w:tcPr>
          <w:p w14:paraId="36CA1AC0" w14:textId="77777777" w:rsidR="00787570" w:rsidRDefault="00787570">
            <w:pPr>
              <w:jc w:val="right"/>
              <w:rPr>
                <w:rFonts w:ascii="宋体"/>
              </w:rPr>
            </w:pPr>
          </w:p>
        </w:tc>
        <w:tc>
          <w:tcPr>
            <w:tcW w:w="0" w:type="auto"/>
            <w:shd w:val="clear" w:color="auto" w:fill="auto"/>
          </w:tcPr>
          <w:p w14:paraId="36CA1AC1" w14:textId="77777777" w:rsidR="00787570" w:rsidRDefault="00787570">
            <w:pPr>
              <w:rPr>
                <w:rFonts w:ascii="宋体"/>
              </w:rPr>
            </w:pPr>
          </w:p>
        </w:tc>
        <w:tc>
          <w:tcPr>
            <w:tcW w:w="0" w:type="auto"/>
            <w:shd w:val="clear" w:color="auto" w:fill="auto"/>
          </w:tcPr>
          <w:p w14:paraId="36CA1AC2" w14:textId="77777777" w:rsidR="00787570" w:rsidRDefault="00787570">
            <w:pPr>
              <w:rPr>
                <w:rFonts w:ascii="宋体"/>
              </w:rPr>
            </w:pPr>
          </w:p>
        </w:tc>
        <w:tc>
          <w:tcPr>
            <w:tcW w:w="0" w:type="auto"/>
            <w:shd w:val="clear" w:color="auto" w:fill="auto"/>
          </w:tcPr>
          <w:p w14:paraId="36CA1AC3" w14:textId="77777777" w:rsidR="00787570" w:rsidRDefault="00787570">
            <w:pPr>
              <w:rPr>
                <w:rFonts w:ascii="宋体"/>
              </w:rPr>
            </w:pPr>
          </w:p>
        </w:tc>
        <w:tc>
          <w:tcPr>
            <w:tcW w:w="0" w:type="auto"/>
            <w:shd w:val="clear" w:color="auto" w:fill="auto"/>
          </w:tcPr>
          <w:p w14:paraId="36CA1AC4" w14:textId="77777777" w:rsidR="00787570" w:rsidRDefault="00787570">
            <w:pPr>
              <w:rPr>
                <w:rFonts w:ascii="宋体"/>
              </w:rPr>
            </w:pPr>
          </w:p>
        </w:tc>
        <w:tc>
          <w:tcPr>
            <w:tcW w:w="0" w:type="auto"/>
            <w:shd w:val="clear" w:color="auto" w:fill="auto"/>
          </w:tcPr>
          <w:p w14:paraId="36CA1AC5" w14:textId="77777777" w:rsidR="00787570" w:rsidRDefault="00787570">
            <w:pPr>
              <w:rPr>
                <w:rFonts w:ascii="宋体"/>
              </w:rPr>
            </w:pPr>
          </w:p>
        </w:tc>
        <w:tc>
          <w:tcPr>
            <w:tcW w:w="0" w:type="auto"/>
            <w:shd w:val="clear" w:color="auto" w:fill="auto"/>
          </w:tcPr>
          <w:p w14:paraId="36CA1AC6" w14:textId="77777777" w:rsidR="00787570" w:rsidRDefault="00787570">
            <w:pPr>
              <w:rPr>
                <w:rFonts w:ascii="宋体"/>
              </w:rPr>
            </w:pPr>
          </w:p>
        </w:tc>
        <w:tc>
          <w:tcPr>
            <w:tcW w:w="0" w:type="auto"/>
            <w:shd w:val="clear" w:color="auto" w:fill="auto"/>
          </w:tcPr>
          <w:p w14:paraId="36CA1AC7" w14:textId="77777777" w:rsidR="00787570" w:rsidRDefault="00787570">
            <w:pPr>
              <w:rPr>
                <w:rFonts w:ascii="宋体"/>
              </w:rPr>
            </w:pPr>
          </w:p>
        </w:tc>
        <w:tc>
          <w:tcPr>
            <w:tcW w:w="0" w:type="auto"/>
            <w:shd w:val="clear" w:color="auto" w:fill="auto"/>
          </w:tcPr>
          <w:p w14:paraId="36CA1AC8" w14:textId="77777777" w:rsidR="00787570" w:rsidRDefault="00787570">
            <w:pPr>
              <w:rPr>
                <w:rFonts w:ascii="宋体"/>
              </w:rPr>
            </w:pPr>
          </w:p>
        </w:tc>
        <w:tc>
          <w:tcPr>
            <w:tcW w:w="0" w:type="auto"/>
            <w:shd w:val="clear" w:color="auto" w:fill="auto"/>
          </w:tcPr>
          <w:p w14:paraId="36CA1AC9" w14:textId="77777777" w:rsidR="00787570" w:rsidRDefault="00787570">
            <w:pPr>
              <w:rPr>
                <w:rFonts w:ascii="宋体"/>
              </w:rPr>
            </w:pPr>
          </w:p>
        </w:tc>
        <w:tc>
          <w:tcPr>
            <w:tcW w:w="0" w:type="auto"/>
            <w:shd w:val="clear" w:color="auto" w:fill="auto"/>
          </w:tcPr>
          <w:p w14:paraId="36CA1ACA" w14:textId="77777777" w:rsidR="00787570" w:rsidRDefault="00787570">
            <w:pPr>
              <w:rPr>
                <w:rFonts w:ascii="宋体"/>
              </w:rPr>
            </w:pPr>
          </w:p>
        </w:tc>
        <w:tc>
          <w:tcPr>
            <w:tcW w:w="0" w:type="auto"/>
            <w:shd w:val="clear" w:color="auto" w:fill="auto"/>
          </w:tcPr>
          <w:p w14:paraId="36CA1ACB" w14:textId="77777777" w:rsidR="00787570" w:rsidRDefault="00787570">
            <w:pPr>
              <w:rPr>
                <w:rFonts w:ascii="宋体"/>
              </w:rPr>
            </w:pPr>
          </w:p>
        </w:tc>
        <w:tc>
          <w:tcPr>
            <w:tcW w:w="0" w:type="auto"/>
            <w:shd w:val="clear" w:color="auto" w:fill="auto"/>
          </w:tcPr>
          <w:p w14:paraId="36CA1ACC" w14:textId="77777777" w:rsidR="00787570" w:rsidRDefault="00787570">
            <w:pPr>
              <w:rPr>
                <w:rFonts w:ascii="宋体"/>
              </w:rPr>
            </w:pPr>
          </w:p>
        </w:tc>
      </w:tr>
      <w:tr w:rsidR="00787570" w14:paraId="36CA1AE7" w14:textId="77777777">
        <w:tc>
          <w:tcPr>
            <w:tcW w:w="0" w:type="auto"/>
            <w:gridSpan w:val="3"/>
            <w:shd w:val="clear" w:color="auto" w:fill="auto"/>
            <w:tcMar>
              <w:top w:w="40" w:type="dxa"/>
              <w:left w:w="120" w:type="dxa"/>
              <w:bottom w:w="40" w:type="dxa"/>
              <w:right w:w="20" w:type="dxa"/>
            </w:tcMar>
          </w:tcPr>
          <w:p w14:paraId="36CA1ACE" w14:textId="77777777" w:rsidR="00787570" w:rsidRDefault="000D56E2">
            <w:pPr>
              <w:textAlignment w:val="top"/>
            </w:pPr>
            <w:r>
              <w:rPr>
                <w:rFonts w:ascii="Arial" w:eastAsia="宋体" w:hAnsi="Arial" w:cs="Arial"/>
                <w:color w:val="333333"/>
                <w:sz w:val="18"/>
                <w:szCs w:val="18"/>
              </w:rPr>
              <w:t>Actuarial valuation and other pension benefits (expenses), net</w:t>
            </w:r>
          </w:p>
        </w:tc>
        <w:tc>
          <w:tcPr>
            <w:tcW w:w="0" w:type="auto"/>
            <w:gridSpan w:val="3"/>
            <w:shd w:val="clear" w:color="auto" w:fill="auto"/>
            <w:tcMar>
              <w:left w:w="20" w:type="dxa"/>
              <w:right w:w="20" w:type="dxa"/>
            </w:tcMar>
            <w:vAlign w:val="bottom"/>
          </w:tcPr>
          <w:p w14:paraId="36CA1ACF"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1AD0" w14:textId="77777777" w:rsidR="00787570" w:rsidRDefault="000D56E2">
            <w:pPr>
              <w:jc w:val="right"/>
              <w:textAlignment w:val="bottom"/>
            </w:pPr>
            <w:r>
              <w:rPr>
                <w:rFonts w:ascii="Arial" w:eastAsia="宋体" w:hAnsi="Arial" w:cs="Arial"/>
                <w:color w:val="0071C5"/>
                <w:sz w:val="18"/>
                <w:szCs w:val="18"/>
              </w:rPr>
              <w:t>11 </w:t>
            </w:r>
          </w:p>
        </w:tc>
        <w:tc>
          <w:tcPr>
            <w:tcW w:w="0" w:type="auto"/>
            <w:shd w:val="clear" w:color="auto" w:fill="auto"/>
            <w:tcMar>
              <w:top w:w="40" w:type="dxa"/>
              <w:bottom w:w="40" w:type="dxa"/>
              <w:right w:w="20" w:type="dxa"/>
            </w:tcMar>
            <w:vAlign w:val="bottom"/>
          </w:tcPr>
          <w:p w14:paraId="36CA1AD1"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1AD2"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1AD3" w14:textId="77777777" w:rsidR="00787570" w:rsidRDefault="000D56E2">
            <w:pPr>
              <w:jc w:val="right"/>
              <w:textAlignment w:val="bottom"/>
            </w:pPr>
            <w:r>
              <w:rPr>
                <w:rFonts w:ascii="Arial" w:eastAsia="宋体" w:hAnsi="Arial" w:cs="Arial"/>
                <w:color w:val="333333"/>
                <w:sz w:val="18"/>
                <w:szCs w:val="18"/>
              </w:rPr>
              <w:t>9 </w:t>
            </w:r>
          </w:p>
        </w:tc>
        <w:tc>
          <w:tcPr>
            <w:tcW w:w="0" w:type="auto"/>
            <w:shd w:val="clear" w:color="auto" w:fill="auto"/>
            <w:tcMar>
              <w:top w:w="40" w:type="dxa"/>
              <w:bottom w:w="40" w:type="dxa"/>
              <w:right w:w="20" w:type="dxa"/>
            </w:tcMar>
            <w:vAlign w:val="bottom"/>
          </w:tcPr>
          <w:p w14:paraId="36CA1AD4"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1AD5"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1AD6" w14:textId="77777777" w:rsidR="00787570" w:rsidRDefault="000D56E2">
            <w:pPr>
              <w:jc w:val="right"/>
              <w:textAlignment w:val="bottom"/>
            </w:pPr>
            <w:r>
              <w:rPr>
                <w:rFonts w:ascii="Arial" w:eastAsia="宋体" w:hAnsi="Arial" w:cs="Arial"/>
                <w:color w:val="0071C5"/>
                <w:sz w:val="18"/>
                <w:szCs w:val="18"/>
              </w:rPr>
              <w:t>34 </w:t>
            </w:r>
          </w:p>
        </w:tc>
        <w:tc>
          <w:tcPr>
            <w:tcW w:w="0" w:type="auto"/>
            <w:shd w:val="clear" w:color="auto" w:fill="auto"/>
            <w:tcMar>
              <w:top w:w="40" w:type="dxa"/>
              <w:bottom w:w="40" w:type="dxa"/>
              <w:right w:w="20" w:type="dxa"/>
            </w:tcMar>
            <w:vAlign w:val="bottom"/>
          </w:tcPr>
          <w:p w14:paraId="36CA1AD7"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1AD8"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1AD9" w14:textId="77777777" w:rsidR="00787570" w:rsidRDefault="000D56E2">
            <w:pPr>
              <w:jc w:val="right"/>
              <w:textAlignment w:val="bottom"/>
            </w:pPr>
            <w:r>
              <w:rPr>
                <w:rFonts w:ascii="Arial" w:eastAsia="宋体" w:hAnsi="Arial" w:cs="Arial"/>
                <w:color w:val="333333"/>
                <w:sz w:val="18"/>
                <w:szCs w:val="18"/>
              </w:rPr>
              <w:t>26 </w:t>
            </w:r>
          </w:p>
        </w:tc>
        <w:tc>
          <w:tcPr>
            <w:tcW w:w="0" w:type="auto"/>
            <w:shd w:val="clear" w:color="auto" w:fill="auto"/>
            <w:tcMar>
              <w:top w:w="40" w:type="dxa"/>
              <w:bottom w:w="40" w:type="dxa"/>
              <w:right w:w="20" w:type="dxa"/>
            </w:tcMar>
            <w:vAlign w:val="bottom"/>
          </w:tcPr>
          <w:p w14:paraId="36CA1ADA" w14:textId="77777777" w:rsidR="00787570" w:rsidRDefault="00787570">
            <w:pPr>
              <w:jc w:val="right"/>
              <w:rPr>
                <w:rFonts w:ascii="宋体"/>
              </w:rPr>
            </w:pPr>
          </w:p>
        </w:tc>
        <w:tc>
          <w:tcPr>
            <w:tcW w:w="0" w:type="auto"/>
            <w:shd w:val="clear" w:color="auto" w:fill="auto"/>
          </w:tcPr>
          <w:p w14:paraId="36CA1ADB" w14:textId="77777777" w:rsidR="00787570" w:rsidRDefault="00787570">
            <w:pPr>
              <w:rPr>
                <w:rFonts w:ascii="宋体"/>
              </w:rPr>
            </w:pPr>
          </w:p>
        </w:tc>
        <w:tc>
          <w:tcPr>
            <w:tcW w:w="0" w:type="auto"/>
            <w:shd w:val="clear" w:color="auto" w:fill="auto"/>
          </w:tcPr>
          <w:p w14:paraId="36CA1ADC" w14:textId="77777777" w:rsidR="00787570" w:rsidRDefault="00787570">
            <w:pPr>
              <w:rPr>
                <w:rFonts w:ascii="宋体"/>
              </w:rPr>
            </w:pPr>
          </w:p>
        </w:tc>
        <w:tc>
          <w:tcPr>
            <w:tcW w:w="0" w:type="auto"/>
            <w:shd w:val="clear" w:color="auto" w:fill="auto"/>
          </w:tcPr>
          <w:p w14:paraId="36CA1ADD" w14:textId="77777777" w:rsidR="00787570" w:rsidRDefault="00787570">
            <w:pPr>
              <w:rPr>
                <w:rFonts w:ascii="宋体"/>
              </w:rPr>
            </w:pPr>
          </w:p>
        </w:tc>
        <w:tc>
          <w:tcPr>
            <w:tcW w:w="0" w:type="auto"/>
            <w:shd w:val="clear" w:color="auto" w:fill="auto"/>
          </w:tcPr>
          <w:p w14:paraId="36CA1ADE" w14:textId="77777777" w:rsidR="00787570" w:rsidRDefault="00787570">
            <w:pPr>
              <w:rPr>
                <w:rFonts w:ascii="宋体"/>
              </w:rPr>
            </w:pPr>
          </w:p>
        </w:tc>
        <w:tc>
          <w:tcPr>
            <w:tcW w:w="0" w:type="auto"/>
            <w:shd w:val="clear" w:color="auto" w:fill="auto"/>
          </w:tcPr>
          <w:p w14:paraId="36CA1ADF" w14:textId="77777777" w:rsidR="00787570" w:rsidRDefault="00787570">
            <w:pPr>
              <w:rPr>
                <w:rFonts w:ascii="宋体"/>
              </w:rPr>
            </w:pPr>
          </w:p>
        </w:tc>
        <w:tc>
          <w:tcPr>
            <w:tcW w:w="0" w:type="auto"/>
            <w:shd w:val="clear" w:color="auto" w:fill="auto"/>
          </w:tcPr>
          <w:p w14:paraId="36CA1AE0" w14:textId="77777777" w:rsidR="00787570" w:rsidRDefault="00787570">
            <w:pPr>
              <w:rPr>
                <w:rFonts w:ascii="宋体"/>
              </w:rPr>
            </w:pPr>
          </w:p>
        </w:tc>
        <w:tc>
          <w:tcPr>
            <w:tcW w:w="0" w:type="auto"/>
            <w:shd w:val="clear" w:color="auto" w:fill="auto"/>
          </w:tcPr>
          <w:p w14:paraId="36CA1AE1" w14:textId="77777777" w:rsidR="00787570" w:rsidRDefault="00787570">
            <w:pPr>
              <w:rPr>
                <w:rFonts w:ascii="宋体"/>
              </w:rPr>
            </w:pPr>
          </w:p>
        </w:tc>
        <w:tc>
          <w:tcPr>
            <w:tcW w:w="0" w:type="auto"/>
            <w:shd w:val="clear" w:color="auto" w:fill="auto"/>
          </w:tcPr>
          <w:p w14:paraId="36CA1AE2" w14:textId="77777777" w:rsidR="00787570" w:rsidRDefault="00787570">
            <w:pPr>
              <w:rPr>
                <w:rFonts w:ascii="宋体"/>
              </w:rPr>
            </w:pPr>
          </w:p>
        </w:tc>
        <w:tc>
          <w:tcPr>
            <w:tcW w:w="0" w:type="auto"/>
            <w:shd w:val="clear" w:color="auto" w:fill="auto"/>
          </w:tcPr>
          <w:p w14:paraId="36CA1AE3" w14:textId="77777777" w:rsidR="00787570" w:rsidRDefault="00787570">
            <w:pPr>
              <w:rPr>
                <w:rFonts w:ascii="宋体"/>
              </w:rPr>
            </w:pPr>
          </w:p>
        </w:tc>
        <w:tc>
          <w:tcPr>
            <w:tcW w:w="0" w:type="auto"/>
            <w:shd w:val="clear" w:color="auto" w:fill="auto"/>
          </w:tcPr>
          <w:p w14:paraId="36CA1AE4" w14:textId="77777777" w:rsidR="00787570" w:rsidRDefault="00787570">
            <w:pPr>
              <w:rPr>
                <w:rFonts w:ascii="宋体"/>
              </w:rPr>
            </w:pPr>
          </w:p>
        </w:tc>
        <w:tc>
          <w:tcPr>
            <w:tcW w:w="0" w:type="auto"/>
            <w:shd w:val="clear" w:color="auto" w:fill="auto"/>
          </w:tcPr>
          <w:p w14:paraId="36CA1AE5" w14:textId="77777777" w:rsidR="00787570" w:rsidRDefault="00787570">
            <w:pPr>
              <w:rPr>
                <w:rFonts w:ascii="宋体"/>
              </w:rPr>
            </w:pPr>
          </w:p>
        </w:tc>
        <w:tc>
          <w:tcPr>
            <w:tcW w:w="0" w:type="auto"/>
            <w:shd w:val="clear" w:color="auto" w:fill="auto"/>
          </w:tcPr>
          <w:p w14:paraId="36CA1AE6" w14:textId="77777777" w:rsidR="00787570" w:rsidRDefault="00787570">
            <w:pPr>
              <w:rPr>
                <w:rFonts w:ascii="宋体"/>
              </w:rPr>
            </w:pPr>
          </w:p>
        </w:tc>
      </w:tr>
      <w:tr w:rsidR="00787570" w14:paraId="36CA1B01" w14:textId="77777777">
        <w:tc>
          <w:tcPr>
            <w:tcW w:w="0" w:type="auto"/>
            <w:gridSpan w:val="3"/>
            <w:shd w:val="clear" w:color="auto" w:fill="auto"/>
            <w:tcMar>
              <w:top w:w="40" w:type="dxa"/>
              <w:left w:w="120" w:type="dxa"/>
              <w:bottom w:w="40" w:type="dxa"/>
              <w:right w:w="20" w:type="dxa"/>
            </w:tcMar>
          </w:tcPr>
          <w:p w14:paraId="36CA1AE8" w14:textId="77777777" w:rsidR="00787570" w:rsidRDefault="000D56E2">
            <w:pPr>
              <w:textAlignment w:val="top"/>
            </w:pPr>
            <w:r>
              <w:rPr>
                <w:rFonts w:ascii="Arial" w:eastAsia="宋体" w:hAnsi="Arial" w:cs="Arial"/>
                <w:color w:val="333333"/>
                <w:sz w:val="18"/>
                <w:szCs w:val="18"/>
              </w:rPr>
              <w:t>Translation adjustments and other</w:t>
            </w:r>
          </w:p>
        </w:tc>
        <w:tc>
          <w:tcPr>
            <w:tcW w:w="0" w:type="auto"/>
            <w:gridSpan w:val="3"/>
            <w:shd w:val="clear" w:color="auto" w:fill="auto"/>
            <w:tcMar>
              <w:left w:w="20" w:type="dxa"/>
              <w:right w:w="20" w:type="dxa"/>
            </w:tcMar>
            <w:vAlign w:val="bottom"/>
          </w:tcPr>
          <w:p w14:paraId="36CA1AE9"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1AEA" w14:textId="77777777" w:rsidR="00787570" w:rsidRDefault="000D56E2">
            <w:pPr>
              <w:jc w:val="right"/>
              <w:textAlignment w:val="bottom"/>
            </w:pPr>
            <w:r>
              <w:rPr>
                <w:rFonts w:ascii="Arial" w:eastAsia="宋体" w:hAnsi="Arial" w:cs="Arial"/>
                <w:color w:val="0071C5"/>
                <w:sz w:val="18"/>
                <w:szCs w:val="18"/>
              </w:rPr>
              <w:t>(5)</w:t>
            </w:r>
          </w:p>
        </w:tc>
        <w:tc>
          <w:tcPr>
            <w:tcW w:w="0" w:type="auto"/>
            <w:shd w:val="clear" w:color="auto" w:fill="auto"/>
            <w:tcMar>
              <w:top w:w="40" w:type="dxa"/>
              <w:bottom w:w="40" w:type="dxa"/>
              <w:right w:w="20" w:type="dxa"/>
            </w:tcMar>
            <w:vAlign w:val="bottom"/>
          </w:tcPr>
          <w:p w14:paraId="36CA1AEB"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1AEC"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1AED" w14:textId="77777777" w:rsidR="00787570" w:rsidRDefault="000D56E2">
            <w:pPr>
              <w:jc w:val="right"/>
              <w:textAlignment w:val="bottom"/>
            </w:pPr>
            <w:r>
              <w:rPr>
                <w:rFonts w:ascii="Arial" w:eastAsia="宋体" w:hAnsi="Arial" w:cs="Arial"/>
                <w:color w:val="333333"/>
                <w:sz w:val="18"/>
                <w:szCs w:val="18"/>
              </w:rPr>
              <w:t>6 </w:t>
            </w:r>
          </w:p>
        </w:tc>
        <w:tc>
          <w:tcPr>
            <w:tcW w:w="0" w:type="auto"/>
            <w:shd w:val="clear" w:color="auto" w:fill="auto"/>
            <w:tcMar>
              <w:top w:w="40" w:type="dxa"/>
              <w:bottom w:w="40" w:type="dxa"/>
              <w:right w:w="20" w:type="dxa"/>
            </w:tcMar>
            <w:vAlign w:val="bottom"/>
          </w:tcPr>
          <w:p w14:paraId="36CA1AEE"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1AEF"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1AF0" w14:textId="77777777" w:rsidR="00787570" w:rsidRDefault="000D56E2">
            <w:pPr>
              <w:jc w:val="right"/>
              <w:textAlignment w:val="bottom"/>
            </w:pPr>
            <w:r>
              <w:rPr>
                <w:rFonts w:ascii="Arial" w:eastAsia="宋体" w:hAnsi="Arial" w:cs="Arial"/>
                <w:color w:val="0071C5"/>
                <w:sz w:val="18"/>
                <w:szCs w:val="18"/>
              </w:rPr>
              <w:t>49 </w:t>
            </w:r>
          </w:p>
        </w:tc>
        <w:tc>
          <w:tcPr>
            <w:tcW w:w="0" w:type="auto"/>
            <w:shd w:val="clear" w:color="auto" w:fill="auto"/>
            <w:tcMar>
              <w:top w:w="40" w:type="dxa"/>
              <w:bottom w:w="40" w:type="dxa"/>
              <w:right w:w="20" w:type="dxa"/>
            </w:tcMar>
            <w:vAlign w:val="bottom"/>
          </w:tcPr>
          <w:p w14:paraId="36CA1AF1"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1AF2"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1AF3" w14:textId="77777777" w:rsidR="00787570" w:rsidRDefault="000D56E2">
            <w:pPr>
              <w:jc w:val="right"/>
              <w:textAlignment w:val="bottom"/>
            </w:pPr>
            <w:r>
              <w:rPr>
                <w:rFonts w:ascii="Arial" w:eastAsia="宋体" w:hAnsi="Arial" w:cs="Arial"/>
                <w:color w:val="333333"/>
                <w:sz w:val="18"/>
                <w:szCs w:val="18"/>
              </w:rPr>
              <w:t>88 </w:t>
            </w:r>
          </w:p>
        </w:tc>
        <w:tc>
          <w:tcPr>
            <w:tcW w:w="0" w:type="auto"/>
            <w:shd w:val="clear" w:color="auto" w:fill="auto"/>
            <w:tcMar>
              <w:top w:w="40" w:type="dxa"/>
              <w:bottom w:w="40" w:type="dxa"/>
              <w:right w:w="20" w:type="dxa"/>
            </w:tcMar>
            <w:vAlign w:val="bottom"/>
          </w:tcPr>
          <w:p w14:paraId="36CA1AF4" w14:textId="77777777" w:rsidR="00787570" w:rsidRDefault="00787570">
            <w:pPr>
              <w:jc w:val="right"/>
              <w:rPr>
                <w:rFonts w:ascii="宋体"/>
              </w:rPr>
            </w:pPr>
          </w:p>
        </w:tc>
        <w:tc>
          <w:tcPr>
            <w:tcW w:w="0" w:type="auto"/>
            <w:shd w:val="clear" w:color="auto" w:fill="auto"/>
          </w:tcPr>
          <w:p w14:paraId="36CA1AF5" w14:textId="77777777" w:rsidR="00787570" w:rsidRDefault="00787570">
            <w:pPr>
              <w:rPr>
                <w:rFonts w:ascii="宋体"/>
              </w:rPr>
            </w:pPr>
          </w:p>
        </w:tc>
        <w:tc>
          <w:tcPr>
            <w:tcW w:w="0" w:type="auto"/>
            <w:shd w:val="clear" w:color="auto" w:fill="auto"/>
          </w:tcPr>
          <w:p w14:paraId="36CA1AF6" w14:textId="77777777" w:rsidR="00787570" w:rsidRDefault="00787570">
            <w:pPr>
              <w:rPr>
                <w:rFonts w:ascii="宋体"/>
              </w:rPr>
            </w:pPr>
          </w:p>
        </w:tc>
        <w:tc>
          <w:tcPr>
            <w:tcW w:w="0" w:type="auto"/>
            <w:shd w:val="clear" w:color="auto" w:fill="auto"/>
          </w:tcPr>
          <w:p w14:paraId="36CA1AF7" w14:textId="77777777" w:rsidR="00787570" w:rsidRDefault="00787570">
            <w:pPr>
              <w:rPr>
                <w:rFonts w:ascii="宋体"/>
              </w:rPr>
            </w:pPr>
          </w:p>
        </w:tc>
        <w:tc>
          <w:tcPr>
            <w:tcW w:w="0" w:type="auto"/>
            <w:shd w:val="clear" w:color="auto" w:fill="auto"/>
          </w:tcPr>
          <w:p w14:paraId="36CA1AF8" w14:textId="77777777" w:rsidR="00787570" w:rsidRDefault="00787570">
            <w:pPr>
              <w:rPr>
                <w:rFonts w:ascii="宋体"/>
              </w:rPr>
            </w:pPr>
          </w:p>
        </w:tc>
        <w:tc>
          <w:tcPr>
            <w:tcW w:w="0" w:type="auto"/>
            <w:shd w:val="clear" w:color="auto" w:fill="auto"/>
          </w:tcPr>
          <w:p w14:paraId="36CA1AF9" w14:textId="77777777" w:rsidR="00787570" w:rsidRDefault="00787570">
            <w:pPr>
              <w:rPr>
                <w:rFonts w:ascii="宋体"/>
              </w:rPr>
            </w:pPr>
          </w:p>
        </w:tc>
        <w:tc>
          <w:tcPr>
            <w:tcW w:w="0" w:type="auto"/>
            <w:shd w:val="clear" w:color="auto" w:fill="auto"/>
          </w:tcPr>
          <w:p w14:paraId="36CA1AFA" w14:textId="77777777" w:rsidR="00787570" w:rsidRDefault="00787570">
            <w:pPr>
              <w:rPr>
                <w:rFonts w:ascii="宋体"/>
              </w:rPr>
            </w:pPr>
          </w:p>
        </w:tc>
        <w:tc>
          <w:tcPr>
            <w:tcW w:w="0" w:type="auto"/>
            <w:shd w:val="clear" w:color="auto" w:fill="auto"/>
          </w:tcPr>
          <w:p w14:paraId="36CA1AFB" w14:textId="77777777" w:rsidR="00787570" w:rsidRDefault="00787570">
            <w:pPr>
              <w:rPr>
                <w:rFonts w:ascii="宋体"/>
              </w:rPr>
            </w:pPr>
          </w:p>
        </w:tc>
        <w:tc>
          <w:tcPr>
            <w:tcW w:w="0" w:type="auto"/>
            <w:shd w:val="clear" w:color="auto" w:fill="auto"/>
          </w:tcPr>
          <w:p w14:paraId="36CA1AFC" w14:textId="77777777" w:rsidR="00787570" w:rsidRDefault="00787570">
            <w:pPr>
              <w:rPr>
                <w:rFonts w:ascii="宋体"/>
              </w:rPr>
            </w:pPr>
          </w:p>
        </w:tc>
        <w:tc>
          <w:tcPr>
            <w:tcW w:w="0" w:type="auto"/>
            <w:shd w:val="clear" w:color="auto" w:fill="auto"/>
          </w:tcPr>
          <w:p w14:paraId="36CA1AFD" w14:textId="77777777" w:rsidR="00787570" w:rsidRDefault="00787570">
            <w:pPr>
              <w:rPr>
                <w:rFonts w:ascii="宋体"/>
              </w:rPr>
            </w:pPr>
          </w:p>
        </w:tc>
        <w:tc>
          <w:tcPr>
            <w:tcW w:w="0" w:type="auto"/>
            <w:shd w:val="clear" w:color="auto" w:fill="auto"/>
          </w:tcPr>
          <w:p w14:paraId="36CA1AFE" w14:textId="77777777" w:rsidR="00787570" w:rsidRDefault="00787570">
            <w:pPr>
              <w:rPr>
                <w:rFonts w:ascii="宋体"/>
              </w:rPr>
            </w:pPr>
          </w:p>
        </w:tc>
        <w:tc>
          <w:tcPr>
            <w:tcW w:w="0" w:type="auto"/>
            <w:shd w:val="clear" w:color="auto" w:fill="auto"/>
          </w:tcPr>
          <w:p w14:paraId="36CA1AFF" w14:textId="77777777" w:rsidR="00787570" w:rsidRDefault="00787570">
            <w:pPr>
              <w:rPr>
                <w:rFonts w:ascii="宋体"/>
              </w:rPr>
            </w:pPr>
          </w:p>
        </w:tc>
        <w:tc>
          <w:tcPr>
            <w:tcW w:w="0" w:type="auto"/>
            <w:shd w:val="clear" w:color="auto" w:fill="auto"/>
          </w:tcPr>
          <w:p w14:paraId="36CA1B00" w14:textId="77777777" w:rsidR="00787570" w:rsidRDefault="00787570">
            <w:pPr>
              <w:rPr>
                <w:rFonts w:ascii="宋体"/>
              </w:rPr>
            </w:pPr>
          </w:p>
        </w:tc>
      </w:tr>
      <w:tr w:rsidR="00787570" w14:paraId="36CA1B1B" w14:textId="77777777">
        <w:tc>
          <w:tcPr>
            <w:tcW w:w="0" w:type="auto"/>
            <w:gridSpan w:val="3"/>
            <w:shd w:val="clear" w:color="auto" w:fill="auto"/>
            <w:tcMar>
              <w:top w:w="40" w:type="dxa"/>
              <w:left w:w="20" w:type="dxa"/>
              <w:bottom w:w="40" w:type="dxa"/>
              <w:right w:w="20" w:type="dxa"/>
            </w:tcMar>
          </w:tcPr>
          <w:p w14:paraId="36CA1B02" w14:textId="77777777" w:rsidR="00787570" w:rsidRDefault="000D56E2">
            <w:pPr>
              <w:textAlignment w:val="top"/>
            </w:pPr>
            <w:r>
              <w:rPr>
                <w:rFonts w:ascii="Arial" w:eastAsia="宋体" w:hAnsi="Arial" w:cs="Arial"/>
                <w:b/>
                <w:bCs/>
                <w:color w:val="333333"/>
                <w:sz w:val="18"/>
                <w:szCs w:val="18"/>
              </w:rPr>
              <w:t>Other comprehensive income (loss)</w:t>
            </w:r>
          </w:p>
        </w:tc>
        <w:tc>
          <w:tcPr>
            <w:tcW w:w="0" w:type="auto"/>
            <w:gridSpan w:val="3"/>
            <w:shd w:val="clear" w:color="auto" w:fill="auto"/>
            <w:tcMar>
              <w:left w:w="20" w:type="dxa"/>
              <w:right w:w="20" w:type="dxa"/>
            </w:tcMar>
            <w:vAlign w:val="bottom"/>
          </w:tcPr>
          <w:p w14:paraId="36CA1B03" w14:textId="77777777" w:rsidR="00787570" w:rsidRDefault="00787570">
            <w:pPr>
              <w:rPr>
                <w:rFonts w:ascii="宋体"/>
              </w:rPr>
            </w:pPr>
          </w:p>
        </w:tc>
        <w:tc>
          <w:tcPr>
            <w:tcW w:w="0" w:type="auto"/>
            <w:gridSpan w:val="2"/>
            <w:tcBorders>
              <w:top w:val="single" w:sz="8" w:space="0" w:color="333333"/>
            </w:tcBorders>
            <w:shd w:val="clear" w:color="auto" w:fill="auto"/>
            <w:tcMar>
              <w:top w:w="40" w:type="dxa"/>
              <w:left w:w="20" w:type="dxa"/>
              <w:bottom w:w="40" w:type="dxa"/>
              <w:right w:w="0" w:type="dxa"/>
            </w:tcMar>
            <w:vAlign w:val="bottom"/>
          </w:tcPr>
          <w:p w14:paraId="36CA1B04" w14:textId="77777777" w:rsidR="00787570" w:rsidRDefault="000D56E2">
            <w:pPr>
              <w:jc w:val="right"/>
              <w:textAlignment w:val="bottom"/>
            </w:pPr>
            <w:r>
              <w:rPr>
                <w:rFonts w:ascii="Arial" w:eastAsia="宋体" w:hAnsi="Arial" w:cs="Arial"/>
                <w:b/>
                <w:bCs/>
                <w:color w:val="0071C5"/>
                <w:sz w:val="18"/>
                <w:szCs w:val="18"/>
              </w:rPr>
              <w:t>212</w:t>
            </w:r>
            <w:r>
              <w:rPr>
                <w:rFonts w:ascii="Arial" w:eastAsia="宋体" w:hAnsi="Arial" w:cs="Arial"/>
                <w:color w:val="0071C5"/>
                <w:sz w:val="18"/>
                <w:szCs w:val="18"/>
              </w:rPr>
              <w:t> </w:t>
            </w:r>
          </w:p>
        </w:tc>
        <w:tc>
          <w:tcPr>
            <w:tcW w:w="0" w:type="auto"/>
            <w:tcBorders>
              <w:top w:val="single" w:sz="8" w:space="0" w:color="333333"/>
            </w:tcBorders>
            <w:shd w:val="clear" w:color="auto" w:fill="auto"/>
            <w:tcMar>
              <w:top w:w="40" w:type="dxa"/>
              <w:bottom w:w="40" w:type="dxa"/>
              <w:right w:w="20" w:type="dxa"/>
            </w:tcMar>
            <w:vAlign w:val="bottom"/>
          </w:tcPr>
          <w:p w14:paraId="36CA1B05"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1B06" w14:textId="77777777" w:rsidR="00787570" w:rsidRDefault="00787570">
            <w:pPr>
              <w:rPr>
                <w:rFonts w:ascii="宋体"/>
              </w:rPr>
            </w:pPr>
          </w:p>
        </w:tc>
        <w:tc>
          <w:tcPr>
            <w:tcW w:w="0" w:type="auto"/>
            <w:gridSpan w:val="2"/>
            <w:tcBorders>
              <w:top w:val="single" w:sz="8" w:space="0" w:color="333333"/>
            </w:tcBorders>
            <w:shd w:val="clear" w:color="auto" w:fill="auto"/>
            <w:tcMar>
              <w:top w:w="40" w:type="dxa"/>
              <w:left w:w="20" w:type="dxa"/>
              <w:bottom w:w="40" w:type="dxa"/>
              <w:right w:w="0" w:type="dxa"/>
            </w:tcMar>
            <w:vAlign w:val="bottom"/>
          </w:tcPr>
          <w:p w14:paraId="36CA1B07" w14:textId="77777777" w:rsidR="00787570" w:rsidRDefault="000D56E2">
            <w:pPr>
              <w:jc w:val="right"/>
              <w:textAlignment w:val="bottom"/>
            </w:pPr>
            <w:r>
              <w:rPr>
                <w:rFonts w:ascii="Arial" w:eastAsia="宋体" w:hAnsi="Arial" w:cs="Arial"/>
                <w:b/>
                <w:bCs/>
                <w:color w:val="333333"/>
                <w:sz w:val="18"/>
                <w:szCs w:val="18"/>
              </w:rPr>
              <w:t>(100)</w:t>
            </w:r>
          </w:p>
        </w:tc>
        <w:tc>
          <w:tcPr>
            <w:tcW w:w="0" w:type="auto"/>
            <w:tcBorders>
              <w:top w:val="single" w:sz="8" w:space="0" w:color="333333"/>
            </w:tcBorders>
            <w:shd w:val="clear" w:color="auto" w:fill="auto"/>
            <w:tcMar>
              <w:top w:w="40" w:type="dxa"/>
              <w:bottom w:w="40" w:type="dxa"/>
              <w:right w:w="20" w:type="dxa"/>
            </w:tcMar>
            <w:vAlign w:val="bottom"/>
          </w:tcPr>
          <w:p w14:paraId="36CA1B08"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1B09" w14:textId="77777777" w:rsidR="00787570" w:rsidRDefault="00787570">
            <w:pPr>
              <w:rPr>
                <w:rFonts w:ascii="宋体"/>
              </w:rPr>
            </w:pPr>
          </w:p>
        </w:tc>
        <w:tc>
          <w:tcPr>
            <w:tcW w:w="0" w:type="auto"/>
            <w:gridSpan w:val="2"/>
            <w:tcBorders>
              <w:top w:val="single" w:sz="8" w:space="0" w:color="333333"/>
            </w:tcBorders>
            <w:shd w:val="clear" w:color="auto" w:fill="auto"/>
            <w:tcMar>
              <w:top w:w="40" w:type="dxa"/>
              <w:left w:w="20" w:type="dxa"/>
              <w:bottom w:w="40" w:type="dxa"/>
              <w:right w:w="0" w:type="dxa"/>
            </w:tcMar>
            <w:vAlign w:val="bottom"/>
          </w:tcPr>
          <w:p w14:paraId="36CA1B0A" w14:textId="77777777" w:rsidR="00787570" w:rsidRDefault="000D56E2">
            <w:pPr>
              <w:jc w:val="right"/>
              <w:textAlignment w:val="bottom"/>
            </w:pPr>
            <w:r>
              <w:rPr>
                <w:rFonts w:ascii="Arial" w:eastAsia="宋体" w:hAnsi="Arial" w:cs="Arial"/>
                <w:b/>
                <w:bCs/>
                <w:color w:val="0071C5"/>
                <w:sz w:val="18"/>
                <w:szCs w:val="18"/>
              </w:rPr>
              <w:t>340</w:t>
            </w:r>
            <w:r>
              <w:rPr>
                <w:rFonts w:ascii="Arial" w:eastAsia="宋体" w:hAnsi="Arial" w:cs="Arial"/>
                <w:color w:val="0071C5"/>
                <w:sz w:val="18"/>
                <w:szCs w:val="18"/>
              </w:rPr>
              <w:t> </w:t>
            </w:r>
          </w:p>
        </w:tc>
        <w:tc>
          <w:tcPr>
            <w:tcW w:w="0" w:type="auto"/>
            <w:tcBorders>
              <w:top w:val="single" w:sz="8" w:space="0" w:color="333333"/>
            </w:tcBorders>
            <w:shd w:val="clear" w:color="auto" w:fill="auto"/>
            <w:tcMar>
              <w:top w:w="40" w:type="dxa"/>
              <w:bottom w:w="40" w:type="dxa"/>
              <w:right w:w="20" w:type="dxa"/>
            </w:tcMar>
            <w:vAlign w:val="bottom"/>
          </w:tcPr>
          <w:p w14:paraId="36CA1B0B"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1B0C" w14:textId="77777777" w:rsidR="00787570" w:rsidRDefault="00787570">
            <w:pPr>
              <w:rPr>
                <w:rFonts w:ascii="宋体"/>
              </w:rPr>
            </w:pPr>
          </w:p>
        </w:tc>
        <w:tc>
          <w:tcPr>
            <w:tcW w:w="0" w:type="auto"/>
            <w:gridSpan w:val="2"/>
            <w:tcBorders>
              <w:top w:val="single" w:sz="8" w:space="0" w:color="333333"/>
            </w:tcBorders>
            <w:shd w:val="clear" w:color="auto" w:fill="auto"/>
            <w:tcMar>
              <w:top w:w="40" w:type="dxa"/>
              <w:left w:w="20" w:type="dxa"/>
              <w:bottom w:w="40" w:type="dxa"/>
              <w:right w:w="0" w:type="dxa"/>
            </w:tcMar>
            <w:vAlign w:val="bottom"/>
          </w:tcPr>
          <w:p w14:paraId="36CA1B0D" w14:textId="77777777" w:rsidR="00787570" w:rsidRDefault="000D56E2">
            <w:pPr>
              <w:jc w:val="right"/>
              <w:textAlignment w:val="bottom"/>
            </w:pPr>
            <w:r>
              <w:rPr>
                <w:rFonts w:ascii="Arial" w:eastAsia="宋体" w:hAnsi="Arial" w:cs="Arial"/>
                <w:b/>
                <w:bCs/>
                <w:color w:val="333333"/>
                <w:sz w:val="18"/>
                <w:szCs w:val="18"/>
              </w:rPr>
              <w:t>252</w:t>
            </w:r>
            <w:r>
              <w:rPr>
                <w:rFonts w:ascii="Arial" w:eastAsia="宋体" w:hAnsi="Arial" w:cs="Arial"/>
                <w:color w:val="333333"/>
                <w:sz w:val="18"/>
                <w:szCs w:val="18"/>
              </w:rPr>
              <w:t> </w:t>
            </w:r>
          </w:p>
        </w:tc>
        <w:tc>
          <w:tcPr>
            <w:tcW w:w="0" w:type="auto"/>
            <w:tcBorders>
              <w:top w:val="single" w:sz="8" w:space="0" w:color="333333"/>
            </w:tcBorders>
            <w:shd w:val="clear" w:color="auto" w:fill="auto"/>
            <w:tcMar>
              <w:top w:w="40" w:type="dxa"/>
              <w:bottom w:w="40" w:type="dxa"/>
              <w:right w:w="20" w:type="dxa"/>
            </w:tcMar>
            <w:vAlign w:val="bottom"/>
          </w:tcPr>
          <w:p w14:paraId="36CA1B0E" w14:textId="77777777" w:rsidR="00787570" w:rsidRDefault="00787570">
            <w:pPr>
              <w:jc w:val="right"/>
              <w:rPr>
                <w:rFonts w:ascii="宋体"/>
              </w:rPr>
            </w:pPr>
          </w:p>
        </w:tc>
        <w:tc>
          <w:tcPr>
            <w:tcW w:w="0" w:type="auto"/>
            <w:shd w:val="clear" w:color="auto" w:fill="auto"/>
          </w:tcPr>
          <w:p w14:paraId="36CA1B0F" w14:textId="77777777" w:rsidR="00787570" w:rsidRDefault="00787570">
            <w:pPr>
              <w:rPr>
                <w:rFonts w:ascii="宋体"/>
              </w:rPr>
            </w:pPr>
          </w:p>
        </w:tc>
        <w:tc>
          <w:tcPr>
            <w:tcW w:w="0" w:type="auto"/>
            <w:shd w:val="clear" w:color="auto" w:fill="auto"/>
          </w:tcPr>
          <w:p w14:paraId="36CA1B10" w14:textId="77777777" w:rsidR="00787570" w:rsidRDefault="00787570">
            <w:pPr>
              <w:rPr>
                <w:rFonts w:ascii="宋体"/>
              </w:rPr>
            </w:pPr>
          </w:p>
        </w:tc>
        <w:tc>
          <w:tcPr>
            <w:tcW w:w="0" w:type="auto"/>
            <w:shd w:val="clear" w:color="auto" w:fill="auto"/>
          </w:tcPr>
          <w:p w14:paraId="36CA1B11" w14:textId="77777777" w:rsidR="00787570" w:rsidRDefault="00787570">
            <w:pPr>
              <w:rPr>
                <w:rFonts w:ascii="宋体"/>
              </w:rPr>
            </w:pPr>
          </w:p>
        </w:tc>
        <w:tc>
          <w:tcPr>
            <w:tcW w:w="0" w:type="auto"/>
            <w:shd w:val="clear" w:color="auto" w:fill="auto"/>
          </w:tcPr>
          <w:p w14:paraId="36CA1B12" w14:textId="77777777" w:rsidR="00787570" w:rsidRDefault="00787570">
            <w:pPr>
              <w:rPr>
                <w:rFonts w:ascii="宋体"/>
              </w:rPr>
            </w:pPr>
          </w:p>
        </w:tc>
        <w:tc>
          <w:tcPr>
            <w:tcW w:w="0" w:type="auto"/>
            <w:shd w:val="clear" w:color="auto" w:fill="auto"/>
          </w:tcPr>
          <w:p w14:paraId="36CA1B13" w14:textId="77777777" w:rsidR="00787570" w:rsidRDefault="00787570">
            <w:pPr>
              <w:rPr>
                <w:rFonts w:ascii="宋体"/>
              </w:rPr>
            </w:pPr>
          </w:p>
        </w:tc>
        <w:tc>
          <w:tcPr>
            <w:tcW w:w="0" w:type="auto"/>
            <w:shd w:val="clear" w:color="auto" w:fill="auto"/>
          </w:tcPr>
          <w:p w14:paraId="36CA1B14" w14:textId="77777777" w:rsidR="00787570" w:rsidRDefault="00787570">
            <w:pPr>
              <w:rPr>
                <w:rFonts w:ascii="宋体"/>
              </w:rPr>
            </w:pPr>
          </w:p>
        </w:tc>
        <w:tc>
          <w:tcPr>
            <w:tcW w:w="0" w:type="auto"/>
            <w:shd w:val="clear" w:color="auto" w:fill="auto"/>
          </w:tcPr>
          <w:p w14:paraId="36CA1B15" w14:textId="77777777" w:rsidR="00787570" w:rsidRDefault="00787570">
            <w:pPr>
              <w:rPr>
                <w:rFonts w:ascii="宋体"/>
              </w:rPr>
            </w:pPr>
          </w:p>
        </w:tc>
        <w:tc>
          <w:tcPr>
            <w:tcW w:w="0" w:type="auto"/>
            <w:shd w:val="clear" w:color="auto" w:fill="auto"/>
          </w:tcPr>
          <w:p w14:paraId="36CA1B16" w14:textId="77777777" w:rsidR="00787570" w:rsidRDefault="00787570">
            <w:pPr>
              <w:rPr>
                <w:rFonts w:ascii="宋体"/>
              </w:rPr>
            </w:pPr>
          </w:p>
        </w:tc>
        <w:tc>
          <w:tcPr>
            <w:tcW w:w="0" w:type="auto"/>
            <w:shd w:val="clear" w:color="auto" w:fill="auto"/>
          </w:tcPr>
          <w:p w14:paraId="36CA1B17" w14:textId="77777777" w:rsidR="00787570" w:rsidRDefault="00787570">
            <w:pPr>
              <w:rPr>
                <w:rFonts w:ascii="宋体"/>
              </w:rPr>
            </w:pPr>
          </w:p>
        </w:tc>
        <w:tc>
          <w:tcPr>
            <w:tcW w:w="0" w:type="auto"/>
            <w:shd w:val="clear" w:color="auto" w:fill="auto"/>
          </w:tcPr>
          <w:p w14:paraId="36CA1B18" w14:textId="77777777" w:rsidR="00787570" w:rsidRDefault="00787570">
            <w:pPr>
              <w:rPr>
                <w:rFonts w:ascii="宋体"/>
              </w:rPr>
            </w:pPr>
          </w:p>
        </w:tc>
        <w:tc>
          <w:tcPr>
            <w:tcW w:w="0" w:type="auto"/>
            <w:shd w:val="clear" w:color="auto" w:fill="auto"/>
          </w:tcPr>
          <w:p w14:paraId="36CA1B19" w14:textId="77777777" w:rsidR="00787570" w:rsidRDefault="00787570">
            <w:pPr>
              <w:rPr>
                <w:rFonts w:ascii="宋体"/>
              </w:rPr>
            </w:pPr>
          </w:p>
        </w:tc>
        <w:tc>
          <w:tcPr>
            <w:tcW w:w="0" w:type="auto"/>
            <w:shd w:val="clear" w:color="auto" w:fill="auto"/>
          </w:tcPr>
          <w:p w14:paraId="36CA1B1A" w14:textId="77777777" w:rsidR="00787570" w:rsidRDefault="00787570">
            <w:pPr>
              <w:rPr>
                <w:rFonts w:ascii="宋体"/>
              </w:rPr>
            </w:pPr>
          </w:p>
        </w:tc>
      </w:tr>
      <w:tr w:rsidR="00787570" w14:paraId="36CA1B39" w14:textId="77777777">
        <w:tc>
          <w:tcPr>
            <w:tcW w:w="0" w:type="auto"/>
            <w:gridSpan w:val="3"/>
            <w:shd w:val="clear" w:color="auto" w:fill="auto"/>
            <w:tcMar>
              <w:top w:w="40" w:type="dxa"/>
              <w:left w:w="20" w:type="dxa"/>
              <w:bottom w:w="40" w:type="dxa"/>
              <w:right w:w="20" w:type="dxa"/>
            </w:tcMar>
          </w:tcPr>
          <w:p w14:paraId="36CA1B1C" w14:textId="77777777" w:rsidR="00787570" w:rsidRDefault="000D56E2">
            <w:pPr>
              <w:textAlignment w:val="top"/>
            </w:pPr>
            <w:r>
              <w:rPr>
                <w:rFonts w:ascii="Arial" w:eastAsia="宋体" w:hAnsi="Arial" w:cs="Arial"/>
                <w:b/>
                <w:bCs/>
                <w:color w:val="333333"/>
                <w:sz w:val="18"/>
                <w:szCs w:val="18"/>
              </w:rPr>
              <w:t>Total comprehensive income</w:t>
            </w:r>
          </w:p>
        </w:tc>
        <w:tc>
          <w:tcPr>
            <w:tcW w:w="0" w:type="auto"/>
            <w:gridSpan w:val="3"/>
            <w:shd w:val="clear" w:color="auto" w:fill="auto"/>
            <w:tcMar>
              <w:left w:w="20" w:type="dxa"/>
              <w:right w:w="20" w:type="dxa"/>
            </w:tcMar>
            <w:vAlign w:val="bottom"/>
          </w:tcPr>
          <w:p w14:paraId="36CA1B1D" w14:textId="77777777" w:rsidR="00787570" w:rsidRDefault="00787570">
            <w:pPr>
              <w:rPr>
                <w:rFonts w:ascii="宋体"/>
              </w:rPr>
            </w:pPr>
          </w:p>
        </w:tc>
        <w:tc>
          <w:tcPr>
            <w:tcW w:w="0" w:type="auto"/>
            <w:tcBorders>
              <w:top w:val="single" w:sz="8" w:space="0" w:color="333333"/>
              <w:bottom w:val="double" w:sz="6" w:space="0" w:color="333333"/>
            </w:tcBorders>
            <w:shd w:val="clear" w:color="auto" w:fill="auto"/>
            <w:tcMar>
              <w:top w:w="40" w:type="dxa"/>
              <w:left w:w="20" w:type="dxa"/>
              <w:bottom w:w="40" w:type="dxa"/>
            </w:tcMar>
            <w:vAlign w:val="bottom"/>
          </w:tcPr>
          <w:p w14:paraId="36CA1B1E" w14:textId="77777777" w:rsidR="00787570" w:rsidRDefault="000D56E2">
            <w:pPr>
              <w:textAlignment w:val="bottom"/>
            </w:pPr>
            <w:r>
              <w:rPr>
                <w:rFonts w:ascii="Arial" w:eastAsia="宋体" w:hAnsi="Arial" w:cs="Arial"/>
                <w:b/>
                <w:bCs/>
                <w:color w:val="0071C5"/>
                <w:sz w:val="18"/>
                <w:szCs w:val="18"/>
              </w:rPr>
              <w:t>$</w:t>
            </w:r>
          </w:p>
        </w:tc>
        <w:tc>
          <w:tcPr>
            <w:tcW w:w="0" w:type="auto"/>
            <w:tcBorders>
              <w:top w:val="single" w:sz="8" w:space="0" w:color="333333"/>
              <w:bottom w:val="double" w:sz="6" w:space="0" w:color="333333"/>
            </w:tcBorders>
            <w:shd w:val="clear" w:color="auto" w:fill="auto"/>
            <w:tcMar>
              <w:top w:w="40" w:type="dxa"/>
              <w:bottom w:w="40" w:type="dxa"/>
              <w:right w:w="0" w:type="dxa"/>
            </w:tcMar>
            <w:vAlign w:val="bottom"/>
          </w:tcPr>
          <w:p w14:paraId="36CA1B1F" w14:textId="77777777" w:rsidR="00787570" w:rsidRDefault="000D56E2">
            <w:pPr>
              <w:jc w:val="right"/>
              <w:textAlignment w:val="bottom"/>
            </w:pPr>
            <w:r>
              <w:rPr>
                <w:rFonts w:ascii="Arial" w:eastAsia="宋体" w:hAnsi="Arial" w:cs="Arial"/>
                <w:b/>
                <w:bCs/>
                <w:color w:val="0071C5"/>
                <w:sz w:val="18"/>
                <w:szCs w:val="18"/>
              </w:rPr>
              <w:t>4,488</w:t>
            </w:r>
            <w:r>
              <w:rPr>
                <w:rFonts w:ascii="Arial" w:eastAsia="宋体" w:hAnsi="Arial" w:cs="Arial"/>
                <w:color w:val="0071C5"/>
                <w:sz w:val="18"/>
                <w:szCs w:val="18"/>
              </w:rPr>
              <w:t> </w:t>
            </w:r>
          </w:p>
        </w:tc>
        <w:tc>
          <w:tcPr>
            <w:tcW w:w="0" w:type="auto"/>
            <w:tcBorders>
              <w:top w:val="single" w:sz="8" w:space="0" w:color="333333"/>
              <w:bottom w:val="double" w:sz="6" w:space="0" w:color="333333"/>
            </w:tcBorders>
            <w:shd w:val="clear" w:color="auto" w:fill="auto"/>
            <w:tcMar>
              <w:top w:w="40" w:type="dxa"/>
              <w:bottom w:w="40" w:type="dxa"/>
              <w:right w:w="20" w:type="dxa"/>
            </w:tcMar>
            <w:vAlign w:val="bottom"/>
          </w:tcPr>
          <w:p w14:paraId="36CA1B20"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1B21" w14:textId="77777777" w:rsidR="00787570" w:rsidRDefault="00787570">
            <w:pPr>
              <w:rPr>
                <w:rFonts w:ascii="宋体"/>
              </w:rPr>
            </w:pPr>
          </w:p>
        </w:tc>
        <w:tc>
          <w:tcPr>
            <w:tcW w:w="0" w:type="auto"/>
            <w:tcBorders>
              <w:top w:val="single" w:sz="8" w:space="0" w:color="333333"/>
              <w:bottom w:val="double" w:sz="6" w:space="0" w:color="333333"/>
            </w:tcBorders>
            <w:shd w:val="clear" w:color="auto" w:fill="auto"/>
            <w:tcMar>
              <w:top w:w="40" w:type="dxa"/>
              <w:left w:w="20" w:type="dxa"/>
              <w:bottom w:w="40" w:type="dxa"/>
            </w:tcMar>
            <w:vAlign w:val="bottom"/>
          </w:tcPr>
          <w:p w14:paraId="36CA1B22" w14:textId="77777777" w:rsidR="00787570" w:rsidRDefault="000D56E2">
            <w:pPr>
              <w:textAlignment w:val="bottom"/>
            </w:pPr>
            <w:r>
              <w:rPr>
                <w:rFonts w:ascii="Arial" w:eastAsia="宋体" w:hAnsi="Arial" w:cs="Arial"/>
                <w:b/>
                <w:bCs/>
                <w:color w:val="333333"/>
                <w:sz w:val="18"/>
                <w:szCs w:val="18"/>
              </w:rPr>
              <w:t>$</w:t>
            </w:r>
          </w:p>
        </w:tc>
        <w:tc>
          <w:tcPr>
            <w:tcW w:w="0" w:type="auto"/>
            <w:tcBorders>
              <w:top w:val="single" w:sz="8" w:space="0" w:color="333333"/>
              <w:bottom w:val="double" w:sz="6" w:space="0" w:color="333333"/>
            </w:tcBorders>
            <w:shd w:val="clear" w:color="auto" w:fill="auto"/>
            <w:tcMar>
              <w:top w:w="40" w:type="dxa"/>
              <w:bottom w:w="40" w:type="dxa"/>
              <w:right w:w="0" w:type="dxa"/>
            </w:tcMar>
            <w:vAlign w:val="bottom"/>
          </w:tcPr>
          <w:p w14:paraId="36CA1B23" w14:textId="77777777" w:rsidR="00787570" w:rsidRDefault="000D56E2">
            <w:pPr>
              <w:jc w:val="right"/>
              <w:textAlignment w:val="bottom"/>
            </w:pPr>
            <w:r>
              <w:rPr>
                <w:rFonts w:ascii="Arial" w:eastAsia="宋体" w:hAnsi="Arial" w:cs="Arial"/>
                <w:b/>
                <w:bCs/>
                <w:color w:val="333333"/>
                <w:sz w:val="18"/>
                <w:szCs w:val="18"/>
              </w:rPr>
              <w:t>5,890</w:t>
            </w:r>
            <w:r>
              <w:rPr>
                <w:rFonts w:ascii="Arial" w:eastAsia="宋体" w:hAnsi="Arial" w:cs="Arial"/>
                <w:color w:val="333333"/>
                <w:sz w:val="18"/>
                <w:szCs w:val="18"/>
              </w:rPr>
              <w:t> </w:t>
            </w:r>
          </w:p>
        </w:tc>
        <w:tc>
          <w:tcPr>
            <w:tcW w:w="0" w:type="auto"/>
            <w:tcBorders>
              <w:top w:val="single" w:sz="8" w:space="0" w:color="333333"/>
              <w:bottom w:val="double" w:sz="6" w:space="0" w:color="333333"/>
            </w:tcBorders>
            <w:shd w:val="clear" w:color="auto" w:fill="auto"/>
            <w:tcMar>
              <w:top w:w="40" w:type="dxa"/>
              <w:bottom w:w="40" w:type="dxa"/>
              <w:right w:w="20" w:type="dxa"/>
            </w:tcMar>
            <w:vAlign w:val="bottom"/>
          </w:tcPr>
          <w:p w14:paraId="36CA1B24"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1B25" w14:textId="77777777" w:rsidR="00787570" w:rsidRDefault="00787570">
            <w:pPr>
              <w:rPr>
                <w:rFonts w:ascii="宋体"/>
              </w:rPr>
            </w:pPr>
          </w:p>
        </w:tc>
        <w:tc>
          <w:tcPr>
            <w:tcW w:w="0" w:type="auto"/>
            <w:tcBorders>
              <w:top w:val="single" w:sz="8" w:space="0" w:color="333333"/>
              <w:bottom w:val="double" w:sz="6" w:space="0" w:color="333333"/>
            </w:tcBorders>
            <w:shd w:val="clear" w:color="auto" w:fill="auto"/>
            <w:tcMar>
              <w:top w:w="40" w:type="dxa"/>
              <w:left w:w="20" w:type="dxa"/>
              <w:bottom w:w="40" w:type="dxa"/>
            </w:tcMar>
            <w:vAlign w:val="bottom"/>
          </w:tcPr>
          <w:p w14:paraId="36CA1B26" w14:textId="77777777" w:rsidR="00787570" w:rsidRDefault="000D56E2">
            <w:pPr>
              <w:textAlignment w:val="bottom"/>
            </w:pPr>
            <w:r>
              <w:rPr>
                <w:rFonts w:ascii="Arial" w:eastAsia="宋体" w:hAnsi="Arial" w:cs="Arial"/>
                <w:b/>
                <w:bCs/>
                <w:color w:val="0071C5"/>
                <w:sz w:val="18"/>
                <w:szCs w:val="18"/>
              </w:rPr>
              <w:t>$</w:t>
            </w:r>
          </w:p>
        </w:tc>
        <w:tc>
          <w:tcPr>
            <w:tcW w:w="0" w:type="auto"/>
            <w:tcBorders>
              <w:top w:val="single" w:sz="8" w:space="0" w:color="333333"/>
              <w:bottom w:val="double" w:sz="6" w:space="0" w:color="333333"/>
            </w:tcBorders>
            <w:shd w:val="clear" w:color="auto" w:fill="auto"/>
            <w:tcMar>
              <w:top w:w="40" w:type="dxa"/>
              <w:bottom w:w="40" w:type="dxa"/>
              <w:right w:w="0" w:type="dxa"/>
            </w:tcMar>
            <w:vAlign w:val="bottom"/>
          </w:tcPr>
          <w:p w14:paraId="36CA1B27" w14:textId="77777777" w:rsidR="00787570" w:rsidRDefault="000D56E2">
            <w:pPr>
              <w:jc w:val="right"/>
              <w:textAlignment w:val="bottom"/>
            </w:pPr>
            <w:r>
              <w:rPr>
                <w:rFonts w:ascii="Arial" w:eastAsia="宋体" w:hAnsi="Arial" w:cs="Arial"/>
                <w:b/>
                <w:bCs/>
                <w:color w:val="0071C5"/>
                <w:sz w:val="18"/>
                <w:szCs w:val="18"/>
              </w:rPr>
              <w:t>15,382</w:t>
            </w:r>
            <w:r>
              <w:rPr>
                <w:rFonts w:ascii="Arial" w:eastAsia="宋体" w:hAnsi="Arial" w:cs="Arial"/>
                <w:color w:val="0071C5"/>
                <w:sz w:val="18"/>
                <w:szCs w:val="18"/>
              </w:rPr>
              <w:t> </w:t>
            </w:r>
          </w:p>
        </w:tc>
        <w:tc>
          <w:tcPr>
            <w:tcW w:w="0" w:type="auto"/>
            <w:tcBorders>
              <w:top w:val="single" w:sz="8" w:space="0" w:color="333333"/>
              <w:bottom w:val="double" w:sz="6" w:space="0" w:color="333333"/>
            </w:tcBorders>
            <w:shd w:val="clear" w:color="auto" w:fill="auto"/>
            <w:tcMar>
              <w:top w:w="40" w:type="dxa"/>
              <w:bottom w:w="40" w:type="dxa"/>
              <w:right w:w="20" w:type="dxa"/>
            </w:tcMar>
            <w:vAlign w:val="bottom"/>
          </w:tcPr>
          <w:p w14:paraId="36CA1B28"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1B29" w14:textId="77777777" w:rsidR="00787570" w:rsidRDefault="00787570">
            <w:pPr>
              <w:rPr>
                <w:rFonts w:ascii="宋体"/>
              </w:rPr>
            </w:pPr>
          </w:p>
        </w:tc>
        <w:tc>
          <w:tcPr>
            <w:tcW w:w="0" w:type="auto"/>
            <w:tcBorders>
              <w:top w:val="single" w:sz="8" w:space="0" w:color="333333"/>
              <w:bottom w:val="double" w:sz="6" w:space="0" w:color="333333"/>
            </w:tcBorders>
            <w:shd w:val="clear" w:color="auto" w:fill="auto"/>
            <w:tcMar>
              <w:top w:w="40" w:type="dxa"/>
              <w:left w:w="20" w:type="dxa"/>
              <w:bottom w:w="40" w:type="dxa"/>
            </w:tcMar>
            <w:vAlign w:val="bottom"/>
          </w:tcPr>
          <w:p w14:paraId="36CA1B2A" w14:textId="77777777" w:rsidR="00787570" w:rsidRDefault="000D56E2">
            <w:pPr>
              <w:textAlignment w:val="bottom"/>
            </w:pPr>
            <w:r>
              <w:rPr>
                <w:rFonts w:ascii="Arial" w:eastAsia="宋体" w:hAnsi="Arial" w:cs="Arial"/>
                <w:b/>
                <w:bCs/>
                <w:color w:val="333333"/>
                <w:sz w:val="18"/>
                <w:szCs w:val="18"/>
              </w:rPr>
              <w:t>$</w:t>
            </w:r>
          </w:p>
        </w:tc>
        <w:tc>
          <w:tcPr>
            <w:tcW w:w="0" w:type="auto"/>
            <w:tcBorders>
              <w:top w:val="single" w:sz="8" w:space="0" w:color="333333"/>
              <w:bottom w:val="double" w:sz="6" w:space="0" w:color="333333"/>
            </w:tcBorders>
            <w:shd w:val="clear" w:color="auto" w:fill="auto"/>
            <w:tcMar>
              <w:top w:w="40" w:type="dxa"/>
              <w:bottom w:w="40" w:type="dxa"/>
              <w:right w:w="0" w:type="dxa"/>
            </w:tcMar>
            <w:vAlign w:val="bottom"/>
          </w:tcPr>
          <w:p w14:paraId="36CA1B2B" w14:textId="77777777" w:rsidR="00787570" w:rsidRDefault="000D56E2">
            <w:pPr>
              <w:jc w:val="right"/>
              <w:textAlignment w:val="bottom"/>
            </w:pPr>
            <w:r>
              <w:rPr>
                <w:rFonts w:ascii="Arial" w:eastAsia="宋体" w:hAnsi="Arial" w:cs="Arial"/>
                <w:b/>
                <w:bCs/>
                <w:color w:val="333333"/>
                <w:sz w:val="18"/>
                <w:szCs w:val="18"/>
              </w:rPr>
              <w:t>14,395</w:t>
            </w:r>
            <w:r>
              <w:rPr>
                <w:rFonts w:ascii="Arial" w:eastAsia="宋体" w:hAnsi="Arial" w:cs="Arial"/>
                <w:color w:val="333333"/>
                <w:sz w:val="18"/>
                <w:szCs w:val="18"/>
              </w:rPr>
              <w:t> </w:t>
            </w:r>
          </w:p>
        </w:tc>
        <w:tc>
          <w:tcPr>
            <w:tcW w:w="0" w:type="auto"/>
            <w:tcBorders>
              <w:top w:val="single" w:sz="8" w:space="0" w:color="333333"/>
              <w:bottom w:val="double" w:sz="6" w:space="0" w:color="333333"/>
            </w:tcBorders>
            <w:shd w:val="clear" w:color="auto" w:fill="auto"/>
            <w:tcMar>
              <w:top w:w="40" w:type="dxa"/>
              <w:bottom w:w="40" w:type="dxa"/>
              <w:right w:w="20" w:type="dxa"/>
            </w:tcMar>
            <w:vAlign w:val="bottom"/>
          </w:tcPr>
          <w:p w14:paraId="36CA1B2C" w14:textId="77777777" w:rsidR="00787570" w:rsidRDefault="00787570">
            <w:pPr>
              <w:jc w:val="right"/>
              <w:rPr>
                <w:rFonts w:ascii="宋体"/>
              </w:rPr>
            </w:pPr>
          </w:p>
        </w:tc>
        <w:tc>
          <w:tcPr>
            <w:tcW w:w="0" w:type="auto"/>
            <w:shd w:val="clear" w:color="auto" w:fill="auto"/>
          </w:tcPr>
          <w:p w14:paraId="36CA1B2D" w14:textId="77777777" w:rsidR="00787570" w:rsidRDefault="00787570">
            <w:pPr>
              <w:rPr>
                <w:rFonts w:ascii="宋体"/>
              </w:rPr>
            </w:pPr>
          </w:p>
        </w:tc>
        <w:tc>
          <w:tcPr>
            <w:tcW w:w="0" w:type="auto"/>
            <w:shd w:val="clear" w:color="auto" w:fill="auto"/>
          </w:tcPr>
          <w:p w14:paraId="36CA1B2E" w14:textId="77777777" w:rsidR="00787570" w:rsidRDefault="00787570">
            <w:pPr>
              <w:rPr>
                <w:rFonts w:ascii="宋体"/>
              </w:rPr>
            </w:pPr>
          </w:p>
        </w:tc>
        <w:tc>
          <w:tcPr>
            <w:tcW w:w="0" w:type="auto"/>
            <w:shd w:val="clear" w:color="auto" w:fill="auto"/>
          </w:tcPr>
          <w:p w14:paraId="36CA1B2F" w14:textId="77777777" w:rsidR="00787570" w:rsidRDefault="00787570">
            <w:pPr>
              <w:rPr>
                <w:rFonts w:ascii="宋体"/>
              </w:rPr>
            </w:pPr>
          </w:p>
        </w:tc>
        <w:tc>
          <w:tcPr>
            <w:tcW w:w="0" w:type="auto"/>
            <w:shd w:val="clear" w:color="auto" w:fill="auto"/>
          </w:tcPr>
          <w:p w14:paraId="36CA1B30" w14:textId="77777777" w:rsidR="00787570" w:rsidRDefault="00787570">
            <w:pPr>
              <w:rPr>
                <w:rFonts w:ascii="宋体"/>
              </w:rPr>
            </w:pPr>
          </w:p>
        </w:tc>
        <w:tc>
          <w:tcPr>
            <w:tcW w:w="0" w:type="auto"/>
            <w:shd w:val="clear" w:color="auto" w:fill="auto"/>
          </w:tcPr>
          <w:p w14:paraId="36CA1B31" w14:textId="77777777" w:rsidR="00787570" w:rsidRDefault="00787570">
            <w:pPr>
              <w:rPr>
                <w:rFonts w:ascii="宋体"/>
              </w:rPr>
            </w:pPr>
          </w:p>
        </w:tc>
        <w:tc>
          <w:tcPr>
            <w:tcW w:w="0" w:type="auto"/>
            <w:shd w:val="clear" w:color="auto" w:fill="auto"/>
          </w:tcPr>
          <w:p w14:paraId="36CA1B32" w14:textId="77777777" w:rsidR="00787570" w:rsidRDefault="00787570">
            <w:pPr>
              <w:rPr>
                <w:rFonts w:ascii="宋体"/>
              </w:rPr>
            </w:pPr>
          </w:p>
        </w:tc>
        <w:tc>
          <w:tcPr>
            <w:tcW w:w="0" w:type="auto"/>
            <w:shd w:val="clear" w:color="auto" w:fill="auto"/>
          </w:tcPr>
          <w:p w14:paraId="36CA1B33" w14:textId="77777777" w:rsidR="00787570" w:rsidRDefault="00787570">
            <w:pPr>
              <w:rPr>
                <w:rFonts w:ascii="宋体"/>
              </w:rPr>
            </w:pPr>
          </w:p>
        </w:tc>
        <w:tc>
          <w:tcPr>
            <w:tcW w:w="0" w:type="auto"/>
            <w:shd w:val="clear" w:color="auto" w:fill="auto"/>
          </w:tcPr>
          <w:p w14:paraId="36CA1B34" w14:textId="77777777" w:rsidR="00787570" w:rsidRDefault="00787570">
            <w:pPr>
              <w:rPr>
                <w:rFonts w:ascii="宋体"/>
              </w:rPr>
            </w:pPr>
          </w:p>
        </w:tc>
        <w:tc>
          <w:tcPr>
            <w:tcW w:w="0" w:type="auto"/>
            <w:shd w:val="clear" w:color="auto" w:fill="auto"/>
          </w:tcPr>
          <w:p w14:paraId="36CA1B35" w14:textId="77777777" w:rsidR="00787570" w:rsidRDefault="00787570">
            <w:pPr>
              <w:rPr>
                <w:rFonts w:ascii="宋体"/>
              </w:rPr>
            </w:pPr>
          </w:p>
        </w:tc>
        <w:tc>
          <w:tcPr>
            <w:tcW w:w="0" w:type="auto"/>
            <w:shd w:val="clear" w:color="auto" w:fill="auto"/>
          </w:tcPr>
          <w:p w14:paraId="36CA1B36" w14:textId="77777777" w:rsidR="00787570" w:rsidRDefault="00787570">
            <w:pPr>
              <w:rPr>
                <w:rFonts w:ascii="宋体"/>
              </w:rPr>
            </w:pPr>
          </w:p>
        </w:tc>
        <w:tc>
          <w:tcPr>
            <w:tcW w:w="0" w:type="auto"/>
            <w:shd w:val="clear" w:color="auto" w:fill="auto"/>
          </w:tcPr>
          <w:p w14:paraId="36CA1B37" w14:textId="77777777" w:rsidR="00787570" w:rsidRDefault="00787570">
            <w:pPr>
              <w:rPr>
                <w:rFonts w:ascii="宋体"/>
              </w:rPr>
            </w:pPr>
          </w:p>
        </w:tc>
        <w:tc>
          <w:tcPr>
            <w:tcW w:w="0" w:type="auto"/>
            <w:shd w:val="clear" w:color="auto" w:fill="auto"/>
          </w:tcPr>
          <w:p w14:paraId="36CA1B38" w14:textId="77777777" w:rsidR="00787570" w:rsidRDefault="00787570">
            <w:pPr>
              <w:rPr>
                <w:rFonts w:ascii="宋体"/>
              </w:rPr>
            </w:pPr>
          </w:p>
        </w:tc>
      </w:tr>
    </w:tbl>
    <w:p w14:paraId="36CA1B3A" w14:textId="77777777" w:rsidR="00787570" w:rsidRDefault="000D56E2">
      <w:pPr>
        <w:spacing w:before="180" w:after="180"/>
      </w:pPr>
      <w:r>
        <w:rPr>
          <w:rFonts w:ascii="Arial" w:eastAsia="宋体" w:hAnsi="Arial" w:cs="Arial"/>
          <w:i/>
          <w:iCs/>
          <w:color w:val="333333"/>
          <w:sz w:val="16"/>
          <w:szCs w:val="16"/>
        </w:rPr>
        <w:t xml:space="preserve">See accompanying notes. </w:t>
      </w:r>
    </w:p>
    <w:tbl>
      <w:tblPr>
        <w:tblW w:w="5000" w:type="pct"/>
        <w:tblCellMar>
          <w:top w:w="15" w:type="dxa"/>
          <w:left w:w="15" w:type="dxa"/>
          <w:bottom w:w="15" w:type="dxa"/>
          <w:right w:w="15" w:type="dxa"/>
        </w:tblCellMar>
        <w:tblLook w:val="04A0" w:firstRow="1" w:lastRow="0" w:firstColumn="1" w:lastColumn="0" w:noHBand="0" w:noVBand="1"/>
      </w:tblPr>
      <w:tblGrid>
        <w:gridCol w:w="86"/>
        <w:gridCol w:w="426"/>
        <w:gridCol w:w="36"/>
        <w:gridCol w:w="62"/>
        <w:gridCol w:w="1676"/>
        <w:gridCol w:w="36"/>
        <w:gridCol w:w="62"/>
        <w:gridCol w:w="3655"/>
        <w:gridCol w:w="36"/>
        <w:gridCol w:w="63"/>
        <w:gridCol w:w="2162"/>
        <w:gridCol w:w="36"/>
      </w:tblGrid>
      <w:tr w:rsidR="00787570" w14:paraId="36CA1B47" w14:textId="77777777">
        <w:tc>
          <w:tcPr>
            <w:tcW w:w="50" w:type="pct"/>
            <w:shd w:val="clear" w:color="auto" w:fill="auto"/>
            <w:vAlign w:val="bottom"/>
          </w:tcPr>
          <w:p w14:paraId="36CA1B3B" w14:textId="77777777" w:rsidR="00787570" w:rsidRDefault="00787570">
            <w:pPr>
              <w:rPr>
                <w:rFonts w:ascii="宋体"/>
              </w:rPr>
            </w:pPr>
          </w:p>
        </w:tc>
        <w:tc>
          <w:tcPr>
            <w:tcW w:w="248" w:type="pct"/>
            <w:shd w:val="clear" w:color="auto" w:fill="auto"/>
            <w:vAlign w:val="bottom"/>
          </w:tcPr>
          <w:p w14:paraId="36CA1B3C" w14:textId="77777777" w:rsidR="00787570" w:rsidRDefault="00787570">
            <w:pPr>
              <w:rPr>
                <w:rFonts w:ascii="宋体"/>
              </w:rPr>
            </w:pPr>
          </w:p>
        </w:tc>
        <w:tc>
          <w:tcPr>
            <w:tcW w:w="5" w:type="pct"/>
            <w:shd w:val="clear" w:color="auto" w:fill="auto"/>
            <w:vAlign w:val="bottom"/>
          </w:tcPr>
          <w:p w14:paraId="36CA1B3D" w14:textId="77777777" w:rsidR="00787570" w:rsidRDefault="00787570">
            <w:pPr>
              <w:rPr>
                <w:rFonts w:ascii="宋体"/>
              </w:rPr>
            </w:pPr>
          </w:p>
        </w:tc>
        <w:tc>
          <w:tcPr>
            <w:tcW w:w="50" w:type="pct"/>
            <w:shd w:val="clear" w:color="auto" w:fill="auto"/>
            <w:vAlign w:val="bottom"/>
          </w:tcPr>
          <w:p w14:paraId="36CA1B3E" w14:textId="77777777" w:rsidR="00787570" w:rsidRDefault="00787570">
            <w:pPr>
              <w:rPr>
                <w:rFonts w:ascii="宋体"/>
              </w:rPr>
            </w:pPr>
          </w:p>
        </w:tc>
        <w:tc>
          <w:tcPr>
            <w:tcW w:w="1018" w:type="pct"/>
            <w:shd w:val="clear" w:color="auto" w:fill="auto"/>
            <w:vAlign w:val="bottom"/>
          </w:tcPr>
          <w:p w14:paraId="36CA1B3F" w14:textId="77777777" w:rsidR="00787570" w:rsidRDefault="00787570">
            <w:pPr>
              <w:rPr>
                <w:rFonts w:ascii="宋体"/>
              </w:rPr>
            </w:pPr>
          </w:p>
        </w:tc>
        <w:tc>
          <w:tcPr>
            <w:tcW w:w="5" w:type="pct"/>
            <w:shd w:val="clear" w:color="auto" w:fill="auto"/>
            <w:vAlign w:val="bottom"/>
          </w:tcPr>
          <w:p w14:paraId="36CA1B40" w14:textId="77777777" w:rsidR="00787570" w:rsidRDefault="00787570">
            <w:pPr>
              <w:rPr>
                <w:rFonts w:ascii="宋体"/>
              </w:rPr>
            </w:pPr>
          </w:p>
        </w:tc>
        <w:tc>
          <w:tcPr>
            <w:tcW w:w="50" w:type="pct"/>
            <w:shd w:val="clear" w:color="auto" w:fill="auto"/>
            <w:vAlign w:val="bottom"/>
          </w:tcPr>
          <w:p w14:paraId="36CA1B41" w14:textId="77777777" w:rsidR="00787570" w:rsidRDefault="00787570">
            <w:pPr>
              <w:rPr>
                <w:rFonts w:ascii="宋体"/>
              </w:rPr>
            </w:pPr>
          </w:p>
        </w:tc>
        <w:tc>
          <w:tcPr>
            <w:tcW w:w="2204" w:type="pct"/>
            <w:shd w:val="clear" w:color="auto" w:fill="auto"/>
            <w:vAlign w:val="bottom"/>
          </w:tcPr>
          <w:p w14:paraId="36CA1B42" w14:textId="77777777" w:rsidR="00787570" w:rsidRDefault="00787570">
            <w:pPr>
              <w:rPr>
                <w:rFonts w:ascii="宋体"/>
              </w:rPr>
            </w:pPr>
          </w:p>
        </w:tc>
        <w:tc>
          <w:tcPr>
            <w:tcW w:w="5" w:type="pct"/>
            <w:shd w:val="clear" w:color="auto" w:fill="auto"/>
            <w:vAlign w:val="bottom"/>
          </w:tcPr>
          <w:p w14:paraId="36CA1B43" w14:textId="77777777" w:rsidR="00787570" w:rsidRDefault="00787570">
            <w:pPr>
              <w:rPr>
                <w:rFonts w:ascii="宋体"/>
              </w:rPr>
            </w:pPr>
          </w:p>
        </w:tc>
        <w:tc>
          <w:tcPr>
            <w:tcW w:w="50" w:type="pct"/>
            <w:shd w:val="clear" w:color="auto" w:fill="auto"/>
            <w:vAlign w:val="bottom"/>
          </w:tcPr>
          <w:p w14:paraId="36CA1B44" w14:textId="77777777" w:rsidR="00787570" w:rsidRDefault="00787570">
            <w:pPr>
              <w:rPr>
                <w:rFonts w:ascii="宋体"/>
              </w:rPr>
            </w:pPr>
          </w:p>
        </w:tc>
        <w:tc>
          <w:tcPr>
            <w:tcW w:w="1308" w:type="pct"/>
            <w:shd w:val="clear" w:color="auto" w:fill="auto"/>
            <w:vAlign w:val="bottom"/>
          </w:tcPr>
          <w:p w14:paraId="36CA1B45" w14:textId="77777777" w:rsidR="00787570" w:rsidRDefault="00787570">
            <w:pPr>
              <w:rPr>
                <w:rFonts w:ascii="宋体"/>
              </w:rPr>
            </w:pPr>
          </w:p>
        </w:tc>
        <w:tc>
          <w:tcPr>
            <w:tcW w:w="5" w:type="pct"/>
            <w:shd w:val="clear" w:color="auto" w:fill="auto"/>
            <w:vAlign w:val="bottom"/>
          </w:tcPr>
          <w:p w14:paraId="36CA1B46" w14:textId="77777777" w:rsidR="00787570" w:rsidRDefault="00787570">
            <w:pPr>
              <w:rPr>
                <w:rFonts w:ascii="宋体"/>
              </w:rPr>
            </w:pPr>
          </w:p>
        </w:tc>
      </w:tr>
      <w:tr w:rsidR="00787570" w14:paraId="36CA1B4C" w14:textId="77777777">
        <w:tc>
          <w:tcPr>
            <w:tcW w:w="0" w:type="auto"/>
            <w:gridSpan w:val="3"/>
            <w:tcBorders>
              <w:top w:val="single" w:sz="8" w:space="0" w:color="0071C5"/>
            </w:tcBorders>
            <w:shd w:val="clear" w:color="auto" w:fill="auto"/>
            <w:tcMar>
              <w:left w:w="20" w:type="dxa"/>
              <w:right w:w="20" w:type="dxa"/>
            </w:tcMar>
            <w:vAlign w:val="center"/>
          </w:tcPr>
          <w:p w14:paraId="36CA1B48" w14:textId="77777777" w:rsidR="00787570" w:rsidRDefault="000D56E2">
            <w:pPr>
              <w:textAlignment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Viewer9_files/intc-20200926_g2.jpg"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36CA5BF7" wp14:editId="36CA5BF8">
                  <wp:extent cx="304800" cy="304800"/>
                  <wp:effectExtent l="0" t="0" r="0" b="0"/>
                  <wp:docPr id="110" name="图片 51" descr="IMG_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图片 51" descr="IMG_329"/>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8" w:space="0" w:color="0071C5"/>
            </w:tcBorders>
            <w:shd w:val="clear" w:color="auto" w:fill="auto"/>
            <w:tcMar>
              <w:top w:w="40" w:type="dxa"/>
              <w:left w:w="20" w:type="dxa"/>
              <w:bottom w:w="40" w:type="dxa"/>
              <w:right w:w="20" w:type="dxa"/>
            </w:tcMar>
            <w:vAlign w:val="center"/>
          </w:tcPr>
          <w:p w14:paraId="36CA1B49" w14:textId="77777777" w:rsidR="00787570" w:rsidRDefault="000D56E2">
            <w:pPr>
              <w:textAlignment w:val="center"/>
            </w:pPr>
            <w:r>
              <w:rPr>
                <w:rFonts w:ascii="Arial" w:eastAsia="宋体" w:hAnsi="Arial" w:cs="Arial"/>
                <w:color w:val="333333"/>
                <w:sz w:val="16"/>
                <w:szCs w:val="16"/>
              </w:rPr>
              <w:t> FINANCIAL STATEMENTS</w:t>
            </w:r>
          </w:p>
        </w:tc>
        <w:tc>
          <w:tcPr>
            <w:tcW w:w="0" w:type="auto"/>
            <w:gridSpan w:val="3"/>
            <w:tcBorders>
              <w:top w:val="single" w:sz="8" w:space="0" w:color="0071C5"/>
              <w:left w:val="single" w:sz="24" w:space="0" w:color="0071C5"/>
            </w:tcBorders>
            <w:shd w:val="clear" w:color="auto" w:fill="auto"/>
            <w:tcMar>
              <w:top w:w="40" w:type="dxa"/>
              <w:left w:w="20" w:type="dxa"/>
              <w:bottom w:w="40" w:type="dxa"/>
              <w:right w:w="20" w:type="dxa"/>
            </w:tcMar>
            <w:vAlign w:val="center"/>
          </w:tcPr>
          <w:p w14:paraId="36CA1B4A" w14:textId="77777777" w:rsidR="00787570" w:rsidRDefault="000D56E2">
            <w:pPr>
              <w:textAlignment w:val="center"/>
            </w:pPr>
            <w:r>
              <w:rPr>
                <w:rFonts w:ascii="Arial" w:eastAsia="宋体" w:hAnsi="Arial" w:cs="Arial"/>
                <w:color w:val="333333"/>
                <w:sz w:val="16"/>
                <w:szCs w:val="16"/>
              </w:rPr>
              <w:t>  Consolidated Condensed Statements of Comprehensive Income</w:t>
            </w:r>
          </w:p>
        </w:tc>
        <w:tc>
          <w:tcPr>
            <w:tcW w:w="0" w:type="auto"/>
            <w:gridSpan w:val="3"/>
            <w:tcBorders>
              <w:top w:val="single" w:sz="8" w:space="0" w:color="0071C5"/>
            </w:tcBorders>
            <w:shd w:val="clear" w:color="auto" w:fill="auto"/>
            <w:tcMar>
              <w:top w:w="40" w:type="dxa"/>
              <w:left w:w="20" w:type="dxa"/>
              <w:bottom w:w="40" w:type="dxa"/>
              <w:right w:w="20" w:type="dxa"/>
            </w:tcMar>
            <w:vAlign w:val="center"/>
          </w:tcPr>
          <w:p w14:paraId="36CA1B4B" w14:textId="77777777" w:rsidR="00787570" w:rsidRDefault="000D56E2">
            <w:pPr>
              <w:jc w:val="right"/>
              <w:textAlignment w:val="center"/>
            </w:pPr>
            <w:r>
              <w:rPr>
                <w:rFonts w:ascii="Arial" w:eastAsia="宋体" w:hAnsi="Arial" w:cs="Arial"/>
                <w:color w:val="333333"/>
                <w:sz w:val="16"/>
                <w:szCs w:val="16"/>
              </w:rPr>
              <w:t>6</w:t>
            </w:r>
          </w:p>
        </w:tc>
      </w:tr>
    </w:tbl>
    <w:p w14:paraId="36CA1B4D" w14:textId="77777777" w:rsidR="00787570" w:rsidRDefault="000D56E2">
      <w:r>
        <w:pict w14:anchorId="36CA5BF9">
          <v:rect id="_x0000_i1032" style="width:415.3pt;height:1.5pt" o:hralign="center" o:hrstd="t" o:hr="t" fillcolor="#a0a0a0" stroked="f"/>
        </w:pict>
      </w:r>
    </w:p>
    <w:p w14:paraId="36CA1B4E" w14:textId="77777777" w:rsidR="00787570" w:rsidRDefault="000D56E2">
      <w:pPr>
        <w:spacing w:after="180"/>
        <w:jc w:val="right"/>
      </w:pPr>
      <w:hyperlink r:id="rId34" w:anchor="i32771df14e9449d2bec5be911426bf04_7" w:history="1">
        <w:r>
          <w:rPr>
            <w:rStyle w:val="a5"/>
            <w:rFonts w:ascii="Arial" w:eastAsia="宋体" w:hAnsi="Arial" w:cs="Arial"/>
            <w:b/>
            <w:bCs/>
            <w:sz w:val="16"/>
            <w:szCs w:val="16"/>
          </w:rPr>
          <w:t>Table of Contents</w:t>
        </w:r>
      </w:hyperlink>
    </w:p>
    <w:p w14:paraId="36CA1B4F" w14:textId="77777777" w:rsidR="00787570" w:rsidRDefault="00787570">
      <w:pPr>
        <w:spacing w:after="180"/>
        <w:jc w:val="right"/>
      </w:pP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8231"/>
        <w:gridCol w:w="36"/>
      </w:tblGrid>
      <w:tr w:rsidR="00787570" w14:paraId="36CA1B53" w14:textId="77777777">
        <w:trPr>
          <w:jc w:val="center"/>
        </w:trPr>
        <w:tc>
          <w:tcPr>
            <w:tcW w:w="50" w:type="pct"/>
            <w:shd w:val="clear" w:color="auto" w:fill="auto"/>
          </w:tcPr>
          <w:p w14:paraId="36CA1B50" w14:textId="77777777" w:rsidR="00787570" w:rsidRDefault="00787570">
            <w:pPr>
              <w:rPr>
                <w:rFonts w:ascii="宋体"/>
              </w:rPr>
            </w:pPr>
          </w:p>
        </w:tc>
        <w:tc>
          <w:tcPr>
            <w:tcW w:w="4945" w:type="pct"/>
            <w:shd w:val="clear" w:color="auto" w:fill="auto"/>
          </w:tcPr>
          <w:p w14:paraId="36CA1B51" w14:textId="77777777" w:rsidR="00787570" w:rsidRDefault="00787570">
            <w:pPr>
              <w:rPr>
                <w:rFonts w:ascii="宋体"/>
              </w:rPr>
            </w:pPr>
          </w:p>
        </w:tc>
        <w:tc>
          <w:tcPr>
            <w:tcW w:w="5" w:type="pct"/>
            <w:shd w:val="clear" w:color="auto" w:fill="auto"/>
          </w:tcPr>
          <w:p w14:paraId="36CA1B52" w14:textId="77777777" w:rsidR="00787570" w:rsidRDefault="00787570">
            <w:pPr>
              <w:rPr>
                <w:rFonts w:ascii="宋体"/>
              </w:rPr>
            </w:pPr>
          </w:p>
        </w:tc>
      </w:tr>
      <w:tr w:rsidR="00787570" w14:paraId="36CA1B55" w14:textId="77777777">
        <w:trPr>
          <w:jc w:val="center"/>
        </w:trPr>
        <w:tc>
          <w:tcPr>
            <w:tcW w:w="0" w:type="auto"/>
            <w:gridSpan w:val="3"/>
            <w:shd w:val="clear" w:color="auto" w:fill="0071C5"/>
            <w:tcMar>
              <w:top w:w="40" w:type="dxa"/>
              <w:left w:w="20" w:type="dxa"/>
              <w:bottom w:w="40" w:type="dxa"/>
              <w:right w:w="20" w:type="dxa"/>
            </w:tcMar>
            <w:vAlign w:val="center"/>
          </w:tcPr>
          <w:p w14:paraId="36CA1B54" w14:textId="77777777" w:rsidR="00787570" w:rsidRDefault="000D56E2">
            <w:pPr>
              <w:textAlignment w:val="center"/>
            </w:pPr>
            <w:r>
              <w:rPr>
                <w:rFonts w:ascii="Arial" w:eastAsia="宋体" w:hAnsi="Arial" w:cs="Arial"/>
                <w:b/>
                <w:bCs/>
                <w:color w:val="FFFFFF"/>
                <w:sz w:val="28"/>
                <w:szCs w:val="28"/>
              </w:rPr>
              <w:t xml:space="preserve">CONSOLIDATED CONDENSED BALANCE SHEETS </w:t>
            </w:r>
          </w:p>
        </w:tc>
      </w:tr>
    </w:tbl>
    <w:p w14:paraId="36CA1B56" w14:textId="77777777" w:rsidR="00787570" w:rsidRDefault="00787570">
      <w:pPr>
        <w:rPr>
          <w:vanish/>
        </w:rPr>
      </w:pPr>
    </w:p>
    <w:tbl>
      <w:tblPr>
        <w:tblW w:w="4993" w:type="pct"/>
        <w:tblCellMar>
          <w:top w:w="15" w:type="dxa"/>
          <w:left w:w="15" w:type="dxa"/>
          <w:bottom w:w="15" w:type="dxa"/>
          <w:right w:w="15" w:type="dxa"/>
        </w:tblCellMar>
        <w:tblLook w:val="04A0" w:firstRow="1" w:lastRow="0" w:firstColumn="1" w:lastColumn="0" w:noHBand="0" w:noVBand="1"/>
      </w:tblPr>
      <w:tblGrid>
        <w:gridCol w:w="40"/>
        <w:gridCol w:w="6076"/>
        <w:gridCol w:w="38"/>
        <w:gridCol w:w="36"/>
        <w:gridCol w:w="36"/>
        <w:gridCol w:w="36"/>
        <w:gridCol w:w="137"/>
        <w:gridCol w:w="864"/>
        <w:gridCol w:w="42"/>
        <w:gridCol w:w="36"/>
        <w:gridCol w:w="36"/>
        <w:gridCol w:w="36"/>
        <w:gridCol w:w="136"/>
        <w:gridCol w:w="734"/>
        <w:gridCol w:w="41"/>
      </w:tblGrid>
      <w:tr w:rsidR="00787570" w14:paraId="36CA1B66" w14:textId="77777777">
        <w:tc>
          <w:tcPr>
            <w:tcW w:w="50" w:type="pct"/>
            <w:shd w:val="clear" w:color="auto" w:fill="auto"/>
          </w:tcPr>
          <w:p w14:paraId="36CA1B57" w14:textId="77777777" w:rsidR="00787570" w:rsidRDefault="00787570">
            <w:pPr>
              <w:rPr>
                <w:rFonts w:ascii="宋体"/>
              </w:rPr>
            </w:pPr>
          </w:p>
        </w:tc>
        <w:tc>
          <w:tcPr>
            <w:tcW w:w="3686" w:type="pct"/>
            <w:shd w:val="clear" w:color="auto" w:fill="auto"/>
          </w:tcPr>
          <w:p w14:paraId="36CA1B58" w14:textId="77777777" w:rsidR="00787570" w:rsidRDefault="00787570">
            <w:pPr>
              <w:rPr>
                <w:rFonts w:ascii="宋体"/>
              </w:rPr>
            </w:pPr>
          </w:p>
        </w:tc>
        <w:tc>
          <w:tcPr>
            <w:tcW w:w="5" w:type="pct"/>
            <w:shd w:val="clear" w:color="auto" w:fill="auto"/>
          </w:tcPr>
          <w:p w14:paraId="36CA1B59" w14:textId="77777777" w:rsidR="00787570" w:rsidRDefault="00787570">
            <w:pPr>
              <w:rPr>
                <w:rFonts w:ascii="宋体"/>
              </w:rPr>
            </w:pPr>
          </w:p>
        </w:tc>
        <w:tc>
          <w:tcPr>
            <w:tcW w:w="5" w:type="pct"/>
            <w:shd w:val="clear" w:color="auto" w:fill="auto"/>
          </w:tcPr>
          <w:p w14:paraId="36CA1B5A" w14:textId="77777777" w:rsidR="00787570" w:rsidRDefault="00787570">
            <w:pPr>
              <w:rPr>
                <w:rFonts w:ascii="宋体"/>
              </w:rPr>
            </w:pPr>
          </w:p>
        </w:tc>
        <w:tc>
          <w:tcPr>
            <w:tcW w:w="24" w:type="pct"/>
            <w:shd w:val="clear" w:color="auto" w:fill="auto"/>
          </w:tcPr>
          <w:p w14:paraId="36CA1B5B" w14:textId="77777777" w:rsidR="00787570" w:rsidRDefault="00787570">
            <w:pPr>
              <w:rPr>
                <w:rFonts w:ascii="宋体"/>
              </w:rPr>
            </w:pPr>
          </w:p>
        </w:tc>
        <w:tc>
          <w:tcPr>
            <w:tcW w:w="5" w:type="pct"/>
            <w:shd w:val="clear" w:color="auto" w:fill="auto"/>
          </w:tcPr>
          <w:p w14:paraId="36CA1B5C" w14:textId="77777777" w:rsidR="00787570" w:rsidRDefault="00787570">
            <w:pPr>
              <w:rPr>
                <w:rFonts w:ascii="宋体"/>
              </w:rPr>
            </w:pPr>
          </w:p>
        </w:tc>
        <w:tc>
          <w:tcPr>
            <w:tcW w:w="50" w:type="pct"/>
            <w:shd w:val="clear" w:color="auto" w:fill="auto"/>
          </w:tcPr>
          <w:p w14:paraId="36CA1B5D" w14:textId="77777777" w:rsidR="00787570" w:rsidRDefault="00787570">
            <w:pPr>
              <w:rPr>
                <w:rFonts w:ascii="宋体"/>
              </w:rPr>
            </w:pPr>
          </w:p>
        </w:tc>
        <w:tc>
          <w:tcPr>
            <w:tcW w:w="540" w:type="pct"/>
            <w:shd w:val="clear" w:color="auto" w:fill="auto"/>
          </w:tcPr>
          <w:p w14:paraId="36CA1B5E" w14:textId="77777777" w:rsidR="00787570" w:rsidRDefault="00787570">
            <w:pPr>
              <w:rPr>
                <w:rFonts w:ascii="宋体"/>
              </w:rPr>
            </w:pPr>
          </w:p>
        </w:tc>
        <w:tc>
          <w:tcPr>
            <w:tcW w:w="5" w:type="pct"/>
            <w:shd w:val="clear" w:color="auto" w:fill="auto"/>
          </w:tcPr>
          <w:p w14:paraId="36CA1B5F" w14:textId="77777777" w:rsidR="00787570" w:rsidRDefault="00787570">
            <w:pPr>
              <w:rPr>
                <w:rFonts w:ascii="宋体"/>
              </w:rPr>
            </w:pPr>
          </w:p>
        </w:tc>
        <w:tc>
          <w:tcPr>
            <w:tcW w:w="5" w:type="pct"/>
            <w:shd w:val="clear" w:color="auto" w:fill="auto"/>
          </w:tcPr>
          <w:p w14:paraId="36CA1B60" w14:textId="77777777" w:rsidR="00787570" w:rsidRDefault="00787570">
            <w:pPr>
              <w:rPr>
                <w:rFonts w:ascii="宋体"/>
              </w:rPr>
            </w:pPr>
          </w:p>
        </w:tc>
        <w:tc>
          <w:tcPr>
            <w:tcW w:w="24" w:type="pct"/>
            <w:shd w:val="clear" w:color="auto" w:fill="auto"/>
          </w:tcPr>
          <w:p w14:paraId="36CA1B61" w14:textId="77777777" w:rsidR="00787570" w:rsidRDefault="00787570">
            <w:pPr>
              <w:rPr>
                <w:rFonts w:ascii="宋体"/>
              </w:rPr>
            </w:pPr>
          </w:p>
        </w:tc>
        <w:tc>
          <w:tcPr>
            <w:tcW w:w="5" w:type="pct"/>
            <w:shd w:val="clear" w:color="auto" w:fill="auto"/>
          </w:tcPr>
          <w:p w14:paraId="36CA1B62" w14:textId="77777777" w:rsidR="00787570" w:rsidRDefault="00787570">
            <w:pPr>
              <w:rPr>
                <w:rFonts w:ascii="宋体"/>
              </w:rPr>
            </w:pPr>
          </w:p>
        </w:tc>
        <w:tc>
          <w:tcPr>
            <w:tcW w:w="50" w:type="pct"/>
            <w:shd w:val="clear" w:color="auto" w:fill="auto"/>
          </w:tcPr>
          <w:p w14:paraId="36CA1B63" w14:textId="77777777" w:rsidR="00787570" w:rsidRDefault="00787570">
            <w:pPr>
              <w:rPr>
                <w:rFonts w:ascii="宋体"/>
              </w:rPr>
            </w:pPr>
          </w:p>
        </w:tc>
        <w:tc>
          <w:tcPr>
            <w:tcW w:w="540" w:type="pct"/>
            <w:shd w:val="clear" w:color="auto" w:fill="auto"/>
          </w:tcPr>
          <w:p w14:paraId="36CA1B64" w14:textId="77777777" w:rsidR="00787570" w:rsidRDefault="00787570">
            <w:pPr>
              <w:rPr>
                <w:rFonts w:ascii="宋体"/>
              </w:rPr>
            </w:pPr>
          </w:p>
        </w:tc>
        <w:tc>
          <w:tcPr>
            <w:tcW w:w="5" w:type="pct"/>
            <w:shd w:val="clear" w:color="auto" w:fill="auto"/>
          </w:tcPr>
          <w:p w14:paraId="36CA1B65" w14:textId="77777777" w:rsidR="00787570" w:rsidRDefault="00787570">
            <w:pPr>
              <w:rPr>
                <w:rFonts w:ascii="宋体"/>
              </w:rPr>
            </w:pPr>
          </w:p>
        </w:tc>
      </w:tr>
      <w:tr w:rsidR="00787570" w14:paraId="36CA1B6C" w14:textId="77777777">
        <w:tc>
          <w:tcPr>
            <w:tcW w:w="0" w:type="auto"/>
            <w:gridSpan w:val="3"/>
            <w:shd w:val="clear" w:color="auto" w:fill="auto"/>
            <w:tcMar>
              <w:top w:w="40" w:type="dxa"/>
              <w:left w:w="20" w:type="dxa"/>
              <w:bottom w:w="40" w:type="dxa"/>
              <w:right w:w="20" w:type="dxa"/>
            </w:tcMar>
            <w:vAlign w:val="bottom"/>
          </w:tcPr>
          <w:p w14:paraId="36CA1B67" w14:textId="77777777" w:rsidR="00787570" w:rsidRDefault="000D56E2">
            <w:pPr>
              <w:ind w:hanging="180"/>
              <w:textAlignment w:val="bottom"/>
            </w:pPr>
            <w:r>
              <w:rPr>
                <w:rFonts w:ascii="Arial" w:eastAsia="宋体" w:hAnsi="Arial" w:cs="Arial"/>
                <w:b/>
                <w:bCs/>
                <w:color w:val="333333"/>
                <w:sz w:val="18"/>
                <w:szCs w:val="18"/>
              </w:rPr>
              <w:t>(In Millions)</w:t>
            </w:r>
          </w:p>
        </w:tc>
        <w:tc>
          <w:tcPr>
            <w:tcW w:w="0" w:type="auto"/>
            <w:gridSpan w:val="3"/>
            <w:shd w:val="clear" w:color="auto" w:fill="auto"/>
            <w:tcMar>
              <w:left w:w="20" w:type="dxa"/>
              <w:right w:w="20" w:type="dxa"/>
            </w:tcMar>
            <w:vAlign w:val="bottom"/>
          </w:tcPr>
          <w:p w14:paraId="36CA1B68" w14:textId="77777777" w:rsidR="00787570" w:rsidRDefault="00787570">
            <w:pPr>
              <w:rPr>
                <w:rFonts w:ascii="宋体"/>
              </w:rPr>
            </w:pPr>
          </w:p>
        </w:tc>
        <w:tc>
          <w:tcPr>
            <w:tcW w:w="0" w:type="auto"/>
            <w:gridSpan w:val="3"/>
            <w:shd w:val="clear" w:color="auto" w:fill="auto"/>
            <w:tcMar>
              <w:top w:w="40" w:type="dxa"/>
              <w:left w:w="20" w:type="dxa"/>
              <w:bottom w:w="40" w:type="dxa"/>
              <w:right w:w="20" w:type="dxa"/>
            </w:tcMar>
            <w:vAlign w:val="bottom"/>
          </w:tcPr>
          <w:p w14:paraId="36CA1B69" w14:textId="77777777" w:rsidR="00787570" w:rsidRDefault="000D56E2">
            <w:pPr>
              <w:jc w:val="center"/>
              <w:textAlignment w:val="bottom"/>
            </w:pPr>
            <w:r>
              <w:rPr>
                <w:rFonts w:ascii="Arial" w:eastAsia="宋体" w:hAnsi="Arial" w:cs="Arial"/>
                <w:b/>
                <w:bCs/>
                <w:color w:val="333333"/>
                <w:sz w:val="18"/>
                <w:szCs w:val="18"/>
              </w:rPr>
              <w:t xml:space="preserve">Sep </w:t>
            </w:r>
            <w:r>
              <w:rPr>
                <w:rFonts w:ascii="Arial" w:eastAsia="宋体" w:hAnsi="Arial" w:cs="Arial"/>
                <w:b/>
                <w:bCs/>
                <w:color w:val="333333"/>
                <w:sz w:val="18"/>
                <w:szCs w:val="18"/>
              </w:rPr>
              <w:t>26, 2020</w:t>
            </w:r>
          </w:p>
        </w:tc>
        <w:tc>
          <w:tcPr>
            <w:tcW w:w="0" w:type="auto"/>
            <w:gridSpan w:val="3"/>
            <w:shd w:val="clear" w:color="auto" w:fill="auto"/>
            <w:tcMar>
              <w:left w:w="20" w:type="dxa"/>
              <w:right w:w="20" w:type="dxa"/>
            </w:tcMar>
            <w:vAlign w:val="bottom"/>
          </w:tcPr>
          <w:p w14:paraId="36CA1B6A" w14:textId="77777777" w:rsidR="00787570" w:rsidRDefault="00787570">
            <w:pPr>
              <w:rPr>
                <w:rFonts w:ascii="宋体"/>
              </w:rPr>
            </w:pPr>
          </w:p>
        </w:tc>
        <w:tc>
          <w:tcPr>
            <w:tcW w:w="0" w:type="auto"/>
            <w:gridSpan w:val="3"/>
            <w:shd w:val="clear" w:color="auto" w:fill="auto"/>
            <w:tcMar>
              <w:top w:w="40" w:type="dxa"/>
              <w:left w:w="20" w:type="dxa"/>
              <w:bottom w:w="40" w:type="dxa"/>
              <w:right w:w="20" w:type="dxa"/>
            </w:tcMar>
            <w:vAlign w:val="bottom"/>
          </w:tcPr>
          <w:p w14:paraId="36CA1B6B" w14:textId="77777777" w:rsidR="00787570" w:rsidRDefault="000D56E2">
            <w:pPr>
              <w:jc w:val="center"/>
              <w:textAlignment w:val="bottom"/>
            </w:pPr>
            <w:r>
              <w:rPr>
                <w:rFonts w:ascii="Arial" w:eastAsia="宋体" w:hAnsi="Arial" w:cs="Arial"/>
                <w:b/>
                <w:bCs/>
                <w:color w:val="333333"/>
                <w:sz w:val="18"/>
                <w:szCs w:val="18"/>
              </w:rPr>
              <w:t>Dec 28, 2019</w:t>
            </w:r>
          </w:p>
        </w:tc>
      </w:tr>
      <w:tr w:rsidR="00787570" w14:paraId="36CA1B72" w14:textId="77777777">
        <w:tc>
          <w:tcPr>
            <w:tcW w:w="0" w:type="auto"/>
            <w:gridSpan w:val="3"/>
            <w:tcBorders>
              <w:top w:val="single" w:sz="8" w:space="0" w:color="0071C5"/>
            </w:tcBorders>
            <w:shd w:val="clear" w:color="auto" w:fill="auto"/>
            <w:tcMar>
              <w:left w:w="20" w:type="dxa"/>
              <w:right w:w="20" w:type="dxa"/>
            </w:tcMar>
            <w:vAlign w:val="bottom"/>
          </w:tcPr>
          <w:p w14:paraId="36CA1B6D"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1B6E" w14:textId="77777777" w:rsidR="00787570" w:rsidRDefault="00787570">
            <w:pPr>
              <w:rPr>
                <w:rFonts w:ascii="宋体"/>
              </w:rPr>
            </w:pPr>
          </w:p>
        </w:tc>
        <w:tc>
          <w:tcPr>
            <w:tcW w:w="0" w:type="auto"/>
            <w:gridSpan w:val="3"/>
            <w:tcBorders>
              <w:top w:val="single" w:sz="8" w:space="0" w:color="0071C5"/>
            </w:tcBorders>
            <w:shd w:val="clear" w:color="auto" w:fill="auto"/>
            <w:tcMar>
              <w:top w:w="40" w:type="dxa"/>
              <w:left w:w="20" w:type="dxa"/>
              <w:bottom w:w="40" w:type="dxa"/>
              <w:right w:w="20" w:type="dxa"/>
            </w:tcMar>
            <w:vAlign w:val="bottom"/>
          </w:tcPr>
          <w:p w14:paraId="36CA1B6F" w14:textId="77777777" w:rsidR="00787570" w:rsidRDefault="000D56E2">
            <w:pPr>
              <w:jc w:val="center"/>
              <w:textAlignment w:val="bottom"/>
            </w:pPr>
            <w:r>
              <w:rPr>
                <w:rFonts w:ascii="Arial" w:eastAsia="宋体" w:hAnsi="Arial" w:cs="Arial"/>
                <w:color w:val="333333"/>
                <w:sz w:val="18"/>
                <w:szCs w:val="18"/>
              </w:rPr>
              <w:t>(unaudited)</w:t>
            </w:r>
          </w:p>
        </w:tc>
        <w:tc>
          <w:tcPr>
            <w:tcW w:w="0" w:type="auto"/>
            <w:gridSpan w:val="3"/>
            <w:shd w:val="clear" w:color="auto" w:fill="auto"/>
            <w:tcMar>
              <w:left w:w="20" w:type="dxa"/>
              <w:right w:w="20" w:type="dxa"/>
            </w:tcMar>
            <w:vAlign w:val="bottom"/>
          </w:tcPr>
          <w:p w14:paraId="36CA1B70" w14:textId="77777777" w:rsidR="00787570" w:rsidRDefault="00787570">
            <w:pPr>
              <w:rPr>
                <w:rFonts w:ascii="宋体"/>
              </w:rPr>
            </w:pPr>
          </w:p>
        </w:tc>
        <w:tc>
          <w:tcPr>
            <w:tcW w:w="0" w:type="auto"/>
            <w:gridSpan w:val="3"/>
            <w:tcBorders>
              <w:top w:val="single" w:sz="8" w:space="0" w:color="0071C5"/>
            </w:tcBorders>
            <w:shd w:val="clear" w:color="auto" w:fill="auto"/>
            <w:tcMar>
              <w:left w:w="20" w:type="dxa"/>
              <w:right w:w="20" w:type="dxa"/>
            </w:tcMar>
            <w:vAlign w:val="bottom"/>
          </w:tcPr>
          <w:p w14:paraId="36CA1B71" w14:textId="77777777" w:rsidR="00787570" w:rsidRDefault="00787570">
            <w:pPr>
              <w:rPr>
                <w:rFonts w:ascii="宋体"/>
              </w:rPr>
            </w:pPr>
          </w:p>
        </w:tc>
      </w:tr>
      <w:tr w:rsidR="00787570" w14:paraId="36CA1B78" w14:textId="77777777">
        <w:tc>
          <w:tcPr>
            <w:tcW w:w="0" w:type="auto"/>
            <w:gridSpan w:val="3"/>
            <w:shd w:val="clear" w:color="auto" w:fill="auto"/>
            <w:tcMar>
              <w:top w:w="40" w:type="dxa"/>
              <w:left w:w="20" w:type="dxa"/>
              <w:bottom w:w="40" w:type="dxa"/>
              <w:right w:w="20" w:type="dxa"/>
            </w:tcMar>
          </w:tcPr>
          <w:p w14:paraId="36CA1B73" w14:textId="77777777" w:rsidR="00787570" w:rsidRDefault="000D56E2">
            <w:pPr>
              <w:ind w:hanging="180"/>
              <w:textAlignment w:val="top"/>
            </w:pPr>
            <w:r>
              <w:rPr>
                <w:rFonts w:ascii="Arial" w:eastAsia="宋体" w:hAnsi="Arial" w:cs="Arial"/>
                <w:b/>
                <w:bCs/>
                <w:color w:val="333333"/>
                <w:sz w:val="18"/>
                <w:szCs w:val="18"/>
              </w:rPr>
              <w:t>Assets</w:t>
            </w:r>
          </w:p>
        </w:tc>
        <w:tc>
          <w:tcPr>
            <w:tcW w:w="0" w:type="auto"/>
            <w:gridSpan w:val="3"/>
            <w:shd w:val="clear" w:color="auto" w:fill="auto"/>
            <w:tcMar>
              <w:left w:w="20" w:type="dxa"/>
              <w:right w:w="20" w:type="dxa"/>
            </w:tcMar>
            <w:vAlign w:val="bottom"/>
          </w:tcPr>
          <w:p w14:paraId="36CA1B74"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1B75"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1B76"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1B77" w14:textId="77777777" w:rsidR="00787570" w:rsidRDefault="00787570">
            <w:pPr>
              <w:rPr>
                <w:rFonts w:ascii="宋体"/>
              </w:rPr>
            </w:pPr>
          </w:p>
        </w:tc>
      </w:tr>
      <w:tr w:rsidR="00787570" w14:paraId="36CA1B7E" w14:textId="77777777">
        <w:tc>
          <w:tcPr>
            <w:tcW w:w="0" w:type="auto"/>
            <w:gridSpan w:val="3"/>
            <w:shd w:val="clear" w:color="auto" w:fill="auto"/>
            <w:tcMar>
              <w:top w:w="40" w:type="dxa"/>
              <w:left w:w="20" w:type="dxa"/>
              <w:bottom w:w="40" w:type="dxa"/>
              <w:right w:w="20" w:type="dxa"/>
            </w:tcMar>
          </w:tcPr>
          <w:p w14:paraId="36CA1B79" w14:textId="77777777" w:rsidR="00787570" w:rsidRDefault="000D56E2">
            <w:pPr>
              <w:ind w:hanging="180"/>
              <w:textAlignment w:val="top"/>
            </w:pPr>
            <w:r>
              <w:rPr>
                <w:rFonts w:ascii="Arial" w:eastAsia="宋体" w:hAnsi="Arial" w:cs="Arial"/>
                <w:color w:val="333333"/>
                <w:sz w:val="18"/>
                <w:szCs w:val="18"/>
              </w:rPr>
              <w:t>Current assets:</w:t>
            </w:r>
          </w:p>
        </w:tc>
        <w:tc>
          <w:tcPr>
            <w:tcW w:w="0" w:type="auto"/>
            <w:gridSpan w:val="3"/>
            <w:shd w:val="clear" w:color="auto" w:fill="auto"/>
            <w:tcMar>
              <w:left w:w="20" w:type="dxa"/>
              <w:right w:w="20" w:type="dxa"/>
            </w:tcMar>
            <w:vAlign w:val="bottom"/>
          </w:tcPr>
          <w:p w14:paraId="36CA1B7A"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1B7B"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1B7C"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1B7D" w14:textId="77777777" w:rsidR="00787570" w:rsidRDefault="00787570">
            <w:pPr>
              <w:rPr>
                <w:rFonts w:ascii="宋体"/>
              </w:rPr>
            </w:pPr>
          </w:p>
        </w:tc>
      </w:tr>
      <w:tr w:rsidR="00787570" w14:paraId="36CA1B88" w14:textId="77777777">
        <w:tc>
          <w:tcPr>
            <w:tcW w:w="0" w:type="auto"/>
            <w:gridSpan w:val="3"/>
            <w:shd w:val="clear" w:color="auto" w:fill="auto"/>
            <w:tcMar>
              <w:top w:w="40" w:type="dxa"/>
              <w:left w:w="195" w:type="dxa"/>
              <w:bottom w:w="40" w:type="dxa"/>
              <w:right w:w="20" w:type="dxa"/>
            </w:tcMar>
          </w:tcPr>
          <w:p w14:paraId="36CA1B7F" w14:textId="77777777" w:rsidR="00787570" w:rsidRDefault="000D56E2">
            <w:pPr>
              <w:textAlignment w:val="top"/>
            </w:pPr>
            <w:r>
              <w:rPr>
                <w:rFonts w:ascii="Arial" w:eastAsia="宋体" w:hAnsi="Arial" w:cs="Arial"/>
                <w:color w:val="333333"/>
                <w:sz w:val="18"/>
                <w:szCs w:val="18"/>
              </w:rPr>
              <w:t>Cash and cash equivalents</w:t>
            </w:r>
          </w:p>
        </w:tc>
        <w:tc>
          <w:tcPr>
            <w:tcW w:w="0" w:type="auto"/>
            <w:gridSpan w:val="3"/>
            <w:shd w:val="clear" w:color="auto" w:fill="auto"/>
            <w:tcMar>
              <w:left w:w="20" w:type="dxa"/>
              <w:right w:w="20" w:type="dxa"/>
            </w:tcMar>
            <w:vAlign w:val="bottom"/>
          </w:tcPr>
          <w:p w14:paraId="36CA1B80" w14:textId="77777777" w:rsidR="00787570" w:rsidRDefault="00787570">
            <w:pPr>
              <w:rPr>
                <w:rFonts w:ascii="宋体"/>
              </w:rPr>
            </w:pPr>
          </w:p>
        </w:tc>
        <w:tc>
          <w:tcPr>
            <w:tcW w:w="0" w:type="auto"/>
            <w:shd w:val="clear" w:color="auto" w:fill="auto"/>
            <w:tcMar>
              <w:top w:w="40" w:type="dxa"/>
              <w:left w:w="20" w:type="dxa"/>
              <w:bottom w:w="40" w:type="dxa"/>
            </w:tcMar>
            <w:vAlign w:val="bottom"/>
          </w:tcPr>
          <w:p w14:paraId="36CA1B81" w14:textId="77777777" w:rsidR="00787570" w:rsidRDefault="000D56E2">
            <w:pPr>
              <w:textAlignment w:val="bottom"/>
            </w:pPr>
            <w:r>
              <w:rPr>
                <w:rFonts w:ascii="Arial" w:eastAsia="宋体" w:hAnsi="Arial" w:cs="Arial"/>
                <w:color w:val="0071C5"/>
                <w:sz w:val="18"/>
                <w:szCs w:val="18"/>
              </w:rPr>
              <w:t>$</w:t>
            </w:r>
          </w:p>
        </w:tc>
        <w:tc>
          <w:tcPr>
            <w:tcW w:w="0" w:type="auto"/>
            <w:shd w:val="clear" w:color="auto" w:fill="auto"/>
            <w:tcMar>
              <w:top w:w="40" w:type="dxa"/>
              <w:bottom w:w="40" w:type="dxa"/>
              <w:right w:w="0" w:type="dxa"/>
            </w:tcMar>
            <w:vAlign w:val="bottom"/>
          </w:tcPr>
          <w:p w14:paraId="36CA1B82" w14:textId="77777777" w:rsidR="00787570" w:rsidRDefault="000D56E2">
            <w:pPr>
              <w:jc w:val="right"/>
              <w:textAlignment w:val="bottom"/>
            </w:pPr>
            <w:r>
              <w:rPr>
                <w:rFonts w:ascii="Arial" w:eastAsia="宋体" w:hAnsi="Arial" w:cs="Arial"/>
                <w:color w:val="0071C5"/>
                <w:sz w:val="18"/>
                <w:szCs w:val="18"/>
              </w:rPr>
              <w:t>3,356 </w:t>
            </w:r>
          </w:p>
        </w:tc>
        <w:tc>
          <w:tcPr>
            <w:tcW w:w="0" w:type="auto"/>
            <w:shd w:val="clear" w:color="auto" w:fill="auto"/>
            <w:tcMar>
              <w:top w:w="40" w:type="dxa"/>
              <w:bottom w:w="40" w:type="dxa"/>
              <w:right w:w="20" w:type="dxa"/>
            </w:tcMar>
            <w:vAlign w:val="bottom"/>
          </w:tcPr>
          <w:p w14:paraId="36CA1B83"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1B84" w14:textId="77777777" w:rsidR="00787570" w:rsidRDefault="00787570">
            <w:pPr>
              <w:rPr>
                <w:rFonts w:ascii="宋体"/>
              </w:rPr>
            </w:pPr>
          </w:p>
        </w:tc>
        <w:tc>
          <w:tcPr>
            <w:tcW w:w="0" w:type="auto"/>
            <w:shd w:val="clear" w:color="auto" w:fill="auto"/>
            <w:tcMar>
              <w:top w:w="40" w:type="dxa"/>
              <w:left w:w="20" w:type="dxa"/>
              <w:bottom w:w="40" w:type="dxa"/>
            </w:tcMar>
            <w:vAlign w:val="bottom"/>
          </w:tcPr>
          <w:p w14:paraId="36CA1B85" w14:textId="77777777" w:rsidR="00787570" w:rsidRDefault="000D56E2">
            <w:pPr>
              <w:textAlignment w:val="bottom"/>
            </w:pPr>
            <w:r>
              <w:rPr>
                <w:rFonts w:ascii="Arial" w:eastAsia="宋体" w:hAnsi="Arial" w:cs="Arial"/>
                <w:color w:val="333333"/>
                <w:sz w:val="18"/>
                <w:szCs w:val="18"/>
              </w:rPr>
              <w:t>$</w:t>
            </w:r>
          </w:p>
        </w:tc>
        <w:tc>
          <w:tcPr>
            <w:tcW w:w="0" w:type="auto"/>
            <w:shd w:val="clear" w:color="auto" w:fill="auto"/>
            <w:tcMar>
              <w:top w:w="40" w:type="dxa"/>
              <w:bottom w:w="40" w:type="dxa"/>
              <w:right w:w="0" w:type="dxa"/>
            </w:tcMar>
            <w:vAlign w:val="bottom"/>
          </w:tcPr>
          <w:p w14:paraId="36CA1B86" w14:textId="77777777" w:rsidR="00787570" w:rsidRDefault="000D56E2">
            <w:pPr>
              <w:jc w:val="right"/>
              <w:textAlignment w:val="bottom"/>
            </w:pPr>
            <w:r>
              <w:rPr>
                <w:rFonts w:ascii="Arial" w:eastAsia="宋体" w:hAnsi="Arial" w:cs="Arial"/>
                <w:color w:val="333333"/>
                <w:sz w:val="18"/>
                <w:szCs w:val="18"/>
              </w:rPr>
              <w:t>4,194 </w:t>
            </w:r>
          </w:p>
        </w:tc>
        <w:tc>
          <w:tcPr>
            <w:tcW w:w="0" w:type="auto"/>
            <w:shd w:val="clear" w:color="auto" w:fill="auto"/>
            <w:tcMar>
              <w:top w:w="40" w:type="dxa"/>
              <w:bottom w:w="40" w:type="dxa"/>
              <w:right w:w="20" w:type="dxa"/>
            </w:tcMar>
            <w:vAlign w:val="bottom"/>
          </w:tcPr>
          <w:p w14:paraId="36CA1B87" w14:textId="77777777" w:rsidR="00787570" w:rsidRDefault="00787570">
            <w:pPr>
              <w:jc w:val="right"/>
              <w:rPr>
                <w:rFonts w:ascii="宋体"/>
              </w:rPr>
            </w:pPr>
          </w:p>
        </w:tc>
      </w:tr>
      <w:tr w:rsidR="00787570" w14:paraId="36CA1B90" w14:textId="77777777">
        <w:tc>
          <w:tcPr>
            <w:tcW w:w="0" w:type="auto"/>
            <w:gridSpan w:val="3"/>
            <w:shd w:val="clear" w:color="auto" w:fill="auto"/>
            <w:tcMar>
              <w:top w:w="40" w:type="dxa"/>
              <w:left w:w="195" w:type="dxa"/>
              <w:bottom w:w="40" w:type="dxa"/>
              <w:right w:w="20" w:type="dxa"/>
            </w:tcMar>
          </w:tcPr>
          <w:p w14:paraId="36CA1B89" w14:textId="77777777" w:rsidR="00787570" w:rsidRDefault="000D56E2">
            <w:pPr>
              <w:textAlignment w:val="top"/>
            </w:pPr>
            <w:r>
              <w:rPr>
                <w:rFonts w:ascii="Arial" w:eastAsia="宋体" w:hAnsi="Arial" w:cs="Arial"/>
                <w:color w:val="333333"/>
                <w:sz w:val="18"/>
                <w:szCs w:val="18"/>
              </w:rPr>
              <w:t>Short-term investments</w:t>
            </w:r>
          </w:p>
        </w:tc>
        <w:tc>
          <w:tcPr>
            <w:tcW w:w="0" w:type="auto"/>
            <w:gridSpan w:val="3"/>
            <w:shd w:val="clear" w:color="auto" w:fill="auto"/>
            <w:tcMar>
              <w:left w:w="20" w:type="dxa"/>
              <w:right w:w="20" w:type="dxa"/>
            </w:tcMar>
            <w:vAlign w:val="bottom"/>
          </w:tcPr>
          <w:p w14:paraId="36CA1B8A"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1B8B" w14:textId="77777777" w:rsidR="00787570" w:rsidRDefault="000D56E2">
            <w:pPr>
              <w:jc w:val="right"/>
              <w:textAlignment w:val="bottom"/>
            </w:pPr>
            <w:r>
              <w:rPr>
                <w:rFonts w:ascii="Arial" w:eastAsia="宋体" w:hAnsi="Arial" w:cs="Arial"/>
                <w:color w:val="0071C5"/>
                <w:sz w:val="18"/>
                <w:szCs w:val="18"/>
              </w:rPr>
              <w:t>2,987 </w:t>
            </w:r>
          </w:p>
        </w:tc>
        <w:tc>
          <w:tcPr>
            <w:tcW w:w="0" w:type="auto"/>
            <w:shd w:val="clear" w:color="auto" w:fill="auto"/>
            <w:tcMar>
              <w:top w:w="40" w:type="dxa"/>
              <w:bottom w:w="40" w:type="dxa"/>
              <w:right w:w="20" w:type="dxa"/>
            </w:tcMar>
            <w:vAlign w:val="bottom"/>
          </w:tcPr>
          <w:p w14:paraId="36CA1B8C"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1B8D"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1B8E" w14:textId="77777777" w:rsidR="00787570" w:rsidRDefault="000D56E2">
            <w:pPr>
              <w:jc w:val="right"/>
              <w:textAlignment w:val="bottom"/>
            </w:pPr>
            <w:r>
              <w:rPr>
                <w:rFonts w:ascii="Arial" w:eastAsia="宋体" w:hAnsi="Arial" w:cs="Arial"/>
                <w:color w:val="333333"/>
                <w:sz w:val="18"/>
                <w:szCs w:val="18"/>
              </w:rPr>
              <w:t>1,082 </w:t>
            </w:r>
          </w:p>
        </w:tc>
        <w:tc>
          <w:tcPr>
            <w:tcW w:w="0" w:type="auto"/>
            <w:shd w:val="clear" w:color="auto" w:fill="auto"/>
            <w:tcMar>
              <w:top w:w="40" w:type="dxa"/>
              <w:bottom w:w="40" w:type="dxa"/>
              <w:right w:w="20" w:type="dxa"/>
            </w:tcMar>
            <w:vAlign w:val="bottom"/>
          </w:tcPr>
          <w:p w14:paraId="36CA1B8F" w14:textId="77777777" w:rsidR="00787570" w:rsidRDefault="00787570">
            <w:pPr>
              <w:jc w:val="right"/>
              <w:rPr>
                <w:rFonts w:ascii="宋体"/>
              </w:rPr>
            </w:pPr>
          </w:p>
        </w:tc>
      </w:tr>
      <w:tr w:rsidR="00787570" w14:paraId="36CA1B98" w14:textId="77777777">
        <w:tc>
          <w:tcPr>
            <w:tcW w:w="0" w:type="auto"/>
            <w:gridSpan w:val="3"/>
            <w:shd w:val="clear" w:color="auto" w:fill="auto"/>
            <w:tcMar>
              <w:top w:w="40" w:type="dxa"/>
              <w:left w:w="195" w:type="dxa"/>
              <w:bottom w:w="40" w:type="dxa"/>
              <w:right w:w="20" w:type="dxa"/>
            </w:tcMar>
          </w:tcPr>
          <w:p w14:paraId="36CA1B91" w14:textId="77777777" w:rsidR="00787570" w:rsidRDefault="000D56E2">
            <w:pPr>
              <w:textAlignment w:val="top"/>
            </w:pPr>
            <w:r>
              <w:rPr>
                <w:rFonts w:ascii="Arial" w:eastAsia="宋体" w:hAnsi="Arial" w:cs="Arial"/>
                <w:color w:val="333333"/>
                <w:sz w:val="18"/>
                <w:szCs w:val="18"/>
              </w:rPr>
              <w:t>Trading assets</w:t>
            </w:r>
          </w:p>
        </w:tc>
        <w:tc>
          <w:tcPr>
            <w:tcW w:w="0" w:type="auto"/>
            <w:gridSpan w:val="3"/>
            <w:shd w:val="clear" w:color="auto" w:fill="auto"/>
            <w:tcMar>
              <w:left w:w="20" w:type="dxa"/>
              <w:right w:w="20" w:type="dxa"/>
            </w:tcMar>
            <w:vAlign w:val="bottom"/>
          </w:tcPr>
          <w:p w14:paraId="36CA1B92"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1B93" w14:textId="77777777" w:rsidR="00787570" w:rsidRDefault="000D56E2">
            <w:pPr>
              <w:jc w:val="right"/>
              <w:textAlignment w:val="bottom"/>
            </w:pPr>
            <w:r>
              <w:rPr>
                <w:rFonts w:ascii="Arial" w:eastAsia="宋体" w:hAnsi="Arial" w:cs="Arial"/>
                <w:color w:val="0071C5"/>
                <w:sz w:val="18"/>
                <w:szCs w:val="18"/>
              </w:rPr>
              <w:t>11,910 </w:t>
            </w:r>
          </w:p>
        </w:tc>
        <w:tc>
          <w:tcPr>
            <w:tcW w:w="0" w:type="auto"/>
            <w:shd w:val="clear" w:color="auto" w:fill="auto"/>
            <w:tcMar>
              <w:top w:w="40" w:type="dxa"/>
              <w:bottom w:w="40" w:type="dxa"/>
              <w:right w:w="20" w:type="dxa"/>
            </w:tcMar>
            <w:vAlign w:val="bottom"/>
          </w:tcPr>
          <w:p w14:paraId="36CA1B94"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1B95"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1B96" w14:textId="77777777" w:rsidR="00787570" w:rsidRDefault="000D56E2">
            <w:pPr>
              <w:jc w:val="right"/>
              <w:textAlignment w:val="bottom"/>
            </w:pPr>
            <w:r>
              <w:rPr>
                <w:rFonts w:ascii="Arial" w:eastAsia="宋体" w:hAnsi="Arial" w:cs="Arial"/>
                <w:color w:val="333333"/>
                <w:sz w:val="18"/>
                <w:szCs w:val="18"/>
              </w:rPr>
              <w:t>7,847 </w:t>
            </w:r>
          </w:p>
        </w:tc>
        <w:tc>
          <w:tcPr>
            <w:tcW w:w="0" w:type="auto"/>
            <w:shd w:val="clear" w:color="auto" w:fill="auto"/>
            <w:tcMar>
              <w:top w:w="40" w:type="dxa"/>
              <w:bottom w:w="40" w:type="dxa"/>
              <w:right w:w="20" w:type="dxa"/>
            </w:tcMar>
            <w:vAlign w:val="bottom"/>
          </w:tcPr>
          <w:p w14:paraId="36CA1B97" w14:textId="77777777" w:rsidR="00787570" w:rsidRDefault="00787570">
            <w:pPr>
              <w:jc w:val="right"/>
              <w:rPr>
                <w:rFonts w:ascii="宋体"/>
              </w:rPr>
            </w:pPr>
          </w:p>
        </w:tc>
      </w:tr>
      <w:tr w:rsidR="00787570" w14:paraId="36CA1BA0" w14:textId="77777777">
        <w:tc>
          <w:tcPr>
            <w:tcW w:w="0" w:type="auto"/>
            <w:gridSpan w:val="3"/>
            <w:shd w:val="clear" w:color="auto" w:fill="auto"/>
            <w:tcMar>
              <w:top w:w="40" w:type="dxa"/>
              <w:left w:w="195" w:type="dxa"/>
              <w:bottom w:w="40" w:type="dxa"/>
              <w:right w:w="20" w:type="dxa"/>
            </w:tcMar>
          </w:tcPr>
          <w:p w14:paraId="36CA1B99" w14:textId="77777777" w:rsidR="00787570" w:rsidRDefault="000D56E2">
            <w:pPr>
              <w:textAlignment w:val="top"/>
            </w:pPr>
            <w:r>
              <w:rPr>
                <w:rFonts w:ascii="Arial" w:eastAsia="宋体" w:hAnsi="Arial" w:cs="Arial"/>
                <w:color w:val="333333"/>
                <w:sz w:val="18"/>
                <w:szCs w:val="18"/>
              </w:rPr>
              <w:t>Accounts receivable</w:t>
            </w:r>
          </w:p>
        </w:tc>
        <w:tc>
          <w:tcPr>
            <w:tcW w:w="0" w:type="auto"/>
            <w:gridSpan w:val="3"/>
            <w:shd w:val="clear" w:color="auto" w:fill="auto"/>
            <w:tcMar>
              <w:left w:w="20" w:type="dxa"/>
              <w:right w:w="20" w:type="dxa"/>
            </w:tcMar>
            <w:vAlign w:val="bottom"/>
          </w:tcPr>
          <w:p w14:paraId="36CA1B9A"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1B9B" w14:textId="77777777" w:rsidR="00787570" w:rsidRDefault="000D56E2">
            <w:pPr>
              <w:jc w:val="right"/>
              <w:textAlignment w:val="bottom"/>
            </w:pPr>
            <w:r>
              <w:rPr>
                <w:rFonts w:ascii="Arial" w:eastAsia="宋体" w:hAnsi="Arial" w:cs="Arial"/>
                <w:color w:val="0071C5"/>
                <w:sz w:val="18"/>
                <w:szCs w:val="18"/>
              </w:rPr>
              <w:t>7,140 </w:t>
            </w:r>
          </w:p>
        </w:tc>
        <w:tc>
          <w:tcPr>
            <w:tcW w:w="0" w:type="auto"/>
            <w:shd w:val="clear" w:color="auto" w:fill="auto"/>
            <w:tcMar>
              <w:top w:w="40" w:type="dxa"/>
              <w:bottom w:w="40" w:type="dxa"/>
              <w:right w:w="20" w:type="dxa"/>
            </w:tcMar>
            <w:vAlign w:val="bottom"/>
          </w:tcPr>
          <w:p w14:paraId="36CA1B9C"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1B9D"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1B9E" w14:textId="77777777" w:rsidR="00787570" w:rsidRDefault="000D56E2">
            <w:pPr>
              <w:jc w:val="right"/>
              <w:textAlignment w:val="bottom"/>
            </w:pPr>
            <w:r>
              <w:rPr>
                <w:rFonts w:ascii="Arial" w:eastAsia="宋体" w:hAnsi="Arial" w:cs="Arial"/>
                <w:color w:val="333333"/>
                <w:sz w:val="18"/>
                <w:szCs w:val="18"/>
              </w:rPr>
              <w:t>7,659 </w:t>
            </w:r>
          </w:p>
        </w:tc>
        <w:tc>
          <w:tcPr>
            <w:tcW w:w="0" w:type="auto"/>
            <w:shd w:val="clear" w:color="auto" w:fill="auto"/>
            <w:tcMar>
              <w:top w:w="40" w:type="dxa"/>
              <w:bottom w:w="40" w:type="dxa"/>
              <w:right w:w="20" w:type="dxa"/>
            </w:tcMar>
            <w:vAlign w:val="bottom"/>
          </w:tcPr>
          <w:p w14:paraId="36CA1B9F" w14:textId="77777777" w:rsidR="00787570" w:rsidRDefault="00787570">
            <w:pPr>
              <w:jc w:val="right"/>
              <w:rPr>
                <w:rFonts w:ascii="宋体"/>
              </w:rPr>
            </w:pPr>
          </w:p>
        </w:tc>
      </w:tr>
      <w:tr w:rsidR="00787570" w14:paraId="36CA1BA8" w14:textId="77777777">
        <w:tc>
          <w:tcPr>
            <w:tcW w:w="0" w:type="auto"/>
            <w:gridSpan w:val="3"/>
            <w:shd w:val="clear" w:color="auto" w:fill="auto"/>
            <w:tcMar>
              <w:top w:w="40" w:type="dxa"/>
              <w:left w:w="195" w:type="dxa"/>
              <w:bottom w:w="40" w:type="dxa"/>
              <w:right w:w="20" w:type="dxa"/>
            </w:tcMar>
          </w:tcPr>
          <w:p w14:paraId="36CA1BA1" w14:textId="77777777" w:rsidR="00787570" w:rsidRDefault="000D56E2">
            <w:pPr>
              <w:textAlignment w:val="top"/>
            </w:pPr>
            <w:r>
              <w:rPr>
                <w:rFonts w:ascii="Arial" w:eastAsia="宋体" w:hAnsi="Arial" w:cs="Arial"/>
                <w:color w:val="333333"/>
                <w:sz w:val="18"/>
                <w:szCs w:val="18"/>
              </w:rPr>
              <w:t>Inventories</w:t>
            </w:r>
          </w:p>
        </w:tc>
        <w:tc>
          <w:tcPr>
            <w:tcW w:w="0" w:type="auto"/>
            <w:gridSpan w:val="3"/>
            <w:shd w:val="clear" w:color="auto" w:fill="auto"/>
            <w:tcMar>
              <w:left w:w="20" w:type="dxa"/>
              <w:right w:w="20" w:type="dxa"/>
            </w:tcMar>
            <w:vAlign w:val="bottom"/>
          </w:tcPr>
          <w:p w14:paraId="36CA1BA2"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1BA3" w14:textId="77777777" w:rsidR="00787570" w:rsidRDefault="000D56E2">
            <w:pPr>
              <w:jc w:val="right"/>
              <w:textAlignment w:val="bottom"/>
            </w:pPr>
            <w:r>
              <w:rPr>
                <w:rFonts w:ascii="Arial" w:eastAsia="宋体" w:hAnsi="Arial" w:cs="Arial"/>
                <w:color w:val="0071C5"/>
                <w:sz w:val="18"/>
                <w:szCs w:val="18"/>
              </w:rPr>
              <w:t>9,273 </w:t>
            </w:r>
          </w:p>
        </w:tc>
        <w:tc>
          <w:tcPr>
            <w:tcW w:w="0" w:type="auto"/>
            <w:shd w:val="clear" w:color="auto" w:fill="auto"/>
            <w:tcMar>
              <w:top w:w="40" w:type="dxa"/>
              <w:bottom w:w="40" w:type="dxa"/>
              <w:right w:w="20" w:type="dxa"/>
            </w:tcMar>
            <w:vAlign w:val="bottom"/>
          </w:tcPr>
          <w:p w14:paraId="36CA1BA4"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1BA5"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1BA6" w14:textId="77777777" w:rsidR="00787570" w:rsidRDefault="000D56E2">
            <w:pPr>
              <w:jc w:val="right"/>
              <w:textAlignment w:val="bottom"/>
            </w:pPr>
            <w:r>
              <w:rPr>
                <w:rFonts w:ascii="Arial" w:eastAsia="宋体" w:hAnsi="Arial" w:cs="Arial"/>
                <w:color w:val="333333"/>
                <w:sz w:val="18"/>
                <w:szCs w:val="18"/>
              </w:rPr>
              <w:t>8,744 </w:t>
            </w:r>
          </w:p>
        </w:tc>
        <w:tc>
          <w:tcPr>
            <w:tcW w:w="0" w:type="auto"/>
            <w:shd w:val="clear" w:color="auto" w:fill="auto"/>
            <w:tcMar>
              <w:top w:w="40" w:type="dxa"/>
              <w:bottom w:w="40" w:type="dxa"/>
              <w:right w:w="20" w:type="dxa"/>
            </w:tcMar>
            <w:vAlign w:val="bottom"/>
          </w:tcPr>
          <w:p w14:paraId="36CA1BA7" w14:textId="77777777" w:rsidR="00787570" w:rsidRDefault="00787570">
            <w:pPr>
              <w:jc w:val="right"/>
              <w:rPr>
                <w:rFonts w:ascii="宋体"/>
              </w:rPr>
            </w:pPr>
          </w:p>
        </w:tc>
      </w:tr>
      <w:tr w:rsidR="00787570" w14:paraId="36CA1BAE" w14:textId="77777777">
        <w:trPr>
          <w:hidden/>
        </w:trPr>
        <w:tc>
          <w:tcPr>
            <w:tcW w:w="0" w:type="auto"/>
            <w:gridSpan w:val="3"/>
            <w:shd w:val="clear" w:color="auto" w:fill="auto"/>
          </w:tcPr>
          <w:p w14:paraId="36CA1BA9" w14:textId="77777777" w:rsidR="00787570" w:rsidRDefault="00787570">
            <w:pPr>
              <w:rPr>
                <w:rFonts w:ascii="宋体"/>
                <w:vanish/>
              </w:rPr>
            </w:pPr>
          </w:p>
        </w:tc>
        <w:tc>
          <w:tcPr>
            <w:tcW w:w="0" w:type="auto"/>
            <w:gridSpan w:val="3"/>
            <w:shd w:val="clear" w:color="auto" w:fill="auto"/>
          </w:tcPr>
          <w:p w14:paraId="36CA1BAA" w14:textId="77777777" w:rsidR="00787570" w:rsidRDefault="00787570">
            <w:pPr>
              <w:rPr>
                <w:rFonts w:ascii="宋体"/>
                <w:vanish/>
              </w:rPr>
            </w:pPr>
          </w:p>
        </w:tc>
        <w:tc>
          <w:tcPr>
            <w:tcW w:w="0" w:type="auto"/>
            <w:gridSpan w:val="3"/>
            <w:shd w:val="clear" w:color="auto" w:fill="auto"/>
          </w:tcPr>
          <w:p w14:paraId="36CA1BAB" w14:textId="77777777" w:rsidR="00787570" w:rsidRDefault="00787570">
            <w:pPr>
              <w:rPr>
                <w:rFonts w:ascii="宋体"/>
                <w:vanish/>
              </w:rPr>
            </w:pPr>
          </w:p>
        </w:tc>
        <w:tc>
          <w:tcPr>
            <w:tcW w:w="0" w:type="auto"/>
            <w:gridSpan w:val="3"/>
            <w:shd w:val="clear" w:color="auto" w:fill="auto"/>
          </w:tcPr>
          <w:p w14:paraId="36CA1BAC" w14:textId="77777777" w:rsidR="00787570" w:rsidRDefault="00787570">
            <w:pPr>
              <w:rPr>
                <w:rFonts w:ascii="宋体"/>
                <w:vanish/>
              </w:rPr>
            </w:pPr>
          </w:p>
        </w:tc>
        <w:tc>
          <w:tcPr>
            <w:tcW w:w="0" w:type="auto"/>
            <w:gridSpan w:val="3"/>
            <w:shd w:val="clear" w:color="auto" w:fill="auto"/>
          </w:tcPr>
          <w:p w14:paraId="36CA1BAD" w14:textId="77777777" w:rsidR="00787570" w:rsidRDefault="00787570">
            <w:pPr>
              <w:rPr>
                <w:rFonts w:ascii="宋体"/>
                <w:vanish/>
              </w:rPr>
            </w:pPr>
          </w:p>
        </w:tc>
      </w:tr>
      <w:tr w:rsidR="00787570" w14:paraId="36CA1BB6" w14:textId="77777777">
        <w:tc>
          <w:tcPr>
            <w:tcW w:w="0" w:type="auto"/>
            <w:gridSpan w:val="3"/>
            <w:shd w:val="clear" w:color="auto" w:fill="auto"/>
            <w:tcMar>
              <w:top w:w="40" w:type="dxa"/>
              <w:left w:w="195" w:type="dxa"/>
              <w:bottom w:w="40" w:type="dxa"/>
              <w:right w:w="20" w:type="dxa"/>
            </w:tcMar>
          </w:tcPr>
          <w:p w14:paraId="36CA1BAF" w14:textId="77777777" w:rsidR="00787570" w:rsidRDefault="000D56E2">
            <w:pPr>
              <w:textAlignment w:val="top"/>
            </w:pPr>
            <w:r>
              <w:rPr>
                <w:rFonts w:ascii="Arial" w:eastAsia="宋体" w:hAnsi="Arial" w:cs="Arial"/>
                <w:color w:val="333333"/>
                <w:sz w:val="18"/>
                <w:szCs w:val="18"/>
              </w:rPr>
              <w:t>Other current assets</w:t>
            </w:r>
          </w:p>
        </w:tc>
        <w:tc>
          <w:tcPr>
            <w:tcW w:w="0" w:type="auto"/>
            <w:gridSpan w:val="3"/>
            <w:shd w:val="clear" w:color="auto" w:fill="auto"/>
            <w:tcMar>
              <w:left w:w="20" w:type="dxa"/>
              <w:right w:w="20" w:type="dxa"/>
            </w:tcMar>
            <w:vAlign w:val="bottom"/>
          </w:tcPr>
          <w:p w14:paraId="36CA1BB0"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1BB1" w14:textId="77777777" w:rsidR="00787570" w:rsidRDefault="000D56E2">
            <w:pPr>
              <w:jc w:val="right"/>
              <w:textAlignment w:val="bottom"/>
            </w:pPr>
            <w:r>
              <w:rPr>
                <w:rFonts w:ascii="Arial" w:eastAsia="宋体" w:hAnsi="Arial" w:cs="Arial"/>
                <w:color w:val="0071C5"/>
                <w:sz w:val="18"/>
                <w:szCs w:val="18"/>
              </w:rPr>
              <w:t>2,119 </w:t>
            </w:r>
          </w:p>
        </w:tc>
        <w:tc>
          <w:tcPr>
            <w:tcW w:w="0" w:type="auto"/>
            <w:shd w:val="clear" w:color="auto" w:fill="auto"/>
            <w:tcMar>
              <w:top w:w="40" w:type="dxa"/>
              <w:bottom w:w="40" w:type="dxa"/>
              <w:right w:w="20" w:type="dxa"/>
            </w:tcMar>
            <w:vAlign w:val="bottom"/>
          </w:tcPr>
          <w:p w14:paraId="36CA1BB2"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1BB3"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1BB4" w14:textId="77777777" w:rsidR="00787570" w:rsidRDefault="000D56E2">
            <w:pPr>
              <w:jc w:val="right"/>
              <w:textAlignment w:val="bottom"/>
            </w:pPr>
            <w:r>
              <w:rPr>
                <w:rFonts w:ascii="Arial" w:eastAsia="宋体" w:hAnsi="Arial" w:cs="Arial"/>
                <w:color w:val="333333"/>
                <w:sz w:val="18"/>
                <w:szCs w:val="18"/>
              </w:rPr>
              <w:t>1,713 </w:t>
            </w:r>
          </w:p>
        </w:tc>
        <w:tc>
          <w:tcPr>
            <w:tcW w:w="0" w:type="auto"/>
            <w:shd w:val="clear" w:color="auto" w:fill="auto"/>
            <w:tcMar>
              <w:top w:w="40" w:type="dxa"/>
              <w:bottom w:w="40" w:type="dxa"/>
              <w:right w:w="20" w:type="dxa"/>
            </w:tcMar>
            <w:vAlign w:val="bottom"/>
          </w:tcPr>
          <w:p w14:paraId="36CA1BB5" w14:textId="77777777" w:rsidR="00787570" w:rsidRDefault="00787570">
            <w:pPr>
              <w:jc w:val="right"/>
              <w:rPr>
                <w:rFonts w:ascii="宋体"/>
              </w:rPr>
            </w:pPr>
          </w:p>
        </w:tc>
      </w:tr>
      <w:tr w:rsidR="00787570" w14:paraId="36CA1BBE" w14:textId="77777777">
        <w:tc>
          <w:tcPr>
            <w:tcW w:w="0" w:type="auto"/>
            <w:gridSpan w:val="3"/>
            <w:shd w:val="clear" w:color="auto" w:fill="auto"/>
            <w:tcMar>
              <w:top w:w="40" w:type="dxa"/>
              <w:left w:w="20" w:type="dxa"/>
              <w:bottom w:w="40" w:type="dxa"/>
              <w:right w:w="20" w:type="dxa"/>
            </w:tcMar>
          </w:tcPr>
          <w:p w14:paraId="36CA1BB7" w14:textId="77777777" w:rsidR="00787570" w:rsidRDefault="000D56E2">
            <w:pPr>
              <w:ind w:hanging="180"/>
              <w:textAlignment w:val="top"/>
            </w:pPr>
            <w:r>
              <w:rPr>
                <w:rFonts w:ascii="Arial" w:eastAsia="宋体" w:hAnsi="Arial" w:cs="Arial"/>
                <w:b/>
                <w:bCs/>
                <w:color w:val="333333"/>
                <w:sz w:val="18"/>
                <w:szCs w:val="18"/>
              </w:rPr>
              <w:t>Total current assets</w:t>
            </w:r>
          </w:p>
        </w:tc>
        <w:tc>
          <w:tcPr>
            <w:tcW w:w="0" w:type="auto"/>
            <w:gridSpan w:val="3"/>
            <w:shd w:val="clear" w:color="auto" w:fill="auto"/>
            <w:tcMar>
              <w:left w:w="20" w:type="dxa"/>
              <w:right w:w="20" w:type="dxa"/>
            </w:tcMar>
            <w:vAlign w:val="bottom"/>
          </w:tcPr>
          <w:p w14:paraId="36CA1BB8" w14:textId="77777777" w:rsidR="00787570" w:rsidRDefault="00787570">
            <w:pPr>
              <w:rPr>
                <w:rFonts w:ascii="宋体"/>
              </w:rPr>
            </w:pPr>
          </w:p>
        </w:tc>
        <w:tc>
          <w:tcPr>
            <w:tcW w:w="0" w:type="auto"/>
            <w:gridSpan w:val="2"/>
            <w:tcBorders>
              <w:top w:val="single" w:sz="8" w:space="0" w:color="333333"/>
            </w:tcBorders>
            <w:shd w:val="clear" w:color="auto" w:fill="auto"/>
            <w:tcMar>
              <w:top w:w="40" w:type="dxa"/>
              <w:left w:w="20" w:type="dxa"/>
              <w:bottom w:w="40" w:type="dxa"/>
              <w:right w:w="0" w:type="dxa"/>
            </w:tcMar>
            <w:vAlign w:val="bottom"/>
          </w:tcPr>
          <w:p w14:paraId="36CA1BB9" w14:textId="77777777" w:rsidR="00787570" w:rsidRDefault="000D56E2">
            <w:pPr>
              <w:jc w:val="right"/>
              <w:textAlignment w:val="bottom"/>
            </w:pPr>
            <w:r>
              <w:rPr>
                <w:rFonts w:ascii="Arial" w:eastAsia="宋体" w:hAnsi="Arial" w:cs="Arial"/>
                <w:b/>
                <w:bCs/>
                <w:color w:val="0071C5"/>
                <w:sz w:val="18"/>
                <w:szCs w:val="18"/>
              </w:rPr>
              <w:t>36,785</w:t>
            </w:r>
            <w:r>
              <w:rPr>
                <w:rFonts w:ascii="Arial" w:eastAsia="宋体" w:hAnsi="Arial" w:cs="Arial"/>
                <w:color w:val="0071C5"/>
                <w:sz w:val="18"/>
                <w:szCs w:val="18"/>
              </w:rPr>
              <w:t> </w:t>
            </w:r>
          </w:p>
        </w:tc>
        <w:tc>
          <w:tcPr>
            <w:tcW w:w="0" w:type="auto"/>
            <w:tcBorders>
              <w:top w:val="single" w:sz="8" w:space="0" w:color="333333"/>
            </w:tcBorders>
            <w:shd w:val="clear" w:color="auto" w:fill="auto"/>
            <w:tcMar>
              <w:top w:w="40" w:type="dxa"/>
              <w:bottom w:w="40" w:type="dxa"/>
              <w:right w:w="20" w:type="dxa"/>
            </w:tcMar>
            <w:vAlign w:val="bottom"/>
          </w:tcPr>
          <w:p w14:paraId="36CA1BBA"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1BBB" w14:textId="77777777" w:rsidR="00787570" w:rsidRDefault="00787570">
            <w:pPr>
              <w:rPr>
                <w:rFonts w:ascii="宋体"/>
              </w:rPr>
            </w:pPr>
          </w:p>
        </w:tc>
        <w:tc>
          <w:tcPr>
            <w:tcW w:w="0" w:type="auto"/>
            <w:gridSpan w:val="2"/>
            <w:tcBorders>
              <w:top w:val="single" w:sz="8" w:space="0" w:color="333333"/>
            </w:tcBorders>
            <w:shd w:val="clear" w:color="auto" w:fill="auto"/>
            <w:tcMar>
              <w:top w:w="40" w:type="dxa"/>
              <w:left w:w="20" w:type="dxa"/>
              <w:bottom w:w="40" w:type="dxa"/>
              <w:right w:w="0" w:type="dxa"/>
            </w:tcMar>
            <w:vAlign w:val="bottom"/>
          </w:tcPr>
          <w:p w14:paraId="36CA1BBC" w14:textId="77777777" w:rsidR="00787570" w:rsidRDefault="000D56E2">
            <w:pPr>
              <w:jc w:val="right"/>
              <w:textAlignment w:val="bottom"/>
            </w:pPr>
            <w:r>
              <w:rPr>
                <w:rFonts w:ascii="Arial" w:eastAsia="宋体" w:hAnsi="Arial" w:cs="Arial"/>
                <w:b/>
                <w:bCs/>
                <w:color w:val="333333"/>
                <w:sz w:val="18"/>
                <w:szCs w:val="18"/>
              </w:rPr>
              <w:t>31,239</w:t>
            </w:r>
            <w:r>
              <w:rPr>
                <w:rFonts w:ascii="Arial" w:eastAsia="宋体" w:hAnsi="Arial" w:cs="Arial"/>
                <w:color w:val="333333"/>
                <w:sz w:val="18"/>
                <w:szCs w:val="18"/>
              </w:rPr>
              <w:t> </w:t>
            </w:r>
          </w:p>
        </w:tc>
        <w:tc>
          <w:tcPr>
            <w:tcW w:w="0" w:type="auto"/>
            <w:tcBorders>
              <w:top w:val="single" w:sz="8" w:space="0" w:color="333333"/>
            </w:tcBorders>
            <w:shd w:val="clear" w:color="auto" w:fill="auto"/>
            <w:tcMar>
              <w:top w:w="40" w:type="dxa"/>
              <w:bottom w:w="40" w:type="dxa"/>
              <w:right w:w="20" w:type="dxa"/>
            </w:tcMar>
            <w:vAlign w:val="bottom"/>
          </w:tcPr>
          <w:p w14:paraId="36CA1BBD" w14:textId="77777777" w:rsidR="00787570" w:rsidRDefault="00787570">
            <w:pPr>
              <w:jc w:val="right"/>
              <w:rPr>
                <w:rFonts w:ascii="宋体"/>
              </w:rPr>
            </w:pPr>
          </w:p>
        </w:tc>
      </w:tr>
      <w:tr w:rsidR="00787570" w14:paraId="36CA1BC4" w14:textId="77777777">
        <w:trPr>
          <w:hidden/>
        </w:trPr>
        <w:tc>
          <w:tcPr>
            <w:tcW w:w="0" w:type="auto"/>
            <w:gridSpan w:val="3"/>
            <w:shd w:val="clear" w:color="auto" w:fill="auto"/>
          </w:tcPr>
          <w:p w14:paraId="36CA1BBF" w14:textId="77777777" w:rsidR="00787570" w:rsidRDefault="00787570">
            <w:pPr>
              <w:rPr>
                <w:rFonts w:ascii="宋体"/>
                <w:vanish/>
              </w:rPr>
            </w:pPr>
          </w:p>
        </w:tc>
        <w:tc>
          <w:tcPr>
            <w:tcW w:w="0" w:type="auto"/>
            <w:gridSpan w:val="3"/>
            <w:shd w:val="clear" w:color="auto" w:fill="auto"/>
          </w:tcPr>
          <w:p w14:paraId="36CA1BC0" w14:textId="77777777" w:rsidR="00787570" w:rsidRDefault="00787570">
            <w:pPr>
              <w:rPr>
                <w:rFonts w:ascii="宋体"/>
                <w:vanish/>
              </w:rPr>
            </w:pPr>
          </w:p>
        </w:tc>
        <w:tc>
          <w:tcPr>
            <w:tcW w:w="0" w:type="auto"/>
            <w:gridSpan w:val="3"/>
            <w:shd w:val="clear" w:color="auto" w:fill="auto"/>
          </w:tcPr>
          <w:p w14:paraId="36CA1BC1" w14:textId="77777777" w:rsidR="00787570" w:rsidRDefault="00787570">
            <w:pPr>
              <w:rPr>
                <w:rFonts w:ascii="宋体"/>
                <w:vanish/>
              </w:rPr>
            </w:pPr>
          </w:p>
        </w:tc>
        <w:tc>
          <w:tcPr>
            <w:tcW w:w="0" w:type="auto"/>
            <w:gridSpan w:val="3"/>
            <w:shd w:val="clear" w:color="auto" w:fill="auto"/>
          </w:tcPr>
          <w:p w14:paraId="36CA1BC2" w14:textId="77777777" w:rsidR="00787570" w:rsidRDefault="00787570">
            <w:pPr>
              <w:rPr>
                <w:rFonts w:ascii="宋体"/>
                <w:vanish/>
              </w:rPr>
            </w:pPr>
          </w:p>
        </w:tc>
        <w:tc>
          <w:tcPr>
            <w:tcW w:w="0" w:type="auto"/>
            <w:gridSpan w:val="3"/>
            <w:shd w:val="clear" w:color="auto" w:fill="auto"/>
          </w:tcPr>
          <w:p w14:paraId="36CA1BC3" w14:textId="77777777" w:rsidR="00787570" w:rsidRDefault="00787570">
            <w:pPr>
              <w:rPr>
                <w:rFonts w:ascii="宋体"/>
                <w:vanish/>
              </w:rPr>
            </w:pPr>
          </w:p>
        </w:tc>
      </w:tr>
      <w:tr w:rsidR="00787570" w14:paraId="36CA1BCC" w14:textId="77777777">
        <w:tc>
          <w:tcPr>
            <w:tcW w:w="0" w:type="auto"/>
            <w:gridSpan w:val="3"/>
            <w:shd w:val="clear" w:color="auto" w:fill="auto"/>
            <w:tcMar>
              <w:top w:w="40" w:type="dxa"/>
              <w:left w:w="20" w:type="dxa"/>
              <w:bottom w:w="40" w:type="dxa"/>
              <w:right w:w="20" w:type="dxa"/>
            </w:tcMar>
          </w:tcPr>
          <w:p w14:paraId="36CA1BC5" w14:textId="77777777" w:rsidR="00787570" w:rsidRDefault="000D56E2">
            <w:pPr>
              <w:textAlignment w:val="top"/>
            </w:pPr>
            <w:r>
              <w:rPr>
                <w:rFonts w:ascii="Arial" w:eastAsia="宋体" w:hAnsi="Arial" w:cs="Arial"/>
                <w:b/>
                <w:bCs/>
                <w:color w:val="333333"/>
                <w:sz w:val="18"/>
                <w:szCs w:val="18"/>
              </w:rPr>
              <w:t>Property, plant and equipment, net of accumulated depreciation of $80,084 ($73,321 as of December 28, 2019)</w:t>
            </w:r>
          </w:p>
        </w:tc>
        <w:tc>
          <w:tcPr>
            <w:tcW w:w="0" w:type="auto"/>
            <w:gridSpan w:val="3"/>
            <w:shd w:val="clear" w:color="auto" w:fill="auto"/>
            <w:tcMar>
              <w:left w:w="20" w:type="dxa"/>
              <w:right w:w="20" w:type="dxa"/>
            </w:tcMar>
            <w:vAlign w:val="bottom"/>
          </w:tcPr>
          <w:p w14:paraId="36CA1BC6"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1BC7" w14:textId="77777777" w:rsidR="00787570" w:rsidRDefault="000D56E2">
            <w:pPr>
              <w:jc w:val="right"/>
              <w:textAlignment w:val="bottom"/>
            </w:pPr>
            <w:r>
              <w:rPr>
                <w:rFonts w:ascii="Arial" w:eastAsia="宋体" w:hAnsi="Arial" w:cs="Arial"/>
                <w:b/>
                <w:bCs/>
                <w:color w:val="0071C5"/>
                <w:sz w:val="18"/>
                <w:szCs w:val="18"/>
              </w:rPr>
              <w:t>59,205</w:t>
            </w:r>
            <w:r>
              <w:rPr>
                <w:rFonts w:ascii="Arial" w:eastAsia="宋体" w:hAnsi="Arial" w:cs="Arial"/>
                <w:color w:val="0071C5"/>
                <w:sz w:val="18"/>
                <w:szCs w:val="18"/>
              </w:rPr>
              <w:t> </w:t>
            </w:r>
          </w:p>
        </w:tc>
        <w:tc>
          <w:tcPr>
            <w:tcW w:w="0" w:type="auto"/>
            <w:shd w:val="clear" w:color="auto" w:fill="auto"/>
            <w:tcMar>
              <w:top w:w="40" w:type="dxa"/>
              <w:bottom w:w="40" w:type="dxa"/>
              <w:right w:w="20" w:type="dxa"/>
            </w:tcMar>
            <w:vAlign w:val="bottom"/>
          </w:tcPr>
          <w:p w14:paraId="36CA1BC8"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1BC9"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1BCA" w14:textId="77777777" w:rsidR="00787570" w:rsidRDefault="000D56E2">
            <w:pPr>
              <w:jc w:val="right"/>
              <w:textAlignment w:val="bottom"/>
            </w:pPr>
            <w:r>
              <w:rPr>
                <w:rFonts w:ascii="Arial" w:eastAsia="宋体" w:hAnsi="Arial" w:cs="Arial"/>
                <w:b/>
                <w:bCs/>
                <w:color w:val="333333"/>
                <w:sz w:val="18"/>
                <w:szCs w:val="18"/>
              </w:rPr>
              <w:t>55,386</w:t>
            </w:r>
            <w:r>
              <w:rPr>
                <w:rFonts w:ascii="Arial" w:eastAsia="宋体" w:hAnsi="Arial" w:cs="Arial"/>
                <w:color w:val="333333"/>
                <w:sz w:val="18"/>
                <w:szCs w:val="18"/>
              </w:rPr>
              <w:t> </w:t>
            </w:r>
          </w:p>
        </w:tc>
        <w:tc>
          <w:tcPr>
            <w:tcW w:w="0" w:type="auto"/>
            <w:shd w:val="clear" w:color="auto" w:fill="auto"/>
            <w:tcMar>
              <w:top w:w="40" w:type="dxa"/>
              <w:bottom w:w="40" w:type="dxa"/>
              <w:right w:w="20" w:type="dxa"/>
            </w:tcMar>
            <w:vAlign w:val="bottom"/>
          </w:tcPr>
          <w:p w14:paraId="36CA1BCB" w14:textId="77777777" w:rsidR="00787570" w:rsidRDefault="00787570">
            <w:pPr>
              <w:jc w:val="right"/>
              <w:rPr>
                <w:rFonts w:ascii="宋体"/>
              </w:rPr>
            </w:pPr>
          </w:p>
        </w:tc>
      </w:tr>
      <w:tr w:rsidR="00787570" w14:paraId="36CA1BD4" w14:textId="77777777">
        <w:tc>
          <w:tcPr>
            <w:tcW w:w="0" w:type="auto"/>
            <w:gridSpan w:val="3"/>
            <w:shd w:val="clear" w:color="auto" w:fill="auto"/>
            <w:tcMar>
              <w:top w:w="40" w:type="dxa"/>
              <w:left w:w="20" w:type="dxa"/>
              <w:bottom w:w="40" w:type="dxa"/>
              <w:right w:w="20" w:type="dxa"/>
            </w:tcMar>
          </w:tcPr>
          <w:p w14:paraId="36CA1BCD" w14:textId="77777777" w:rsidR="00787570" w:rsidRDefault="000D56E2">
            <w:pPr>
              <w:textAlignment w:val="top"/>
            </w:pPr>
            <w:r>
              <w:rPr>
                <w:rFonts w:ascii="Arial" w:eastAsia="宋体" w:hAnsi="Arial" w:cs="Arial"/>
                <w:b/>
                <w:bCs/>
                <w:color w:val="333333"/>
                <w:sz w:val="18"/>
                <w:szCs w:val="18"/>
              </w:rPr>
              <w:t>Equity investments</w:t>
            </w:r>
          </w:p>
        </w:tc>
        <w:tc>
          <w:tcPr>
            <w:tcW w:w="0" w:type="auto"/>
            <w:gridSpan w:val="3"/>
            <w:shd w:val="clear" w:color="auto" w:fill="auto"/>
            <w:tcMar>
              <w:left w:w="20" w:type="dxa"/>
              <w:right w:w="20" w:type="dxa"/>
            </w:tcMar>
            <w:vAlign w:val="bottom"/>
          </w:tcPr>
          <w:p w14:paraId="36CA1BCE"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1BCF" w14:textId="77777777" w:rsidR="00787570" w:rsidRDefault="000D56E2">
            <w:pPr>
              <w:jc w:val="right"/>
              <w:textAlignment w:val="bottom"/>
            </w:pPr>
            <w:r>
              <w:rPr>
                <w:rFonts w:ascii="Arial" w:eastAsia="宋体" w:hAnsi="Arial" w:cs="Arial"/>
                <w:b/>
                <w:bCs/>
                <w:color w:val="0071C5"/>
                <w:sz w:val="18"/>
                <w:szCs w:val="18"/>
              </w:rPr>
              <w:t>3,679</w:t>
            </w:r>
            <w:r>
              <w:rPr>
                <w:rFonts w:ascii="Arial" w:eastAsia="宋体" w:hAnsi="Arial" w:cs="Arial"/>
                <w:color w:val="0071C5"/>
                <w:sz w:val="18"/>
                <w:szCs w:val="18"/>
              </w:rPr>
              <w:t> </w:t>
            </w:r>
          </w:p>
        </w:tc>
        <w:tc>
          <w:tcPr>
            <w:tcW w:w="0" w:type="auto"/>
            <w:shd w:val="clear" w:color="auto" w:fill="auto"/>
            <w:tcMar>
              <w:top w:w="40" w:type="dxa"/>
              <w:bottom w:w="40" w:type="dxa"/>
              <w:right w:w="20" w:type="dxa"/>
            </w:tcMar>
            <w:vAlign w:val="bottom"/>
          </w:tcPr>
          <w:p w14:paraId="36CA1BD0"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1BD1"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1BD2" w14:textId="77777777" w:rsidR="00787570" w:rsidRDefault="000D56E2">
            <w:pPr>
              <w:jc w:val="right"/>
              <w:textAlignment w:val="bottom"/>
            </w:pPr>
            <w:r>
              <w:rPr>
                <w:rFonts w:ascii="Arial" w:eastAsia="宋体" w:hAnsi="Arial" w:cs="Arial"/>
                <w:b/>
                <w:bCs/>
                <w:color w:val="333333"/>
                <w:sz w:val="18"/>
                <w:szCs w:val="18"/>
              </w:rPr>
              <w:t>3,967</w:t>
            </w:r>
            <w:r>
              <w:rPr>
                <w:rFonts w:ascii="Arial" w:eastAsia="宋体" w:hAnsi="Arial" w:cs="Arial"/>
                <w:color w:val="333333"/>
                <w:sz w:val="18"/>
                <w:szCs w:val="18"/>
              </w:rPr>
              <w:t> </w:t>
            </w:r>
          </w:p>
        </w:tc>
        <w:tc>
          <w:tcPr>
            <w:tcW w:w="0" w:type="auto"/>
            <w:shd w:val="clear" w:color="auto" w:fill="auto"/>
            <w:tcMar>
              <w:top w:w="40" w:type="dxa"/>
              <w:bottom w:w="40" w:type="dxa"/>
              <w:right w:w="20" w:type="dxa"/>
            </w:tcMar>
            <w:vAlign w:val="bottom"/>
          </w:tcPr>
          <w:p w14:paraId="36CA1BD3" w14:textId="77777777" w:rsidR="00787570" w:rsidRDefault="00787570">
            <w:pPr>
              <w:jc w:val="right"/>
              <w:rPr>
                <w:rFonts w:ascii="宋体"/>
              </w:rPr>
            </w:pPr>
          </w:p>
        </w:tc>
      </w:tr>
      <w:tr w:rsidR="00787570" w14:paraId="36CA1BDC" w14:textId="77777777">
        <w:tc>
          <w:tcPr>
            <w:tcW w:w="0" w:type="auto"/>
            <w:gridSpan w:val="3"/>
            <w:shd w:val="clear" w:color="auto" w:fill="auto"/>
            <w:tcMar>
              <w:top w:w="40" w:type="dxa"/>
              <w:left w:w="20" w:type="dxa"/>
              <w:bottom w:w="40" w:type="dxa"/>
              <w:right w:w="20" w:type="dxa"/>
            </w:tcMar>
          </w:tcPr>
          <w:p w14:paraId="36CA1BD5" w14:textId="77777777" w:rsidR="00787570" w:rsidRDefault="000D56E2">
            <w:pPr>
              <w:textAlignment w:val="top"/>
            </w:pPr>
            <w:r>
              <w:rPr>
                <w:rFonts w:ascii="Arial" w:eastAsia="宋体" w:hAnsi="Arial" w:cs="Arial"/>
                <w:b/>
                <w:bCs/>
                <w:color w:val="333333"/>
                <w:sz w:val="18"/>
                <w:szCs w:val="18"/>
              </w:rPr>
              <w:t>Other long-term investments</w:t>
            </w:r>
          </w:p>
        </w:tc>
        <w:tc>
          <w:tcPr>
            <w:tcW w:w="0" w:type="auto"/>
            <w:gridSpan w:val="3"/>
            <w:shd w:val="clear" w:color="auto" w:fill="auto"/>
            <w:tcMar>
              <w:left w:w="20" w:type="dxa"/>
              <w:right w:w="20" w:type="dxa"/>
            </w:tcMar>
            <w:vAlign w:val="bottom"/>
          </w:tcPr>
          <w:p w14:paraId="36CA1BD6"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1BD7" w14:textId="77777777" w:rsidR="00787570" w:rsidRDefault="000D56E2">
            <w:pPr>
              <w:jc w:val="right"/>
              <w:textAlignment w:val="bottom"/>
            </w:pPr>
            <w:r>
              <w:rPr>
                <w:rFonts w:ascii="Arial" w:eastAsia="宋体" w:hAnsi="Arial" w:cs="Arial"/>
                <w:b/>
                <w:bCs/>
                <w:color w:val="0071C5"/>
                <w:sz w:val="18"/>
                <w:szCs w:val="18"/>
              </w:rPr>
              <w:t>2,720</w:t>
            </w:r>
            <w:r>
              <w:rPr>
                <w:rFonts w:ascii="Arial" w:eastAsia="宋体" w:hAnsi="Arial" w:cs="Arial"/>
                <w:color w:val="0071C5"/>
                <w:sz w:val="18"/>
                <w:szCs w:val="18"/>
              </w:rPr>
              <w:t> </w:t>
            </w:r>
          </w:p>
        </w:tc>
        <w:tc>
          <w:tcPr>
            <w:tcW w:w="0" w:type="auto"/>
            <w:shd w:val="clear" w:color="auto" w:fill="auto"/>
            <w:tcMar>
              <w:top w:w="40" w:type="dxa"/>
              <w:bottom w:w="40" w:type="dxa"/>
              <w:right w:w="20" w:type="dxa"/>
            </w:tcMar>
            <w:vAlign w:val="bottom"/>
          </w:tcPr>
          <w:p w14:paraId="36CA1BD8"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1BD9"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1BDA" w14:textId="77777777" w:rsidR="00787570" w:rsidRDefault="000D56E2">
            <w:pPr>
              <w:jc w:val="right"/>
              <w:textAlignment w:val="bottom"/>
            </w:pPr>
            <w:r>
              <w:rPr>
                <w:rFonts w:ascii="Arial" w:eastAsia="宋体" w:hAnsi="Arial" w:cs="Arial"/>
                <w:b/>
                <w:bCs/>
                <w:color w:val="333333"/>
                <w:sz w:val="18"/>
                <w:szCs w:val="18"/>
              </w:rPr>
              <w:t>3,276</w:t>
            </w:r>
            <w:r>
              <w:rPr>
                <w:rFonts w:ascii="Arial" w:eastAsia="宋体" w:hAnsi="Arial" w:cs="Arial"/>
                <w:color w:val="333333"/>
                <w:sz w:val="18"/>
                <w:szCs w:val="18"/>
              </w:rPr>
              <w:t> </w:t>
            </w:r>
          </w:p>
        </w:tc>
        <w:tc>
          <w:tcPr>
            <w:tcW w:w="0" w:type="auto"/>
            <w:shd w:val="clear" w:color="auto" w:fill="auto"/>
            <w:tcMar>
              <w:top w:w="40" w:type="dxa"/>
              <w:bottom w:w="40" w:type="dxa"/>
              <w:right w:w="20" w:type="dxa"/>
            </w:tcMar>
            <w:vAlign w:val="bottom"/>
          </w:tcPr>
          <w:p w14:paraId="36CA1BDB" w14:textId="77777777" w:rsidR="00787570" w:rsidRDefault="00787570">
            <w:pPr>
              <w:jc w:val="right"/>
              <w:rPr>
                <w:rFonts w:ascii="宋体"/>
              </w:rPr>
            </w:pPr>
          </w:p>
        </w:tc>
      </w:tr>
      <w:tr w:rsidR="00787570" w14:paraId="36CA1BE4" w14:textId="77777777">
        <w:tc>
          <w:tcPr>
            <w:tcW w:w="0" w:type="auto"/>
            <w:gridSpan w:val="3"/>
            <w:shd w:val="clear" w:color="auto" w:fill="auto"/>
            <w:tcMar>
              <w:top w:w="40" w:type="dxa"/>
              <w:left w:w="20" w:type="dxa"/>
              <w:bottom w:w="40" w:type="dxa"/>
              <w:right w:w="20" w:type="dxa"/>
            </w:tcMar>
          </w:tcPr>
          <w:p w14:paraId="36CA1BDD" w14:textId="77777777" w:rsidR="00787570" w:rsidRDefault="000D56E2">
            <w:pPr>
              <w:textAlignment w:val="top"/>
            </w:pPr>
            <w:r>
              <w:rPr>
                <w:rFonts w:ascii="Arial" w:eastAsia="宋体" w:hAnsi="Arial" w:cs="Arial"/>
                <w:b/>
                <w:bCs/>
                <w:color w:val="333333"/>
                <w:sz w:val="18"/>
                <w:szCs w:val="18"/>
              </w:rPr>
              <w:t>Goodwill</w:t>
            </w:r>
          </w:p>
        </w:tc>
        <w:tc>
          <w:tcPr>
            <w:tcW w:w="0" w:type="auto"/>
            <w:gridSpan w:val="3"/>
            <w:shd w:val="clear" w:color="auto" w:fill="auto"/>
            <w:tcMar>
              <w:left w:w="20" w:type="dxa"/>
              <w:right w:w="20" w:type="dxa"/>
            </w:tcMar>
            <w:vAlign w:val="bottom"/>
          </w:tcPr>
          <w:p w14:paraId="36CA1BDE"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1BDF" w14:textId="77777777" w:rsidR="00787570" w:rsidRDefault="000D56E2">
            <w:pPr>
              <w:jc w:val="right"/>
              <w:textAlignment w:val="bottom"/>
            </w:pPr>
            <w:r>
              <w:rPr>
                <w:rFonts w:ascii="Arial" w:eastAsia="宋体" w:hAnsi="Arial" w:cs="Arial"/>
                <w:b/>
                <w:bCs/>
                <w:color w:val="0071C5"/>
                <w:sz w:val="18"/>
                <w:szCs w:val="18"/>
              </w:rPr>
              <w:t>26,955</w:t>
            </w:r>
            <w:r>
              <w:rPr>
                <w:rFonts w:ascii="Arial" w:eastAsia="宋体" w:hAnsi="Arial" w:cs="Arial"/>
                <w:color w:val="0071C5"/>
                <w:sz w:val="18"/>
                <w:szCs w:val="18"/>
              </w:rPr>
              <w:t> </w:t>
            </w:r>
          </w:p>
        </w:tc>
        <w:tc>
          <w:tcPr>
            <w:tcW w:w="0" w:type="auto"/>
            <w:shd w:val="clear" w:color="auto" w:fill="auto"/>
            <w:tcMar>
              <w:top w:w="40" w:type="dxa"/>
              <w:bottom w:w="40" w:type="dxa"/>
              <w:right w:w="20" w:type="dxa"/>
            </w:tcMar>
            <w:vAlign w:val="bottom"/>
          </w:tcPr>
          <w:p w14:paraId="36CA1BE0"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1BE1"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1BE2" w14:textId="77777777" w:rsidR="00787570" w:rsidRDefault="000D56E2">
            <w:pPr>
              <w:jc w:val="right"/>
              <w:textAlignment w:val="bottom"/>
            </w:pPr>
            <w:r>
              <w:rPr>
                <w:rFonts w:ascii="Arial" w:eastAsia="宋体" w:hAnsi="Arial" w:cs="Arial"/>
                <w:b/>
                <w:bCs/>
                <w:color w:val="333333"/>
                <w:sz w:val="18"/>
                <w:szCs w:val="18"/>
              </w:rPr>
              <w:t>26,276</w:t>
            </w:r>
            <w:r>
              <w:rPr>
                <w:rFonts w:ascii="Arial" w:eastAsia="宋体" w:hAnsi="Arial" w:cs="Arial"/>
                <w:color w:val="333333"/>
                <w:sz w:val="18"/>
                <w:szCs w:val="18"/>
              </w:rPr>
              <w:t> </w:t>
            </w:r>
          </w:p>
        </w:tc>
        <w:tc>
          <w:tcPr>
            <w:tcW w:w="0" w:type="auto"/>
            <w:shd w:val="clear" w:color="auto" w:fill="auto"/>
            <w:tcMar>
              <w:top w:w="40" w:type="dxa"/>
              <w:bottom w:w="40" w:type="dxa"/>
              <w:right w:w="20" w:type="dxa"/>
            </w:tcMar>
            <w:vAlign w:val="bottom"/>
          </w:tcPr>
          <w:p w14:paraId="36CA1BE3" w14:textId="77777777" w:rsidR="00787570" w:rsidRDefault="00787570">
            <w:pPr>
              <w:jc w:val="right"/>
              <w:rPr>
                <w:rFonts w:ascii="宋体"/>
              </w:rPr>
            </w:pPr>
          </w:p>
        </w:tc>
      </w:tr>
      <w:tr w:rsidR="00787570" w14:paraId="36CA1BEC" w14:textId="77777777">
        <w:tc>
          <w:tcPr>
            <w:tcW w:w="0" w:type="auto"/>
            <w:gridSpan w:val="3"/>
            <w:shd w:val="clear" w:color="auto" w:fill="auto"/>
            <w:tcMar>
              <w:top w:w="40" w:type="dxa"/>
              <w:left w:w="20" w:type="dxa"/>
              <w:bottom w:w="40" w:type="dxa"/>
              <w:right w:w="20" w:type="dxa"/>
            </w:tcMar>
          </w:tcPr>
          <w:p w14:paraId="36CA1BE5" w14:textId="77777777" w:rsidR="00787570" w:rsidRDefault="000D56E2">
            <w:pPr>
              <w:textAlignment w:val="top"/>
            </w:pPr>
            <w:r>
              <w:rPr>
                <w:rFonts w:ascii="Arial" w:eastAsia="宋体" w:hAnsi="Arial" w:cs="Arial"/>
                <w:b/>
                <w:bCs/>
                <w:color w:val="333333"/>
                <w:sz w:val="18"/>
                <w:szCs w:val="18"/>
              </w:rPr>
              <w:t>Identified intangible assets, net</w:t>
            </w:r>
          </w:p>
        </w:tc>
        <w:tc>
          <w:tcPr>
            <w:tcW w:w="0" w:type="auto"/>
            <w:gridSpan w:val="3"/>
            <w:shd w:val="clear" w:color="auto" w:fill="auto"/>
            <w:tcMar>
              <w:left w:w="20" w:type="dxa"/>
              <w:right w:w="20" w:type="dxa"/>
            </w:tcMar>
            <w:vAlign w:val="bottom"/>
          </w:tcPr>
          <w:p w14:paraId="36CA1BE6"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1BE7" w14:textId="77777777" w:rsidR="00787570" w:rsidRDefault="000D56E2">
            <w:pPr>
              <w:jc w:val="right"/>
              <w:textAlignment w:val="bottom"/>
            </w:pPr>
            <w:r>
              <w:rPr>
                <w:rFonts w:ascii="Arial" w:eastAsia="宋体" w:hAnsi="Arial" w:cs="Arial"/>
                <w:b/>
                <w:bCs/>
                <w:color w:val="0071C5"/>
                <w:sz w:val="18"/>
                <w:szCs w:val="18"/>
              </w:rPr>
              <w:t>9,881</w:t>
            </w:r>
            <w:r>
              <w:rPr>
                <w:rFonts w:ascii="Arial" w:eastAsia="宋体" w:hAnsi="Arial" w:cs="Arial"/>
                <w:color w:val="0071C5"/>
                <w:sz w:val="18"/>
                <w:szCs w:val="18"/>
              </w:rPr>
              <w:t> </w:t>
            </w:r>
          </w:p>
        </w:tc>
        <w:tc>
          <w:tcPr>
            <w:tcW w:w="0" w:type="auto"/>
            <w:shd w:val="clear" w:color="auto" w:fill="auto"/>
            <w:tcMar>
              <w:top w:w="40" w:type="dxa"/>
              <w:bottom w:w="40" w:type="dxa"/>
              <w:right w:w="20" w:type="dxa"/>
            </w:tcMar>
            <w:vAlign w:val="bottom"/>
          </w:tcPr>
          <w:p w14:paraId="36CA1BE8"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1BE9"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1BEA" w14:textId="77777777" w:rsidR="00787570" w:rsidRDefault="000D56E2">
            <w:pPr>
              <w:jc w:val="right"/>
              <w:textAlignment w:val="bottom"/>
            </w:pPr>
            <w:r>
              <w:rPr>
                <w:rFonts w:ascii="Arial" w:eastAsia="宋体" w:hAnsi="Arial" w:cs="Arial"/>
                <w:b/>
                <w:bCs/>
                <w:color w:val="333333"/>
                <w:sz w:val="18"/>
                <w:szCs w:val="18"/>
              </w:rPr>
              <w:t>10,827</w:t>
            </w:r>
            <w:r>
              <w:rPr>
                <w:rFonts w:ascii="Arial" w:eastAsia="宋体" w:hAnsi="Arial" w:cs="Arial"/>
                <w:color w:val="333333"/>
                <w:sz w:val="18"/>
                <w:szCs w:val="18"/>
              </w:rPr>
              <w:t> </w:t>
            </w:r>
          </w:p>
        </w:tc>
        <w:tc>
          <w:tcPr>
            <w:tcW w:w="0" w:type="auto"/>
            <w:shd w:val="clear" w:color="auto" w:fill="auto"/>
            <w:tcMar>
              <w:top w:w="40" w:type="dxa"/>
              <w:bottom w:w="40" w:type="dxa"/>
              <w:right w:w="20" w:type="dxa"/>
            </w:tcMar>
            <w:vAlign w:val="bottom"/>
          </w:tcPr>
          <w:p w14:paraId="36CA1BEB" w14:textId="77777777" w:rsidR="00787570" w:rsidRDefault="00787570">
            <w:pPr>
              <w:jc w:val="right"/>
              <w:rPr>
                <w:rFonts w:ascii="宋体"/>
              </w:rPr>
            </w:pPr>
          </w:p>
        </w:tc>
      </w:tr>
      <w:tr w:rsidR="00787570" w14:paraId="36CA1BF4" w14:textId="77777777">
        <w:tc>
          <w:tcPr>
            <w:tcW w:w="0" w:type="auto"/>
            <w:gridSpan w:val="3"/>
            <w:shd w:val="clear" w:color="auto" w:fill="auto"/>
            <w:tcMar>
              <w:top w:w="40" w:type="dxa"/>
              <w:left w:w="20" w:type="dxa"/>
              <w:bottom w:w="40" w:type="dxa"/>
              <w:right w:w="20" w:type="dxa"/>
            </w:tcMar>
          </w:tcPr>
          <w:p w14:paraId="36CA1BED" w14:textId="77777777" w:rsidR="00787570" w:rsidRDefault="000D56E2">
            <w:pPr>
              <w:textAlignment w:val="top"/>
            </w:pPr>
            <w:r>
              <w:rPr>
                <w:rFonts w:ascii="Arial" w:eastAsia="宋体" w:hAnsi="Arial" w:cs="Arial"/>
                <w:b/>
                <w:bCs/>
                <w:color w:val="333333"/>
                <w:sz w:val="18"/>
                <w:szCs w:val="18"/>
              </w:rPr>
              <w:t>Other long-term assets</w:t>
            </w:r>
          </w:p>
        </w:tc>
        <w:tc>
          <w:tcPr>
            <w:tcW w:w="0" w:type="auto"/>
            <w:gridSpan w:val="3"/>
            <w:shd w:val="clear" w:color="auto" w:fill="auto"/>
            <w:tcMar>
              <w:left w:w="20" w:type="dxa"/>
              <w:right w:w="20" w:type="dxa"/>
            </w:tcMar>
            <w:vAlign w:val="bottom"/>
          </w:tcPr>
          <w:p w14:paraId="36CA1BEE"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1BEF" w14:textId="77777777" w:rsidR="00787570" w:rsidRDefault="000D56E2">
            <w:pPr>
              <w:jc w:val="right"/>
              <w:textAlignment w:val="bottom"/>
            </w:pPr>
            <w:r>
              <w:rPr>
                <w:rFonts w:ascii="Arial" w:eastAsia="宋体" w:hAnsi="Arial" w:cs="Arial"/>
                <w:b/>
                <w:bCs/>
                <w:color w:val="0071C5"/>
                <w:sz w:val="18"/>
                <w:szCs w:val="18"/>
              </w:rPr>
              <w:t>6,036</w:t>
            </w:r>
            <w:r>
              <w:rPr>
                <w:rFonts w:ascii="Arial" w:eastAsia="宋体" w:hAnsi="Arial" w:cs="Arial"/>
                <w:color w:val="0071C5"/>
                <w:sz w:val="18"/>
                <w:szCs w:val="18"/>
              </w:rPr>
              <w:t> </w:t>
            </w:r>
          </w:p>
        </w:tc>
        <w:tc>
          <w:tcPr>
            <w:tcW w:w="0" w:type="auto"/>
            <w:shd w:val="clear" w:color="auto" w:fill="auto"/>
            <w:tcMar>
              <w:top w:w="40" w:type="dxa"/>
              <w:bottom w:w="40" w:type="dxa"/>
              <w:right w:w="20" w:type="dxa"/>
            </w:tcMar>
            <w:vAlign w:val="bottom"/>
          </w:tcPr>
          <w:p w14:paraId="36CA1BF0"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1BF1"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1BF2" w14:textId="77777777" w:rsidR="00787570" w:rsidRDefault="000D56E2">
            <w:pPr>
              <w:jc w:val="right"/>
              <w:textAlignment w:val="bottom"/>
            </w:pPr>
            <w:r>
              <w:rPr>
                <w:rFonts w:ascii="Arial" w:eastAsia="宋体" w:hAnsi="Arial" w:cs="Arial"/>
                <w:b/>
                <w:bCs/>
                <w:color w:val="333333"/>
                <w:sz w:val="18"/>
                <w:szCs w:val="18"/>
              </w:rPr>
              <w:t>5,553</w:t>
            </w:r>
            <w:r>
              <w:rPr>
                <w:rFonts w:ascii="Arial" w:eastAsia="宋体" w:hAnsi="Arial" w:cs="Arial"/>
                <w:color w:val="333333"/>
                <w:sz w:val="18"/>
                <w:szCs w:val="18"/>
              </w:rPr>
              <w:t> </w:t>
            </w:r>
          </w:p>
        </w:tc>
        <w:tc>
          <w:tcPr>
            <w:tcW w:w="0" w:type="auto"/>
            <w:shd w:val="clear" w:color="auto" w:fill="auto"/>
            <w:tcMar>
              <w:top w:w="40" w:type="dxa"/>
              <w:bottom w:w="40" w:type="dxa"/>
              <w:right w:w="20" w:type="dxa"/>
            </w:tcMar>
            <w:vAlign w:val="bottom"/>
          </w:tcPr>
          <w:p w14:paraId="36CA1BF3" w14:textId="77777777" w:rsidR="00787570" w:rsidRDefault="00787570">
            <w:pPr>
              <w:jc w:val="right"/>
              <w:rPr>
                <w:rFonts w:ascii="宋体"/>
              </w:rPr>
            </w:pPr>
          </w:p>
        </w:tc>
      </w:tr>
      <w:tr w:rsidR="00787570" w14:paraId="36CA1BFE" w14:textId="77777777">
        <w:tc>
          <w:tcPr>
            <w:tcW w:w="0" w:type="auto"/>
            <w:gridSpan w:val="3"/>
            <w:shd w:val="clear" w:color="auto" w:fill="auto"/>
            <w:tcMar>
              <w:top w:w="40" w:type="dxa"/>
              <w:left w:w="20" w:type="dxa"/>
              <w:bottom w:w="40" w:type="dxa"/>
              <w:right w:w="20" w:type="dxa"/>
            </w:tcMar>
          </w:tcPr>
          <w:p w14:paraId="36CA1BF5" w14:textId="77777777" w:rsidR="00787570" w:rsidRDefault="000D56E2">
            <w:pPr>
              <w:ind w:hanging="180"/>
              <w:textAlignment w:val="top"/>
            </w:pPr>
            <w:r>
              <w:rPr>
                <w:rFonts w:ascii="Arial" w:eastAsia="宋体" w:hAnsi="Arial" w:cs="Arial"/>
                <w:b/>
                <w:bCs/>
                <w:color w:val="333333"/>
                <w:sz w:val="18"/>
                <w:szCs w:val="18"/>
              </w:rPr>
              <w:t>Total assets</w:t>
            </w:r>
          </w:p>
        </w:tc>
        <w:tc>
          <w:tcPr>
            <w:tcW w:w="0" w:type="auto"/>
            <w:gridSpan w:val="3"/>
            <w:shd w:val="clear" w:color="auto" w:fill="auto"/>
            <w:tcMar>
              <w:left w:w="20" w:type="dxa"/>
              <w:right w:w="20" w:type="dxa"/>
            </w:tcMar>
            <w:vAlign w:val="bottom"/>
          </w:tcPr>
          <w:p w14:paraId="36CA1BF6" w14:textId="77777777" w:rsidR="00787570" w:rsidRDefault="00787570">
            <w:pPr>
              <w:rPr>
                <w:rFonts w:ascii="宋体"/>
              </w:rPr>
            </w:pPr>
          </w:p>
        </w:tc>
        <w:tc>
          <w:tcPr>
            <w:tcW w:w="0" w:type="auto"/>
            <w:tcBorders>
              <w:top w:val="single" w:sz="8" w:space="0" w:color="333333"/>
            </w:tcBorders>
            <w:shd w:val="clear" w:color="auto" w:fill="auto"/>
            <w:tcMar>
              <w:top w:w="40" w:type="dxa"/>
              <w:left w:w="20" w:type="dxa"/>
              <w:bottom w:w="40" w:type="dxa"/>
            </w:tcMar>
            <w:vAlign w:val="bottom"/>
          </w:tcPr>
          <w:p w14:paraId="36CA1BF7" w14:textId="77777777" w:rsidR="00787570" w:rsidRDefault="000D56E2">
            <w:pPr>
              <w:textAlignment w:val="bottom"/>
            </w:pPr>
            <w:r>
              <w:rPr>
                <w:rFonts w:ascii="Arial" w:eastAsia="宋体" w:hAnsi="Arial" w:cs="Arial"/>
                <w:b/>
                <w:bCs/>
                <w:color w:val="0071C5"/>
                <w:sz w:val="18"/>
                <w:szCs w:val="18"/>
              </w:rPr>
              <w:t>$</w:t>
            </w:r>
          </w:p>
        </w:tc>
        <w:tc>
          <w:tcPr>
            <w:tcW w:w="0" w:type="auto"/>
            <w:tcBorders>
              <w:top w:val="single" w:sz="8" w:space="0" w:color="333333"/>
            </w:tcBorders>
            <w:shd w:val="clear" w:color="auto" w:fill="auto"/>
            <w:tcMar>
              <w:top w:w="40" w:type="dxa"/>
              <w:bottom w:w="40" w:type="dxa"/>
              <w:right w:w="0" w:type="dxa"/>
            </w:tcMar>
            <w:vAlign w:val="bottom"/>
          </w:tcPr>
          <w:p w14:paraId="36CA1BF8" w14:textId="77777777" w:rsidR="00787570" w:rsidRDefault="000D56E2">
            <w:pPr>
              <w:jc w:val="right"/>
              <w:textAlignment w:val="bottom"/>
            </w:pPr>
            <w:r>
              <w:rPr>
                <w:rFonts w:ascii="Arial" w:eastAsia="宋体" w:hAnsi="Arial" w:cs="Arial"/>
                <w:b/>
                <w:bCs/>
                <w:color w:val="0071C5"/>
                <w:sz w:val="18"/>
                <w:szCs w:val="18"/>
              </w:rPr>
              <w:t>145,261</w:t>
            </w:r>
            <w:r>
              <w:rPr>
                <w:rFonts w:ascii="Arial" w:eastAsia="宋体" w:hAnsi="Arial" w:cs="Arial"/>
                <w:color w:val="0071C5"/>
                <w:sz w:val="18"/>
                <w:szCs w:val="18"/>
              </w:rPr>
              <w:t> </w:t>
            </w:r>
          </w:p>
        </w:tc>
        <w:tc>
          <w:tcPr>
            <w:tcW w:w="0" w:type="auto"/>
            <w:tcBorders>
              <w:top w:val="single" w:sz="8" w:space="0" w:color="333333"/>
            </w:tcBorders>
            <w:shd w:val="clear" w:color="auto" w:fill="auto"/>
            <w:tcMar>
              <w:top w:w="40" w:type="dxa"/>
              <w:bottom w:w="40" w:type="dxa"/>
              <w:right w:w="20" w:type="dxa"/>
            </w:tcMar>
            <w:vAlign w:val="bottom"/>
          </w:tcPr>
          <w:p w14:paraId="36CA1BF9"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1BFA" w14:textId="77777777" w:rsidR="00787570" w:rsidRDefault="00787570">
            <w:pPr>
              <w:rPr>
                <w:rFonts w:ascii="宋体"/>
              </w:rPr>
            </w:pPr>
          </w:p>
        </w:tc>
        <w:tc>
          <w:tcPr>
            <w:tcW w:w="0" w:type="auto"/>
            <w:tcBorders>
              <w:top w:val="single" w:sz="8" w:space="0" w:color="333333"/>
            </w:tcBorders>
            <w:shd w:val="clear" w:color="auto" w:fill="auto"/>
            <w:tcMar>
              <w:top w:w="40" w:type="dxa"/>
              <w:left w:w="20" w:type="dxa"/>
              <w:bottom w:w="40" w:type="dxa"/>
            </w:tcMar>
            <w:vAlign w:val="bottom"/>
          </w:tcPr>
          <w:p w14:paraId="36CA1BFB" w14:textId="77777777" w:rsidR="00787570" w:rsidRDefault="000D56E2">
            <w:pPr>
              <w:textAlignment w:val="bottom"/>
            </w:pPr>
            <w:r>
              <w:rPr>
                <w:rFonts w:ascii="Arial" w:eastAsia="宋体" w:hAnsi="Arial" w:cs="Arial"/>
                <w:b/>
                <w:bCs/>
                <w:color w:val="333333"/>
                <w:sz w:val="18"/>
                <w:szCs w:val="18"/>
              </w:rPr>
              <w:t>$</w:t>
            </w:r>
          </w:p>
        </w:tc>
        <w:tc>
          <w:tcPr>
            <w:tcW w:w="0" w:type="auto"/>
            <w:tcBorders>
              <w:top w:val="single" w:sz="8" w:space="0" w:color="333333"/>
            </w:tcBorders>
            <w:shd w:val="clear" w:color="auto" w:fill="auto"/>
            <w:tcMar>
              <w:top w:w="40" w:type="dxa"/>
              <w:bottom w:w="40" w:type="dxa"/>
              <w:right w:w="0" w:type="dxa"/>
            </w:tcMar>
            <w:vAlign w:val="bottom"/>
          </w:tcPr>
          <w:p w14:paraId="36CA1BFC" w14:textId="77777777" w:rsidR="00787570" w:rsidRDefault="000D56E2">
            <w:pPr>
              <w:jc w:val="right"/>
              <w:textAlignment w:val="bottom"/>
            </w:pPr>
            <w:r>
              <w:rPr>
                <w:rFonts w:ascii="Arial" w:eastAsia="宋体" w:hAnsi="Arial" w:cs="Arial"/>
                <w:b/>
                <w:bCs/>
                <w:color w:val="333333"/>
                <w:sz w:val="18"/>
                <w:szCs w:val="18"/>
              </w:rPr>
              <w:t>136,524</w:t>
            </w:r>
            <w:r>
              <w:rPr>
                <w:rFonts w:ascii="Arial" w:eastAsia="宋体" w:hAnsi="Arial" w:cs="Arial"/>
                <w:color w:val="333333"/>
                <w:sz w:val="18"/>
                <w:szCs w:val="18"/>
              </w:rPr>
              <w:t> </w:t>
            </w:r>
          </w:p>
        </w:tc>
        <w:tc>
          <w:tcPr>
            <w:tcW w:w="0" w:type="auto"/>
            <w:tcBorders>
              <w:top w:val="single" w:sz="8" w:space="0" w:color="333333"/>
            </w:tcBorders>
            <w:shd w:val="clear" w:color="auto" w:fill="auto"/>
            <w:tcMar>
              <w:top w:w="40" w:type="dxa"/>
              <w:bottom w:w="40" w:type="dxa"/>
              <w:right w:w="20" w:type="dxa"/>
            </w:tcMar>
            <w:vAlign w:val="bottom"/>
          </w:tcPr>
          <w:p w14:paraId="36CA1BFD" w14:textId="77777777" w:rsidR="00787570" w:rsidRDefault="00787570">
            <w:pPr>
              <w:jc w:val="right"/>
              <w:rPr>
                <w:rFonts w:ascii="宋体"/>
              </w:rPr>
            </w:pPr>
          </w:p>
        </w:tc>
      </w:tr>
      <w:tr w:rsidR="00787570" w14:paraId="36CA1C04" w14:textId="77777777">
        <w:trPr>
          <w:trHeight w:val="60"/>
        </w:trPr>
        <w:tc>
          <w:tcPr>
            <w:tcW w:w="0" w:type="auto"/>
            <w:gridSpan w:val="3"/>
            <w:shd w:val="clear" w:color="auto" w:fill="auto"/>
            <w:tcMar>
              <w:left w:w="20" w:type="dxa"/>
              <w:right w:w="20" w:type="dxa"/>
            </w:tcMar>
            <w:vAlign w:val="bottom"/>
          </w:tcPr>
          <w:p w14:paraId="36CA1BFF"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1C00" w14:textId="77777777" w:rsidR="00787570" w:rsidRDefault="00787570">
            <w:pPr>
              <w:rPr>
                <w:rFonts w:ascii="宋体"/>
              </w:rPr>
            </w:pPr>
          </w:p>
        </w:tc>
        <w:tc>
          <w:tcPr>
            <w:tcW w:w="0" w:type="auto"/>
            <w:gridSpan w:val="3"/>
            <w:tcBorders>
              <w:top w:val="double" w:sz="6" w:space="0" w:color="333333"/>
            </w:tcBorders>
            <w:shd w:val="clear" w:color="auto" w:fill="auto"/>
            <w:tcMar>
              <w:left w:w="20" w:type="dxa"/>
              <w:right w:w="20" w:type="dxa"/>
            </w:tcMar>
            <w:vAlign w:val="bottom"/>
          </w:tcPr>
          <w:p w14:paraId="36CA1C01"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1C02" w14:textId="77777777" w:rsidR="00787570" w:rsidRDefault="00787570">
            <w:pPr>
              <w:rPr>
                <w:rFonts w:ascii="宋体"/>
              </w:rPr>
            </w:pPr>
          </w:p>
        </w:tc>
        <w:tc>
          <w:tcPr>
            <w:tcW w:w="0" w:type="auto"/>
            <w:gridSpan w:val="3"/>
            <w:tcBorders>
              <w:top w:val="double" w:sz="6" w:space="0" w:color="333333"/>
            </w:tcBorders>
            <w:shd w:val="clear" w:color="auto" w:fill="auto"/>
            <w:tcMar>
              <w:left w:w="20" w:type="dxa"/>
              <w:right w:w="20" w:type="dxa"/>
            </w:tcMar>
            <w:vAlign w:val="bottom"/>
          </w:tcPr>
          <w:p w14:paraId="36CA1C03" w14:textId="77777777" w:rsidR="00787570" w:rsidRDefault="00787570">
            <w:pPr>
              <w:rPr>
                <w:rFonts w:ascii="宋体"/>
              </w:rPr>
            </w:pPr>
          </w:p>
        </w:tc>
      </w:tr>
      <w:tr w:rsidR="00787570" w14:paraId="36CA1C0A" w14:textId="77777777">
        <w:tc>
          <w:tcPr>
            <w:tcW w:w="0" w:type="auto"/>
            <w:gridSpan w:val="3"/>
            <w:shd w:val="clear" w:color="auto" w:fill="auto"/>
            <w:tcMar>
              <w:top w:w="40" w:type="dxa"/>
              <w:left w:w="20" w:type="dxa"/>
              <w:bottom w:w="40" w:type="dxa"/>
              <w:right w:w="20" w:type="dxa"/>
            </w:tcMar>
          </w:tcPr>
          <w:p w14:paraId="36CA1C05" w14:textId="77777777" w:rsidR="00787570" w:rsidRDefault="000D56E2">
            <w:pPr>
              <w:ind w:hanging="180"/>
              <w:textAlignment w:val="top"/>
            </w:pPr>
            <w:r>
              <w:rPr>
                <w:rFonts w:ascii="Arial" w:eastAsia="宋体" w:hAnsi="Arial" w:cs="Arial"/>
                <w:b/>
                <w:bCs/>
                <w:color w:val="333333"/>
                <w:sz w:val="18"/>
                <w:szCs w:val="18"/>
              </w:rPr>
              <w:t>Liabilities, temporary equity, and stockholders’ equity</w:t>
            </w:r>
          </w:p>
        </w:tc>
        <w:tc>
          <w:tcPr>
            <w:tcW w:w="0" w:type="auto"/>
            <w:gridSpan w:val="3"/>
            <w:shd w:val="clear" w:color="auto" w:fill="auto"/>
            <w:tcMar>
              <w:left w:w="20" w:type="dxa"/>
              <w:right w:w="20" w:type="dxa"/>
            </w:tcMar>
            <w:vAlign w:val="bottom"/>
          </w:tcPr>
          <w:p w14:paraId="36CA1C06"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1C07"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1C08"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1C09" w14:textId="77777777" w:rsidR="00787570" w:rsidRDefault="00787570">
            <w:pPr>
              <w:rPr>
                <w:rFonts w:ascii="宋体"/>
              </w:rPr>
            </w:pPr>
          </w:p>
        </w:tc>
      </w:tr>
      <w:tr w:rsidR="00787570" w14:paraId="36CA1C10" w14:textId="77777777">
        <w:tc>
          <w:tcPr>
            <w:tcW w:w="0" w:type="auto"/>
            <w:gridSpan w:val="3"/>
            <w:shd w:val="clear" w:color="auto" w:fill="auto"/>
            <w:tcMar>
              <w:top w:w="40" w:type="dxa"/>
              <w:left w:w="20" w:type="dxa"/>
              <w:bottom w:w="40" w:type="dxa"/>
              <w:right w:w="20" w:type="dxa"/>
            </w:tcMar>
          </w:tcPr>
          <w:p w14:paraId="36CA1C0B" w14:textId="77777777" w:rsidR="00787570" w:rsidRDefault="000D56E2">
            <w:pPr>
              <w:ind w:hanging="180"/>
              <w:textAlignment w:val="top"/>
            </w:pPr>
            <w:r>
              <w:rPr>
                <w:rFonts w:ascii="Arial" w:eastAsia="宋体" w:hAnsi="Arial" w:cs="Arial"/>
                <w:color w:val="333333"/>
                <w:sz w:val="18"/>
                <w:szCs w:val="18"/>
              </w:rPr>
              <w:t>Current liabilities:</w:t>
            </w:r>
          </w:p>
        </w:tc>
        <w:tc>
          <w:tcPr>
            <w:tcW w:w="0" w:type="auto"/>
            <w:gridSpan w:val="3"/>
            <w:shd w:val="clear" w:color="auto" w:fill="auto"/>
            <w:tcMar>
              <w:left w:w="20" w:type="dxa"/>
              <w:right w:w="20" w:type="dxa"/>
            </w:tcMar>
            <w:vAlign w:val="bottom"/>
          </w:tcPr>
          <w:p w14:paraId="36CA1C0C"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1C0D"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1C0E"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1C0F" w14:textId="77777777" w:rsidR="00787570" w:rsidRDefault="00787570">
            <w:pPr>
              <w:rPr>
                <w:rFonts w:ascii="宋体"/>
              </w:rPr>
            </w:pPr>
          </w:p>
        </w:tc>
      </w:tr>
      <w:tr w:rsidR="00787570" w14:paraId="36CA1C1A" w14:textId="77777777">
        <w:tc>
          <w:tcPr>
            <w:tcW w:w="0" w:type="auto"/>
            <w:gridSpan w:val="3"/>
            <w:shd w:val="clear" w:color="auto" w:fill="auto"/>
            <w:tcMar>
              <w:top w:w="40" w:type="dxa"/>
              <w:left w:w="195" w:type="dxa"/>
              <w:bottom w:w="40" w:type="dxa"/>
              <w:right w:w="20" w:type="dxa"/>
            </w:tcMar>
          </w:tcPr>
          <w:p w14:paraId="36CA1C11" w14:textId="77777777" w:rsidR="00787570" w:rsidRDefault="000D56E2">
            <w:pPr>
              <w:textAlignment w:val="top"/>
            </w:pPr>
            <w:r>
              <w:rPr>
                <w:rFonts w:ascii="Arial" w:eastAsia="宋体" w:hAnsi="Arial" w:cs="Arial"/>
                <w:color w:val="333333"/>
                <w:sz w:val="18"/>
                <w:szCs w:val="18"/>
              </w:rPr>
              <w:t>Short-term debt</w:t>
            </w:r>
          </w:p>
        </w:tc>
        <w:tc>
          <w:tcPr>
            <w:tcW w:w="0" w:type="auto"/>
            <w:gridSpan w:val="3"/>
            <w:shd w:val="clear" w:color="auto" w:fill="auto"/>
            <w:tcMar>
              <w:left w:w="20" w:type="dxa"/>
              <w:right w:w="20" w:type="dxa"/>
            </w:tcMar>
            <w:vAlign w:val="bottom"/>
          </w:tcPr>
          <w:p w14:paraId="36CA1C12" w14:textId="77777777" w:rsidR="00787570" w:rsidRDefault="00787570">
            <w:pPr>
              <w:rPr>
                <w:rFonts w:ascii="宋体"/>
              </w:rPr>
            </w:pPr>
          </w:p>
        </w:tc>
        <w:tc>
          <w:tcPr>
            <w:tcW w:w="0" w:type="auto"/>
            <w:shd w:val="clear" w:color="auto" w:fill="auto"/>
            <w:tcMar>
              <w:top w:w="40" w:type="dxa"/>
              <w:left w:w="20" w:type="dxa"/>
              <w:bottom w:w="40" w:type="dxa"/>
            </w:tcMar>
            <w:vAlign w:val="bottom"/>
          </w:tcPr>
          <w:p w14:paraId="36CA1C13" w14:textId="77777777" w:rsidR="00787570" w:rsidRDefault="000D56E2">
            <w:pPr>
              <w:textAlignment w:val="bottom"/>
            </w:pPr>
            <w:r>
              <w:rPr>
                <w:rFonts w:ascii="Arial" w:eastAsia="宋体" w:hAnsi="Arial" w:cs="Arial"/>
                <w:color w:val="0071C5"/>
                <w:sz w:val="18"/>
                <w:szCs w:val="18"/>
              </w:rPr>
              <w:t>$</w:t>
            </w:r>
          </w:p>
        </w:tc>
        <w:tc>
          <w:tcPr>
            <w:tcW w:w="0" w:type="auto"/>
            <w:shd w:val="clear" w:color="auto" w:fill="auto"/>
            <w:tcMar>
              <w:top w:w="40" w:type="dxa"/>
              <w:bottom w:w="40" w:type="dxa"/>
              <w:right w:w="0" w:type="dxa"/>
            </w:tcMar>
            <w:vAlign w:val="bottom"/>
          </w:tcPr>
          <w:p w14:paraId="36CA1C14" w14:textId="77777777" w:rsidR="00787570" w:rsidRDefault="000D56E2">
            <w:pPr>
              <w:jc w:val="right"/>
              <w:textAlignment w:val="bottom"/>
            </w:pPr>
            <w:r>
              <w:rPr>
                <w:rFonts w:ascii="Arial" w:eastAsia="宋体" w:hAnsi="Arial" w:cs="Arial"/>
                <w:color w:val="0071C5"/>
                <w:sz w:val="18"/>
                <w:szCs w:val="18"/>
              </w:rPr>
              <w:t>504 </w:t>
            </w:r>
          </w:p>
        </w:tc>
        <w:tc>
          <w:tcPr>
            <w:tcW w:w="0" w:type="auto"/>
            <w:shd w:val="clear" w:color="auto" w:fill="auto"/>
            <w:tcMar>
              <w:top w:w="40" w:type="dxa"/>
              <w:bottom w:w="40" w:type="dxa"/>
              <w:right w:w="20" w:type="dxa"/>
            </w:tcMar>
            <w:vAlign w:val="bottom"/>
          </w:tcPr>
          <w:p w14:paraId="36CA1C15"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1C16" w14:textId="77777777" w:rsidR="00787570" w:rsidRDefault="00787570">
            <w:pPr>
              <w:rPr>
                <w:rFonts w:ascii="宋体"/>
              </w:rPr>
            </w:pPr>
          </w:p>
        </w:tc>
        <w:tc>
          <w:tcPr>
            <w:tcW w:w="0" w:type="auto"/>
            <w:shd w:val="clear" w:color="auto" w:fill="auto"/>
            <w:tcMar>
              <w:top w:w="40" w:type="dxa"/>
              <w:left w:w="20" w:type="dxa"/>
              <w:bottom w:w="40" w:type="dxa"/>
            </w:tcMar>
            <w:vAlign w:val="bottom"/>
          </w:tcPr>
          <w:p w14:paraId="36CA1C17" w14:textId="77777777" w:rsidR="00787570" w:rsidRDefault="000D56E2">
            <w:pPr>
              <w:textAlignment w:val="bottom"/>
            </w:pPr>
            <w:r>
              <w:rPr>
                <w:rFonts w:ascii="Arial" w:eastAsia="宋体" w:hAnsi="Arial" w:cs="Arial"/>
                <w:color w:val="333333"/>
                <w:sz w:val="18"/>
                <w:szCs w:val="18"/>
              </w:rPr>
              <w:t>$</w:t>
            </w:r>
          </w:p>
        </w:tc>
        <w:tc>
          <w:tcPr>
            <w:tcW w:w="0" w:type="auto"/>
            <w:shd w:val="clear" w:color="auto" w:fill="auto"/>
            <w:tcMar>
              <w:top w:w="40" w:type="dxa"/>
              <w:bottom w:w="40" w:type="dxa"/>
              <w:right w:w="0" w:type="dxa"/>
            </w:tcMar>
            <w:vAlign w:val="bottom"/>
          </w:tcPr>
          <w:p w14:paraId="36CA1C18" w14:textId="77777777" w:rsidR="00787570" w:rsidRDefault="000D56E2">
            <w:pPr>
              <w:jc w:val="right"/>
              <w:textAlignment w:val="bottom"/>
            </w:pPr>
            <w:r>
              <w:rPr>
                <w:rFonts w:ascii="Arial" w:eastAsia="宋体" w:hAnsi="Arial" w:cs="Arial"/>
                <w:color w:val="333333"/>
                <w:sz w:val="18"/>
                <w:szCs w:val="18"/>
              </w:rPr>
              <w:t>3,693 </w:t>
            </w:r>
          </w:p>
        </w:tc>
        <w:tc>
          <w:tcPr>
            <w:tcW w:w="0" w:type="auto"/>
            <w:shd w:val="clear" w:color="auto" w:fill="auto"/>
            <w:tcMar>
              <w:top w:w="40" w:type="dxa"/>
              <w:bottom w:w="40" w:type="dxa"/>
              <w:right w:w="20" w:type="dxa"/>
            </w:tcMar>
            <w:vAlign w:val="bottom"/>
          </w:tcPr>
          <w:p w14:paraId="36CA1C19" w14:textId="77777777" w:rsidR="00787570" w:rsidRDefault="00787570">
            <w:pPr>
              <w:jc w:val="right"/>
              <w:rPr>
                <w:rFonts w:ascii="宋体"/>
              </w:rPr>
            </w:pPr>
          </w:p>
        </w:tc>
      </w:tr>
      <w:tr w:rsidR="00787570" w14:paraId="36CA1C22" w14:textId="77777777">
        <w:tc>
          <w:tcPr>
            <w:tcW w:w="0" w:type="auto"/>
            <w:gridSpan w:val="3"/>
            <w:shd w:val="clear" w:color="auto" w:fill="auto"/>
            <w:tcMar>
              <w:top w:w="40" w:type="dxa"/>
              <w:left w:w="195" w:type="dxa"/>
              <w:bottom w:w="40" w:type="dxa"/>
              <w:right w:w="20" w:type="dxa"/>
            </w:tcMar>
          </w:tcPr>
          <w:p w14:paraId="36CA1C1B" w14:textId="77777777" w:rsidR="00787570" w:rsidRDefault="000D56E2">
            <w:pPr>
              <w:textAlignment w:val="top"/>
            </w:pPr>
            <w:r>
              <w:rPr>
                <w:rFonts w:ascii="Arial" w:eastAsia="宋体" w:hAnsi="Arial" w:cs="Arial"/>
                <w:color w:val="333333"/>
                <w:sz w:val="18"/>
                <w:szCs w:val="18"/>
              </w:rPr>
              <w:t>Accounts payable</w:t>
            </w:r>
          </w:p>
        </w:tc>
        <w:tc>
          <w:tcPr>
            <w:tcW w:w="0" w:type="auto"/>
            <w:gridSpan w:val="3"/>
            <w:shd w:val="clear" w:color="auto" w:fill="auto"/>
            <w:tcMar>
              <w:left w:w="20" w:type="dxa"/>
              <w:right w:w="20" w:type="dxa"/>
            </w:tcMar>
            <w:vAlign w:val="bottom"/>
          </w:tcPr>
          <w:p w14:paraId="36CA1C1C"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1C1D" w14:textId="77777777" w:rsidR="00787570" w:rsidRDefault="000D56E2">
            <w:pPr>
              <w:jc w:val="right"/>
              <w:textAlignment w:val="bottom"/>
            </w:pPr>
            <w:r>
              <w:rPr>
                <w:rFonts w:ascii="Arial" w:eastAsia="宋体" w:hAnsi="Arial" w:cs="Arial"/>
                <w:color w:val="0071C5"/>
                <w:sz w:val="18"/>
                <w:szCs w:val="18"/>
              </w:rPr>
              <w:t>5,159 </w:t>
            </w:r>
          </w:p>
        </w:tc>
        <w:tc>
          <w:tcPr>
            <w:tcW w:w="0" w:type="auto"/>
            <w:shd w:val="clear" w:color="auto" w:fill="auto"/>
            <w:tcMar>
              <w:top w:w="40" w:type="dxa"/>
              <w:bottom w:w="40" w:type="dxa"/>
              <w:right w:w="20" w:type="dxa"/>
            </w:tcMar>
            <w:vAlign w:val="bottom"/>
          </w:tcPr>
          <w:p w14:paraId="36CA1C1E"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1C1F"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1C20" w14:textId="77777777" w:rsidR="00787570" w:rsidRDefault="000D56E2">
            <w:pPr>
              <w:jc w:val="right"/>
              <w:textAlignment w:val="bottom"/>
            </w:pPr>
            <w:r>
              <w:rPr>
                <w:rFonts w:ascii="Arial" w:eastAsia="宋体" w:hAnsi="Arial" w:cs="Arial"/>
                <w:color w:val="333333"/>
                <w:sz w:val="18"/>
                <w:szCs w:val="18"/>
              </w:rPr>
              <w:t>4,128 </w:t>
            </w:r>
          </w:p>
        </w:tc>
        <w:tc>
          <w:tcPr>
            <w:tcW w:w="0" w:type="auto"/>
            <w:shd w:val="clear" w:color="auto" w:fill="auto"/>
            <w:tcMar>
              <w:top w:w="40" w:type="dxa"/>
              <w:bottom w:w="40" w:type="dxa"/>
              <w:right w:w="20" w:type="dxa"/>
            </w:tcMar>
            <w:vAlign w:val="bottom"/>
          </w:tcPr>
          <w:p w14:paraId="36CA1C21" w14:textId="77777777" w:rsidR="00787570" w:rsidRDefault="00787570">
            <w:pPr>
              <w:jc w:val="right"/>
              <w:rPr>
                <w:rFonts w:ascii="宋体"/>
              </w:rPr>
            </w:pPr>
          </w:p>
        </w:tc>
      </w:tr>
      <w:tr w:rsidR="00787570" w14:paraId="36CA1C2A" w14:textId="77777777">
        <w:tc>
          <w:tcPr>
            <w:tcW w:w="0" w:type="auto"/>
            <w:gridSpan w:val="3"/>
            <w:shd w:val="clear" w:color="auto" w:fill="auto"/>
            <w:tcMar>
              <w:top w:w="40" w:type="dxa"/>
              <w:left w:w="195" w:type="dxa"/>
              <w:bottom w:w="40" w:type="dxa"/>
              <w:right w:w="20" w:type="dxa"/>
            </w:tcMar>
          </w:tcPr>
          <w:p w14:paraId="36CA1C23" w14:textId="77777777" w:rsidR="00787570" w:rsidRDefault="000D56E2">
            <w:pPr>
              <w:textAlignment w:val="top"/>
            </w:pPr>
            <w:r>
              <w:rPr>
                <w:rFonts w:ascii="Arial" w:eastAsia="宋体" w:hAnsi="Arial" w:cs="Arial"/>
                <w:color w:val="333333"/>
                <w:sz w:val="18"/>
                <w:szCs w:val="18"/>
              </w:rPr>
              <w:t>Accrued compensation and benefits</w:t>
            </w:r>
          </w:p>
        </w:tc>
        <w:tc>
          <w:tcPr>
            <w:tcW w:w="0" w:type="auto"/>
            <w:gridSpan w:val="3"/>
            <w:shd w:val="clear" w:color="auto" w:fill="auto"/>
            <w:tcMar>
              <w:left w:w="20" w:type="dxa"/>
              <w:right w:w="20" w:type="dxa"/>
            </w:tcMar>
            <w:vAlign w:val="bottom"/>
          </w:tcPr>
          <w:p w14:paraId="36CA1C24"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1C25" w14:textId="77777777" w:rsidR="00787570" w:rsidRDefault="000D56E2">
            <w:pPr>
              <w:jc w:val="right"/>
              <w:textAlignment w:val="bottom"/>
            </w:pPr>
            <w:r>
              <w:rPr>
                <w:rFonts w:ascii="Arial" w:eastAsia="宋体" w:hAnsi="Arial" w:cs="Arial"/>
                <w:color w:val="0071C5"/>
                <w:sz w:val="18"/>
                <w:szCs w:val="18"/>
              </w:rPr>
              <w:t>3,197 </w:t>
            </w:r>
          </w:p>
        </w:tc>
        <w:tc>
          <w:tcPr>
            <w:tcW w:w="0" w:type="auto"/>
            <w:shd w:val="clear" w:color="auto" w:fill="auto"/>
            <w:tcMar>
              <w:top w:w="40" w:type="dxa"/>
              <w:bottom w:w="40" w:type="dxa"/>
              <w:right w:w="20" w:type="dxa"/>
            </w:tcMar>
            <w:vAlign w:val="bottom"/>
          </w:tcPr>
          <w:p w14:paraId="36CA1C26"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1C27"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1C28" w14:textId="77777777" w:rsidR="00787570" w:rsidRDefault="000D56E2">
            <w:pPr>
              <w:jc w:val="right"/>
              <w:textAlignment w:val="bottom"/>
            </w:pPr>
            <w:r>
              <w:rPr>
                <w:rFonts w:ascii="Arial" w:eastAsia="宋体" w:hAnsi="Arial" w:cs="Arial"/>
                <w:color w:val="333333"/>
                <w:sz w:val="18"/>
                <w:szCs w:val="18"/>
              </w:rPr>
              <w:t>3,853 </w:t>
            </w:r>
          </w:p>
        </w:tc>
        <w:tc>
          <w:tcPr>
            <w:tcW w:w="0" w:type="auto"/>
            <w:shd w:val="clear" w:color="auto" w:fill="auto"/>
            <w:tcMar>
              <w:top w:w="40" w:type="dxa"/>
              <w:bottom w:w="40" w:type="dxa"/>
              <w:right w:w="20" w:type="dxa"/>
            </w:tcMar>
            <w:vAlign w:val="bottom"/>
          </w:tcPr>
          <w:p w14:paraId="36CA1C29" w14:textId="77777777" w:rsidR="00787570" w:rsidRDefault="00787570">
            <w:pPr>
              <w:jc w:val="right"/>
              <w:rPr>
                <w:rFonts w:ascii="宋体"/>
              </w:rPr>
            </w:pPr>
          </w:p>
        </w:tc>
      </w:tr>
      <w:tr w:rsidR="00787570" w14:paraId="36CA1C30" w14:textId="77777777">
        <w:trPr>
          <w:hidden/>
        </w:trPr>
        <w:tc>
          <w:tcPr>
            <w:tcW w:w="0" w:type="auto"/>
            <w:gridSpan w:val="3"/>
            <w:shd w:val="clear" w:color="auto" w:fill="auto"/>
          </w:tcPr>
          <w:p w14:paraId="36CA1C2B" w14:textId="77777777" w:rsidR="00787570" w:rsidRDefault="00787570">
            <w:pPr>
              <w:rPr>
                <w:rFonts w:ascii="宋体"/>
                <w:vanish/>
              </w:rPr>
            </w:pPr>
          </w:p>
        </w:tc>
        <w:tc>
          <w:tcPr>
            <w:tcW w:w="0" w:type="auto"/>
            <w:gridSpan w:val="3"/>
            <w:shd w:val="clear" w:color="auto" w:fill="auto"/>
          </w:tcPr>
          <w:p w14:paraId="36CA1C2C" w14:textId="77777777" w:rsidR="00787570" w:rsidRDefault="00787570">
            <w:pPr>
              <w:rPr>
                <w:rFonts w:ascii="宋体"/>
                <w:vanish/>
              </w:rPr>
            </w:pPr>
          </w:p>
        </w:tc>
        <w:tc>
          <w:tcPr>
            <w:tcW w:w="0" w:type="auto"/>
            <w:gridSpan w:val="3"/>
            <w:shd w:val="clear" w:color="auto" w:fill="auto"/>
          </w:tcPr>
          <w:p w14:paraId="36CA1C2D" w14:textId="77777777" w:rsidR="00787570" w:rsidRDefault="00787570">
            <w:pPr>
              <w:rPr>
                <w:rFonts w:ascii="宋体"/>
                <w:vanish/>
              </w:rPr>
            </w:pPr>
          </w:p>
        </w:tc>
        <w:tc>
          <w:tcPr>
            <w:tcW w:w="0" w:type="auto"/>
            <w:gridSpan w:val="3"/>
            <w:shd w:val="clear" w:color="auto" w:fill="auto"/>
          </w:tcPr>
          <w:p w14:paraId="36CA1C2E" w14:textId="77777777" w:rsidR="00787570" w:rsidRDefault="00787570">
            <w:pPr>
              <w:rPr>
                <w:rFonts w:ascii="宋体"/>
                <w:vanish/>
              </w:rPr>
            </w:pPr>
          </w:p>
        </w:tc>
        <w:tc>
          <w:tcPr>
            <w:tcW w:w="0" w:type="auto"/>
            <w:gridSpan w:val="3"/>
            <w:shd w:val="clear" w:color="auto" w:fill="auto"/>
          </w:tcPr>
          <w:p w14:paraId="36CA1C2F" w14:textId="77777777" w:rsidR="00787570" w:rsidRDefault="00787570">
            <w:pPr>
              <w:rPr>
                <w:rFonts w:ascii="宋体"/>
                <w:vanish/>
              </w:rPr>
            </w:pPr>
          </w:p>
        </w:tc>
      </w:tr>
      <w:tr w:rsidR="00787570" w14:paraId="36CA1C36" w14:textId="77777777">
        <w:trPr>
          <w:hidden/>
        </w:trPr>
        <w:tc>
          <w:tcPr>
            <w:tcW w:w="0" w:type="auto"/>
            <w:gridSpan w:val="3"/>
            <w:shd w:val="clear" w:color="auto" w:fill="auto"/>
          </w:tcPr>
          <w:p w14:paraId="36CA1C31" w14:textId="77777777" w:rsidR="00787570" w:rsidRDefault="00787570">
            <w:pPr>
              <w:rPr>
                <w:rFonts w:ascii="宋体"/>
                <w:vanish/>
              </w:rPr>
            </w:pPr>
          </w:p>
        </w:tc>
        <w:tc>
          <w:tcPr>
            <w:tcW w:w="0" w:type="auto"/>
            <w:gridSpan w:val="3"/>
            <w:shd w:val="clear" w:color="auto" w:fill="auto"/>
          </w:tcPr>
          <w:p w14:paraId="36CA1C32" w14:textId="77777777" w:rsidR="00787570" w:rsidRDefault="00787570">
            <w:pPr>
              <w:rPr>
                <w:rFonts w:ascii="宋体"/>
                <w:vanish/>
              </w:rPr>
            </w:pPr>
          </w:p>
        </w:tc>
        <w:tc>
          <w:tcPr>
            <w:tcW w:w="0" w:type="auto"/>
            <w:gridSpan w:val="3"/>
            <w:shd w:val="clear" w:color="auto" w:fill="auto"/>
          </w:tcPr>
          <w:p w14:paraId="36CA1C33" w14:textId="77777777" w:rsidR="00787570" w:rsidRDefault="00787570">
            <w:pPr>
              <w:rPr>
                <w:rFonts w:ascii="宋体"/>
                <w:vanish/>
              </w:rPr>
            </w:pPr>
          </w:p>
        </w:tc>
        <w:tc>
          <w:tcPr>
            <w:tcW w:w="0" w:type="auto"/>
            <w:gridSpan w:val="3"/>
            <w:shd w:val="clear" w:color="auto" w:fill="auto"/>
          </w:tcPr>
          <w:p w14:paraId="36CA1C34" w14:textId="77777777" w:rsidR="00787570" w:rsidRDefault="00787570">
            <w:pPr>
              <w:rPr>
                <w:rFonts w:ascii="宋体"/>
                <w:vanish/>
              </w:rPr>
            </w:pPr>
          </w:p>
        </w:tc>
        <w:tc>
          <w:tcPr>
            <w:tcW w:w="0" w:type="auto"/>
            <w:gridSpan w:val="3"/>
            <w:shd w:val="clear" w:color="auto" w:fill="auto"/>
          </w:tcPr>
          <w:p w14:paraId="36CA1C35" w14:textId="77777777" w:rsidR="00787570" w:rsidRDefault="00787570">
            <w:pPr>
              <w:rPr>
                <w:rFonts w:ascii="宋体"/>
                <w:vanish/>
              </w:rPr>
            </w:pPr>
          </w:p>
        </w:tc>
      </w:tr>
      <w:tr w:rsidR="00787570" w14:paraId="36CA1C3E" w14:textId="77777777">
        <w:tc>
          <w:tcPr>
            <w:tcW w:w="0" w:type="auto"/>
            <w:gridSpan w:val="3"/>
            <w:shd w:val="clear" w:color="auto" w:fill="auto"/>
            <w:tcMar>
              <w:top w:w="40" w:type="dxa"/>
              <w:left w:w="195" w:type="dxa"/>
              <w:bottom w:w="40" w:type="dxa"/>
              <w:right w:w="20" w:type="dxa"/>
            </w:tcMar>
          </w:tcPr>
          <w:p w14:paraId="36CA1C37" w14:textId="77777777" w:rsidR="00787570" w:rsidRDefault="000D56E2">
            <w:pPr>
              <w:textAlignment w:val="top"/>
            </w:pPr>
            <w:r>
              <w:rPr>
                <w:rFonts w:ascii="Arial" w:eastAsia="宋体" w:hAnsi="Arial" w:cs="Arial"/>
                <w:color w:val="333333"/>
                <w:sz w:val="18"/>
                <w:szCs w:val="18"/>
              </w:rPr>
              <w:t xml:space="preserve">Other accrued </w:t>
            </w:r>
            <w:r>
              <w:rPr>
                <w:rFonts w:ascii="Arial" w:eastAsia="宋体" w:hAnsi="Arial" w:cs="Arial"/>
                <w:color w:val="333333"/>
                <w:sz w:val="18"/>
                <w:szCs w:val="18"/>
              </w:rPr>
              <w:t>liabilities</w:t>
            </w:r>
          </w:p>
        </w:tc>
        <w:tc>
          <w:tcPr>
            <w:tcW w:w="0" w:type="auto"/>
            <w:gridSpan w:val="3"/>
            <w:shd w:val="clear" w:color="auto" w:fill="auto"/>
            <w:tcMar>
              <w:left w:w="20" w:type="dxa"/>
              <w:right w:w="20" w:type="dxa"/>
            </w:tcMar>
            <w:vAlign w:val="bottom"/>
          </w:tcPr>
          <w:p w14:paraId="36CA1C38"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1C39" w14:textId="77777777" w:rsidR="00787570" w:rsidRDefault="000D56E2">
            <w:pPr>
              <w:jc w:val="right"/>
              <w:textAlignment w:val="bottom"/>
            </w:pPr>
            <w:r>
              <w:rPr>
                <w:rFonts w:ascii="Arial" w:eastAsia="宋体" w:hAnsi="Arial" w:cs="Arial"/>
                <w:color w:val="0071C5"/>
                <w:sz w:val="18"/>
                <w:szCs w:val="18"/>
              </w:rPr>
              <w:t>13,252 </w:t>
            </w:r>
          </w:p>
        </w:tc>
        <w:tc>
          <w:tcPr>
            <w:tcW w:w="0" w:type="auto"/>
            <w:shd w:val="clear" w:color="auto" w:fill="auto"/>
            <w:tcMar>
              <w:top w:w="40" w:type="dxa"/>
              <w:bottom w:w="40" w:type="dxa"/>
              <w:right w:w="20" w:type="dxa"/>
            </w:tcMar>
            <w:vAlign w:val="bottom"/>
          </w:tcPr>
          <w:p w14:paraId="36CA1C3A"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1C3B"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1C3C" w14:textId="77777777" w:rsidR="00787570" w:rsidRDefault="000D56E2">
            <w:pPr>
              <w:jc w:val="right"/>
              <w:textAlignment w:val="bottom"/>
            </w:pPr>
            <w:r>
              <w:rPr>
                <w:rFonts w:ascii="Arial" w:eastAsia="宋体" w:hAnsi="Arial" w:cs="Arial"/>
                <w:color w:val="333333"/>
                <w:sz w:val="18"/>
                <w:szCs w:val="18"/>
              </w:rPr>
              <w:t>10,636 </w:t>
            </w:r>
          </w:p>
        </w:tc>
        <w:tc>
          <w:tcPr>
            <w:tcW w:w="0" w:type="auto"/>
            <w:shd w:val="clear" w:color="auto" w:fill="auto"/>
            <w:tcMar>
              <w:top w:w="40" w:type="dxa"/>
              <w:bottom w:w="40" w:type="dxa"/>
              <w:right w:w="20" w:type="dxa"/>
            </w:tcMar>
            <w:vAlign w:val="bottom"/>
          </w:tcPr>
          <w:p w14:paraId="36CA1C3D" w14:textId="77777777" w:rsidR="00787570" w:rsidRDefault="00787570">
            <w:pPr>
              <w:jc w:val="right"/>
              <w:rPr>
                <w:rFonts w:ascii="宋体"/>
              </w:rPr>
            </w:pPr>
          </w:p>
        </w:tc>
      </w:tr>
      <w:tr w:rsidR="00787570" w14:paraId="36CA1C46" w14:textId="77777777">
        <w:tc>
          <w:tcPr>
            <w:tcW w:w="0" w:type="auto"/>
            <w:gridSpan w:val="3"/>
            <w:shd w:val="clear" w:color="auto" w:fill="auto"/>
            <w:tcMar>
              <w:top w:w="40" w:type="dxa"/>
              <w:left w:w="20" w:type="dxa"/>
              <w:bottom w:w="40" w:type="dxa"/>
              <w:right w:w="20" w:type="dxa"/>
            </w:tcMar>
          </w:tcPr>
          <w:p w14:paraId="36CA1C3F" w14:textId="77777777" w:rsidR="00787570" w:rsidRDefault="000D56E2">
            <w:pPr>
              <w:ind w:hanging="180"/>
              <w:textAlignment w:val="top"/>
            </w:pPr>
            <w:r>
              <w:rPr>
                <w:rFonts w:ascii="Arial" w:eastAsia="宋体" w:hAnsi="Arial" w:cs="Arial"/>
                <w:b/>
                <w:bCs/>
                <w:color w:val="333333"/>
                <w:sz w:val="18"/>
                <w:szCs w:val="18"/>
              </w:rPr>
              <w:t>Total current liabilities</w:t>
            </w:r>
          </w:p>
        </w:tc>
        <w:tc>
          <w:tcPr>
            <w:tcW w:w="0" w:type="auto"/>
            <w:gridSpan w:val="3"/>
            <w:shd w:val="clear" w:color="auto" w:fill="auto"/>
            <w:tcMar>
              <w:left w:w="20" w:type="dxa"/>
              <w:right w:w="20" w:type="dxa"/>
            </w:tcMar>
            <w:vAlign w:val="bottom"/>
          </w:tcPr>
          <w:p w14:paraId="36CA1C40" w14:textId="77777777" w:rsidR="00787570" w:rsidRDefault="00787570">
            <w:pPr>
              <w:rPr>
                <w:rFonts w:ascii="宋体"/>
              </w:rPr>
            </w:pPr>
          </w:p>
        </w:tc>
        <w:tc>
          <w:tcPr>
            <w:tcW w:w="0" w:type="auto"/>
            <w:gridSpan w:val="2"/>
            <w:tcBorders>
              <w:top w:val="single" w:sz="8" w:space="0" w:color="333333"/>
            </w:tcBorders>
            <w:shd w:val="clear" w:color="auto" w:fill="auto"/>
            <w:tcMar>
              <w:top w:w="40" w:type="dxa"/>
              <w:left w:w="20" w:type="dxa"/>
              <w:bottom w:w="40" w:type="dxa"/>
              <w:right w:w="0" w:type="dxa"/>
            </w:tcMar>
            <w:vAlign w:val="bottom"/>
          </w:tcPr>
          <w:p w14:paraId="36CA1C41" w14:textId="77777777" w:rsidR="00787570" w:rsidRDefault="000D56E2">
            <w:pPr>
              <w:jc w:val="right"/>
              <w:textAlignment w:val="bottom"/>
            </w:pPr>
            <w:r>
              <w:rPr>
                <w:rFonts w:ascii="Arial" w:eastAsia="宋体" w:hAnsi="Arial" w:cs="Arial"/>
                <w:b/>
                <w:bCs/>
                <w:color w:val="0071C5"/>
                <w:sz w:val="18"/>
                <w:szCs w:val="18"/>
              </w:rPr>
              <w:t>22,112</w:t>
            </w:r>
            <w:r>
              <w:rPr>
                <w:rFonts w:ascii="Arial" w:eastAsia="宋体" w:hAnsi="Arial" w:cs="Arial"/>
                <w:color w:val="0071C5"/>
                <w:sz w:val="18"/>
                <w:szCs w:val="18"/>
              </w:rPr>
              <w:t> </w:t>
            </w:r>
          </w:p>
        </w:tc>
        <w:tc>
          <w:tcPr>
            <w:tcW w:w="0" w:type="auto"/>
            <w:tcBorders>
              <w:top w:val="single" w:sz="8" w:space="0" w:color="333333"/>
            </w:tcBorders>
            <w:shd w:val="clear" w:color="auto" w:fill="auto"/>
            <w:tcMar>
              <w:top w:w="40" w:type="dxa"/>
              <w:bottom w:w="40" w:type="dxa"/>
              <w:right w:w="20" w:type="dxa"/>
            </w:tcMar>
            <w:vAlign w:val="bottom"/>
          </w:tcPr>
          <w:p w14:paraId="36CA1C42"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1C43" w14:textId="77777777" w:rsidR="00787570" w:rsidRDefault="00787570">
            <w:pPr>
              <w:rPr>
                <w:rFonts w:ascii="宋体"/>
              </w:rPr>
            </w:pPr>
          </w:p>
        </w:tc>
        <w:tc>
          <w:tcPr>
            <w:tcW w:w="0" w:type="auto"/>
            <w:gridSpan w:val="2"/>
            <w:tcBorders>
              <w:top w:val="single" w:sz="8" w:space="0" w:color="333333"/>
            </w:tcBorders>
            <w:shd w:val="clear" w:color="auto" w:fill="auto"/>
            <w:tcMar>
              <w:top w:w="40" w:type="dxa"/>
              <w:left w:w="20" w:type="dxa"/>
              <w:bottom w:w="40" w:type="dxa"/>
              <w:right w:w="0" w:type="dxa"/>
            </w:tcMar>
            <w:vAlign w:val="bottom"/>
          </w:tcPr>
          <w:p w14:paraId="36CA1C44" w14:textId="77777777" w:rsidR="00787570" w:rsidRDefault="000D56E2">
            <w:pPr>
              <w:jc w:val="right"/>
              <w:textAlignment w:val="bottom"/>
            </w:pPr>
            <w:r>
              <w:rPr>
                <w:rFonts w:ascii="Arial" w:eastAsia="宋体" w:hAnsi="Arial" w:cs="Arial"/>
                <w:b/>
                <w:bCs/>
                <w:color w:val="333333"/>
                <w:sz w:val="18"/>
                <w:szCs w:val="18"/>
              </w:rPr>
              <w:t>22,310</w:t>
            </w:r>
            <w:r>
              <w:rPr>
                <w:rFonts w:ascii="Arial" w:eastAsia="宋体" w:hAnsi="Arial" w:cs="Arial"/>
                <w:color w:val="333333"/>
                <w:sz w:val="18"/>
                <w:szCs w:val="18"/>
              </w:rPr>
              <w:t> </w:t>
            </w:r>
          </w:p>
        </w:tc>
        <w:tc>
          <w:tcPr>
            <w:tcW w:w="0" w:type="auto"/>
            <w:tcBorders>
              <w:top w:val="single" w:sz="8" w:space="0" w:color="333333"/>
            </w:tcBorders>
            <w:shd w:val="clear" w:color="auto" w:fill="auto"/>
            <w:tcMar>
              <w:top w:w="40" w:type="dxa"/>
              <w:bottom w:w="40" w:type="dxa"/>
              <w:right w:w="20" w:type="dxa"/>
            </w:tcMar>
            <w:vAlign w:val="bottom"/>
          </w:tcPr>
          <w:p w14:paraId="36CA1C45" w14:textId="77777777" w:rsidR="00787570" w:rsidRDefault="00787570">
            <w:pPr>
              <w:jc w:val="right"/>
              <w:rPr>
                <w:rFonts w:ascii="宋体"/>
              </w:rPr>
            </w:pPr>
          </w:p>
        </w:tc>
      </w:tr>
      <w:tr w:rsidR="00787570" w14:paraId="36CA1C4C" w14:textId="77777777">
        <w:trPr>
          <w:hidden/>
        </w:trPr>
        <w:tc>
          <w:tcPr>
            <w:tcW w:w="0" w:type="auto"/>
            <w:gridSpan w:val="3"/>
            <w:shd w:val="clear" w:color="auto" w:fill="auto"/>
          </w:tcPr>
          <w:p w14:paraId="36CA1C47" w14:textId="77777777" w:rsidR="00787570" w:rsidRDefault="00787570">
            <w:pPr>
              <w:rPr>
                <w:rFonts w:ascii="宋体"/>
                <w:vanish/>
              </w:rPr>
            </w:pPr>
          </w:p>
        </w:tc>
        <w:tc>
          <w:tcPr>
            <w:tcW w:w="0" w:type="auto"/>
            <w:gridSpan w:val="3"/>
            <w:shd w:val="clear" w:color="auto" w:fill="auto"/>
          </w:tcPr>
          <w:p w14:paraId="36CA1C48" w14:textId="77777777" w:rsidR="00787570" w:rsidRDefault="00787570">
            <w:pPr>
              <w:rPr>
                <w:rFonts w:ascii="宋体"/>
                <w:vanish/>
              </w:rPr>
            </w:pPr>
          </w:p>
        </w:tc>
        <w:tc>
          <w:tcPr>
            <w:tcW w:w="0" w:type="auto"/>
            <w:gridSpan w:val="3"/>
            <w:shd w:val="clear" w:color="auto" w:fill="auto"/>
          </w:tcPr>
          <w:p w14:paraId="36CA1C49" w14:textId="77777777" w:rsidR="00787570" w:rsidRDefault="00787570">
            <w:pPr>
              <w:rPr>
                <w:rFonts w:ascii="宋体"/>
                <w:vanish/>
              </w:rPr>
            </w:pPr>
          </w:p>
        </w:tc>
        <w:tc>
          <w:tcPr>
            <w:tcW w:w="0" w:type="auto"/>
            <w:gridSpan w:val="3"/>
            <w:shd w:val="clear" w:color="auto" w:fill="auto"/>
          </w:tcPr>
          <w:p w14:paraId="36CA1C4A" w14:textId="77777777" w:rsidR="00787570" w:rsidRDefault="00787570">
            <w:pPr>
              <w:rPr>
                <w:rFonts w:ascii="宋体"/>
                <w:vanish/>
              </w:rPr>
            </w:pPr>
          </w:p>
        </w:tc>
        <w:tc>
          <w:tcPr>
            <w:tcW w:w="0" w:type="auto"/>
            <w:gridSpan w:val="3"/>
            <w:shd w:val="clear" w:color="auto" w:fill="auto"/>
          </w:tcPr>
          <w:p w14:paraId="36CA1C4B" w14:textId="77777777" w:rsidR="00787570" w:rsidRDefault="00787570">
            <w:pPr>
              <w:rPr>
                <w:rFonts w:ascii="宋体"/>
                <w:vanish/>
              </w:rPr>
            </w:pPr>
          </w:p>
        </w:tc>
      </w:tr>
      <w:tr w:rsidR="00787570" w14:paraId="36CA1C54" w14:textId="77777777">
        <w:tc>
          <w:tcPr>
            <w:tcW w:w="0" w:type="auto"/>
            <w:gridSpan w:val="3"/>
            <w:shd w:val="clear" w:color="auto" w:fill="auto"/>
            <w:tcMar>
              <w:top w:w="40" w:type="dxa"/>
              <w:left w:w="20" w:type="dxa"/>
              <w:bottom w:w="40" w:type="dxa"/>
              <w:right w:w="20" w:type="dxa"/>
            </w:tcMar>
          </w:tcPr>
          <w:p w14:paraId="36CA1C4D" w14:textId="77777777" w:rsidR="00787570" w:rsidRDefault="000D56E2">
            <w:pPr>
              <w:textAlignment w:val="top"/>
            </w:pPr>
            <w:r>
              <w:rPr>
                <w:rFonts w:ascii="Arial" w:eastAsia="宋体" w:hAnsi="Arial" w:cs="Arial"/>
                <w:b/>
                <w:bCs/>
                <w:color w:val="333333"/>
                <w:sz w:val="18"/>
                <w:szCs w:val="18"/>
              </w:rPr>
              <w:t>Debt</w:t>
            </w:r>
          </w:p>
        </w:tc>
        <w:tc>
          <w:tcPr>
            <w:tcW w:w="0" w:type="auto"/>
            <w:gridSpan w:val="3"/>
            <w:shd w:val="clear" w:color="auto" w:fill="auto"/>
            <w:tcMar>
              <w:left w:w="20" w:type="dxa"/>
              <w:right w:w="20" w:type="dxa"/>
            </w:tcMar>
            <w:vAlign w:val="bottom"/>
          </w:tcPr>
          <w:p w14:paraId="36CA1C4E"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1C4F" w14:textId="77777777" w:rsidR="00787570" w:rsidRDefault="000D56E2">
            <w:pPr>
              <w:jc w:val="right"/>
              <w:textAlignment w:val="bottom"/>
            </w:pPr>
            <w:r>
              <w:rPr>
                <w:rFonts w:ascii="Arial" w:eastAsia="宋体" w:hAnsi="Arial" w:cs="Arial"/>
                <w:b/>
                <w:bCs/>
                <w:color w:val="0071C5"/>
                <w:sz w:val="18"/>
                <w:szCs w:val="18"/>
              </w:rPr>
              <w:t>36,059</w:t>
            </w:r>
            <w:r>
              <w:rPr>
                <w:rFonts w:ascii="Arial" w:eastAsia="宋体" w:hAnsi="Arial" w:cs="Arial"/>
                <w:color w:val="0071C5"/>
                <w:sz w:val="18"/>
                <w:szCs w:val="18"/>
              </w:rPr>
              <w:t> </w:t>
            </w:r>
          </w:p>
        </w:tc>
        <w:tc>
          <w:tcPr>
            <w:tcW w:w="0" w:type="auto"/>
            <w:shd w:val="clear" w:color="auto" w:fill="auto"/>
            <w:tcMar>
              <w:top w:w="40" w:type="dxa"/>
              <w:bottom w:w="40" w:type="dxa"/>
              <w:right w:w="20" w:type="dxa"/>
            </w:tcMar>
            <w:vAlign w:val="bottom"/>
          </w:tcPr>
          <w:p w14:paraId="36CA1C50"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1C51"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1C52" w14:textId="77777777" w:rsidR="00787570" w:rsidRDefault="000D56E2">
            <w:pPr>
              <w:jc w:val="right"/>
              <w:textAlignment w:val="bottom"/>
            </w:pPr>
            <w:r>
              <w:rPr>
                <w:rFonts w:ascii="Arial" w:eastAsia="宋体" w:hAnsi="Arial" w:cs="Arial"/>
                <w:b/>
                <w:bCs/>
                <w:color w:val="333333"/>
                <w:sz w:val="18"/>
                <w:szCs w:val="18"/>
              </w:rPr>
              <w:t>25,308</w:t>
            </w:r>
            <w:r>
              <w:rPr>
                <w:rFonts w:ascii="Arial" w:eastAsia="宋体" w:hAnsi="Arial" w:cs="Arial"/>
                <w:color w:val="333333"/>
                <w:sz w:val="18"/>
                <w:szCs w:val="18"/>
              </w:rPr>
              <w:t> </w:t>
            </w:r>
          </w:p>
        </w:tc>
        <w:tc>
          <w:tcPr>
            <w:tcW w:w="0" w:type="auto"/>
            <w:shd w:val="clear" w:color="auto" w:fill="auto"/>
            <w:tcMar>
              <w:top w:w="40" w:type="dxa"/>
              <w:bottom w:w="40" w:type="dxa"/>
              <w:right w:w="20" w:type="dxa"/>
            </w:tcMar>
            <w:vAlign w:val="bottom"/>
          </w:tcPr>
          <w:p w14:paraId="36CA1C53" w14:textId="77777777" w:rsidR="00787570" w:rsidRDefault="00787570">
            <w:pPr>
              <w:jc w:val="right"/>
              <w:rPr>
                <w:rFonts w:ascii="宋体"/>
              </w:rPr>
            </w:pPr>
          </w:p>
        </w:tc>
      </w:tr>
      <w:tr w:rsidR="00787570" w14:paraId="36CA1C5C" w14:textId="77777777">
        <w:tc>
          <w:tcPr>
            <w:tcW w:w="0" w:type="auto"/>
            <w:gridSpan w:val="3"/>
            <w:shd w:val="clear" w:color="auto" w:fill="auto"/>
            <w:tcMar>
              <w:top w:w="40" w:type="dxa"/>
              <w:left w:w="20" w:type="dxa"/>
              <w:bottom w:w="40" w:type="dxa"/>
              <w:right w:w="20" w:type="dxa"/>
            </w:tcMar>
          </w:tcPr>
          <w:p w14:paraId="36CA1C55" w14:textId="77777777" w:rsidR="00787570" w:rsidRDefault="000D56E2">
            <w:pPr>
              <w:textAlignment w:val="top"/>
            </w:pPr>
            <w:r>
              <w:rPr>
                <w:rFonts w:ascii="Arial" w:eastAsia="宋体" w:hAnsi="Arial" w:cs="Arial"/>
                <w:b/>
                <w:bCs/>
                <w:color w:val="333333"/>
                <w:sz w:val="18"/>
                <w:szCs w:val="18"/>
              </w:rPr>
              <w:t xml:space="preserve">Contract liabilities </w:t>
            </w:r>
          </w:p>
        </w:tc>
        <w:tc>
          <w:tcPr>
            <w:tcW w:w="0" w:type="auto"/>
            <w:gridSpan w:val="3"/>
            <w:shd w:val="clear" w:color="auto" w:fill="auto"/>
            <w:tcMar>
              <w:left w:w="20" w:type="dxa"/>
              <w:right w:w="20" w:type="dxa"/>
            </w:tcMar>
            <w:vAlign w:val="bottom"/>
          </w:tcPr>
          <w:p w14:paraId="36CA1C56"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1C57" w14:textId="77777777" w:rsidR="00787570" w:rsidRDefault="000D56E2">
            <w:pPr>
              <w:jc w:val="right"/>
              <w:textAlignment w:val="bottom"/>
            </w:pPr>
            <w:r>
              <w:rPr>
                <w:rFonts w:ascii="Arial" w:eastAsia="宋体" w:hAnsi="Arial" w:cs="Arial"/>
                <w:b/>
                <w:bCs/>
                <w:color w:val="0071C5"/>
                <w:sz w:val="18"/>
                <w:szCs w:val="18"/>
              </w:rPr>
              <w:t>1,381</w:t>
            </w:r>
            <w:r>
              <w:rPr>
                <w:rFonts w:ascii="Arial" w:eastAsia="宋体" w:hAnsi="Arial" w:cs="Arial"/>
                <w:color w:val="0071C5"/>
                <w:sz w:val="18"/>
                <w:szCs w:val="18"/>
              </w:rPr>
              <w:t> </w:t>
            </w:r>
          </w:p>
        </w:tc>
        <w:tc>
          <w:tcPr>
            <w:tcW w:w="0" w:type="auto"/>
            <w:shd w:val="clear" w:color="auto" w:fill="auto"/>
            <w:tcMar>
              <w:top w:w="40" w:type="dxa"/>
              <w:bottom w:w="40" w:type="dxa"/>
              <w:right w:w="20" w:type="dxa"/>
            </w:tcMar>
            <w:vAlign w:val="bottom"/>
          </w:tcPr>
          <w:p w14:paraId="36CA1C58"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1C59"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1C5A" w14:textId="77777777" w:rsidR="00787570" w:rsidRDefault="000D56E2">
            <w:pPr>
              <w:jc w:val="right"/>
              <w:textAlignment w:val="bottom"/>
            </w:pPr>
            <w:r>
              <w:rPr>
                <w:rFonts w:ascii="Arial" w:eastAsia="宋体" w:hAnsi="Arial" w:cs="Arial"/>
                <w:b/>
                <w:bCs/>
                <w:color w:val="333333"/>
                <w:sz w:val="18"/>
                <w:szCs w:val="18"/>
              </w:rPr>
              <w:t>1,368</w:t>
            </w:r>
            <w:r>
              <w:rPr>
                <w:rFonts w:ascii="Arial" w:eastAsia="宋体" w:hAnsi="Arial" w:cs="Arial"/>
                <w:color w:val="333333"/>
                <w:sz w:val="18"/>
                <w:szCs w:val="18"/>
              </w:rPr>
              <w:t> </w:t>
            </w:r>
          </w:p>
        </w:tc>
        <w:tc>
          <w:tcPr>
            <w:tcW w:w="0" w:type="auto"/>
            <w:shd w:val="clear" w:color="auto" w:fill="auto"/>
            <w:tcMar>
              <w:top w:w="40" w:type="dxa"/>
              <w:bottom w:w="40" w:type="dxa"/>
              <w:right w:w="20" w:type="dxa"/>
            </w:tcMar>
            <w:vAlign w:val="bottom"/>
          </w:tcPr>
          <w:p w14:paraId="36CA1C5B" w14:textId="77777777" w:rsidR="00787570" w:rsidRDefault="00787570">
            <w:pPr>
              <w:jc w:val="right"/>
              <w:rPr>
                <w:rFonts w:ascii="宋体"/>
              </w:rPr>
            </w:pPr>
          </w:p>
        </w:tc>
      </w:tr>
      <w:tr w:rsidR="00787570" w14:paraId="36CA1C64" w14:textId="77777777">
        <w:tc>
          <w:tcPr>
            <w:tcW w:w="0" w:type="auto"/>
            <w:gridSpan w:val="3"/>
            <w:shd w:val="clear" w:color="auto" w:fill="auto"/>
            <w:tcMar>
              <w:top w:w="40" w:type="dxa"/>
              <w:left w:w="20" w:type="dxa"/>
              <w:bottom w:w="40" w:type="dxa"/>
              <w:right w:w="20" w:type="dxa"/>
            </w:tcMar>
          </w:tcPr>
          <w:p w14:paraId="36CA1C5D" w14:textId="77777777" w:rsidR="00787570" w:rsidRDefault="000D56E2">
            <w:pPr>
              <w:textAlignment w:val="top"/>
            </w:pPr>
            <w:r>
              <w:rPr>
                <w:rFonts w:ascii="Arial" w:eastAsia="宋体" w:hAnsi="Arial" w:cs="Arial"/>
                <w:b/>
                <w:bCs/>
                <w:color w:val="333333"/>
                <w:sz w:val="18"/>
                <w:szCs w:val="18"/>
              </w:rPr>
              <w:t>Income taxes payable, non-current</w:t>
            </w:r>
          </w:p>
        </w:tc>
        <w:tc>
          <w:tcPr>
            <w:tcW w:w="0" w:type="auto"/>
            <w:gridSpan w:val="3"/>
            <w:shd w:val="clear" w:color="auto" w:fill="auto"/>
            <w:tcMar>
              <w:left w:w="20" w:type="dxa"/>
              <w:right w:w="20" w:type="dxa"/>
            </w:tcMar>
            <w:vAlign w:val="bottom"/>
          </w:tcPr>
          <w:p w14:paraId="36CA1C5E"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1C5F" w14:textId="77777777" w:rsidR="00787570" w:rsidRDefault="000D56E2">
            <w:pPr>
              <w:jc w:val="right"/>
              <w:textAlignment w:val="bottom"/>
            </w:pPr>
            <w:r>
              <w:rPr>
                <w:rFonts w:ascii="Arial" w:eastAsia="宋体" w:hAnsi="Arial" w:cs="Arial"/>
                <w:b/>
                <w:bCs/>
                <w:color w:val="0071C5"/>
                <w:sz w:val="18"/>
                <w:szCs w:val="18"/>
              </w:rPr>
              <w:t>4,811</w:t>
            </w:r>
            <w:r>
              <w:rPr>
                <w:rFonts w:ascii="Arial" w:eastAsia="宋体" w:hAnsi="Arial" w:cs="Arial"/>
                <w:color w:val="0071C5"/>
                <w:sz w:val="18"/>
                <w:szCs w:val="18"/>
              </w:rPr>
              <w:t> </w:t>
            </w:r>
          </w:p>
        </w:tc>
        <w:tc>
          <w:tcPr>
            <w:tcW w:w="0" w:type="auto"/>
            <w:shd w:val="clear" w:color="auto" w:fill="auto"/>
            <w:tcMar>
              <w:top w:w="40" w:type="dxa"/>
              <w:bottom w:w="40" w:type="dxa"/>
              <w:right w:w="20" w:type="dxa"/>
            </w:tcMar>
            <w:vAlign w:val="bottom"/>
          </w:tcPr>
          <w:p w14:paraId="36CA1C60"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1C61"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1C62" w14:textId="77777777" w:rsidR="00787570" w:rsidRDefault="000D56E2">
            <w:pPr>
              <w:jc w:val="right"/>
              <w:textAlignment w:val="bottom"/>
            </w:pPr>
            <w:r>
              <w:rPr>
                <w:rFonts w:ascii="Arial" w:eastAsia="宋体" w:hAnsi="Arial" w:cs="Arial"/>
                <w:b/>
                <w:bCs/>
                <w:color w:val="333333"/>
                <w:sz w:val="18"/>
                <w:szCs w:val="18"/>
              </w:rPr>
              <w:t>4,919</w:t>
            </w:r>
            <w:r>
              <w:rPr>
                <w:rFonts w:ascii="Arial" w:eastAsia="宋体" w:hAnsi="Arial" w:cs="Arial"/>
                <w:color w:val="333333"/>
                <w:sz w:val="18"/>
                <w:szCs w:val="18"/>
              </w:rPr>
              <w:t> </w:t>
            </w:r>
          </w:p>
        </w:tc>
        <w:tc>
          <w:tcPr>
            <w:tcW w:w="0" w:type="auto"/>
            <w:shd w:val="clear" w:color="auto" w:fill="auto"/>
            <w:tcMar>
              <w:top w:w="40" w:type="dxa"/>
              <w:bottom w:w="40" w:type="dxa"/>
              <w:right w:w="20" w:type="dxa"/>
            </w:tcMar>
            <w:vAlign w:val="bottom"/>
          </w:tcPr>
          <w:p w14:paraId="36CA1C63" w14:textId="77777777" w:rsidR="00787570" w:rsidRDefault="00787570">
            <w:pPr>
              <w:jc w:val="right"/>
              <w:rPr>
                <w:rFonts w:ascii="宋体"/>
              </w:rPr>
            </w:pPr>
          </w:p>
        </w:tc>
      </w:tr>
      <w:tr w:rsidR="00787570" w14:paraId="36CA1C6C" w14:textId="77777777">
        <w:tc>
          <w:tcPr>
            <w:tcW w:w="0" w:type="auto"/>
            <w:gridSpan w:val="3"/>
            <w:shd w:val="clear" w:color="auto" w:fill="auto"/>
            <w:tcMar>
              <w:top w:w="40" w:type="dxa"/>
              <w:left w:w="20" w:type="dxa"/>
              <w:bottom w:w="40" w:type="dxa"/>
              <w:right w:w="20" w:type="dxa"/>
            </w:tcMar>
          </w:tcPr>
          <w:p w14:paraId="36CA1C65" w14:textId="77777777" w:rsidR="00787570" w:rsidRDefault="000D56E2">
            <w:pPr>
              <w:textAlignment w:val="top"/>
            </w:pPr>
            <w:r>
              <w:rPr>
                <w:rFonts w:ascii="Arial" w:eastAsia="宋体" w:hAnsi="Arial" w:cs="Arial"/>
                <w:b/>
                <w:bCs/>
                <w:color w:val="333333"/>
                <w:sz w:val="18"/>
                <w:szCs w:val="18"/>
              </w:rPr>
              <w:t>Deferred income taxes</w:t>
            </w:r>
          </w:p>
        </w:tc>
        <w:tc>
          <w:tcPr>
            <w:tcW w:w="0" w:type="auto"/>
            <w:gridSpan w:val="3"/>
            <w:shd w:val="clear" w:color="auto" w:fill="auto"/>
            <w:tcMar>
              <w:left w:w="20" w:type="dxa"/>
              <w:right w:w="20" w:type="dxa"/>
            </w:tcMar>
            <w:vAlign w:val="bottom"/>
          </w:tcPr>
          <w:p w14:paraId="36CA1C66"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1C67" w14:textId="77777777" w:rsidR="00787570" w:rsidRDefault="000D56E2">
            <w:pPr>
              <w:jc w:val="right"/>
              <w:textAlignment w:val="bottom"/>
            </w:pPr>
            <w:r>
              <w:rPr>
                <w:rFonts w:ascii="Arial" w:eastAsia="宋体" w:hAnsi="Arial" w:cs="Arial"/>
                <w:b/>
                <w:bCs/>
                <w:color w:val="0071C5"/>
                <w:sz w:val="18"/>
                <w:szCs w:val="18"/>
              </w:rPr>
              <w:t>2,995</w:t>
            </w:r>
            <w:r>
              <w:rPr>
                <w:rFonts w:ascii="Arial" w:eastAsia="宋体" w:hAnsi="Arial" w:cs="Arial"/>
                <w:color w:val="0071C5"/>
                <w:sz w:val="18"/>
                <w:szCs w:val="18"/>
              </w:rPr>
              <w:t> </w:t>
            </w:r>
          </w:p>
        </w:tc>
        <w:tc>
          <w:tcPr>
            <w:tcW w:w="0" w:type="auto"/>
            <w:shd w:val="clear" w:color="auto" w:fill="auto"/>
            <w:tcMar>
              <w:top w:w="40" w:type="dxa"/>
              <w:bottom w:w="40" w:type="dxa"/>
              <w:right w:w="20" w:type="dxa"/>
            </w:tcMar>
            <w:vAlign w:val="bottom"/>
          </w:tcPr>
          <w:p w14:paraId="36CA1C68"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1C69"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1C6A" w14:textId="77777777" w:rsidR="00787570" w:rsidRDefault="000D56E2">
            <w:pPr>
              <w:jc w:val="right"/>
              <w:textAlignment w:val="bottom"/>
            </w:pPr>
            <w:r>
              <w:rPr>
                <w:rFonts w:ascii="Arial" w:eastAsia="宋体" w:hAnsi="Arial" w:cs="Arial"/>
                <w:b/>
                <w:bCs/>
                <w:color w:val="333333"/>
                <w:sz w:val="18"/>
                <w:szCs w:val="18"/>
              </w:rPr>
              <w:t>2,044</w:t>
            </w:r>
            <w:r>
              <w:rPr>
                <w:rFonts w:ascii="Arial" w:eastAsia="宋体" w:hAnsi="Arial" w:cs="Arial"/>
                <w:color w:val="333333"/>
                <w:sz w:val="18"/>
                <w:szCs w:val="18"/>
              </w:rPr>
              <w:t> </w:t>
            </w:r>
          </w:p>
        </w:tc>
        <w:tc>
          <w:tcPr>
            <w:tcW w:w="0" w:type="auto"/>
            <w:shd w:val="clear" w:color="auto" w:fill="auto"/>
            <w:tcMar>
              <w:top w:w="40" w:type="dxa"/>
              <w:bottom w:w="40" w:type="dxa"/>
              <w:right w:w="20" w:type="dxa"/>
            </w:tcMar>
            <w:vAlign w:val="bottom"/>
          </w:tcPr>
          <w:p w14:paraId="36CA1C6B" w14:textId="77777777" w:rsidR="00787570" w:rsidRDefault="00787570">
            <w:pPr>
              <w:jc w:val="right"/>
              <w:rPr>
                <w:rFonts w:ascii="宋体"/>
              </w:rPr>
            </w:pPr>
          </w:p>
        </w:tc>
      </w:tr>
      <w:tr w:rsidR="00787570" w14:paraId="36CA1C74" w14:textId="77777777">
        <w:tc>
          <w:tcPr>
            <w:tcW w:w="0" w:type="auto"/>
            <w:gridSpan w:val="3"/>
            <w:shd w:val="clear" w:color="auto" w:fill="auto"/>
            <w:tcMar>
              <w:top w:w="40" w:type="dxa"/>
              <w:left w:w="20" w:type="dxa"/>
              <w:bottom w:w="40" w:type="dxa"/>
              <w:right w:w="20" w:type="dxa"/>
            </w:tcMar>
          </w:tcPr>
          <w:p w14:paraId="36CA1C6D" w14:textId="77777777" w:rsidR="00787570" w:rsidRDefault="000D56E2">
            <w:pPr>
              <w:ind w:hanging="180"/>
              <w:textAlignment w:val="top"/>
            </w:pPr>
            <w:r>
              <w:rPr>
                <w:rFonts w:ascii="Arial" w:eastAsia="宋体" w:hAnsi="Arial" w:cs="Arial"/>
                <w:b/>
                <w:bCs/>
                <w:color w:val="333333"/>
                <w:sz w:val="18"/>
                <w:szCs w:val="18"/>
              </w:rPr>
              <w:t>Other long-term liabilities</w:t>
            </w:r>
          </w:p>
        </w:tc>
        <w:tc>
          <w:tcPr>
            <w:tcW w:w="0" w:type="auto"/>
            <w:gridSpan w:val="3"/>
            <w:shd w:val="clear" w:color="auto" w:fill="auto"/>
            <w:tcMar>
              <w:left w:w="20" w:type="dxa"/>
              <w:right w:w="20" w:type="dxa"/>
            </w:tcMar>
            <w:vAlign w:val="bottom"/>
          </w:tcPr>
          <w:p w14:paraId="36CA1C6E"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1C6F" w14:textId="77777777" w:rsidR="00787570" w:rsidRDefault="000D56E2">
            <w:pPr>
              <w:jc w:val="right"/>
              <w:textAlignment w:val="bottom"/>
            </w:pPr>
            <w:r>
              <w:rPr>
                <w:rFonts w:ascii="Arial" w:eastAsia="宋体" w:hAnsi="Arial" w:cs="Arial"/>
                <w:b/>
                <w:bCs/>
                <w:color w:val="0071C5"/>
                <w:sz w:val="18"/>
                <w:szCs w:val="18"/>
              </w:rPr>
              <w:t>3,349</w:t>
            </w:r>
            <w:r>
              <w:rPr>
                <w:rFonts w:ascii="Arial" w:eastAsia="宋体" w:hAnsi="Arial" w:cs="Arial"/>
                <w:color w:val="0071C5"/>
                <w:sz w:val="18"/>
                <w:szCs w:val="18"/>
              </w:rPr>
              <w:t> </w:t>
            </w:r>
          </w:p>
        </w:tc>
        <w:tc>
          <w:tcPr>
            <w:tcW w:w="0" w:type="auto"/>
            <w:shd w:val="clear" w:color="auto" w:fill="auto"/>
            <w:tcMar>
              <w:top w:w="40" w:type="dxa"/>
              <w:bottom w:w="40" w:type="dxa"/>
              <w:right w:w="20" w:type="dxa"/>
            </w:tcMar>
            <w:vAlign w:val="bottom"/>
          </w:tcPr>
          <w:p w14:paraId="36CA1C70"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1C71"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1C72" w14:textId="77777777" w:rsidR="00787570" w:rsidRDefault="000D56E2">
            <w:pPr>
              <w:jc w:val="right"/>
              <w:textAlignment w:val="bottom"/>
            </w:pPr>
            <w:r>
              <w:rPr>
                <w:rFonts w:ascii="Arial" w:eastAsia="宋体" w:hAnsi="Arial" w:cs="Arial"/>
                <w:b/>
                <w:bCs/>
                <w:color w:val="333333"/>
                <w:sz w:val="18"/>
                <w:szCs w:val="18"/>
              </w:rPr>
              <w:t>2,916</w:t>
            </w:r>
            <w:r>
              <w:rPr>
                <w:rFonts w:ascii="Arial" w:eastAsia="宋体" w:hAnsi="Arial" w:cs="Arial"/>
                <w:color w:val="333333"/>
                <w:sz w:val="18"/>
                <w:szCs w:val="18"/>
              </w:rPr>
              <w:t> </w:t>
            </w:r>
          </w:p>
        </w:tc>
        <w:tc>
          <w:tcPr>
            <w:tcW w:w="0" w:type="auto"/>
            <w:shd w:val="clear" w:color="auto" w:fill="auto"/>
            <w:tcMar>
              <w:top w:w="40" w:type="dxa"/>
              <w:bottom w:w="40" w:type="dxa"/>
              <w:right w:w="20" w:type="dxa"/>
            </w:tcMar>
            <w:vAlign w:val="bottom"/>
          </w:tcPr>
          <w:p w14:paraId="36CA1C73" w14:textId="77777777" w:rsidR="00787570" w:rsidRDefault="00787570">
            <w:pPr>
              <w:jc w:val="right"/>
              <w:rPr>
                <w:rFonts w:ascii="宋体"/>
              </w:rPr>
            </w:pPr>
          </w:p>
        </w:tc>
      </w:tr>
      <w:tr w:rsidR="00787570" w14:paraId="36CA1C7A" w14:textId="77777777">
        <w:tc>
          <w:tcPr>
            <w:tcW w:w="0" w:type="auto"/>
            <w:gridSpan w:val="3"/>
            <w:shd w:val="clear" w:color="auto" w:fill="auto"/>
            <w:tcMar>
              <w:top w:w="40" w:type="dxa"/>
              <w:left w:w="20" w:type="dxa"/>
              <w:bottom w:w="40" w:type="dxa"/>
              <w:right w:w="20" w:type="dxa"/>
            </w:tcMar>
          </w:tcPr>
          <w:p w14:paraId="36CA1C75" w14:textId="77777777" w:rsidR="00787570" w:rsidRDefault="000D56E2">
            <w:pPr>
              <w:textAlignment w:val="top"/>
            </w:pPr>
            <w:r>
              <w:rPr>
                <w:rFonts w:ascii="Arial" w:eastAsia="宋体" w:hAnsi="Arial" w:cs="Arial"/>
                <w:b/>
                <w:bCs/>
                <w:color w:val="333333"/>
                <w:sz w:val="18"/>
                <w:szCs w:val="18"/>
              </w:rPr>
              <w:t>Contingencies (Note 13)</w:t>
            </w:r>
          </w:p>
        </w:tc>
        <w:tc>
          <w:tcPr>
            <w:tcW w:w="0" w:type="auto"/>
            <w:gridSpan w:val="3"/>
            <w:shd w:val="clear" w:color="auto" w:fill="auto"/>
            <w:tcMar>
              <w:left w:w="20" w:type="dxa"/>
              <w:right w:w="20" w:type="dxa"/>
            </w:tcMar>
            <w:vAlign w:val="bottom"/>
          </w:tcPr>
          <w:p w14:paraId="36CA1C76"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1C77"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1C78"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1C79" w14:textId="77777777" w:rsidR="00787570" w:rsidRDefault="00787570">
            <w:pPr>
              <w:rPr>
                <w:rFonts w:ascii="宋体"/>
              </w:rPr>
            </w:pPr>
          </w:p>
        </w:tc>
      </w:tr>
      <w:tr w:rsidR="00787570" w14:paraId="36CA1C82" w14:textId="77777777">
        <w:tc>
          <w:tcPr>
            <w:tcW w:w="0" w:type="auto"/>
            <w:gridSpan w:val="3"/>
            <w:shd w:val="clear" w:color="auto" w:fill="auto"/>
            <w:tcMar>
              <w:top w:w="40" w:type="dxa"/>
              <w:left w:w="20" w:type="dxa"/>
              <w:bottom w:w="40" w:type="dxa"/>
              <w:right w:w="20" w:type="dxa"/>
            </w:tcMar>
          </w:tcPr>
          <w:p w14:paraId="36CA1C7B" w14:textId="77777777" w:rsidR="00787570" w:rsidRDefault="000D56E2">
            <w:pPr>
              <w:ind w:hanging="180"/>
              <w:textAlignment w:val="top"/>
            </w:pPr>
            <w:r>
              <w:rPr>
                <w:rFonts w:ascii="Arial" w:eastAsia="宋体" w:hAnsi="Arial" w:cs="Arial"/>
                <w:b/>
                <w:bCs/>
                <w:color w:val="333333"/>
                <w:sz w:val="18"/>
                <w:szCs w:val="18"/>
              </w:rPr>
              <w:t>Temporary equity</w:t>
            </w:r>
          </w:p>
        </w:tc>
        <w:tc>
          <w:tcPr>
            <w:tcW w:w="0" w:type="auto"/>
            <w:gridSpan w:val="3"/>
            <w:shd w:val="clear" w:color="auto" w:fill="auto"/>
            <w:tcMar>
              <w:left w:w="20" w:type="dxa"/>
              <w:right w:w="20" w:type="dxa"/>
            </w:tcMar>
            <w:vAlign w:val="bottom"/>
          </w:tcPr>
          <w:p w14:paraId="36CA1C7C"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1C7D" w14:textId="77777777" w:rsidR="00787570" w:rsidRDefault="000D56E2">
            <w:pPr>
              <w:jc w:val="right"/>
              <w:textAlignment w:val="bottom"/>
            </w:pPr>
            <w:r>
              <w:rPr>
                <w:rFonts w:ascii="Arial" w:eastAsia="宋体" w:hAnsi="Arial" w:cs="Arial"/>
                <w:b/>
                <w:bCs/>
                <w:color w:val="0071C5"/>
                <w:sz w:val="18"/>
                <w:szCs w:val="18"/>
              </w:rPr>
              <w:t>—</w:t>
            </w:r>
            <w:r>
              <w:rPr>
                <w:rFonts w:ascii="Arial" w:eastAsia="宋体" w:hAnsi="Arial" w:cs="Arial"/>
                <w:color w:val="0071C5"/>
                <w:sz w:val="18"/>
                <w:szCs w:val="18"/>
              </w:rPr>
              <w:t> </w:t>
            </w:r>
          </w:p>
        </w:tc>
        <w:tc>
          <w:tcPr>
            <w:tcW w:w="0" w:type="auto"/>
            <w:shd w:val="clear" w:color="auto" w:fill="auto"/>
            <w:tcMar>
              <w:top w:w="40" w:type="dxa"/>
              <w:bottom w:w="40" w:type="dxa"/>
              <w:right w:w="20" w:type="dxa"/>
            </w:tcMar>
            <w:vAlign w:val="bottom"/>
          </w:tcPr>
          <w:p w14:paraId="36CA1C7E"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1C7F"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1C80" w14:textId="77777777" w:rsidR="00787570" w:rsidRDefault="000D56E2">
            <w:pPr>
              <w:jc w:val="right"/>
              <w:textAlignment w:val="bottom"/>
            </w:pPr>
            <w:r>
              <w:rPr>
                <w:rFonts w:ascii="Arial" w:eastAsia="宋体" w:hAnsi="Arial" w:cs="Arial"/>
                <w:b/>
                <w:bCs/>
                <w:color w:val="333333"/>
                <w:sz w:val="18"/>
                <w:szCs w:val="18"/>
              </w:rPr>
              <w:t>155</w:t>
            </w:r>
            <w:r>
              <w:rPr>
                <w:rFonts w:ascii="Arial" w:eastAsia="宋体" w:hAnsi="Arial" w:cs="Arial"/>
                <w:color w:val="333333"/>
                <w:sz w:val="18"/>
                <w:szCs w:val="18"/>
              </w:rPr>
              <w:t> </w:t>
            </w:r>
          </w:p>
        </w:tc>
        <w:tc>
          <w:tcPr>
            <w:tcW w:w="0" w:type="auto"/>
            <w:shd w:val="clear" w:color="auto" w:fill="auto"/>
            <w:tcMar>
              <w:top w:w="40" w:type="dxa"/>
              <w:bottom w:w="40" w:type="dxa"/>
              <w:right w:w="20" w:type="dxa"/>
            </w:tcMar>
            <w:vAlign w:val="bottom"/>
          </w:tcPr>
          <w:p w14:paraId="36CA1C81" w14:textId="77777777" w:rsidR="00787570" w:rsidRDefault="00787570">
            <w:pPr>
              <w:jc w:val="right"/>
              <w:rPr>
                <w:rFonts w:ascii="宋体"/>
              </w:rPr>
            </w:pPr>
          </w:p>
        </w:tc>
      </w:tr>
      <w:tr w:rsidR="00787570" w14:paraId="36CA1C88" w14:textId="77777777">
        <w:tc>
          <w:tcPr>
            <w:tcW w:w="0" w:type="auto"/>
            <w:gridSpan w:val="3"/>
            <w:shd w:val="clear" w:color="auto" w:fill="auto"/>
            <w:tcMar>
              <w:top w:w="40" w:type="dxa"/>
              <w:left w:w="20" w:type="dxa"/>
              <w:bottom w:w="40" w:type="dxa"/>
              <w:right w:w="20" w:type="dxa"/>
            </w:tcMar>
          </w:tcPr>
          <w:p w14:paraId="36CA1C83" w14:textId="77777777" w:rsidR="00787570" w:rsidRDefault="000D56E2">
            <w:pPr>
              <w:ind w:hanging="180"/>
              <w:textAlignment w:val="top"/>
            </w:pPr>
            <w:r>
              <w:rPr>
                <w:rFonts w:ascii="Arial" w:eastAsia="宋体" w:hAnsi="Arial" w:cs="Arial"/>
                <w:color w:val="333333"/>
                <w:sz w:val="18"/>
                <w:szCs w:val="18"/>
              </w:rPr>
              <w:t>Stockholders’ equity:</w:t>
            </w:r>
          </w:p>
        </w:tc>
        <w:tc>
          <w:tcPr>
            <w:tcW w:w="0" w:type="auto"/>
            <w:gridSpan w:val="3"/>
            <w:shd w:val="clear" w:color="auto" w:fill="auto"/>
            <w:tcMar>
              <w:left w:w="20" w:type="dxa"/>
              <w:right w:w="20" w:type="dxa"/>
            </w:tcMar>
            <w:vAlign w:val="bottom"/>
          </w:tcPr>
          <w:p w14:paraId="36CA1C84"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1C85"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1C86"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1C87" w14:textId="77777777" w:rsidR="00787570" w:rsidRDefault="00787570">
            <w:pPr>
              <w:rPr>
                <w:rFonts w:ascii="宋体"/>
              </w:rPr>
            </w:pPr>
          </w:p>
        </w:tc>
      </w:tr>
      <w:tr w:rsidR="00787570" w14:paraId="36CA1C90" w14:textId="77777777">
        <w:tc>
          <w:tcPr>
            <w:tcW w:w="0" w:type="auto"/>
            <w:gridSpan w:val="3"/>
            <w:shd w:val="clear" w:color="auto" w:fill="auto"/>
            <w:tcMar>
              <w:top w:w="40" w:type="dxa"/>
              <w:left w:w="195" w:type="dxa"/>
              <w:bottom w:w="40" w:type="dxa"/>
              <w:right w:w="20" w:type="dxa"/>
            </w:tcMar>
          </w:tcPr>
          <w:p w14:paraId="36CA1C89" w14:textId="77777777" w:rsidR="00787570" w:rsidRDefault="000D56E2">
            <w:pPr>
              <w:textAlignment w:val="top"/>
            </w:pPr>
            <w:r>
              <w:rPr>
                <w:rFonts w:ascii="Arial" w:eastAsia="宋体" w:hAnsi="Arial" w:cs="Arial"/>
                <w:color w:val="333333"/>
                <w:sz w:val="18"/>
                <w:szCs w:val="18"/>
              </w:rPr>
              <w:t>Preferred stock</w:t>
            </w:r>
          </w:p>
        </w:tc>
        <w:tc>
          <w:tcPr>
            <w:tcW w:w="0" w:type="auto"/>
            <w:gridSpan w:val="3"/>
            <w:shd w:val="clear" w:color="auto" w:fill="auto"/>
            <w:tcMar>
              <w:left w:w="20" w:type="dxa"/>
              <w:right w:w="20" w:type="dxa"/>
            </w:tcMar>
            <w:vAlign w:val="bottom"/>
          </w:tcPr>
          <w:p w14:paraId="36CA1C8A"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1C8B" w14:textId="77777777" w:rsidR="00787570" w:rsidRDefault="000D56E2">
            <w:pPr>
              <w:jc w:val="right"/>
              <w:textAlignment w:val="bottom"/>
            </w:pPr>
            <w:r>
              <w:rPr>
                <w:rFonts w:ascii="Arial" w:eastAsia="宋体" w:hAnsi="Arial" w:cs="Arial"/>
                <w:color w:val="0071C5"/>
                <w:sz w:val="18"/>
                <w:szCs w:val="18"/>
              </w:rPr>
              <w:t>— </w:t>
            </w:r>
          </w:p>
        </w:tc>
        <w:tc>
          <w:tcPr>
            <w:tcW w:w="0" w:type="auto"/>
            <w:shd w:val="clear" w:color="auto" w:fill="auto"/>
            <w:tcMar>
              <w:top w:w="40" w:type="dxa"/>
              <w:bottom w:w="40" w:type="dxa"/>
              <w:right w:w="20" w:type="dxa"/>
            </w:tcMar>
            <w:vAlign w:val="bottom"/>
          </w:tcPr>
          <w:p w14:paraId="36CA1C8C"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1C8D"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1C8E" w14:textId="77777777" w:rsidR="00787570" w:rsidRDefault="000D56E2">
            <w:pPr>
              <w:jc w:val="right"/>
              <w:textAlignment w:val="bottom"/>
            </w:pPr>
            <w:r>
              <w:rPr>
                <w:rFonts w:ascii="Arial" w:eastAsia="宋体" w:hAnsi="Arial" w:cs="Arial"/>
                <w:color w:val="333333"/>
                <w:sz w:val="18"/>
                <w:szCs w:val="18"/>
              </w:rPr>
              <w:t>— </w:t>
            </w:r>
          </w:p>
        </w:tc>
        <w:tc>
          <w:tcPr>
            <w:tcW w:w="0" w:type="auto"/>
            <w:shd w:val="clear" w:color="auto" w:fill="auto"/>
            <w:tcMar>
              <w:top w:w="40" w:type="dxa"/>
              <w:bottom w:w="40" w:type="dxa"/>
              <w:right w:w="20" w:type="dxa"/>
            </w:tcMar>
            <w:vAlign w:val="bottom"/>
          </w:tcPr>
          <w:p w14:paraId="36CA1C8F" w14:textId="77777777" w:rsidR="00787570" w:rsidRDefault="00787570">
            <w:pPr>
              <w:jc w:val="right"/>
              <w:rPr>
                <w:rFonts w:ascii="宋体"/>
              </w:rPr>
            </w:pPr>
          </w:p>
        </w:tc>
      </w:tr>
      <w:tr w:rsidR="00787570" w14:paraId="36CA1C98" w14:textId="77777777">
        <w:tc>
          <w:tcPr>
            <w:tcW w:w="0" w:type="auto"/>
            <w:gridSpan w:val="3"/>
            <w:shd w:val="clear" w:color="auto" w:fill="auto"/>
            <w:tcMar>
              <w:top w:w="40" w:type="dxa"/>
              <w:left w:w="195" w:type="dxa"/>
              <w:bottom w:w="40" w:type="dxa"/>
              <w:right w:w="20" w:type="dxa"/>
            </w:tcMar>
          </w:tcPr>
          <w:p w14:paraId="36CA1C91" w14:textId="77777777" w:rsidR="00787570" w:rsidRDefault="000D56E2">
            <w:pPr>
              <w:textAlignment w:val="top"/>
            </w:pPr>
            <w:r>
              <w:rPr>
                <w:rFonts w:ascii="Arial" w:eastAsia="宋体" w:hAnsi="Arial" w:cs="Arial"/>
                <w:color w:val="333333"/>
                <w:sz w:val="18"/>
                <w:szCs w:val="18"/>
              </w:rPr>
              <w:t xml:space="preserve">Common stock and capital in excess of par value, 4,098 issued and outstanding (4,290 </w:t>
            </w:r>
            <w:r>
              <w:rPr>
                <w:rFonts w:ascii="Arial" w:eastAsia="宋体" w:hAnsi="Arial" w:cs="Arial"/>
                <w:color w:val="333333"/>
                <w:sz w:val="18"/>
                <w:szCs w:val="18"/>
              </w:rPr>
              <w:t>issued and outstanding as of December 28, 2019)</w:t>
            </w:r>
          </w:p>
        </w:tc>
        <w:tc>
          <w:tcPr>
            <w:tcW w:w="0" w:type="auto"/>
            <w:gridSpan w:val="3"/>
            <w:shd w:val="clear" w:color="auto" w:fill="auto"/>
            <w:tcMar>
              <w:left w:w="20" w:type="dxa"/>
              <w:right w:w="20" w:type="dxa"/>
            </w:tcMar>
            <w:vAlign w:val="bottom"/>
          </w:tcPr>
          <w:p w14:paraId="36CA1C92"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1C93" w14:textId="77777777" w:rsidR="00787570" w:rsidRDefault="000D56E2">
            <w:pPr>
              <w:jc w:val="right"/>
              <w:textAlignment w:val="bottom"/>
            </w:pPr>
            <w:r>
              <w:rPr>
                <w:rFonts w:ascii="Arial" w:eastAsia="宋体" w:hAnsi="Arial" w:cs="Arial"/>
                <w:color w:val="0071C5"/>
                <w:sz w:val="18"/>
                <w:szCs w:val="18"/>
              </w:rPr>
              <w:t>23,335 </w:t>
            </w:r>
          </w:p>
        </w:tc>
        <w:tc>
          <w:tcPr>
            <w:tcW w:w="0" w:type="auto"/>
            <w:shd w:val="clear" w:color="auto" w:fill="auto"/>
            <w:tcMar>
              <w:top w:w="40" w:type="dxa"/>
              <w:bottom w:w="40" w:type="dxa"/>
              <w:right w:w="20" w:type="dxa"/>
            </w:tcMar>
            <w:vAlign w:val="bottom"/>
          </w:tcPr>
          <w:p w14:paraId="36CA1C94"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1C95"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1C96" w14:textId="77777777" w:rsidR="00787570" w:rsidRDefault="000D56E2">
            <w:pPr>
              <w:jc w:val="right"/>
              <w:textAlignment w:val="bottom"/>
            </w:pPr>
            <w:r>
              <w:rPr>
                <w:rFonts w:ascii="Arial" w:eastAsia="宋体" w:hAnsi="Arial" w:cs="Arial"/>
                <w:color w:val="333333"/>
                <w:sz w:val="18"/>
                <w:szCs w:val="18"/>
              </w:rPr>
              <w:t>25,261 </w:t>
            </w:r>
          </w:p>
        </w:tc>
        <w:tc>
          <w:tcPr>
            <w:tcW w:w="0" w:type="auto"/>
            <w:shd w:val="clear" w:color="auto" w:fill="auto"/>
            <w:tcMar>
              <w:top w:w="40" w:type="dxa"/>
              <w:bottom w:w="40" w:type="dxa"/>
              <w:right w:w="20" w:type="dxa"/>
            </w:tcMar>
            <w:vAlign w:val="bottom"/>
          </w:tcPr>
          <w:p w14:paraId="36CA1C97" w14:textId="77777777" w:rsidR="00787570" w:rsidRDefault="00787570">
            <w:pPr>
              <w:jc w:val="right"/>
              <w:rPr>
                <w:rFonts w:ascii="宋体"/>
              </w:rPr>
            </w:pPr>
          </w:p>
        </w:tc>
      </w:tr>
      <w:tr w:rsidR="00787570" w14:paraId="36CA1CA0" w14:textId="77777777">
        <w:tc>
          <w:tcPr>
            <w:tcW w:w="0" w:type="auto"/>
            <w:gridSpan w:val="3"/>
            <w:shd w:val="clear" w:color="auto" w:fill="auto"/>
            <w:tcMar>
              <w:top w:w="40" w:type="dxa"/>
              <w:left w:w="195" w:type="dxa"/>
              <w:bottom w:w="40" w:type="dxa"/>
              <w:right w:w="20" w:type="dxa"/>
            </w:tcMar>
          </w:tcPr>
          <w:p w14:paraId="36CA1C99" w14:textId="77777777" w:rsidR="00787570" w:rsidRDefault="000D56E2">
            <w:pPr>
              <w:textAlignment w:val="top"/>
            </w:pPr>
            <w:r>
              <w:rPr>
                <w:rFonts w:ascii="Arial" w:eastAsia="宋体" w:hAnsi="Arial" w:cs="Arial"/>
                <w:color w:val="333333"/>
                <w:sz w:val="18"/>
                <w:szCs w:val="18"/>
              </w:rPr>
              <w:t>Accumulated other comprehensive income (loss)</w:t>
            </w:r>
          </w:p>
        </w:tc>
        <w:tc>
          <w:tcPr>
            <w:tcW w:w="0" w:type="auto"/>
            <w:gridSpan w:val="3"/>
            <w:shd w:val="clear" w:color="auto" w:fill="auto"/>
            <w:tcMar>
              <w:left w:w="20" w:type="dxa"/>
              <w:right w:w="20" w:type="dxa"/>
            </w:tcMar>
            <w:vAlign w:val="bottom"/>
          </w:tcPr>
          <w:p w14:paraId="36CA1C9A"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1C9B" w14:textId="77777777" w:rsidR="00787570" w:rsidRDefault="000D56E2">
            <w:pPr>
              <w:jc w:val="right"/>
              <w:textAlignment w:val="bottom"/>
            </w:pPr>
            <w:r>
              <w:rPr>
                <w:rFonts w:ascii="Arial" w:eastAsia="宋体" w:hAnsi="Arial" w:cs="Arial"/>
                <w:color w:val="0071C5"/>
                <w:sz w:val="18"/>
                <w:szCs w:val="18"/>
              </w:rPr>
              <w:t>(940)</w:t>
            </w:r>
          </w:p>
        </w:tc>
        <w:tc>
          <w:tcPr>
            <w:tcW w:w="0" w:type="auto"/>
            <w:shd w:val="clear" w:color="auto" w:fill="auto"/>
            <w:tcMar>
              <w:top w:w="40" w:type="dxa"/>
              <w:bottom w:w="40" w:type="dxa"/>
              <w:right w:w="20" w:type="dxa"/>
            </w:tcMar>
            <w:vAlign w:val="bottom"/>
          </w:tcPr>
          <w:p w14:paraId="36CA1C9C"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1C9D"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1C9E" w14:textId="77777777" w:rsidR="00787570" w:rsidRDefault="000D56E2">
            <w:pPr>
              <w:jc w:val="right"/>
              <w:textAlignment w:val="bottom"/>
            </w:pPr>
            <w:r>
              <w:rPr>
                <w:rFonts w:ascii="Arial" w:eastAsia="宋体" w:hAnsi="Arial" w:cs="Arial"/>
                <w:color w:val="333333"/>
                <w:sz w:val="18"/>
                <w:szCs w:val="18"/>
              </w:rPr>
              <w:t>(1,280)</w:t>
            </w:r>
          </w:p>
        </w:tc>
        <w:tc>
          <w:tcPr>
            <w:tcW w:w="0" w:type="auto"/>
            <w:shd w:val="clear" w:color="auto" w:fill="auto"/>
            <w:tcMar>
              <w:top w:w="40" w:type="dxa"/>
              <w:bottom w:w="40" w:type="dxa"/>
              <w:right w:w="20" w:type="dxa"/>
            </w:tcMar>
            <w:vAlign w:val="bottom"/>
          </w:tcPr>
          <w:p w14:paraId="36CA1C9F" w14:textId="77777777" w:rsidR="00787570" w:rsidRDefault="00787570">
            <w:pPr>
              <w:jc w:val="right"/>
              <w:rPr>
                <w:rFonts w:ascii="宋体"/>
              </w:rPr>
            </w:pPr>
          </w:p>
        </w:tc>
      </w:tr>
      <w:tr w:rsidR="00787570" w14:paraId="36CA1CA8" w14:textId="77777777">
        <w:tc>
          <w:tcPr>
            <w:tcW w:w="0" w:type="auto"/>
            <w:gridSpan w:val="3"/>
            <w:shd w:val="clear" w:color="auto" w:fill="auto"/>
            <w:tcMar>
              <w:top w:w="40" w:type="dxa"/>
              <w:left w:w="195" w:type="dxa"/>
              <w:bottom w:w="40" w:type="dxa"/>
              <w:right w:w="20" w:type="dxa"/>
            </w:tcMar>
          </w:tcPr>
          <w:p w14:paraId="36CA1CA1" w14:textId="77777777" w:rsidR="00787570" w:rsidRDefault="000D56E2">
            <w:pPr>
              <w:textAlignment w:val="top"/>
            </w:pPr>
            <w:r>
              <w:rPr>
                <w:rFonts w:ascii="Arial" w:eastAsia="宋体" w:hAnsi="Arial" w:cs="Arial"/>
                <w:color w:val="333333"/>
                <w:sz w:val="18"/>
                <w:szCs w:val="18"/>
              </w:rPr>
              <w:t>Retained earnings</w:t>
            </w:r>
          </w:p>
        </w:tc>
        <w:tc>
          <w:tcPr>
            <w:tcW w:w="0" w:type="auto"/>
            <w:gridSpan w:val="3"/>
            <w:shd w:val="clear" w:color="auto" w:fill="auto"/>
            <w:tcMar>
              <w:left w:w="20" w:type="dxa"/>
              <w:right w:w="20" w:type="dxa"/>
            </w:tcMar>
            <w:vAlign w:val="bottom"/>
          </w:tcPr>
          <w:p w14:paraId="36CA1CA2"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1CA3" w14:textId="77777777" w:rsidR="00787570" w:rsidRDefault="000D56E2">
            <w:pPr>
              <w:jc w:val="right"/>
              <w:textAlignment w:val="bottom"/>
            </w:pPr>
            <w:r>
              <w:rPr>
                <w:rFonts w:ascii="Arial" w:eastAsia="宋体" w:hAnsi="Arial" w:cs="Arial"/>
                <w:color w:val="0071C5"/>
                <w:sz w:val="18"/>
                <w:szCs w:val="18"/>
              </w:rPr>
              <w:t>52,159 </w:t>
            </w:r>
          </w:p>
        </w:tc>
        <w:tc>
          <w:tcPr>
            <w:tcW w:w="0" w:type="auto"/>
            <w:shd w:val="clear" w:color="auto" w:fill="auto"/>
            <w:tcMar>
              <w:top w:w="40" w:type="dxa"/>
              <w:bottom w:w="40" w:type="dxa"/>
              <w:right w:w="20" w:type="dxa"/>
            </w:tcMar>
            <w:vAlign w:val="bottom"/>
          </w:tcPr>
          <w:p w14:paraId="36CA1CA4"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1CA5"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1CA6" w14:textId="77777777" w:rsidR="00787570" w:rsidRDefault="000D56E2">
            <w:pPr>
              <w:jc w:val="right"/>
              <w:textAlignment w:val="bottom"/>
            </w:pPr>
            <w:r>
              <w:rPr>
                <w:rFonts w:ascii="Arial" w:eastAsia="宋体" w:hAnsi="Arial" w:cs="Arial"/>
                <w:color w:val="333333"/>
                <w:sz w:val="18"/>
                <w:szCs w:val="18"/>
              </w:rPr>
              <w:t>53,523 </w:t>
            </w:r>
          </w:p>
        </w:tc>
        <w:tc>
          <w:tcPr>
            <w:tcW w:w="0" w:type="auto"/>
            <w:shd w:val="clear" w:color="auto" w:fill="auto"/>
            <w:tcMar>
              <w:top w:w="40" w:type="dxa"/>
              <w:bottom w:w="40" w:type="dxa"/>
              <w:right w:w="20" w:type="dxa"/>
            </w:tcMar>
            <w:vAlign w:val="bottom"/>
          </w:tcPr>
          <w:p w14:paraId="36CA1CA7" w14:textId="77777777" w:rsidR="00787570" w:rsidRDefault="00787570">
            <w:pPr>
              <w:jc w:val="right"/>
              <w:rPr>
                <w:rFonts w:ascii="宋体"/>
              </w:rPr>
            </w:pPr>
          </w:p>
        </w:tc>
      </w:tr>
      <w:tr w:rsidR="00787570" w14:paraId="36CA1CB0" w14:textId="77777777">
        <w:tc>
          <w:tcPr>
            <w:tcW w:w="0" w:type="auto"/>
            <w:gridSpan w:val="3"/>
            <w:shd w:val="clear" w:color="auto" w:fill="auto"/>
            <w:tcMar>
              <w:top w:w="40" w:type="dxa"/>
              <w:left w:w="20" w:type="dxa"/>
              <w:bottom w:w="40" w:type="dxa"/>
              <w:right w:w="20" w:type="dxa"/>
            </w:tcMar>
          </w:tcPr>
          <w:p w14:paraId="36CA1CA9" w14:textId="77777777" w:rsidR="00787570" w:rsidRDefault="000D56E2">
            <w:pPr>
              <w:ind w:hanging="180"/>
              <w:textAlignment w:val="top"/>
            </w:pPr>
            <w:r>
              <w:rPr>
                <w:rFonts w:ascii="Arial" w:eastAsia="宋体" w:hAnsi="Arial" w:cs="Arial"/>
                <w:b/>
                <w:bCs/>
                <w:color w:val="333333"/>
                <w:sz w:val="18"/>
                <w:szCs w:val="18"/>
              </w:rPr>
              <w:t>Total stockholders’ equity</w:t>
            </w:r>
          </w:p>
        </w:tc>
        <w:tc>
          <w:tcPr>
            <w:tcW w:w="0" w:type="auto"/>
            <w:gridSpan w:val="3"/>
            <w:shd w:val="clear" w:color="auto" w:fill="auto"/>
            <w:tcMar>
              <w:left w:w="20" w:type="dxa"/>
              <w:right w:w="20" w:type="dxa"/>
            </w:tcMar>
            <w:vAlign w:val="bottom"/>
          </w:tcPr>
          <w:p w14:paraId="36CA1CAA" w14:textId="77777777" w:rsidR="00787570" w:rsidRDefault="00787570">
            <w:pPr>
              <w:rPr>
                <w:rFonts w:ascii="宋体"/>
              </w:rPr>
            </w:pPr>
          </w:p>
        </w:tc>
        <w:tc>
          <w:tcPr>
            <w:tcW w:w="0" w:type="auto"/>
            <w:gridSpan w:val="2"/>
            <w:tcBorders>
              <w:top w:val="single" w:sz="8" w:space="0" w:color="333333"/>
            </w:tcBorders>
            <w:shd w:val="clear" w:color="auto" w:fill="auto"/>
            <w:tcMar>
              <w:top w:w="40" w:type="dxa"/>
              <w:left w:w="20" w:type="dxa"/>
              <w:bottom w:w="40" w:type="dxa"/>
              <w:right w:w="0" w:type="dxa"/>
            </w:tcMar>
            <w:vAlign w:val="bottom"/>
          </w:tcPr>
          <w:p w14:paraId="36CA1CAB" w14:textId="77777777" w:rsidR="00787570" w:rsidRDefault="000D56E2">
            <w:pPr>
              <w:jc w:val="right"/>
              <w:textAlignment w:val="bottom"/>
            </w:pPr>
            <w:r>
              <w:rPr>
                <w:rFonts w:ascii="Arial" w:eastAsia="宋体" w:hAnsi="Arial" w:cs="Arial"/>
                <w:b/>
                <w:bCs/>
                <w:color w:val="0071C5"/>
                <w:sz w:val="18"/>
                <w:szCs w:val="18"/>
              </w:rPr>
              <w:t>74,554</w:t>
            </w:r>
            <w:r>
              <w:rPr>
                <w:rFonts w:ascii="Arial" w:eastAsia="宋体" w:hAnsi="Arial" w:cs="Arial"/>
                <w:color w:val="0071C5"/>
                <w:sz w:val="18"/>
                <w:szCs w:val="18"/>
              </w:rPr>
              <w:t> </w:t>
            </w:r>
          </w:p>
        </w:tc>
        <w:tc>
          <w:tcPr>
            <w:tcW w:w="0" w:type="auto"/>
            <w:tcBorders>
              <w:top w:val="single" w:sz="8" w:space="0" w:color="333333"/>
            </w:tcBorders>
            <w:shd w:val="clear" w:color="auto" w:fill="auto"/>
            <w:tcMar>
              <w:top w:w="40" w:type="dxa"/>
              <w:bottom w:w="40" w:type="dxa"/>
              <w:right w:w="20" w:type="dxa"/>
            </w:tcMar>
            <w:vAlign w:val="bottom"/>
          </w:tcPr>
          <w:p w14:paraId="36CA1CAC"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1CAD" w14:textId="77777777" w:rsidR="00787570" w:rsidRDefault="00787570">
            <w:pPr>
              <w:rPr>
                <w:rFonts w:ascii="宋体"/>
              </w:rPr>
            </w:pPr>
          </w:p>
        </w:tc>
        <w:tc>
          <w:tcPr>
            <w:tcW w:w="0" w:type="auto"/>
            <w:gridSpan w:val="2"/>
            <w:tcBorders>
              <w:top w:val="single" w:sz="8" w:space="0" w:color="333333"/>
            </w:tcBorders>
            <w:shd w:val="clear" w:color="auto" w:fill="auto"/>
            <w:tcMar>
              <w:top w:w="40" w:type="dxa"/>
              <w:left w:w="20" w:type="dxa"/>
              <w:bottom w:w="40" w:type="dxa"/>
              <w:right w:w="0" w:type="dxa"/>
            </w:tcMar>
            <w:vAlign w:val="bottom"/>
          </w:tcPr>
          <w:p w14:paraId="36CA1CAE" w14:textId="77777777" w:rsidR="00787570" w:rsidRDefault="000D56E2">
            <w:pPr>
              <w:jc w:val="right"/>
              <w:textAlignment w:val="bottom"/>
            </w:pPr>
            <w:r>
              <w:rPr>
                <w:rFonts w:ascii="Arial" w:eastAsia="宋体" w:hAnsi="Arial" w:cs="Arial"/>
                <w:b/>
                <w:bCs/>
                <w:color w:val="333333"/>
                <w:sz w:val="18"/>
                <w:szCs w:val="18"/>
              </w:rPr>
              <w:t>77,504</w:t>
            </w:r>
            <w:r>
              <w:rPr>
                <w:rFonts w:ascii="Arial" w:eastAsia="宋体" w:hAnsi="Arial" w:cs="Arial"/>
                <w:color w:val="333333"/>
                <w:sz w:val="18"/>
                <w:szCs w:val="18"/>
              </w:rPr>
              <w:t> </w:t>
            </w:r>
          </w:p>
        </w:tc>
        <w:tc>
          <w:tcPr>
            <w:tcW w:w="0" w:type="auto"/>
            <w:tcBorders>
              <w:top w:val="single" w:sz="8" w:space="0" w:color="333333"/>
            </w:tcBorders>
            <w:shd w:val="clear" w:color="auto" w:fill="auto"/>
            <w:tcMar>
              <w:top w:w="40" w:type="dxa"/>
              <w:bottom w:w="40" w:type="dxa"/>
              <w:right w:w="20" w:type="dxa"/>
            </w:tcMar>
            <w:vAlign w:val="bottom"/>
          </w:tcPr>
          <w:p w14:paraId="36CA1CAF" w14:textId="77777777" w:rsidR="00787570" w:rsidRDefault="00787570">
            <w:pPr>
              <w:jc w:val="right"/>
              <w:rPr>
                <w:rFonts w:ascii="宋体"/>
              </w:rPr>
            </w:pPr>
          </w:p>
        </w:tc>
      </w:tr>
      <w:tr w:rsidR="00787570" w14:paraId="36CA1CBA" w14:textId="77777777">
        <w:tc>
          <w:tcPr>
            <w:tcW w:w="0" w:type="auto"/>
            <w:gridSpan w:val="3"/>
            <w:shd w:val="clear" w:color="auto" w:fill="auto"/>
            <w:tcMar>
              <w:top w:w="40" w:type="dxa"/>
              <w:left w:w="20" w:type="dxa"/>
              <w:bottom w:w="40" w:type="dxa"/>
              <w:right w:w="20" w:type="dxa"/>
            </w:tcMar>
          </w:tcPr>
          <w:p w14:paraId="36CA1CB1" w14:textId="77777777" w:rsidR="00787570" w:rsidRDefault="000D56E2">
            <w:pPr>
              <w:ind w:hanging="180"/>
              <w:textAlignment w:val="top"/>
            </w:pPr>
            <w:r>
              <w:rPr>
                <w:rFonts w:ascii="Arial" w:eastAsia="宋体" w:hAnsi="Arial" w:cs="Arial"/>
                <w:b/>
                <w:bCs/>
                <w:color w:val="333333"/>
                <w:sz w:val="18"/>
                <w:szCs w:val="18"/>
              </w:rPr>
              <w:t xml:space="preserve">Total liabilities, </w:t>
            </w:r>
            <w:r>
              <w:rPr>
                <w:rFonts w:ascii="Arial" w:eastAsia="宋体" w:hAnsi="Arial" w:cs="Arial"/>
                <w:b/>
                <w:bCs/>
                <w:color w:val="333333"/>
                <w:sz w:val="18"/>
                <w:szCs w:val="18"/>
              </w:rPr>
              <w:t>temporary equity, and stockholders’ equity</w:t>
            </w:r>
          </w:p>
        </w:tc>
        <w:tc>
          <w:tcPr>
            <w:tcW w:w="0" w:type="auto"/>
            <w:gridSpan w:val="3"/>
            <w:shd w:val="clear" w:color="auto" w:fill="auto"/>
            <w:tcMar>
              <w:left w:w="20" w:type="dxa"/>
              <w:right w:w="20" w:type="dxa"/>
            </w:tcMar>
            <w:vAlign w:val="bottom"/>
          </w:tcPr>
          <w:p w14:paraId="36CA1CB2" w14:textId="77777777" w:rsidR="00787570" w:rsidRDefault="00787570">
            <w:pPr>
              <w:rPr>
                <w:rFonts w:ascii="宋体"/>
              </w:rPr>
            </w:pPr>
          </w:p>
        </w:tc>
        <w:tc>
          <w:tcPr>
            <w:tcW w:w="0" w:type="auto"/>
            <w:tcBorders>
              <w:top w:val="single" w:sz="8" w:space="0" w:color="333333"/>
              <w:bottom w:val="double" w:sz="6" w:space="0" w:color="333333"/>
            </w:tcBorders>
            <w:shd w:val="clear" w:color="auto" w:fill="auto"/>
            <w:tcMar>
              <w:top w:w="40" w:type="dxa"/>
              <w:left w:w="20" w:type="dxa"/>
              <w:bottom w:w="40" w:type="dxa"/>
            </w:tcMar>
            <w:vAlign w:val="bottom"/>
          </w:tcPr>
          <w:p w14:paraId="36CA1CB3" w14:textId="77777777" w:rsidR="00787570" w:rsidRDefault="000D56E2">
            <w:pPr>
              <w:textAlignment w:val="bottom"/>
            </w:pPr>
            <w:r>
              <w:rPr>
                <w:rFonts w:ascii="Arial" w:eastAsia="宋体" w:hAnsi="Arial" w:cs="Arial"/>
                <w:b/>
                <w:bCs/>
                <w:color w:val="0071C5"/>
                <w:sz w:val="18"/>
                <w:szCs w:val="18"/>
              </w:rPr>
              <w:t>$</w:t>
            </w:r>
          </w:p>
        </w:tc>
        <w:tc>
          <w:tcPr>
            <w:tcW w:w="0" w:type="auto"/>
            <w:tcBorders>
              <w:top w:val="single" w:sz="8" w:space="0" w:color="333333"/>
              <w:bottom w:val="double" w:sz="6" w:space="0" w:color="333333"/>
            </w:tcBorders>
            <w:shd w:val="clear" w:color="auto" w:fill="auto"/>
            <w:tcMar>
              <w:top w:w="40" w:type="dxa"/>
              <w:bottom w:w="40" w:type="dxa"/>
              <w:right w:w="0" w:type="dxa"/>
            </w:tcMar>
            <w:vAlign w:val="bottom"/>
          </w:tcPr>
          <w:p w14:paraId="36CA1CB4" w14:textId="77777777" w:rsidR="00787570" w:rsidRDefault="000D56E2">
            <w:pPr>
              <w:jc w:val="right"/>
              <w:textAlignment w:val="bottom"/>
            </w:pPr>
            <w:r>
              <w:rPr>
                <w:rFonts w:ascii="Arial" w:eastAsia="宋体" w:hAnsi="Arial" w:cs="Arial"/>
                <w:b/>
                <w:bCs/>
                <w:color w:val="0071C5"/>
                <w:sz w:val="18"/>
                <w:szCs w:val="18"/>
              </w:rPr>
              <w:t>145,261</w:t>
            </w:r>
            <w:r>
              <w:rPr>
                <w:rFonts w:ascii="Arial" w:eastAsia="宋体" w:hAnsi="Arial" w:cs="Arial"/>
                <w:color w:val="0071C5"/>
                <w:sz w:val="18"/>
                <w:szCs w:val="18"/>
              </w:rPr>
              <w:t> </w:t>
            </w:r>
          </w:p>
        </w:tc>
        <w:tc>
          <w:tcPr>
            <w:tcW w:w="0" w:type="auto"/>
            <w:tcBorders>
              <w:top w:val="single" w:sz="8" w:space="0" w:color="333333"/>
              <w:bottom w:val="double" w:sz="6" w:space="0" w:color="333333"/>
            </w:tcBorders>
            <w:shd w:val="clear" w:color="auto" w:fill="auto"/>
            <w:tcMar>
              <w:top w:w="40" w:type="dxa"/>
              <w:bottom w:w="40" w:type="dxa"/>
              <w:right w:w="20" w:type="dxa"/>
            </w:tcMar>
            <w:vAlign w:val="bottom"/>
          </w:tcPr>
          <w:p w14:paraId="36CA1CB5"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1CB6" w14:textId="77777777" w:rsidR="00787570" w:rsidRDefault="00787570">
            <w:pPr>
              <w:rPr>
                <w:rFonts w:ascii="宋体"/>
              </w:rPr>
            </w:pPr>
          </w:p>
        </w:tc>
        <w:tc>
          <w:tcPr>
            <w:tcW w:w="0" w:type="auto"/>
            <w:tcBorders>
              <w:top w:val="single" w:sz="8" w:space="0" w:color="333333"/>
              <w:bottom w:val="double" w:sz="6" w:space="0" w:color="333333"/>
            </w:tcBorders>
            <w:shd w:val="clear" w:color="auto" w:fill="auto"/>
            <w:tcMar>
              <w:top w:w="40" w:type="dxa"/>
              <w:left w:w="20" w:type="dxa"/>
              <w:bottom w:w="40" w:type="dxa"/>
            </w:tcMar>
            <w:vAlign w:val="bottom"/>
          </w:tcPr>
          <w:p w14:paraId="36CA1CB7" w14:textId="77777777" w:rsidR="00787570" w:rsidRDefault="000D56E2">
            <w:pPr>
              <w:textAlignment w:val="bottom"/>
            </w:pPr>
            <w:r>
              <w:rPr>
                <w:rFonts w:ascii="Arial" w:eastAsia="宋体" w:hAnsi="Arial" w:cs="Arial"/>
                <w:b/>
                <w:bCs/>
                <w:color w:val="333333"/>
                <w:sz w:val="18"/>
                <w:szCs w:val="18"/>
              </w:rPr>
              <w:t>$</w:t>
            </w:r>
          </w:p>
        </w:tc>
        <w:tc>
          <w:tcPr>
            <w:tcW w:w="0" w:type="auto"/>
            <w:tcBorders>
              <w:top w:val="single" w:sz="8" w:space="0" w:color="333333"/>
              <w:bottom w:val="double" w:sz="6" w:space="0" w:color="333333"/>
            </w:tcBorders>
            <w:shd w:val="clear" w:color="auto" w:fill="auto"/>
            <w:tcMar>
              <w:top w:w="40" w:type="dxa"/>
              <w:bottom w:w="40" w:type="dxa"/>
              <w:right w:w="0" w:type="dxa"/>
            </w:tcMar>
            <w:vAlign w:val="bottom"/>
          </w:tcPr>
          <w:p w14:paraId="36CA1CB8" w14:textId="77777777" w:rsidR="00787570" w:rsidRDefault="000D56E2">
            <w:pPr>
              <w:jc w:val="right"/>
              <w:textAlignment w:val="bottom"/>
            </w:pPr>
            <w:r>
              <w:rPr>
                <w:rFonts w:ascii="Arial" w:eastAsia="宋体" w:hAnsi="Arial" w:cs="Arial"/>
                <w:b/>
                <w:bCs/>
                <w:color w:val="333333"/>
                <w:sz w:val="18"/>
                <w:szCs w:val="18"/>
              </w:rPr>
              <w:t>136,524</w:t>
            </w:r>
            <w:r>
              <w:rPr>
                <w:rFonts w:ascii="Arial" w:eastAsia="宋体" w:hAnsi="Arial" w:cs="Arial"/>
                <w:color w:val="333333"/>
                <w:sz w:val="18"/>
                <w:szCs w:val="18"/>
              </w:rPr>
              <w:t> </w:t>
            </w:r>
          </w:p>
        </w:tc>
        <w:tc>
          <w:tcPr>
            <w:tcW w:w="0" w:type="auto"/>
            <w:tcBorders>
              <w:top w:val="single" w:sz="8" w:space="0" w:color="333333"/>
              <w:bottom w:val="double" w:sz="6" w:space="0" w:color="333333"/>
            </w:tcBorders>
            <w:shd w:val="clear" w:color="auto" w:fill="auto"/>
            <w:tcMar>
              <w:top w:w="40" w:type="dxa"/>
              <w:bottom w:w="40" w:type="dxa"/>
              <w:right w:w="20" w:type="dxa"/>
            </w:tcMar>
            <w:vAlign w:val="bottom"/>
          </w:tcPr>
          <w:p w14:paraId="36CA1CB9" w14:textId="77777777" w:rsidR="00787570" w:rsidRDefault="00787570">
            <w:pPr>
              <w:jc w:val="right"/>
              <w:rPr>
                <w:rFonts w:ascii="宋体"/>
              </w:rPr>
            </w:pPr>
          </w:p>
        </w:tc>
      </w:tr>
    </w:tbl>
    <w:p w14:paraId="36CA1CBB" w14:textId="77777777" w:rsidR="00787570" w:rsidRDefault="000D56E2">
      <w:pPr>
        <w:spacing w:before="180" w:after="180"/>
      </w:pPr>
      <w:r>
        <w:rPr>
          <w:rFonts w:ascii="Arial" w:eastAsia="宋体" w:hAnsi="Arial" w:cs="Arial"/>
          <w:i/>
          <w:iCs/>
          <w:color w:val="333333"/>
          <w:sz w:val="16"/>
          <w:szCs w:val="16"/>
        </w:rPr>
        <w:t>See accompanying notes.</w:t>
      </w:r>
    </w:p>
    <w:tbl>
      <w:tblPr>
        <w:tblW w:w="5000" w:type="pct"/>
        <w:tblCellMar>
          <w:top w:w="15" w:type="dxa"/>
          <w:left w:w="15" w:type="dxa"/>
          <w:bottom w:w="15" w:type="dxa"/>
          <w:right w:w="15" w:type="dxa"/>
        </w:tblCellMar>
        <w:tblLook w:val="04A0" w:firstRow="1" w:lastRow="0" w:firstColumn="1" w:lastColumn="0" w:noHBand="0" w:noVBand="1"/>
      </w:tblPr>
      <w:tblGrid>
        <w:gridCol w:w="86"/>
        <w:gridCol w:w="426"/>
        <w:gridCol w:w="36"/>
        <w:gridCol w:w="62"/>
        <w:gridCol w:w="1676"/>
        <w:gridCol w:w="36"/>
        <w:gridCol w:w="62"/>
        <w:gridCol w:w="3655"/>
        <w:gridCol w:w="36"/>
        <w:gridCol w:w="63"/>
        <w:gridCol w:w="2162"/>
        <w:gridCol w:w="36"/>
      </w:tblGrid>
      <w:tr w:rsidR="00787570" w14:paraId="36CA1CC8" w14:textId="77777777">
        <w:tc>
          <w:tcPr>
            <w:tcW w:w="50" w:type="pct"/>
            <w:shd w:val="clear" w:color="auto" w:fill="auto"/>
            <w:vAlign w:val="bottom"/>
          </w:tcPr>
          <w:p w14:paraId="36CA1CBC" w14:textId="77777777" w:rsidR="00787570" w:rsidRDefault="00787570">
            <w:pPr>
              <w:rPr>
                <w:rFonts w:ascii="宋体"/>
              </w:rPr>
            </w:pPr>
          </w:p>
        </w:tc>
        <w:tc>
          <w:tcPr>
            <w:tcW w:w="248" w:type="pct"/>
            <w:shd w:val="clear" w:color="auto" w:fill="auto"/>
            <w:vAlign w:val="bottom"/>
          </w:tcPr>
          <w:p w14:paraId="36CA1CBD" w14:textId="77777777" w:rsidR="00787570" w:rsidRDefault="00787570">
            <w:pPr>
              <w:rPr>
                <w:rFonts w:ascii="宋体"/>
              </w:rPr>
            </w:pPr>
          </w:p>
        </w:tc>
        <w:tc>
          <w:tcPr>
            <w:tcW w:w="5" w:type="pct"/>
            <w:shd w:val="clear" w:color="auto" w:fill="auto"/>
            <w:vAlign w:val="bottom"/>
          </w:tcPr>
          <w:p w14:paraId="36CA1CBE" w14:textId="77777777" w:rsidR="00787570" w:rsidRDefault="00787570">
            <w:pPr>
              <w:rPr>
                <w:rFonts w:ascii="宋体"/>
              </w:rPr>
            </w:pPr>
          </w:p>
        </w:tc>
        <w:tc>
          <w:tcPr>
            <w:tcW w:w="50" w:type="pct"/>
            <w:shd w:val="clear" w:color="auto" w:fill="auto"/>
            <w:vAlign w:val="bottom"/>
          </w:tcPr>
          <w:p w14:paraId="36CA1CBF" w14:textId="77777777" w:rsidR="00787570" w:rsidRDefault="00787570">
            <w:pPr>
              <w:rPr>
                <w:rFonts w:ascii="宋体"/>
              </w:rPr>
            </w:pPr>
          </w:p>
        </w:tc>
        <w:tc>
          <w:tcPr>
            <w:tcW w:w="1018" w:type="pct"/>
            <w:shd w:val="clear" w:color="auto" w:fill="auto"/>
            <w:vAlign w:val="bottom"/>
          </w:tcPr>
          <w:p w14:paraId="36CA1CC0" w14:textId="77777777" w:rsidR="00787570" w:rsidRDefault="00787570">
            <w:pPr>
              <w:rPr>
                <w:rFonts w:ascii="宋体"/>
              </w:rPr>
            </w:pPr>
          </w:p>
        </w:tc>
        <w:tc>
          <w:tcPr>
            <w:tcW w:w="5" w:type="pct"/>
            <w:shd w:val="clear" w:color="auto" w:fill="auto"/>
            <w:vAlign w:val="bottom"/>
          </w:tcPr>
          <w:p w14:paraId="36CA1CC1" w14:textId="77777777" w:rsidR="00787570" w:rsidRDefault="00787570">
            <w:pPr>
              <w:rPr>
                <w:rFonts w:ascii="宋体"/>
              </w:rPr>
            </w:pPr>
          </w:p>
        </w:tc>
        <w:tc>
          <w:tcPr>
            <w:tcW w:w="50" w:type="pct"/>
            <w:shd w:val="clear" w:color="auto" w:fill="auto"/>
            <w:vAlign w:val="bottom"/>
          </w:tcPr>
          <w:p w14:paraId="36CA1CC2" w14:textId="77777777" w:rsidR="00787570" w:rsidRDefault="00787570">
            <w:pPr>
              <w:rPr>
                <w:rFonts w:ascii="宋体"/>
              </w:rPr>
            </w:pPr>
          </w:p>
        </w:tc>
        <w:tc>
          <w:tcPr>
            <w:tcW w:w="2204" w:type="pct"/>
            <w:shd w:val="clear" w:color="auto" w:fill="auto"/>
            <w:vAlign w:val="bottom"/>
          </w:tcPr>
          <w:p w14:paraId="36CA1CC3" w14:textId="77777777" w:rsidR="00787570" w:rsidRDefault="00787570">
            <w:pPr>
              <w:rPr>
                <w:rFonts w:ascii="宋体"/>
              </w:rPr>
            </w:pPr>
          </w:p>
        </w:tc>
        <w:tc>
          <w:tcPr>
            <w:tcW w:w="5" w:type="pct"/>
            <w:shd w:val="clear" w:color="auto" w:fill="auto"/>
            <w:vAlign w:val="bottom"/>
          </w:tcPr>
          <w:p w14:paraId="36CA1CC4" w14:textId="77777777" w:rsidR="00787570" w:rsidRDefault="00787570">
            <w:pPr>
              <w:rPr>
                <w:rFonts w:ascii="宋体"/>
              </w:rPr>
            </w:pPr>
          </w:p>
        </w:tc>
        <w:tc>
          <w:tcPr>
            <w:tcW w:w="50" w:type="pct"/>
            <w:shd w:val="clear" w:color="auto" w:fill="auto"/>
            <w:vAlign w:val="bottom"/>
          </w:tcPr>
          <w:p w14:paraId="36CA1CC5" w14:textId="77777777" w:rsidR="00787570" w:rsidRDefault="00787570">
            <w:pPr>
              <w:rPr>
                <w:rFonts w:ascii="宋体"/>
              </w:rPr>
            </w:pPr>
          </w:p>
        </w:tc>
        <w:tc>
          <w:tcPr>
            <w:tcW w:w="1308" w:type="pct"/>
            <w:shd w:val="clear" w:color="auto" w:fill="auto"/>
            <w:vAlign w:val="bottom"/>
          </w:tcPr>
          <w:p w14:paraId="36CA1CC6" w14:textId="77777777" w:rsidR="00787570" w:rsidRDefault="00787570">
            <w:pPr>
              <w:rPr>
                <w:rFonts w:ascii="宋体"/>
              </w:rPr>
            </w:pPr>
          </w:p>
        </w:tc>
        <w:tc>
          <w:tcPr>
            <w:tcW w:w="5" w:type="pct"/>
            <w:shd w:val="clear" w:color="auto" w:fill="auto"/>
            <w:vAlign w:val="bottom"/>
          </w:tcPr>
          <w:p w14:paraId="36CA1CC7" w14:textId="77777777" w:rsidR="00787570" w:rsidRDefault="00787570">
            <w:pPr>
              <w:rPr>
                <w:rFonts w:ascii="宋体"/>
              </w:rPr>
            </w:pPr>
          </w:p>
        </w:tc>
      </w:tr>
      <w:tr w:rsidR="00787570" w14:paraId="36CA1CCD" w14:textId="77777777">
        <w:tc>
          <w:tcPr>
            <w:tcW w:w="0" w:type="auto"/>
            <w:gridSpan w:val="3"/>
            <w:tcBorders>
              <w:top w:val="single" w:sz="8" w:space="0" w:color="0071C5"/>
            </w:tcBorders>
            <w:shd w:val="clear" w:color="auto" w:fill="auto"/>
            <w:tcMar>
              <w:left w:w="20" w:type="dxa"/>
              <w:right w:w="20" w:type="dxa"/>
            </w:tcMar>
            <w:vAlign w:val="center"/>
          </w:tcPr>
          <w:p w14:paraId="36CA1CC9" w14:textId="77777777" w:rsidR="00787570" w:rsidRDefault="000D56E2">
            <w:pPr>
              <w:textAlignment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Viewer9_files/intc-20200926_g2.jpg"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36CA5BFA" wp14:editId="36CA5BFB">
                  <wp:extent cx="304800" cy="304800"/>
                  <wp:effectExtent l="0" t="0" r="0" b="0"/>
                  <wp:docPr id="109" name="图片 53" descr="IMG_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图片 53" descr="IMG_329"/>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8" w:space="0" w:color="0071C5"/>
            </w:tcBorders>
            <w:shd w:val="clear" w:color="auto" w:fill="auto"/>
            <w:tcMar>
              <w:top w:w="40" w:type="dxa"/>
              <w:left w:w="20" w:type="dxa"/>
              <w:bottom w:w="40" w:type="dxa"/>
              <w:right w:w="20" w:type="dxa"/>
            </w:tcMar>
            <w:vAlign w:val="center"/>
          </w:tcPr>
          <w:p w14:paraId="36CA1CCA" w14:textId="77777777" w:rsidR="00787570" w:rsidRDefault="000D56E2">
            <w:pPr>
              <w:textAlignment w:val="center"/>
            </w:pPr>
            <w:r>
              <w:rPr>
                <w:rFonts w:ascii="Arial" w:eastAsia="宋体" w:hAnsi="Arial" w:cs="Arial"/>
                <w:color w:val="333333"/>
                <w:sz w:val="16"/>
                <w:szCs w:val="16"/>
              </w:rPr>
              <w:t> FINANCIAL STATEMENTS</w:t>
            </w:r>
          </w:p>
        </w:tc>
        <w:tc>
          <w:tcPr>
            <w:tcW w:w="0" w:type="auto"/>
            <w:gridSpan w:val="3"/>
            <w:tcBorders>
              <w:top w:val="single" w:sz="8" w:space="0" w:color="0071C5"/>
              <w:left w:val="single" w:sz="24" w:space="0" w:color="0071C5"/>
            </w:tcBorders>
            <w:shd w:val="clear" w:color="auto" w:fill="auto"/>
            <w:tcMar>
              <w:top w:w="40" w:type="dxa"/>
              <w:left w:w="20" w:type="dxa"/>
              <w:bottom w:w="40" w:type="dxa"/>
              <w:right w:w="20" w:type="dxa"/>
            </w:tcMar>
            <w:vAlign w:val="center"/>
          </w:tcPr>
          <w:p w14:paraId="36CA1CCB" w14:textId="77777777" w:rsidR="00787570" w:rsidRDefault="000D56E2">
            <w:pPr>
              <w:textAlignment w:val="center"/>
            </w:pPr>
            <w:r>
              <w:rPr>
                <w:rFonts w:ascii="Arial" w:eastAsia="宋体" w:hAnsi="Arial" w:cs="Arial"/>
                <w:color w:val="333333"/>
                <w:sz w:val="16"/>
                <w:szCs w:val="16"/>
              </w:rPr>
              <w:t>  Consolidated Condensed Balance Sheets</w:t>
            </w:r>
          </w:p>
        </w:tc>
        <w:tc>
          <w:tcPr>
            <w:tcW w:w="0" w:type="auto"/>
            <w:gridSpan w:val="3"/>
            <w:tcBorders>
              <w:top w:val="single" w:sz="8" w:space="0" w:color="0071C5"/>
            </w:tcBorders>
            <w:shd w:val="clear" w:color="auto" w:fill="auto"/>
            <w:tcMar>
              <w:top w:w="40" w:type="dxa"/>
              <w:left w:w="20" w:type="dxa"/>
              <w:bottom w:w="40" w:type="dxa"/>
              <w:right w:w="20" w:type="dxa"/>
            </w:tcMar>
            <w:vAlign w:val="center"/>
          </w:tcPr>
          <w:p w14:paraId="36CA1CCC" w14:textId="77777777" w:rsidR="00787570" w:rsidRDefault="000D56E2">
            <w:pPr>
              <w:jc w:val="right"/>
              <w:textAlignment w:val="center"/>
            </w:pPr>
            <w:r>
              <w:rPr>
                <w:rFonts w:ascii="Arial" w:eastAsia="宋体" w:hAnsi="Arial" w:cs="Arial"/>
                <w:color w:val="333333"/>
                <w:sz w:val="16"/>
                <w:szCs w:val="16"/>
              </w:rPr>
              <w:t>7</w:t>
            </w:r>
          </w:p>
        </w:tc>
      </w:tr>
    </w:tbl>
    <w:p w14:paraId="36CA1CCE" w14:textId="77777777" w:rsidR="00787570" w:rsidRDefault="000D56E2">
      <w:r>
        <w:pict w14:anchorId="36CA5BFC">
          <v:rect id="_x0000_i1033" style="width:415.3pt;height:1.5pt" o:hralign="center" o:hrstd="t" o:hr="t" fillcolor="#a0a0a0" stroked="f"/>
        </w:pict>
      </w:r>
    </w:p>
    <w:p w14:paraId="36CA1CCF" w14:textId="77777777" w:rsidR="00787570" w:rsidRDefault="000D56E2">
      <w:pPr>
        <w:spacing w:after="180"/>
        <w:jc w:val="right"/>
      </w:pPr>
      <w:hyperlink r:id="rId35" w:anchor="i32771df14e9449d2bec5be911426bf04_7" w:history="1">
        <w:r>
          <w:rPr>
            <w:rStyle w:val="a5"/>
            <w:rFonts w:ascii="Arial" w:eastAsia="宋体" w:hAnsi="Arial" w:cs="Arial"/>
            <w:b/>
            <w:bCs/>
            <w:sz w:val="16"/>
            <w:szCs w:val="16"/>
          </w:rPr>
          <w:t>Table of Contents</w:t>
        </w:r>
      </w:hyperlink>
    </w:p>
    <w:p w14:paraId="36CA1CD0" w14:textId="77777777" w:rsidR="00787570" w:rsidRDefault="00787570">
      <w:pPr>
        <w:spacing w:after="180"/>
        <w:jc w:val="right"/>
      </w:pP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8231"/>
        <w:gridCol w:w="36"/>
      </w:tblGrid>
      <w:tr w:rsidR="00787570" w14:paraId="36CA1CD4" w14:textId="77777777">
        <w:trPr>
          <w:jc w:val="center"/>
        </w:trPr>
        <w:tc>
          <w:tcPr>
            <w:tcW w:w="50" w:type="pct"/>
            <w:shd w:val="clear" w:color="auto" w:fill="auto"/>
          </w:tcPr>
          <w:p w14:paraId="36CA1CD1" w14:textId="77777777" w:rsidR="00787570" w:rsidRDefault="00787570">
            <w:pPr>
              <w:rPr>
                <w:rFonts w:ascii="宋体"/>
              </w:rPr>
            </w:pPr>
          </w:p>
        </w:tc>
        <w:tc>
          <w:tcPr>
            <w:tcW w:w="4945" w:type="pct"/>
            <w:shd w:val="clear" w:color="auto" w:fill="auto"/>
          </w:tcPr>
          <w:p w14:paraId="36CA1CD2" w14:textId="77777777" w:rsidR="00787570" w:rsidRDefault="00787570">
            <w:pPr>
              <w:rPr>
                <w:rFonts w:ascii="宋体"/>
              </w:rPr>
            </w:pPr>
          </w:p>
        </w:tc>
        <w:tc>
          <w:tcPr>
            <w:tcW w:w="5" w:type="pct"/>
            <w:shd w:val="clear" w:color="auto" w:fill="auto"/>
          </w:tcPr>
          <w:p w14:paraId="36CA1CD3" w14:textId="77777777" w:rsidR="00787570" w:rsidRDefault="00787570">
            <w:pPr>
              <w:rPr>
                <w:rFonts w:ascii="宋体"/>
              </w:rPr>
            </w:pPr>
          </w:p>
        </w:tc>
      </w:tr>
      <w:tr w:rsidR="00787570" w14:paraId="36CA1CD6" w14:textId="77777777">
        <w:trPr>
          <w:jc w:val="center"/>
        </w:trPr>
        <w:tc>
          <w:tcPr>
            <w:tcW w:w="0" w:type="auto"/>
            <w:gridSpan w:val="3"/>
            <w:shd w:val="clear" w:color="auto" w:fill="0071C5"/>
            <w:tcMar>
              <w:top w:w="40" w:type="dxa"/>
              <w:left w:w="20" w:type="dxa"/>
              <w:bottom w:w="40" w:type="dxa"/>
              <w:right w:w="20" w:type="dxa"/>
            </w:tcMar>
            <w:vAlign w:val="center"/>
          </w:tcPr>
          <w:p w14:paraId="36CA1CD5" w14:textId="77777777" w:rsidR="00787570" w:rsidRDefault="000D56E2">
            <w:pPr>
              <w:textAlignment w:val="center"/>
            </w:pPr>
            <w:r>
              <w:rPr>
                <w:rFonts w:ascii="Arial" w:eastAsia="宋体" w:hAnsi="Arial" w:cs="Arial"/>
                <w:b/>
                <w:bCs/>
                <w:color w:val="FFFFFF"/>
                <w:sz w:val="28"/>
                <w:szCs w:val="28"/>
              </w:rPr>
              <w:t>CONSOLIDATED CONDENSED STATEMENTS OF CASH FLOWS</w:t>
            </w:r>
          </w:p>
        </w:tc>
      </w:tr>
    </w:tbl>
    <w:p w14:paraId="36CA1CD7" w14:textId="77777777" w:rsidR="00787570" w:rsidRDefault="00787570">
      <w:pPr>
        <w:rPr>
          <w:vanish/>
        </w:rPr>
      </w:pPr>
    </w:p>
    <w:tbl>
      <w:tblPr>
        <w:tblW w:w="5000" w:type="pct"/>
        <w:jc w:val="center"/>
        <w:tblCellMar>
          <w:top w:w="15" w:type="dxa"/>
          <w:left w:w="15" w:type="dxa"/>
          <w:bottom w:w="15" w:type="dxa"/>
          <w:right w:w="15" w:type="dxa"/>
        </w:tblCellMar>
        <w:tblLook w:val="04A0" w:firstRow="1" w:lastRow="0" w:firstColumn="1" w:lastColumn="0" w:noHBand="0" w:noVBand="1"/>
      </w:tblPr>
      <w:tblGrid>
        <w:gridCol w:w="41"/>
        <w:gridCol w:w="5925"/>
        <w:gridCol w:w="40"/>
        <w:gridCol w:w="36"/>
        <w:gridCol w:w="36"/>
        <w:gridCol w:w="36"/>
        <w:gridCol w:w="137"/>
        <w:gridCol w:w="771"/>
        <w:gridCol w:w="41"/>
        <w:gridCol w:w="36"/>
        <w:gridCol w:w="36"/>
        <w:gridCol w:w="36"/>
        <w:gridCol w:w="137"/>
        <w:gridCol w:w="771"/>
        <w:gridCol w:w="41"/>
        <w:gridCol w:w="36"/>
        <w:gridCol w:w="36"/>
        <w:gridCol w:w="36"/>
        <w:gridCol w:w="36"/>
        <w:gridCol w:w="36"/>
        <w:gridCol w:w="36"/>
      </w:tblGrid>
      <w:tr w:rsidR="00787570" w14:paraId="36CA1CE7" w14:textId="77777777">
        <w:trPr>
          <w:gridAfter w:val="6"/>
          <w:jc w:val="center"/>
        </w:trPr>
        <w:tc>
          <w:tcPr>
            <w:tcW w:w="50" w:type="pct"/>
            <w:shd w:val="clear" w:color="auto" w:fill="auto"/>
          </w:tcPr>
          <w:p w14:paraId="36CA1CD8" w14:textId="77777777" w:rsidR="00787570" w:rsidRDefault="00787570">
            <w:pPr>
              <w:rPr>
                <w:rFonts w:ascii="宋体"/>
              </w:rPr>
            </w:pPr>
          </w:p>
        </w:tc>
        <w:tc>
          <w:tcPr>
            <w:tcW w:w="3688" w:type="pct"/>
            <w:shd w:val="clear" w:color="auto" w:fill="auto"/>
          </w:tcPr>
          <w:p w14:paraId="36CA1CD9" w14:textId="77777777" w:rsidR="00787570" w:rsidRDefault="00787570">
            <w:pPr>
              <w:rPr>
                <w:rFonts w:ascii="宋体"/>
              </w:rPr>
            </w:pPr>
          </w:p>
        </w:tc>
        <w:tc>
          <w:tcPr>
            <w:tcW w:w="5" w:type="pct"/>
            <w:shd w:val="clear" w:color="auto" w:fill="auto"/>
          </w:tcPr>
          <w:p w14:paraId="36CA1CDA" w14:textId="77777777" w:rsidR="00787570" w:rsidRDefault="00787570">
            <w:pPr>
              <w:rPr>
                <w:rFonts w:ascii="宋体"/>
              </w:rPr>
            </w:pPr>
          </w:p>
        </w:tc>
        <w:tc>
          <w:tcPr>
            <w:tcW w:w="5" w:type="pct"/>
            <w:shd w:val="clear" w:color="auto" w:fill="auto"/>
          </w:tcPr>
          <w:p w14:paraId="36CA1CDB" w14:textId="77777777" w:rsidR="00787570" w:rsidRDefault="00787570">
            <w:pPr>
              <w:rPr>
                <w:rFonts w:ascii="宋体"/>
              </w:rPr>
            </w:pPr>
          </w:p>
        </w:tc>
        <w:tc>
          <w:tcPr>
            <w:tcW w:w="24" w:type="pct"/>
            <w:shd w:val="clear" w:color="auto" w:fill="auto"/>
          </w:tcPr>
          <w:p w14:paraId="36CA1CDC" w14:textId="77777777" w:rsidR="00787570" w:rsidRDefault="00787570">
            <w:pPr>
              <w:rPr>
                <w:rFonts w:ascii="宋体"/>
              </w:rPr>
            </w:pPr>
          </w:p>
        </w:tc>
        <w:tc>
          <w:tcPr>
            <w:tcW w:w="5" w:type="pct"/>
            <w:shd w:val="clear" w:color="auto" w:fill="auto"/>
          </w:tcPr>
          <w:p w14:paraId="36CA1CDD" w14:textId="77777777" w:rsidR="00787570" w:rsidRDefault="00787570">
            <w:pPr>
              <w:rPr>
                <w:rFonts w:ascii="宋体"/>
              </w:rPr>
            </w:pPr>
          </w:p>
        </w:tc>
        <w:tc>
          <w:tcPr>
            <w:tcW w:w="50" w:type="pct"/>
            <w:shd w:val="clear" w:color="auto" w:fill="auto"/>
          </w:tcPr>
          <w:p w14:paraId="36CA1CDE" w14:textId="77777777" w:rsidR="00787570" w:rsidRDefault="00787570">
            <w:pPr>
              <w:rPr>
                <w:rFonts w:ascii="宋体"/>
              </w:rPr>
            </w:pPr>
          </w:p>
        </w:tc>
        <w:tc>
          <w:tcPr>
            <w:tcW w:w="539" w:type="pct"/>
            <w:shd w:val="clear" w:color="auto" w:fill="auto"/>
          </w:tcPr>
          <w:p w14:paraId="36CA1CDF" w14:textId="77777777" w:rsidR="00787570" w:rsidRDefault="00787570">
            <w:pPr>
              <w:rPr>
                <w:rFonts w:ascii="宋体"/>
              </w:rPr>
            </w:pPr>
          </w:p>
        </w:tc>
        <w:tc>
          <w:tcPr>
            <w:tcW w:w="5" w:type="pct"/>
            <w:shd w:val="clear" w:color="auto" w:fill="auto"/>
          </w:tcPr>
          <w:p w14:paraId="36CA1CE0" w14:textId="77777777" w:rsidR="00787570" w:rsidRDefault="00787570">
            <w:pPr>
              <w:rPr>
                <w:rFonts w:ascii="宋体"/>
              </w:rPr>
            </w:pPr>
          </w:p>
        </w:tc>
        <w:tc>
          <w:tcPr>
            <w:tcW w:w="5" w:type="pct"/>
            <w:shd w:val="clear" w:color="auto" w:fill="auto"/>
          </w:tcPr>
          <w:p w14:paraId="36CA1CE1" w14:textId="77777777" w:rsidR="00787570" w:rsidRDefault="00787570">
            <w:pPr>
              <w:rPr>
                <w:rFonts w:ascii="宋体"/>
              </w:rPr>
            </w:pPr>
          </w:p>
        </w:tc>
        <w:tc>
          <w:tcPr>
            <w:tcW w:w="24" w:type="pct"/>
            <w:shd w:val="clear" w:color="auto" w:fill="auto"/>
          </w:tcPr>
          <w:p w14:paraId="36CA1CE2" w14:textId="77777777" w:rsidR="00787570" w:rsidRDefault="00787570">
            <w:pPr>
              <w:rPr>
                <w:rFonts w:ascii="宋体"/>
              </w:rPr>
            </w:pPr>
          </w:p>
        </w:tc>
        <w:tc>
          <w:tcPr>
            <w:tcW w:w="5" w:type="pct"/>
            <w:shd w:val="clear" w:color="auto" w:fill="auto"/>
          </w:tcPr>
          <w:p w14:paraId="36CA1CE3" w14:textId="77777777" w:rsidR="00787570" w:rsidRDefault="00787570">
            <w:pPr>
              <w:rPr>
                <w:rFonts w:ascii="宋体"/>
              </w:rPr>
            </w:pPr>
          </w:p>
        </w:tc>
        <w:tc>
          <w:tcPr>
            <w:tcW w:w="50" w:type="pct"/>
            <w:shd w:val="clear" w:color="auto" w:fill="auto"/>
          </w:tcPr>
          <w:p w14:paraId="36CA1CE4" w14:textId="77777777" w:rsidR="00787570" w:rsidRDefault="00787570">
            <w:pPr>
              <w:rPr>
                <w:rFonts w:ascii="宋体"/>
              </w:rPr>
            </w:pPr>
          </w:p>
        </w:tc>
        <w:tc>
          <w:tcPr>
            <w:tcW w:w="539" w:type="pct"/>
            <w:shd w:val="clear" w:color="auto" w:fill="auto"/>
          </w:tcPr>
          <w:p w14:paraId="36CA1CE5" w14:textId="77777777" w:rsidR="00787570" w:rsidRDefault="00787570">
            <w:pPr>
              <w:rPr>
                <w:rFonts w:ascii="宋体"/>
              </w:rPr>
            </w:pPr>
          </w:p>
        </w:tc>
        <w:tc>
          <w:tcPr>
            <w:tcW w:w="5" w:type="pct"/>
            <w:shd w:val="clear" w:color="auto" w:fill="auto"/>
          </w:tcPr>
          <w:p w14:paraId="36CA1CE6" w14:textId="77777777" w:rsidR="00787570" w:rsidRDefault="00787570">
            <w:pPr>
              <w:rPr>
                <w:rFonts w:ascii="宋体"/>
              </w:rPr>
            </w:pPr>
          </w:p>
        </w:tc>
      </w:tr>
      <w:tr w:rsidR="00787570" w14:paraId="36CA1CED" w14:textId="77777777">
        <w:trPr>
          <w:jc w:val="center"/>
        </w:trPr>
        <w:tc>
          <w:tcPr>
            <w:tcW w:w="0" w:type="auto"/>
            <w:gridSpan w:val="3"/>
            <w:shd w:val="clear" w:color="auto" w:fill="auto"/>
            <w:tcMar>
              <w:top w:w="40" w:type="dxa"/>
              <w:left w:w="20" w:type="dxa"/>
              <w:bottom w:w="40" w:type="dxa"/>
              <w:right w:w="20" w:type="dxa"/>
            </w:tcMar>
            <w:vAlign w:val="bottom"/>
          </w:tcPr>
          <w:p w14:paraId="36CA1CE8" w14:textId="77777777" w:rsidR="00787570" w:rsidRDefault="000D56E2">
            <w:pPr>
              <w:ind w:hanging="180"/>
              <w:textAlignment w:val="bottom"/>
            </w:pPr>
            <w:r>
              <w:rPr>
                <w:rFonts w:ascii="Arial" w:eastAsia="宋体" w:hAnsi="Arial" w:cs="Arial"/>
                <w:b/>
                <w:bCs/>
                <w:color w:val="333333"/>
                <w:sz w:val="18"/>
                <w:szCs w:val="18"/>
              </w:rPr>
              <w:t> </w:t>
            </w:r>
          </w:p>
        </w:tc>
        <w:tc>
          <w:tcPr>
            <w:tcW w:w="0" w:type="auto"/>
            <w:gridSpan w:val="3"/>
            <w:shd w:val="clear" w:color="auto" w:fill="auto"/>
            <w:tcMar>
              <w:left w:w="20" w:type="dxa"/>
              <w:right w:w="20" w:type="dxa"/>
            </w:tcMar>
            <w:vAlign w:val="bottom"/>
          </w:tcPr>
          <w:p w14:paraId="36CA1CE9" w14:textId="77777777" w:rsidR="00787570" w:rsidRDefault="00787570">
            <w:pPr>
              <w:rPr>
                <w:rFonts w:ascii="宋体"/>
              </w:rPr>
            </w:pPr>
          </w:p>
        </w:tc>
        <w:tc>
          <w:tcPr>
            <w:tcW w:w="0" w:type="auto"/>
            <w:gridSpan w:val="9"/>
            <w:shd w:val="clear" w:color="auto" w:fill="auto"/>
            <w:tcMar>
              <w:top w:w="40" w:type="dxa"/>
              <w:left w:w="20" w:type="dxa"/>
              <w:bottom w:w="40" w:type="dxa"/>
              <w:right w:w="20" w:type="dxa"/>
            </w:tcMar>
            <w:vAlign w:val="bottom"/>
          </w:tcPr>
          <w:p w14:paraId="36CA1CEA" w14:textId="77777777" w:rsidR="00787570" w:rsidRDefault="000D56E2">
            <w:pPr>
              <w:jc w:val="center"/>
              <w:textAlignment w:val="bottom"/>
            </w:pPr>
            <w:r>
              <w:rPr>
                <w:rFonts w:ascii="Arial" w:eastAsia="宋体" w:hAnsi="Arial" w:cs="Arial"/>
                <w:b/>
                <w:bCs/>
                <w:color w:val="333333"/>
                <w:sz w:val="18"/>
                <w:szCs w:val="18"/>
              </w:rPr>
              <w:t xml:space="preserve">Nine </w:t>
            </w:r>
            <w:r>
              <w:rPr>
                <w:rFonts w:ascii="Arial" w:eastAsia="宋体" w:hAnsi="Arial" w:cs="Arial"/>
                <w:b/>
                <w:bCs/>
                <w:color w:val="333333"/>
                <w:sz w:val="18"/>
                <w:szCs w:val="18"/>
              </w:rPr>
              <w:t>Months Ended</w:t>
            </w:r>
          </w:p>
        </w:tc>
        <w:tc>
          <w:tcPr>
            <w:tcW w:w="0" w:type="auto"/>
            <w:gridSpan w:val="3"/>
            <w:shd w:val="clear" w:color="auto" w:fill="auto"/>
          </w:tcPr>
          <w:p w14:paraId="36CA1CEB" w14:textId="77777777" w:rsidR="00787570" w:rsidRDefault="00787570">
            <w:pPr>
              <w:rPr>
                <w:rFonts w:ascii="宋体"/>
                <w:vanish/>
              </w:rPr>
            </w:pPr>
          </w:p>
        </w:tc>
        <w:tc>
          <w:tcPr>
            <w:tcW w:w="0" w:type="auto"/>
            <w:gridSpan w:val="3"/>
            <w:shd w:val="clear" w:color="auto" w:fill="auto"/>
          </w:tcPr>
          <w:p w14:paraId="36CA1CEC" w14:textId="77777777" w:rsidR="00787570" w:rsidRDefault="00787570">
            <w:pPr>
              <w:rPr>
                <w:rFonts w:ascii="宋体"/>
                <w:vanish/>
              </w:rPr>
            </w:pPr>
          </w:p>
        </w:tc>
      </w:tr>
      <w:tr w:rsidR="00787570" w14:paraId="36CA1CF9" w14:textId="77777777">
        <w:trPr>
          <w:jc w:val="center"/>
        </w:trPr>
        <w:tc>
          <w:tcPr>
            <w:tcW w:w="0" w:type="auto"/>
            <w:gridSpan w:val="3"/>
            <w:tcBorders>
              <w:bottom w:val="single" w:sz="8" w:space="0" w:color="0071C5"/>
            </w:tcBorders>
            <w:shd w:val="clear" w:color="auto" w:fill="auto"/>
            <w:tcMar>
              <w:top w:w="40" w:type="dxa"/>
              <w:left w:w="20" w:type="dxa"/>
              <w:bottom w:w="40" w:type="dxa"/>
              <w:right w:w="20" w:type="dxa"/>
            </w:tcMar>
            <w:vAlign w:val="bottom"/>
          </w:tcPr>
          <w:p w14:paraId="36CA1CEE" w14:textId="77777777" w:rsidR="00787570" w:rsidRDefault="000D56E2">
            <w:pPr>
              <w:ind w:hanging="180"/>
              <w:textAlignment w:val="bottom"/>
            </w:pPr>
            <w:r>
              <w:rPr>
                <w:rFonts w:ascii="Arial" w:eastAsia="宋体" w:hAnsi="Arial" w:cs="Arial"/>
                <w:b/>
                <w:bCs/>
                <w:color w:val="333333"/>
                <w:sz w:val="18"/>
                <w:szCs w:val="18"/>
              </w:rPr>
              <w:t>(In Millions; Unaudited)</w:t>
            </w:r>
          </w:p>
        </w:tc>
        <w:tc>
          <w:tcPr>
            <w:tcW w:w="0" w:type="auto"/>
            <w:gridSpan w:val="3"/>
            <w:shd w:val="clear" w:color="auto" w:fill="auto"/>
            <w:tcMar>
              <w:left w:w="20" w:type="dxa"/>
              <w:right w:w="20" w:type="dxa"/>
            </w:tcMar>
            <w:vAlign w:val="bottom"/>
          </w:tcPr>
          <w:p w14:paraId="36CA1CEF" w14:textId="77777777" w:rsidR="00787570" w:rsidRDefault="00787570">
            <w:pPr>
              <w:rPr>
                <w:rFonts w:ascii="宋体"/>
              </w:rPr>
            </w:pPr>
          </w:p>
        </w:tc>
        <w:tc>
          <w:tcPr>
            <w:tcW w:w="0" w:type="auto"/>
            <w:gridSpan w:val="3"/>
            <w:tcBorders>
              <w:top w:val="single" w:sz="8" w:space="0" w:color="0071C5"/>
              <w:bottom w:val="single" w:sz="8" w:space="0" w:color="0071C5"/>
            </w:tcBorders>
            <w:shd w:val="clear" w:color="auto" w:fill="auto"/>
            <w:tcMar>
              <w:top w:w="40" w:type="dxa"/>
              <w:left w:w="20" w:type="dxa"/>
              <w:bottom w:w="40" w:type="dxa"/>
              <w:right w:w="20" w:type="dxa"/>
            </w:tcMar>
            <w:vAlign w:val="bottom"/>
          </w:tcPr>
          <w:p w14:paraId="36CA1CF0" w14:textId="77777777" w:rsidR="00787570" w:rsidRDefault="000D56E2">
            <w:pPr>
              <w:jc w:val="center"/>
              <w:textAlignment w:val="bottom"/>
            </w:pPr>
            <w:r>
              <w:rPr>
                <w:rFonts w:ascii="Arial" w:eastAsia="宋体" w:hAnsi="Arial" w:cs="Arial"/>
                <w:b/>
                <w:bCs/>
                <w:color w:val="333333"/>
                <w:sz w:val="18"/>
                <w:szCs w:val="18"/>
              </w:rPr>
              <w:t>Sep 26, 2020</w:t>
            </w:r>
          </w:p>
        </w:tc>
        <w:tc>
          <w:tcPr>
            <w:tcW w:w="0" w:type="auto"/>
            <w:gridSpan w:val="3"/>
            <w:tcBorders>
              <w:top w:val="single" w:sz="8" w:space="0" w:color="0071C5"/>
            </w:tcBorders>
            <w:shd w:val="clear" w:color="auto" w:fill="auto"/>
            <w:tcMar>
              <w:left w:w="20" w:type="dxa"/>
              <w:right w:w="20" w:type="dxa"/>
            </w:tcMar>
            <w:vAlign w:val="bottom"/>
          </w:tcPr>
          <w:p w14:paraId="36CA1CF1" w14:textId="77777777" w:rsidR="00787570" w:rsidRDefault="00787570">
            <w:pPr>
              <w:rPr>
                <w:rFonts w:ascii="宋体"/>
              </w:rPr>
            </w:pPr>
          </w:p>
        </w:tc>
        <w:tc>
          <w:tcPr>
            <w:tcW w:w="0" w:type="auto"/>
            <w:gridSpan w:val="3"/>
            <w:tcBorders>
              <w:top w:val="single" w:sz="8" w:space="0" w:color="0071C5"/>
              <w:bottom w:val="single" w:sz="8" w:space="0" w:color="0071C5"/>
            </w:tcBorders>
            <w:shd w:val="clear" w:color="auto" w:fill="auto"/>
            <w:tcMar>
              <w:top w:w="40" w:type="dxa"/>
              <w:left w:w="20" w:type="dxa"/>
              <w:bottom w:w="40" w:type="dxa"/>
              <w:right w:w="20" w:type="dxa"/>
            </w:tcMar>
            <w:vAlign w:val="bottom"/>
          </w:tcPr>
          <w:p w14:paraId="36CA1CF2" w14:textId="77777777" w:rsidR="00787570" w:rsidRDefault="000D56E2">
            <w:pPr>
              <w:jc w:val="center"/>
              <w:textAlignment w:val="bottom"/>
            </w:pPr>
            <w:r>
              <w:rPr>
                <w:rFonts w:ascii="Arial" w:eastAsia="宋体" w:hAnsi="Arial" w:cs="Arial"/>
                <w:b/>
                <w:bCs/>
                <w:color w:val="333333"/>
                <w:sz w:val="18"/>
                <w:szCs w:val="18"/>
              </w:rPr>
              <w:t>Sep 28, 2019</w:t>
            </w:r>
          </w:p>
        </w:tc>
        <w:tc>
          <w:tcPr>
            <w:tcW w:w="0" w:type="auto"/>
            <w:shd w:val="clear" w:color="auto" w:fill="auto"/>
          </w:tcPr>
          <w:p w14:paraId="36CA1CF3" w14:textId="77777777" w:rsidR="00787570" w:rsidRDefault="00787570">
            <w:pPr>
              <w:rPr>
                <w:rFonts w:ascii="宋体"/>
              </w:rPr>
            </w:pPr>
          </w:p>
        </w:tc>
        <w:tc>
          <w:tcPr>
            <w:tcW w:w="0" w:type="auto"/>
            <w:shd w:val="clear" w:color="auto" w:fill="auto"/>
          </w:tcPr>
          <w:p w14:paraId="36CA1CF4" w14:textId="77777777" w:rsidR="00787570" w:rsidRDefault="00787570">
            <w:pPr>
              <w:rPr>
                <w:rFonts w:ascii="宋体"/>
              </w:rPr>
            </w:pPr>
          </w:p>
        </w:tc>
        <w:tc>
          <w:tcPr>
            <w:tcW w:w="0" w:type="auto"/>
            <w:shd w:val="clear" w:color="auto" w:fill="auto"/>
          </w:tcPr>
          <w:p w14:paraId="36CA1CF5" w14:textId="77777777" w:rsidR="00787570" w:rsidRDefault="00787570">
            <w:pPr>
              <w:rPr>
                <w:rFonts w:ascii="宋体"/>
              </w:rPr>
            </w:pPr>
          </w:p>
        </w:tc>
        <w:tc>
          <w:tcPr>
            <w:tcW w:w="0" w:type="auto"/>
            <w:shd w:val="clear" w:color="auto" w:fill="auto"/>
          </w:tcPr>
          <w:p w14:paraId="36CA1CF6" w14:textId="77777777" w:rsidR="00787570" w:rsidRDefault="00787570">
            <w:pPr>
              <w:rPr>
                <w:rFonts w:ascii="宋体"/>
              </w:rPr>
            </w:pPr>
          </w:p>
        </w:tc>
        <w:tc>
          <w:tcPr>
            <w:tcW w:w="0" w:type="auto"/>
            <w:shd w:val="clear" w:color="auto" w:fill="auto"/>
          </w:tcPr>
          <w:p w14:paraId="36CA1CF7" w14:textId="77777777" w:rsidR="00787570" w:rsidRDefault="00787570">
            <w:pPr>
              <w:rPr>
                <w:rFonts w:ascii="宋体"/>
              </w:rPr>
            </w:pPr>
          </w:p>
        </w:tc>
        <w:tc>
          <w:tcPr>
            <w:tcW w:w="0" w:type="auto"/>
            <w:shd w:val="clear" w:color="auto" w:fill="auto"/>
          </w:tcPr>
          <w:p w14:paraId="36CA1CF8" w14:textId="77777777" w:rsidR="00787570" w:rsidRDefault="00787570">
            <w:pPr>
              <w:rPr>
                <w:rFonts w:ascii="宋体"/>
              </w:rPr>
            </w:pPr>
          </w:p>
        </w:tc>
      </w:tr>
      <w:tr w:rsidR="00787570" w14:paraId="36CA1D05" w14:textId="77777777">
        <w:trPr>
          <w:trHeight w:val="60"/>
          <w:jc w:val="center"/>
        </w:trPr>
        <w:tc>
          <w:tcPr>
            <w:tcW w:w="0" w:type="auto"/>
            <w:gridSpan w:val="3"/>
            <w:tcBorders>
              <w:top w:val="single" w:sz="8" w:space="0" w:color="0071C5"/>
            </w:tcBorders>
            <w:shd w:val="clear" w:color="auto" w:fill="auto"/>
            <w:tcMar>
              <w:left w:w="20" w:type="dxa"/>
              <w:right w:w="20" w:type="dxa"/>
            </w:tcMar>
            <w:vAlign w:val="bottom"/>
          </w:tcPr>
          <w:p w14:paraId="36CA1CFA"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1CFB" w14:textId="77777777" w:rsidR="00787570" w:rsidRDefault="00787570">
            <w:pPr>
              <w:rPr>
                <w:rFonts w:ascii="宋体"/>
              </w:rPr>
            </w:pPr>
          </w:p>
        </w:tc>
        <w:tc>
          <w:tcPr>
            <w:tcW w:w="0" w:type="auto"/>
            <w:gridSpan w:val="3"/>
            <w:tcBorders>
              <w:top w:val="single" w:sz="8" w:space="0" w:color="0071C5"/>
            </w:tcBorders>
            <w:shd w:val="clear" w:color="auto" w:fill="auto"/>
            <w:tcMar>
              <w:left w:w="20" w:type="dxa"/>
              <w:right w:w="20" w:type="dxa"/>
            </w:tcMar>
            <w:vAlign w:val="bottom"/>
          </w:tcPr>
          <w:p w14:paraId="36CA1CFC"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1CFD" w14:textId="77777777" w:rsidR="00787570" w:rsidRDefault="00787570">
            <w:pPr>
              <w:rPr>
                <w:rFonts w:ascii="宋体"/>
              </w:rPr>
            </w:pPr>
          </w:p>
        </w:tc>
        <w:tc>
          <w:tcPr>
            <w:tcW w:w="0" w:type="auto"/>
            <w:gridSpan w:val="3"/>
            <w:tcBorders>
              <w:top w:val="single" w:sz="8" w:space="0" w:color="0071C5"/>
            </w:tcBorders>
            <w:shd w:val="clear" w:color="auto" w:fill="auto"/>
            <w:tcMar>
              <w:left w:w="20" w:type="dxa"/>
              <w:right w:w="20" w:type="dxa"/>
            </w:tcMar>
            <w:vAlign w:val="bottom"/>
          </w:tcPr>
          <w:p w14:paraId="36CA1CFE" w14:textId="77777777" w:rsidR="00787570" w:rsidRDefault="00787570">
            <w:pPr>
              <w:rPr>
                <w:rFonts w:ascii="宋体"/>
              </w:rPr>
            </w:pPr>
          </w:p>
        </w:tc>
        <w:tc>
          <w:tcPr>
            <w:tcW w:w="0" w:type="auto"/>
            <w:shd w:val="clear" w:color="auto" w:fill="auto"/>
          </w:tcPr>
          <w:p w14:paraId="36CA1CFF" w14:textId="77777777" w:rsidR="00787570" w:rsidRDefault="00787570">
            <w:pPr>
              <w:rPr>
                <w:rFonts w:ascii="宋体"/>
              </w:rPr>
            </w:pPr>
          </w:p>
        </w:tc>
        <w:tc>
          <w:tcPr>
            <w:tcW w:w="0" w:type="auto"/>
            <w:shd w:val="clear" w:color="auto" w:fill="auto"/>
          </w:tcPr>
          <w:p w14:paraId="36CA1D00" w14:textId="77777777" w:rsidR="00787570" w:rsidRDefault="00787570">
            <w:pPr>
              <w:rPr>
                <w:rFonts w:ascii="宋体"/>
              </w:rPr>
            </w:pPr>
          </w:p>
        </w:tc>
        <w:tc>
          <w:tcPr>
            <w:tcW w:w="0" w:type="auto"/>
            <w:shd w:val="clear" w:color="auto" w:fill="auto"/>
          </w:tcPr>
          <w:p w14:paraId="36CA1D01" w14:textId="77777777" w:rsidR="00787570" w:rsidRDefault="00787570">
            <w:pPr>
              <w:rPr>
                <w:rFonts w:ascii="宋体"/>
              </w:rPr>
            </w:pPr>
          </w:p>
        </w:tc>
        <w:tc>
          <w:tcPr>
            <w:tcW w:w="0" w:type="auto"/>
            <w:shd w:val="clear" w:color="auto" w:fill="auto"/>
          </w:tcPr>
          <w:p w14:paraId="36CA1D02" w14:textId="77777777" w:rsidR="00787570" w:rsidRDefault="00787570">
            <w:pPr>
              <w:rPr>
                <w:rFonts w:ascii="宋体"/>
              </w:rPr>
            </w:pPr>
          </w:p>
        </w:tc>
        <w:tc>
          <w:tcPr>
            <w:tcW w:w="0" w:type="auto"/>
            <w:shd w:val="clear" w:color="auto" w:fill="auto"/>
          </w:tcPr>
          <w:p w14:paraId="36CA1D03" w14:textId="77777777" w:rsidR="00787570" w:rsidRDefault="00787570">
            <w:pPr>
              <w:rPr>
                <w:rFonts w:ascii="宋体"/>
              </w:rPr>
            </w:pPr>
          </w:p>
        </w:tc>
        <w:tc>
          <w:tcPr>
            <w:tcW w:w="0" w:type="auto"/>
            <w:shd w:val="clear" w:color="auto" w:fill="auto"/>
          </w:tcPr>
          <w:p w14:paraId="36CA1D04" w14:textId="77777777" w:rsidR="00787570" w:rsidRDefault="00787570">
            <w:pPr>
              <w:rPr>
                <w:rFonts w:ascii="宋体"/>
              </w:rPr>
            </w:pPr>
          </w:p>
        </w:tc>
      </w:tr>
      <w:tr w:rsidR="00787570" w14:paraId="36CA1D15" w14:textId="77777777">
        <w:trPr>
          <w:jc w:val="center"/>
        </w:trPr>
        <w:tc>
          <w:tcPr>
            <w:tcW w:w="0" w:type="auto"/>
            <w:gridSpan w:val="3"/>
            <w:shd w:val="clear" w:color="auto" w:fill="auto"/>
            <w:tcMar>
              <w:top w:w="40" w:type="dxa"/>
              <w:left w:w="20" w:type="dxa"/>
              <w:bottom w:w="40" w:type="dxa"/>
              <w:right w:w="20" w:type="dxa"/>
            </w:tcMar>
          </w:tcPr>
          <w:p w14:paraId="36CA1D06" w14:textId="77777777" w:rsidR="00787570" w:rsidRDefault="000D56E2">
            <w:pPr>
              <w:textAlignment w:val="top"/>
            </w:pPr>
            <w:r>
              <w:rPr>
                <w:rFonts w:ascii="Arial" w:eastAsia="宋体" w:hAnsi="Arial" w:cs="Arial"/>
                <w:b/>
                <w:bCs/>
                <w:color w:val="333333"/>
                <w:sz w:val="18"/>
                <w:szCs w:val="18"/>
              </w:rPr>
              <w:t>Cash and cash equivalents, beginning of period</w:t>
            </w:r>
          </w:p>
        </w:tc>
        <w:tc>
          <w:tcPr>
            <w:tcW w:w="0" w:type="auto"/>
            <w:gridSpan w:val="3"/>
            <w:shd w:val="clear" w:color="auto" w:fill="auto"/>
            <w:tcMar>
              <w:left w:w="20" w:type="dxa"/>
              <w:right w:w="20" w:type="dxa"/>
            </w:tcMar>
            <w:vAlign w:val="bottom"/>
          </w:tcPr>
          <w:p w14:paraId="36CA1D07" w14:textId="77777777" w:rsidR="00787570" w:rsidRDefault="00787570">
            <w:pPr>
              <w:rPr>
                <w:rFonts w:ascii="宋体"/>
              </w:rPr>
            </w:pPr>
          </w:p>
        </w:tc>
        <w:tc>
          <w:tcPr>
            <w:tcW w:w="0" w:type="auto"/>
            <w:shd w:val="clear" w:color="auto" w:fill="auto"/>
            <w:tcMar>
              <w:top w:w="40" w:type="dxa"/>
              <w:left w:w="20" w:type="dxa"/>
              <w:bottom w:w="40" w:type="dxa"/>
            </w:tcMar>
            <w:vAlign w:val="bottom"/>
          </w:tcPr>
          <w:p w14:paraId="36CA1D08" w14:textId="77777777" w:rsidR="00787570" w:rsidRDefault="000D56E2">
            <w:pPr>
              <w:textAlignment w:val="bottom"/>
            </w:pPr>
            <w:r>
              <w:rPr>
                <w:rFonts w:ascii="Arial" w:eastAsia="宋体" w:hAnsi="Arial" w:cs="Arial"/>
                <w:b/>
                <w:bCs/>
                <w:color w:val="0071C5"/>
                <w:sz w:val="18"/>
                <w:szCs w:val="18"/>
              </w:rPr>
              <w:t>$</w:t>
            </w:r>
          </w:p>
        </w:tc>
        <w:tc>
          <w:tcPr>
            <w:tcW w:w="0" w:type="auto"/>
            <w:shd w:val="clear" w:color="auto" w:fill="auto"/>
            <w:tcMar>
              <w:top w:w="40" w:type="dxa"/>
              <w:bottom w:w="40" w:type="dxa"/>
              <w:right w:w="0" w:type="dxa"/>
            </w:tcMar>
            <w:vAlign w:val="bottom"/>
          </w:tcPr>
          <w:p w14:paraId="36CA1D09" w14:textId="77777777" w:rsidR="00787570" w:rsidRDefault="000D56E2">
            <w:pPr>
              <w:jc w:val="right"/>
              <w:textAlignment w:val="bottom"/>
            </w:pPr>
            <w:r>
              <w:rPr>
                <w:rFonts w:ascii="Arial" w:eastAsia="宋体" w:hAnsi="Arial" w:cs="Arial"/>
                <w:b/>
                <w:bCs/>
                <w:color w:val="0071C5"/>
                <w:sz w:val="18"/>
                <w:szCs w:val="18"/>
              </w:rPr>
              <w:t>4,194</w:t>
            </w:r>
            <w:r>
              <w:rPr>
                <w:rFonts w:ascii="Arial" w:eastAsia="宋体" w:hAnsi="Arial" w:cs="Arial"/>
                <w:color w:val="0071C5"/>
                <w:sz w:val="18"/>
                <w:szCs w:val="18"/>
              </w:rPr>
              <w:t> </w:t>
            </w:r>
          </w:p>
        </w:tc>
        <w:tc>
          <w:tcPr>
            <w:tcW w:w="0" w:type="auto"/>
            <w:shd w:val="clear" w:color="auto" w:fill="auto"/>
            <w:tcMar>
              <w:top w:w="40" w:type="dxa"/>
              <w:bottom w:w="40" w:type="dxa"/>
              <w:right w:w="20" w:type="dxa"/>
            </w:tcMar>
            <w:vAlign w:val="bottom"/>
          </w:tcPr>
          <w:p w14:paraId="36CA1D0A"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1D0B" w14:textId="77777777" w:rsidR="00787570" w:rsidRDefault="00787570">
            <w:pPr>
              <w:rPr>
                <w:rFonts w:ascii="宋体"/>
              </w:rPr>
            </w:pPr>
          </w:p>
        </w:tc>
        <w:tc>
          <w:tcPr>
            <w:tcW w:w="0" w:type="auto"/>
            <w:shd w:val="clear" w:color="auto" w:fill="auto"/>
            <w:tcMar>
              <w:top w:w="40" w:type="dxa"/>
              <w:left w:w="20" w:type="dxa"/>
              <w:bottom w:w="40" w:type="dxa"/>
            </w:tcMar>
            <w:vAlign w:val="bottom"/>
          </w:tcPr>
          <w:p w14:paraId="36CA1D0C" w14:textId="77777777" w:rsidR="00787570" w:rsidRDefault="000D56E2">
            <w:pPr>
              <w:textAlignment w:val="bottom"/>
            </w:pPr>
            <w:r>
              <w:rPr>
                <w:rFonts w:ascii="Arial" w:eastAsia="宋体" w:hAnsi="Arial" w:cs="Arial"/>
                <w:b/>
                <w:bCs/>
                <w:color w:val="333333"/>
                <w:sz w:val="18"/>
                <w:szCs w:val="18"/>
              </w:rPr>
              <w:t>$</w:t>
            </w:r>
          </w:p>
        </w:tc>
        <w:tc>
          <w:tcPr>
            <w:tcW w:w="0" w:type="auto"/>
            <w:shd w:val="clear" w:color="auto" w:fill="auto"/>
            <w:tcMar>
              <w:top w:w="40" w:type="dxa"/>
              <w:bottom w:w="40" w:type="dxa"/>
              <w:right w:w="0" w:type="dxa"/>
            </w:tcMar>
            <w:vAlign w:val="bottom"/>
          </w:tcPr>
          <w:p w14:paraId="36CA1D0D" w14:textId="77777777" w:rsidR="00787570" w:rsidRDefault="000D56E2">
            <w:pPr>
              <w:jc w:val="right"/>
              <w:textAlignment w:val="bottom"/>
            </w:pPr>
            <w:r>
              <w:rPr>
                <w:rFonts w:ascii="Arial" w:eastAsia="宋体" w:hAnsi="Arial" w:cs="Arial"/>
                <w:b/>
                <w:bCs/>
                <w:color w:val="333333"/>
                <w:sz w:val="18"/>
                <w:szCs w:val="18"/>
              </w:rPr>
              <w:t>3,019</w:t>
            </w:r>
            <w:r>
              <w:rPr>
                <w:rFonts w:ascii="Arial" w:eastAsia="宋体" w:hAnsi="Arial" w:cs="Arial"/>
                <w:color w:val="333333"/>
                <w:sz w:val="18"/>
                <w:szCs w:val="18"/>
              </w:rPr>
              <w:t> </w:t>
            </w:r>
          </w:p>
        </w:tc>
        <w:tc>
          <w:tcPr>
            <w:tcW w:w="0" w:type="auto"/>
            <w:shd w:val="clear" w:color="auto" w:fill="auto"/>
            <w:tcMar>
              <w:top w:w="40" w:type="dxa"/>
              <w:bottom w:w="40" w:type="dxa"/>
              <w:right w:w="20" w:type="dxa"/>
            </w:tcMar>
            <w:vAlign w:val="bottom"/>
          </w:tcPr>
          <w:p w14:paraId="36CA1D0E" w14:textId="77777777" w:rsidR="00787570" w:rsidRDefault="00787570">
            <w:pPr>
              <w:jc w:val="right"/>
              <w:rPr>
                <w:rFonts w:ascii="宋体"/>
              </w:rPr>
            </w:pPr>
          </w:p>
        </w:tc>
        <w:tc>
          <w:tcPr>
            <w:tcW w:w="0" w:type="auto"/>
            <w:shd w:val="clear" w:color="auto" w:fill="auto"/>
          </w:tcPr>
          <w:p w14:paraId="36CA1D0F" w14:textId="77777777" w:rsidR="00787570" w:rsidRDefault="00787570">
            <w:pPr>
              <w:rPr>
                <w:rFonts w:ascii="宋体"/>
              </w:rPr>
            </w:pPr>
          </w:p>
        </w:tc>
        <w:tc>
          <w:tcPr>
            <w:tcW w:w="0" w:type="auto"/>
            <w:shd w:val="clear" w:color="auto" w:fill="auto"/>
          </w:tcPr>
          <w:p w14:paraId="36CA1D10" w14:textId="77777777" w:rsidR="00787570" w:rsidRDefault="00787570">
            <w:pPr>
              <w:rPr>
                <w:rFonts w:ascii="宋体"/>
              </w:rPr>
            </w:pPr>
          </w:p>
        </w:tc>
        <w:tc>
          <w:tcPr>
            <w:tcW w:w="0" w:type="auto"/>
            <w:shd w:val="clear" w:color="auto" w:fill="auto"/>
          </w:tcPr>
          <w:p w14:paraId="36CA1D11" w14:textId="77777777" w:rsidR="00787570" w:rsidRDefault="00787570">
            <w:pPr>
              <w:rPr>
                <w:rFonts w:ascii="宋体"/>
              </w:rPr>
            </w:pPr>
          </w:p>
        </w:tc>
        <w:tc>
          <w:tcPr>
            <w:tcW w:w="0" w:type="auto"/>
            <w:shd w:val="clear" w:color="auto" w:fill="auto"/>
          </w:tcPr>
          <w:p w14:paraId="36CA1D12" w14:textId="77777777" w:rsidR="00787570" w:rsidRDefault="00787570">
            <w:pPr>
              <w:rPr>
                <w:rFonts w:ascii="宋体"/>
              </w:rPr>
            </w:pPr>
          </w:p>
        </w:tc>
        <w:tc>
          <w:tcPr>
            <w:tcW w:w="0" w:type="auto"/>
            <w:shd w:val="clear" w:color="auto" w:fill="auto"/>
          </w:tcPr>
          <w:p w14:paraId="36CA1D13" w14:textId="77777777" w:rsidR="00787570" w:rsidRDefault="00787570">
            <w:pPr>
              <w:rPr>
                <w:rFonts w:ascii="宋体"/>
              </w:rPr>
            </w:pPr>
          </w:p>
        </w:tc>
        <w:tc>
          <w:tcPr>
            <w:tcW w:w="0" w:type="auto"/>
            <w:shd w:val="clear" w:color="auto" w:fill="auto"/>
          </w:tcPr>
          <w:p w14:paraId="36CA1D14" w14:textId="77777777" w:rsidR="00787570" w:rsidRDefault="00787570">
            <w:pPr>
              <w:rPr>
                <w:rFonts w:ascii="宋体"/>
              </w:rPr>
            </w:pPr>
          </w:p>
        </w:tc>
      </w:tr>
      <w:tr w:rsidR="00787570" w14:paraId="36CA1D21" w14:textId="77777777">
        <w:trPr>
          <w:jc w:val="center"/>
        </w:trPr>
        <w:tc>
          <w:tcPr>
            <w:tcW w:w="0" w:type="auto"/>
            <w:gridSpan w:val="3"/>
            <w:shd w:val="clear" w:color="auto" w:fill="auto"/>
            <w:tcMar>
              <w:top w:w="40" w:type="dxa"/>
              <w:left w:w="20" w:type="dxa"/>
              <w:bottom w:w="40" w:type="dxa"/>
              <w:right w:w="20" w:type="dxa"/>
            </w:tcMar>
          </w:tcPr>
          <w:p w14:paraId="36CA1D16" w14:textId="77777777" w:rsidR="00787570" w:rsidRDefault="000D56E2">
            <w:pPr>
              <w:textAlignment w:val="top"/>
            </w:pPr>
            <w:r>
              <w:rPr>
                <w:rFonts w:ascii="Arial" w:eastAsia="宋体" w:hAnsi="Arial" w:cs="Arial"/>
                <w:color w:val="333333"/>
                <w:sz w:val="18"/>
                <w:szCs w:val="18"/>
              </w:rPr>
              <w:t>Cash flows provided by (used for) operating activities:</w:t>
            </w:r>
          </w:p>
        </w:tc>
        <w:tc>
          <w:tcPr>
            <w:tcW w:w="0" w:type="auto"/>
            <w:gridSpan w:val="3"/>
            <w:shd w:val="clear" w:color="auto" w:fill="auto"/>
            <w:tcMar>
              <w:left w:w="20" w:type="dxa"/>
              <w:right w:w="20" w:type="dxa"/>
            </w:tcMar>
            <w:vAlign w:val="bottom"/>
          </w:tcPr>
          <w:p w14:paraId="36CA1D17" w14:textId="77777777" w:rsidR="00787570" w:rsidRDefault="00787570">
            <w:pPr>
              <w:rPr>
                <w:rFonts w:ascii="宋体"/>
              </w:rPr>
            </w:pPr>
          </w:p>
        </w:tc>
        <w:tc>
          <w:tcPr>
            <w:tcW w:w="0" w:type="auto"/>
            <w:gridSpan w:val="3"/>
            <w:tcBorders>
              <w:top w:val="single" w:sz="8" w:space="0" w:color="333333"/>
            </w:tcBorders>
            <w:shd w:val="clear" w:color="auto" w:fill="auto"/>
            <w:tcMar>
              <w:left w:w="20" w:type="dxa"/>
              <w:right w:w="20" w:type="dxa"/>
            </w:tcMar>
            <w:vAlign w:val="bottom"/>
          </w:tcPr>
          <w:p w14:paraId="36CA1D18"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1D19" w14:textId="77777777" w:rsidR="00787570" w:rsidRDefault="00787570">
            <w:pPr>
              <w:rPr>
                <w:rFonts w:ascii="宋体"/>
              </w:rPr>
            </w:pPr>
          </w:p>
        </w:tc>
        <w:tc>
          <w:tcPr>
            <w:tcW w:w="0" w:type="auto"/>
            <w:gridSpan w:val="3"/>
            <w:tcBorders>
              <w:top w:val="single" w:sz="8" w:space="0" w:color="333333"/>
            </w:tcBorders>
            <w:shd w:val="clear" w:color="auto" w:fill="auto"/>
            <w:tcMar>
              <w:left w:w="20" w:type="dxa"/>
              <w:right w:w="20" w:type="dxa"/>
            </w:tcMar>
            <w:vAlign w:val="bottom"/>
          </w:tcPr>
          <w:p w14:paraId="36CA1D1A" w14:textId="77777777" w:rsidR="00787570" w:rsidRDefault="00787570">
            <w:pPr>
              <w:rPr>
                <w:rFonts w:ascii="宋体"/>
              </w:rPr>
            </w:pPr>
          </w:p>
        </w:tc>
        <w:tc>
          <w:tcPr>
            <w:tcW w:w="0" w:type="auto"/>
            <w:shd w:val="clear" w:color="auto" w:fill="auto"/>
          </w:tcPr>
          <w:p w14:paraId="36CA1D1B" w14:textId="77777777" w:rsidR="00787570" w:rsidRDefault="00787570">
            <w:pPr>
              <w:rPr>
                <w:rFonts w:ascii="宋体"/>
              </w:rPr>
            </w:pPr>
          </w:p>
        </w:tc>
        <w:tc>
          <w:tcPr>
            <w:tcW w:w="0" w:type="auto"/>
            <w:shd w:val="clear" w:color="auto" w:fill="auto"/>
          </w:tcPr>
          <w:p w14:paraId="36CA1D1C" w14:textId="77777777" w:rsidR="00787570" w:rsidRDefault="00787570">
            <w:pPr>
              <w:rPr>
                <w:rFonts w:ascii="宋体"/>
              </w:rPr>
            </w:pPr>
          </w:p>
        </w:tc>
        <w:tc>
          <w:tcPr>
            <w:tcW w:w="0" w:type="auto"/>
            <w:shd w:val="clear" w:color="auto" w:fill="auto"/>
          </w:tcPr>
          <w:p w14:paraId="36CA1D1D" w14:textId="77777777" w:rsidR="00787570" w:rsidRDefault="00787570">
            <w:pPr>
              <w:rPr>
                <w:rFonts w:ascii="宋体"/>
              </w:rPr>
            </w:pPr>
          </w:p>
        </w:tc>
        <w:tc>
          <w:tcPr>
            <w:tcW w:w="0" w:type="auto"/>
            <w:shd w:val="clear" w:color="auto" w:fill="auto"/>
          </w:tcPr>
          <w:p w14:paraId="36CA1D1E" w14:textId="77777777" w:rsidR="00787570" w:rsidRDefault="00787570">
            <w:pPr>
              <w:rPr>
                <w:rFonts w:ascii="宋体"/>
              </w:rPr>
            </w:pPr>
          </w:p>
        </w:tc>
        <w:tc>
          <w:tcPr>
            <w:tcW w:w="0" w:type="auto"/>
            <w:shd w:val="clear" w:color="auto" w:fill="auto"/>
          </w:tcPr>
          <w:p w14:paraId="36CA1D1F" w14:textId="77777777" w:rsidR="00787570" w:rsidRDefault="00787570">
            <w:pPr>
              <w:rPr>
                <w:rFonts w:ascii="宋体"/>
              </w:rPr>
            </w:pPr>
          </w:p>
        </w:tc>
        <w:tc>
          <w:tcPr>
            <w:tcW w:w="0" w:type="auto"/>
            <w:shd w:val="clear" w:color="auto" w:fill="auto"/>
          </w:tcPr>
          <w:p w14:paraId="36CA1D20" w14:textId="77777777" w:rsidR="00787570" w:rsidRDefault="00787570">
            <w:pPr>
              <w:rPr>
                <w:rFonts w:ascii="宋体"/>
              </w:rPr>
            </w:pPr>
          </w:p>
        </w:tc>
      </w:tr>
      <w:tr w:rsidR="00787570" w14:paraId="36CA1D2F" w14:textId="77777777">
        <w:trPr>
          <w:jc w:val="center"/>
        </w:trPr>
        <w:tc>
          <w:tcPr>
            <w:tcW w:w="0" w:type="auto"/>
            <w:gridSpan w:val="3"/>
            <w:shd w:val="clear" w:color="auto" w:fill="auto"/>
            <w:tcMar>
              <w:top w:w="40" w:type="dxa"/>
              <w:left w:w="75" w:type="dxa"/>
              <w:bottom w:w="40" w:type="dxa"/>
              <w:right w:w="20" w:type="dxa"/>
            </w:tcMar>
          </w:tcPr>
          <w:p w14:paraId="36CA1D22" w14:textId="77777777" w:rsidR="00787570" w:rsidRDefault="000D56E2">
            <w:pPr>
              <w:textAlignment w:val="top"/>
            </w:pPr>
            <w:r>
              <w:rPr>
                <w:rFonts w:ascii="Arial" w:eastAsia="宋体" w:hAnsi="Arial" w:cs="Arial"/>
                <w:color w:val="333333"/>
                <w:sz w:val="18"/>
                <w:szCs w:val="18"/>
              </w:rPr>
              <w:t>Net income</w:t>
            </w:r>
          </w:p>
        </w:tc>
        <w:tc>
          <w:tcPr>
            <w:tcW w:w="0" w:type="auto"/>
            <w:gridSpan w:val="3"/>
            <w:shd w:val="clear" w:color="auto" w:fill="auto"/>
            <w:tcMar>
              <w:left w:w="20" w:type="dxa"/>
              <w:right w:w="20" w:type="dxa"/>
            </w:tcMar>
            <w:vAlign w:val="bottom"/>
          </w:tcPr>
          <w:p w14:paraId="36CA1D23"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1D24" w14:textId="77777777" w:rsidR="00787570" w:rsidRDefault="000D56E2">
            <w:pPr>
              <w:jc w:val="right"/>
              <w:textAlignment w:val="bottom"/>
            </w:pPr>
            <w:r>
              <w:rPr>
                <w:rFonts w:ascii="Arial" w:eastAsia="宋体" w:hAnsi="Arial" w:cs="Arial"/>
                <w:color w:val="0071C5"/>
                <w:sz w:val="18"/>
                <w:szCs w:val="18"/>
              </w:rPr>
              <w:t>15,042 </w:t>
            </w:r>
          </w:p>
        </w:tc>
        <w:tc>
          <w:tcPr>
            <w:tcW w:w="0" w:type="auto"/>
            <w:shd w:val="clear" w:color="auto" w:fill="auto"/>
            <w:tcMar>
              <w:top w:w="40" w:type="dxa"/>
              <w:bottom w:w="40" w:type="dxa"/>
              <w:right w:w="20" w:type="dxa"/>
            </w:tcMar>
            <w:vAlign w:val="bottom"/>
          </w:tcPr>
          <w:p w14:paraId="36CA1D25"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1D26"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1D27" w14:textId="77777777" w:rsidR="00787570" w:rsidRDefault="000D56E2">
            <w:pPr>
              <w:jc w:val="right"/>
              <w:textAlignment w:val="bottom"/>
            </w:pPr>
            <w:r>
              <w:rPr>
                <w:rFonts w:ascii="Arial" w:eastAsia="宋体" w:hAnsi="Arial" w:cs="Arial"/>
                <w:color w:val="333333"/>
                <w:sz w:val="18"/>
                <w:szCs w:val="18"/>
              </w:rPr>
              <w:t>14,143 </w:t>
            </w:r>
          </w:p>
        </w:tc>
        <w:tc>
          <w:tcPr>
            <w:tcW w:w="0" w:type="auto"/>
            <w:shd w:val="clear" w:color="auto" w:fill="auto"/>
            <w:tcMar>
              <w:top w:w="40" w:type="dxa"/>
              <w:bottom w:w="40" w:type="dxa"/>
              <w:right w:w="20" w:type="dxa"/>
            </w:tcMar>
            <w:vAlign w:val="bottom"/>
          </w:tcPr>
          <w:p w14:paraId="36CA1D28" w14:textId="77777777" w:rsidR="00787570" w:rsidRDefault="00787570">
            <w:pPr>
              <w:jc w:val="right"/>
              <w:rPr>
                <w:rFonts w:ascii="宋体"/>
              </w:rPr>
            </w:pPr>
          </w:p>
        </w:tc>
        <w:tc>
          <w:tcPr>
            <w:tcW w:w="0" w:type="auto"/>
            <w:shd w:val="clear" w:color="auto" w:fill="auto"/>
          </w:tcPr>
          <w:p w14:paraId="36CA1D29" w14:textId="77777777" w:rsidR="00787570" w:rsidRDefault="00787570">
            <w:pPr>
              <w:rPr>
                <w:rFonts w:ascii="宋体"/>
              </w:rPr>
            </w:pPr>
          </w:p>
        </w:tc>
        <w:tc>
          <w:tcPr>
            <w:tcW w:w="0" w:type="auto"/>
            <w:shd w:val="clear" w:color="auto" w:fill="auto"/>
          </w:tcPr>
          <w:p w14:paraId="36CA1D2A" w14:textId="77777777" w:rsidR="00787570" w:rsidRDefault="00787570">
            <w:pPr>
              <w:rPr>
                <w:rFonts w:ascii="宋体"/>
              </w:rPr>
            </w:pPr>
          </w:p>
        </w:tc>
        <w:tc>
          <w:tcPr>
            <w:tcW w:w="0" w:type="auto"/>
            <w:shd w:val="clear" w:color="auto" w:fill="auto"/>
          </w:tcPr>
          <w:p w14:paraId="36CA1D2B" w14:textId="77777777" w:rsidR="00787570" w:rsidRDefault="00787570">
            <w:pPr>
              <w:rPr>
                <w:rFonts w:ascii="宋体"/>
              </w:rPr>
            </w:pPr>
          </w:p>
        </w:tc>
        <w:tc>
          <w:tcPr>
            <w:tcW w:w="0" w:type="auto"/>
            <w:shd w:val="clear" w:color="auto" w:fill="auto"/>
          </w:tcPr>
          <w:p w14:paraId="36CA1D2C" w14:textId="77777777" w:rsidR="00787570" w:rsidRDefault="00787570">
            <w:pPr>
              <w:rPr>
                <w:rFonts w:ascii="宋体"/>
              </w:rPr>
            </w:pPr>
          </w:p>
        </w:tc>
        <w:tc>
          <w:tcPr>
            <w:tcW w:w="0" w:type="auto"/>
            <w:shd w:val="clear" w:color="auto" w:fill="auto"/>
          </w:tcPr>
          <w:p w14:paraId="36CA1D2D" w14:textId="77777777" w:rsidR="00787570" w:rsidRDefault="00787570">
            <w:pPr>
              <w:rPr>
                <w:rFonts w:ascii="宋体"/>
              </w:rPr>
            </w:pPr>
          </w:p>
        </w:tc>
        <w:tc>
          <w:tcPr>
            <w:tcW w:w="0" w:type="auto"/>
            <w:shd w:val="clear" w:color="auto" w:fill="auto"/>
          </w:tcPr>
          <w:p w14:paraId="36CA1D2E" w14:textId="77777777" w:rsidR="00787570" w:rsidRDefault="00787570">
            <w:pPr>
              <w:rPr>
                <w:rFonts w:ascii="宋体"/>
              </w:rPr>
            </w:pPr>
          </w:p>
        </w:tc>
      </w:tr>
      <w:tr w:rsidR="00787570" w14:paraId="36CA1D3B" w14:textId="77777777">
        <w:trPr>
          <w:jc w:val="center"/>
        </w:trPr>
        <w:tc>
          <w:tcPr>
            <w:tcW w:w="0" w:type="auto"/>
            <w:gridSpan w:val="3"/>
            <w:shd w:val="clear" w:color="auto" w:fill="auto"/>
            <w:tcMar>
              <w:top w:w="40" w:type="dxa"/>
              <w:left w:w="75" w:type="dxa"/>
              <w:bottom w:w="40" w:type="dxa"/>
              <w:right w:w="20" w:type="dxa"/>
            </w:tcMar>
          </w:tcPr>
          <w:p w14:paraId="36CA1D30" w14:textId="77777777" w:rsidR="00787570" w:rsidRDefault="000D56E2">
            <w:pPr>
              <w:textAlignment w:val="top"/>
            </w:pPr>
            <w:r>
              <w:rPr>
                <w:rFonts w:ascii="Arial" w:eastAsia="宋体" w:hAnsi="Arial" w:cs="Arial"/>
                <w:color w:val="333333"/>
                <w:sz w:val="18"/>
                <w:szCs w:val="18"/>
              </w:rPr>
              <w:t>Adjustments to reconcile net income to net cash provided by operating activities:</w:t>
            </w:r>
          </w:p>
        </w:tc>
        <w:tc>
          <w:tcPr>
            <w:tcW w:w="0" w:type="auto"/>
            <w:gridSpan w:val="3"/>
            <w:shd w:val="clear" w:color="auto" w:fill="auto"/>
            <w:tcMar>
              <w:left w:w="20" w:type="dxa"/>
              <w:right w:w="20" w:type="dxa"/>
            </w:tcMar>
            <w:vAlign w:val="bottom"/>
          </w:tcPr>
          <w:p w14:paraId="36CA1D31"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1D32"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1D33"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1D34" w14:textId="77777777" w:rsidR="00787570" w:rsidRDefault="00787570">
            <w:pPr>
              <w:rPr>
                <w:rFonts w:ascii="宋体"/>
              </w:rPr>
            </w:pPr>
          </w:p>
        </w:tc>
        <w:tc>
          <w:tcPr>
            <w:tcW w:w="0" w:type="auto"/>
            <w:shd w:val="clear" w:color="auto" w:fill="auto"/>
          </w:tcPr>
          <w:p w14:paraId="36CA1D35" w14:textId="77777777" w:rsidR="00787570" w:rsidRDefault="00787570">
            <w:pPr>
              <w:rPr>
                <w:rFonts w:ascii="宋体"/>
              </w:rPr>
            </w:pPr>
          </w:p>
        </w:tc>
        <w:tc>
          <w:tcPr>
            <w:tcW w:w="0" w:type="auto"/>
            <w:shd w:val="clear" w:color="auto" w:fill="auto"/>
          </w:tcPr>
          <w:p w14:paraId="36CA1D36" w14:textId="77777777" w:rsidR="00787570" w:rsidRDefault="00787570">
            <w:pPr>
              <w:rPr>
                <w:rFonts w:ascii="宋体"/>
              </w:rPr>
            </w:pPr>
          </w:p>
        </w:tc>
        <w:tc>
          <w:tcPr>
            <w:tcW w:w="0" w:type="auto"/>
            <w:shd w:val="clear" w:color="auto" w:fill="auto"/>
          </w:tcPr>
          <w:p w14:paraId="36CA1D37" w14:textId="77777777" w:rsidR="00787570" w:rsidRDefault="00787570">
            <w:pPr>
              <w:rPr>
                <w:rFonts w:ascii="宋体"/>
              </w:rPr>
            </w:pPr>
          </w:p>
        </w:tc>
        <w:tc>
          <w:tcPr>
            <w:tcW w:w="0" w:type="auto"/>
            <w:shd w:val="clear" w:color="auto" w:fill="auto"/>
          </w:tcPr>
          <w:p w14:paraId="36CA1D38" w14:textId="77777777" w:rsidR="00787570" w:rsidRDefault="00787570">
            <w:pPr>
              <w:rPr>
                <w:rFonts w:ascii="宋体"/>
              </w:rPr>
            </w:pPr>
          </w:p>
        </w:tc>
        <w:tc>
          <w:tcPr>
            <w:tcW w:w="0" w:type="auto"/>
            <w:shd w:val="clear" w:color="auto" w:fill="auto"/>
          </w:tcPr>
          <w:p w14:paraId="36CA1D39" w14:textId="77777777" w:rsidR="00787570" w:rsidRDefault="00787570">
            <w:pPr>
              <w:rPr>
                <w:rFonts w:ascii="宋体"/>
              </w:rPr>
            </w:pPr>
          </w:p>
        </w:tc>
        <w:tc>
          <w:tcPr>
            <w:tcW w:w="0" w:type="auto"/>
            <w:shd w:val="clear" w:color="auto" w:fill="auto"/>
          </w:tcPr>
          <w:p w14:paraId="36CA1D3A" w14:textId="77777777" w:rsidR="00787570" w:rsidRDefault="00787570">
            <w:pPr>
              <w:rPr>
                <w:rFonts w:ascii="宋体"/>
              </w:rPr>
            </w:pPr>
          </w:p>
        </w:tc>
      </w:tr>
      <w:tr w:rsidR="00787570" w14:paraId="36CA1D49" w14:textId="77777777">
        <w:trPr>
          <w:jc w:val="center"/>
        </w:trPr>
        <w:tc>
          <w:tcPr>
            <w:tcW w:w="0" w:type="auto"/>
            <w:gridSpan w:val="3"/>
            <w:shd w:val="clear" w:color="auto" w:fill="auto"/>
            <w:tcMar>
              <w:top w:w="40" w:type="dxa"/>
              <w:left w:w="180" w:type="dxa"/>
              <w:bottom w:w="40" w:type="dxa"/>
              <w:right w:w="20" w:type="dxa"/>
            </w:tcMar>
          </w:tcPr>
          <w:p w14:paraId="36CA1D3C" w14:textId="77777777" w:rsidR="00787570" w:rsidRDefault="000D56E2">
            <w:pPr>
              <w:textAlignment w:val="top"/>
            </w:pPr>
            <w:r>
              <w:rPr>
                <w:rFonts w:ascii="Arial" w:eastAsia="宋体" w:hAnsi="Arial" w:cs="Arial"/>
                <w:color w:val="333333"/>
                <w:sz w:val="18"/>
                <w:szCs w:val="18"/>
              </w:rPr>
              <w:t>Depreciation</w:t>
            </w:r>
          </w:p>
        </w:tc>
        <w:tc>
          <w:tcPr>
            <w:tcW w:w="0" w:type="auto"/>
            <w:gridSpan w:val="3"/>
            <w:shd w:val="clear" w:color="auto" w:fill="auto"/>
            <w:tcMar>
              <w:left w:w="20" w:type="dxa"/>
              <w:right w:w="20" w:type="dxa"/>
            </w:tcMar>
            <w:vAlign w:val="bottom"/>
          </w:tcPr>
          <w:p w14:paraId="36CA1D3D"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1D3E" w14:textId="77777777" w:rsidR="00787570" w:rsidRDefault="000D56E2">
            <w:pPr>
              <w:jc w:val="right"/>
              <w:textAlignment w:val="bottom"/>
            </w:pPr>
            <w:r>
              <w:rPr>
                <w:rFonts w:ascii="Arial" w:eastAsia="宋体" w:hAnsi="Arial" w:cs="Arial"/>
                <w:color w:val="0071C5"/>
                <w:sz w:val="18"/>
                <w:szCs w:val="18"/>
              </w:rPr>
              <w:t>7,925 </w:t>
            </w:r>
          </w:p>
        </w:tc>
        <w:tc>
          <w:tcPr>
            <w:tcW w:w="0" w:type="auto"/>
            <w:shd w:val="clear" w:color="auto" w:fill="auto"/>
            <w:tcMar>
              <w:top w:w="40" w:type="dxa"/>
              <w:bottom w:w="40" w:type="dxa"/>
              <w:right w:w="20" w:type="dxa"/>
            </w:tcMar>
            <w:vAlign w:val="bottom"/>
          </w:tcPr>
          <w:p w14:paraId="36CA1D3F"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1D40"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1D41" w14:textId="77777777" w:rsidR="00787570" w:rsidRDefault="000D56E2">
            <w:pPr>
              <w:jc w:val="right"/>
              <w:textAlignment w:val="bottom"/>
            </w:pPr>
            <w:r>
              <w:rPr>
                <w:rFonts w:ascii="Arial" w:eastAsia="宋体" w:hAnsi="Arial" w:cs="Arial"/>
                <w:color w:val="333333"/>
                <w:sz w:val="18"/>
                <w:szCs w:val="18"/>
              </w:rPr>
              <w:t>6,647 </w:t>
            </w:r>
          </w:p>
        </w:tc>
        <w:tc>
          <w:tcPr>
            <w:tcW w:w="0" w:type="auto"/>
            <w:shd w:val="clear" w:color="auto" w:fill="auto"/>
            <w:tcMar>
              <w:top w:w="40" w:type="dxa"/>
              <w:bottom w:w="40" w:type="dxa"/>
              <w:right w:w="20" w:type="dxa"/>
            </w:tcMar>
            <w:vAlign w:val="bottom"/>
          </w:tcPr>
          <w:p w14:paraId="36CA1D42" w14:textId="77777777" w:rsidR="00787570" w:rsidRDefault="00787570">
            <w:pPr>
              <w:jc w:val="right"/>
              <w:rPr>
                <w:rFonts w:ascii="宋体"/>
              </w:rPr>
            </w:pPr>
          </w:p>
        </w:tc>
        <w:tc>
          <w:tcPr>
            <w:tcW w:w="0" w:type="auto"/>
            <w:shd w:val="clear" w:color="auto" w:fill="auto"/>
          </w:tcPr>
          <w:p w14:paraId="36CA1D43" w14:textId="77777777" w:rsidR="00787570" w:rsidRDefault="00787570">
            <w:pPr>
              <w:rPr>
                <w:rFonts w:ascii="宋体"/>
              </w:rPr>
            </w:pPr>
          </w:p>
        </w:tc>
        <w:tc>
          <w:tcPr>
            <w:tcW w:w="0" w:type="auto"/>
            <w:shd w:val="clear" w:color="auto" w:fill="auto"/>
          </w:tcPr>
          <w:p w14:paraId="36CA1D44" w14:textId="77777777" w:rsidR="00787570" w:rsidRDefault="00787570">
            <w:pPr>
              <w:rPr>
                <w:rFonts w:ascii="宋体"/>
              </w:rPr>
            </w:pPr>
          </w:p>
        </w:tc>
        <w:tc>
          <w:tcPr>
            <w:tcW w:w="0" w:type="auto"/>
            <w:shd w:val="clear" w:color="auto" w:fill="auto"/>
          </w:tcPr>
          <w:p w14:paraId="36CA1D45" w14:textId="77777777" w:rsidR="00787570" w:rsidRDefault="00787570">
            <w:pPr>
              <w:rPr>
                <w:rFonts w:ascii="宋体"/>
              </w:rPr>
            </w:pPr>
          </w:p>
        </w:tc>
        <w:tc>
          <w:tcPr>
            <w:tcW w:w="0" w:type="auto"/>
            <w:shd w:val="clear" w:color="auto" w:fill="auto"/>
          </w:tcPr>
          <w:p w14:paraId="36CA1D46" w14:textId="77777777" w:rsidR="00787570" w:rsidRDefault="00787570">
            <w:pPr>
              <w:rPr>
                <w:rFonts w:ascii="宋体"/>
              </w:rPr>
            </w:pPr>
          </w:p>
        </w:tc>
        <w:tc>
          <w:tcPr>
            <w:tcW w:w="0" w:type="auto"/>
            <w:shd w:val="clear" w:color="auto" w:fill="auto"/>
          </w:tcPr>
          <w:p w14:paraId="36CA1D47" w14:textId="77777777" w:rsidR="00787570" w:rsidRDefault="00787570">
            <w:pPr>
              <w:rPr>
                <w:rFonts w:ascii="宋体"/>
              </w:rPr>
            </w:pPr>
          </w:p>
        </w:tc>
        <w:tc>
          <w:tcPr>
            <w:tcW w:w="0" w:type="auto"/>
            <w:shd w:val="clear" w:color="auto" w:fill="auto"/>
          </w:tcPr>
          <w:p w14:paraId="36CA1D48" w14:textId="77777777" w:rsidR="00787570" w:rsidRDefault="00787570">
            <w:pPr>
              <w:rPr>
                <w:rFonts w:ascii="宋体"/>
              </w:rPr>
            </w:pPr>
          </w:p>
        </w:tc>
      </w:tr>
      <w:tr w:rsidR="00787570" w14:paraId="36CA1D57" w14:textId="77777777">
        <w:trPr>
          <w:jc w:val="center"/>
        </w:trPr>
        <w:tc>
          <w:tcPr>
            <w:tcW w:w="0" w:type="auto"/>
            <w:gridSpan w:val="3"/>
            <w:shd w:val="clear" w:color="auto" w:fill="auto"/>
            <w:tcMar>
              <w:top w:w="40" w:type="dxa"/>
              <w:left w:w="180" w:type="dxa"/>
              <w:bottom w:w="40" w:type="dxa"/>
              <w:right w:w="20" w:type="dxa"/>
            </w:tcMar>
          </w:tcPr>
          <w:p w14:paraId="36CA1D4A" w14:textId="77777777" w:rsidR="00787570" w:rsidRDefault="000D56E2">
            <w:pPr>
              <w:textAlignment w:val="top"/>
            </w:pPr>
            <w:r>
              <w:rPr>
                <w:rFonts w:ascii="Arial" w:eastAsia="宋体" w:hAnsi="Arial" w:cs="Arial"/>
                <w:color w:val="333333"/>
                <w:sz w:val="18"/>
                <w:szCs w:val="18"/>
              </w:rPr>
              <w:t>Share-based compensation</w:t>
            </w:r>
          </w:p>
        </w:tc>
        <w:tc>
          <w:tcPr>
            <w:tcW w:w="0" w:type="auto"/>
            <w:gridSpan w:val="3"/>
            <w:shd w:val="clear" w:color="auto" w:fill="auto"/>
            <w:tcMar>
              <w:left w:w="20" w:type="dxa"/>
              <w:right w:w="20" w:type="dxa"/>
            </w:tcMar>
            <w:vAlign w:val="bottom"/>
          </w:tcPr>
          <w:p w14:paraId="36CA1D4B"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1D4C" w14:textId="77777777" w:rsidR="00787570" w:rsidRDefault="000D56E2">
            <w:pPr>
              <w:jc w:val="right"/>
              <w:textAlignment w:val="bottom"/>
            </w:pPr>
            <w:r>
              <w:rPr>
                <w:rFonts w:ascii="Arial" w:eastAsia="宋体" w:hAnsi="Arial" w:cs="Arial"/>
                <w:color w:val="0071C5"/>
                <w:sz w:val="18"/>
                <w:szCs w:val="18"/>
              </w:rPr>
              <w:t>1,393 </w:t>
            </w:r>
          </w:p>
        </w:tc>
        <w:tc>
          <w:tcPr>
            <w:tcW w:w="0" w:type="auto"/>
            <w:shd w:val="clear" w:color="auto" w:fill="auto"/>
            <w:tcMar>
              <w:top w:w="40" w:type="dxa"/>
              <w:bottom w:w="40" w:type="dxa"/>
              <w:right w:w="20" w:type="dxa"/>
            </w:tcMar>
            <w:vAlign w:val="bottom"/>
          </w:tcPr>
          <w:p w14:paraId="36CA1D4D"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1D4E"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1D4F" w14:textId="77777777" w:rsidR="00787570" w:rsidRDefault="000D56E2">
            <w:pPr>
              <w:jc w:val="right"/>
              <w:textAlignment w:val="bottom"/>
            </w:pPr>
            <w:r>
              <w:rPr>
                <w:rFonts w:ascii="Arial" w:eastAsia="宋体" w:hAnsi="Arial" w:cs="Arial"/>
                <w:color w:val="333333"/>
                <w:sz w:val="18"/>
                <w:szCs w:val="18"/>
              </w:rPr>
              <w:t>1,290 </w:t>
            </w:r>
          </w:p>
        </w:tc>
        <w:tc>
          <w:tcPr>
            <w:tcW w:w="0" w:type="auto"/>
            <w:shd w:val="clear" w:color="auto" w:fill="auto"/>
            <w:tcMar>
              <w:top w:w="40" w:type="dxa"/>
              <w:bottom w:w="40" w:type="dxa"/>
              <w:right w:w="20" w:type="dxa"/>
            </w:tcMar>
            <w:vAlign w:val="bottom"/>
          </w:tcPr>
          <w:p w14:paraId="36CA1D50" w14:textId="77777777" w:rsidR="00787570" w:rsidRDefault="00787570">
            <w:pPr>
              <w:jc w:val="right"/>
              <w:rPr>
                <w:rFonts w:ascii="宋体"/>
              </w:rPr>
            </w:pPr>
          </w:p>
        </w:tc>
        <w:tc>
          <w:tcPr>
            <w:tcW w:w="0" w:type="auto"/>
            <w:shd w:val="clear" w:color="auto" w:fill="auto"/>
          </w:tcPr>
          <w:p w14:paraId="36CA1D51" w14:textId="77777777" w:rsidR="00787570" w:rsidRDefault="00787570">
            <w:pPr>
              <w:rPr>
                <w:rFonts w:ascii="宋体"/>
              </w:rPr>
            </w:pPr>
          </w:p>
        </w:tc>
        <w:tc>
          <w:tcPr>
            <w:tcW w:w="0" w:type="auto"/>
            <w:shd w:val="clear" w:color="auto" w:fill="auto"/>
          </w:tcPr>
          <w:p w14:paraId="36CA1D52" w14:textId="77777777" w:rsidR="00787570" w:rsidRDefault="00787570">
            <w:pPr>
              <w:rPr>
                <w:rFonts w:ascii="宋体"/>
              </w:rPr>
            </w:pPr>
          </w:p>
        </w:tc>
        <w:tc>
          <w:tcPr>
            <w:tcW w:w="0" w:type="auto"/>
            <w:shd w:val="clear" w:color="auto" w:fill="auto"/>
          </w:tcPr>
          <w:p w14:paraId="36CA1D53" w14:textId="77777777" w:rsidR="00787570" w:rsidRDefault="00787570">
            <w:pPr>
              <w:rPr>
                <w:rFonts w:ascii="宋体"/>
              </w:rPr>
            </w:pPr>
          </w:p>
        </w:tc>
        <w:tc>
          <w:tcPr>
            <w:tcW w:w="0" w:type="auto"/>
            <w:shd w:val="clear" w:color="auto" w:fill="auto"/>
          </w:tcPr>
          <w:p w14:paraId="36CA1D54" w14:textId="77777777" w:rsidR="00787570" w:rsidRDefault="00787570">
            <w:pPr>
              <w:rPr>
                <w:rFonts w:ascii="宋体"/>
              </w:rPr>
            </w:pPr>
          </w:p>
        </w:tc>
        <w:tc>
          <w:tcPr>
            <w:tcW w:w="0" w:type="auto"/>
            <w:shd w:val="clear" w:color="auto" w:fill="auto"/>
          </w:tcPr>
          <w:p w14:paraId="36CA1D55" w14:textId="77777777" w:rsidR="00787570" w:rsidRDefault="00787570">
            <w:pPr>
              <w:rPr>
                <w:rFonts w:ascii="宋体"/>
              </w:rPr>
            </w:pPr>
          </w:p>
        </w:tc>
        <w:tc>
          <w:tcPr>
            <w:tcW w:w="0" w:type="auto"/>
            <w:shd w:val="clear" w:color="auto" w:fill="auto"/>
          </w:tcPr>
          <w:p w14:paraId="36CA1D56" w14:textId="77777777" w:rsidR="00787570" w:rsidRDefault="00787570">
            <w:pPr>
              <w:rPr>
                <w:rFonts w:ascii="宋体"/>
              </w:rPr>
            </w:pPr>
          </w:p>
        </w:tc>
      </w:tr>
      <w:tr w:rsidR="00787570" w14:paraId="36CA1D63" w14:textId="77777777">
        <w:trPr>
          <w:jc w:val="center"/>
          <w:hidden/>
        </w:trPr>
        <w:tc>
          <w:tcPr>
            <w:tcW w:w="0" w:type="auto"/>
            <w:gridSpan w:val="3"/>
            <w:shd w:val="clear" w:color="auto" w:fill="auto"/>
          </w:tcPr>
          <w:p w14:paraId="36CA1D58" w14:textId="77777777" w:rsidR="00787570" w:rsidRDefault="00787570">
            <w:pPr>
              <w:rPr>
                <w:rFonts w:ascii="宋体"/>
                <w:vanish/>
              </w:rPr>
            </w:pPr>
          </w:p>
        </w:tc>
        <w:tc>
          <w:tcPr>
            <w:tcW w:w="0" w:type="auto"/>
            <w:gridSpan w:val="3"/>
            <w:shd w:val="clear" w:color="auto" w:fill="auto"/>
          </w:tcPr>
          <w:p w14:paraId="36CA1D59" w14:textId="77777777" w:rsidR="00787570" w:rsidRDefault="00787570">
            <w:pPr>
              <w:rPr>
                <w:rFonts w:ascii="宋体"/>
                <w:vanish/>
              </w:rPr>
            </w:pPr>
          </w:p>
        </w:tc>
        <w:tc>
          <w:tcPr>
            <w:tcW w:w="0" w:type="auto"/>
            <w:gridSpan w:val="3"/>
            <w:shd w:val="clear" w:color="auto" w:fill="auto"/>
          </w:tcPr>
          <w:p w14:paraId="36CA1D5A" w14:textId="77777777" w:rsidR="00787570" w:rsidRDefault="00787570">
            <w:pPr>
              <w:rPr>
                <w:rFonts w:ascii="宋体"/>
                <w:vanish/>
              </w:rPr>
            </w:pPr>
          </w:p>
        </w:tc>
        <w:tc>
          <w:tcPr>
            <w:tcW w:w="0" w:type="auto"/>
            <w:gridSpan w:val="3"/>
            <w:shd w:val="clear" w:color="auto" w:fill="auto"/>
          </w:tcPr>
          <w:p w14:paraId="36CA1D5B" w14:textId="77777777" w:rsidR="00787570" w:rsidRDefault="00787570">
            <w:pPr>
              <w:rPr>
                <w:rFonts w:ascii="宋体"/>
                <w:vanish/>
              </w:rPr>
            </w:pPr>
          </w:p>
        </w:tc>
        <w:tc>
          <w:tcPr>
            <w:tcW w:w="0" w:type="auto"/>
            <w:gridSpan w:val="3"/>
            <w:shd w:val="clear" w:color="auto" w:fill="auto"/>
          </w:tcPr>
          <w:p w14:paraId="36CA1D5C" w14:textId="77777777" w:rsidR="00787570" w:rsidRDefault="00787570">
            <w:pPr>
              <w:rPr>
                <w:rFonts w:ascii="宋体"/>
                <w:vanish/>
              </w:rPr>
            </w:pPr>
          </w:p>
        </w:tc>
        <w:tc>
          <w:tcPr>
            <w:tcW w:w="0" w:type="auto"/>
            <w:shd w:val="clear" w:color="auto" w:fill="auto"/>
          </w:tcPr>
          <w:p w14:paraId="36CA1D5D" w14:textId="77777777" w:rsidR="00787570" w:rsidRDefault="00787570">
            <w:pPr>
              <w:rPr>
                <w:rFonts w:ascii="宋体"/>
              </w:rPr>
            </w:pPr>
          </w:p>
        </w:tc>
        <w:tc>
          <w:tcPr>
            <w:tcW w:w="0" w:type="auto"/>
            <w:shd w:val="clear" w:color="auto" w:fill="auto"/>
          </w:tcPr>
          <w:p w14:paraId="36CA1D5E" w14:textId="77777777" w:rsidR="00787570" w:rsidRDefault="00787570">
            <w:pPr>
              <w:rPr>
                <w:rFonts w:ascii="宋体"/>
              </w:rPr>
            </w:pPr>
          </w:p>
        </w:tc>
        <w:tc>
          <w:tcPr>
            <w:tcW w:w="0" w:type="auto"/>
            <w:shd w:val="clear" w:color="auto" w:fill="auto"/>
          </w:tcPr>
          <w:p w14:paraId="36CA1D5F" w14:textId="77777777" w:rsidR="00787570" w:rsidRDefault="00787570">
            <w:pPr>
              <w:rPr>
                <w:rFonts w:ascii="宋体"/>
              </w:rPr>
            </w:pPr>
          </w:p>
        </w:tc>
        <w:tc>
          <w:tcPr>
            <w:tcW w:w="0" w:type="auto"/>
            <w:shd w:val="clear" w:color="auto" w:fill="auto"/>
          </w:tcPr>
          <w:p w14:paraId="36CA1D60" w14:textId="77777777" w:rsidR="00787570" w:rsidRDefault="00787570">
            <w:pPr>
              <w:rPr>
                <w:rFonts w:ascii="宋体"/>
              </w:rPr>
            </w:pPr>
          </w:p>
        </w:tc>
        <w:tc>
          <w:tcPr>
            <w:tcW w:w="0" w:type="auto"/>
            <w:shd w:val="clear" w:color="auto" w:fill="auto"/>
          </w:tcPr>
          <w:p w14:paraId="36CA1D61" w14:textId="77777777" w:rsidR="00787570" w:rsidRDefault="00787570">
            <w:pPr>
              <w:rPr>
                <w:rFonts w:ascii="宋体"/>
              </w:rPr>
            </w:pPr>
          </w:p>
        </w:tc>
        <w:tc>
          <w:tcPr>
            <w:tcW w:w="0" w:type="auto"/>
            <w:shd w:val="clear" w:color="auto" w:fill="auto"/>
          </w:tcPr>
          <w:p w14:paraId="36CA1D62" w14:textId="77777777" w:rsidR="00787570" w:rsidRDefault="00787570">
            <w:pPr>
              <w:rPr>
                <w:rFonts w:ascii="宋体"/>
              </w:rPr>
            </w:pPr>
          </w:p>
        </w:tc>
      </w:tr>
      <w:tr w:rsidR="00787570" w14:paraId="36CA1D6F" w14:textId="77777777">
        <w:trPr>
          <w:jc w:val="center"/>
          <w:hidden/>
        </w:trPr>
        <w:tc>
          <w:tcPr>
            <w:tcW w:w="0" w:type="auto"/>
            <w:gridSpan w:val="3"/>
            <w:shd w:val="clear" w:color="auto" w:fill="auto"/>
          </w:tcPr>
          <w:p w14:paraId="36CA1D64" w14:textId="77777777" w:rsidR="00787570" w:rsidRDefault="00787570">
            <w:pPr>
              <w:rPr>
                <w:rFonts w:ascii="宋体"/>
                <w:vanish/>
              </w:rPr>
            </w:pPr>
          </w:p>
        </w:tc>
        <w:tc>
          <w:tcPr>
            <w:tcW w:w="0" w:type="auto"/>
            <w:gridSpan w:val="3"/>
            <w:shd w:val="clear" w:color="auto" w:fill="auto"/>
          </w:tcPr>
          <w:p w14:paraId="36CA1D65" w14:textId="77777777" w:rsidR="00787570" w:rsidRDefault="00787570">
            <w:pPr>
              <w:rPr>
                <w:rFonts w:ascii="宋体"/>
                <w:vanish/>
              </w:rPr>
            </w:pPr>
          </w:p>
        </w:tc>
        <w:tc>
          <w:tcPr>
            <w:tcW w:w="0" w:type="auto"/>
            <w:gridSpan w:val="3"/>
            <w:shd w:val="clear" w:color="auto" w:fill="auto"/>
          </w:tcPr>
          <w:p w14:paraId="36CA1D66" w14:textId="77777777" w:rsidR="00787570" w:rsidRDefault="00787570">
            <w:pPr>
              <w:rPr>
                <w:rFonts w:ascii="宋体"/>
                <w:vanish/>
              </w:rPr>
            </w:pPr>
          </w:p>
        </w:tc>
        <w:tc>
          <w:tcPr>
            <w:tcW w:w="0" w:type="auto"/>
            <w:gridSpan w:val="3"/>
            <w:shd w:val="clear" w:color="auto" w:fill="auto"/>
          </w:tcPr>
          <w:p w14:paraId="36CA1D67" w14:textId="77777777" w:rsidR="00787570" w:rsidRDefault="00787570">
            <w:pPr>
              <w:rPr>
                <w:rFonts w:ascii="宋体"/>
                <w:vanish/>
              </w:rPr>
            </w:pPr>
          </w:p>
        </w:tc>
        <w:tc>
          <w:tcPr>
            <w:tcW w:w="0" w:type="auto"/>
            <w:gridSpan w:val="3"/>
            <w:shd w:val="clear" w:color="auto" w:fill="auto"/>
          </w:tcPr>
          <w:p w14:paraId="36CA1D68" w14:textId="77777777" w:rsidR="00787570" w:rsidRDefault="00787570">
            <w:pPr>
              <w:rPr>
                <w:rFonts w:ascii="宋体"/>
                <w:vanish/>
              </w:rPr>
            </w:pPr>
          </w:p>
        </w:tc>
        <w:tc>
          <w:tcPr>
            <w:tcW w:w="0" w:type="auto"/>
            <w:shd w:val="clear" w:color="auto" w:fill="auto"/>
          </w:tcPr>
          <w:p w14:paraId="36CA1D69" w14:textId="77777777" w:rsidR="00787570" w:rsidRDefault="00787570">
            <w:pPr>
              <w:rPr>
                <w:rFonts w:ascii="宋体"/>
              </w:rPr>
            </w:pPr>
          </w:p>
        </w:tc>
        <w:tc>
          <w:tcPr>
            <w:tcW w:w="0" w:type="auto"/>
            <w:shd w:val="clear" w:color="auto" w:fill="auto"/>
          </w:tcPr>
          <w:p w14:paraId="36CA1D6A" w14:textId="77777777" w:rsidR="00787570" w:rsidRDefault="00787570">
            <w:pPr>
              <w:rPr>
                <w:rFonts w:ascii="宋体"/>
              </w:rPr>
            </w:pPr>
          </w:p>
        </w:tc>
        <w:tc>
          <w:tcPr>
            <w:tcW w:w="0" w:type="auto"/>
            <w:shd w:val="clear" w:color="auto" w:fill="auto"/>
          </w:tcPr>
          <w:p w14:paraId="36CA1D6B" w14:textId="77777777" w:rsidR="00787570" w:rsidRDefault="00787570">
            <w:pPr>
              <w:rPr>
                <w:rFonts w:ascii="宋体"/>
              </w:rPr>
            </w:pPr>
          </w:p>
        </w:tc>
        <w:tc>
          <w:tcPr>
            <w:tcW w:w="0" w:type="auto"/>
            <w:shd w:val="clear" w:color="auto" w:fill="auto"/>
          </w:tcPr>
          <w:p w14:paraId="36CA1D6C" w14:textId="77777777" w:rsidR="00787570" w:rsidRDefault="00787570">
            <w:pPr>
              <w:rPr>
                <w:rFonts w:ascii="宋体"/>
              </w:rPr>
            </w:pPr>
          </w:p>
        </w:tc>
        <w:tc>
          <w:tcPr>
            <w:tcW w:w="0" w:type="auto"/>
            <w:shd w:val="clear" w:color="auto" w:fill="auto"/>
          </w:tcPr>
          <w:p w14:paraId="36CA1D6D" w14:textId="77777777" w:rsidR="00787570" w:rsidRDefault="00787570">
            <w:pPr>
              <w:rPr>
                <w:rFonts w:ascii="宋体"/>
              </w:rPr>
            </w:pPr>
          </w:p>
        </w:tc>
        <w:tc>
          <w:tcPr>
            <w:tcW w:w="0" w:type="auto"/>
            <w:shd w:val="clear" w:color="auto" w:fill="auto"/>
          </w:tcPr>
          <w:p w14:paraId="36CA1D6E" w14:textId="77777777" w:rsidR="00787570" w:rsidRDefault="00787570">
            <w:pPr>
              <w:rPr>
                <w:rFonts w:ascii="宋体"/>
              </w:rPr>
            </w:pPr>
          </w:p>
        </w:tc>
      </w:tr>
      <w:tr w:rsidR="00787570" w14:paraId="36CA1D7D" w14:textId="77777777">
        <w:trPr>
          <w:jc w:val="center"/>
        </w:trPr>
        <w:tc>
          <w:tcPr>
            <w:tcW w:w="0" w:type="auto"/>
            <w:gridSpan w:val="3"/>
            <w:shd w:val="clear" w:color="auto" w:fill="auto"/>
            <w:tcMar>
              <w:top w:w="40" w:type="dxa"/>
              <w:left w:w="180" w:type="dxa"/>
              <w:bottom w:w="40" w:type="dxa"/>
              <w:right w:w="20" w:type="dxa"/>
            </w:tcMar>
          </w:tcPr>
          <w:p w14:paraId="36CA1D70" w14:textId="77777777" w:rsidR="00787570" w:rsidRDefault="000D56E2">
            <w:pPr>
              <w:textAlignment w:val="top"/>
            </w:pPr>
            <w:r>
              <w:rPr>
                <w:rFonts w:ascii="Arial" w:eastAsia="宋体" w:hAnsi="Arial" w:cs="Arial"/>
                <w:color w:val="333333"/>
                <w:sz w:val="18"/>
                <w:szCs w:val="18"/>
              </w:rPr>
              <w:t xml:space="preserve">Amortization of </w:t>
            </w:r>
            <w:r>
              <w:rPr>
                <w:rFonts w:ascii="Arial" w:eastAsia="宋体" w:hAnsi="Arial" w:cs="Arial"/>
                <w:color w:val="333333"/>
                <w:sz w:val="18"/>
                <w:szCs w:val="18"/>
              </w:rPr>
              <w:t>intangibles</w:t>
            </w:r>
          </w:p>
        </w:tc>
        <w:tc>
          <w:tcPr>
            <w:tcW w:w="0" w:type="auto"/>
            <w:gridSpan w:val="3"/>
            <w:shd w:val="clear" w:color="auto" w:fill="auto"/>
            <w:tcMar>
              <w:left w:w="20" w:type="dxa"/>
              <w:right w:w="20" w:type="dxa"/>
            </w:tcMar>
            <w:vAlign w:val="bottom"/>
          </w:tcPr>
          <w:p w14:paraId="36CA1D71"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1D72" w14:textId="77777777" w:rsidR="00787570" w:rsidRDefault="000D56E2">
            <w:pPr>
              <w:jc w:val="right"/>
              <w:textAlignment w:val="bottom"/>
            </w:pPr>
            <w:r>
              <w:rPr>
                <w:rFonts w:ascii="Arial" w:eastAsia="宋体" w:hAnsi="Arial" w:cs="Arial"/>
                <w:color w:val="0071C5"/>
                <w:sz w:val="18"/>
                <w:szCs w:val="18"/>
              </w:rPr>
              <w:t>1,311 </w:t>
            </w:r>
          </w:p>
        </w:tc>
        <w:tc>
          <w:tcPr>
            <w:tcW w:w="0" w:type="auto"/>
            <w:shd w:val="clear" w:color="auto" w:fill="auto"/>
            <w:tcMar>
              <w:top w:w="40" w:type="dxa"/>
              <w:bottom w:w="40" w:type="dxa"/>
              <w:right w:w="20" w:type="dxa"/>
            </w:tcMar>
            <w:vAlign w:val="bottom"/>
          </w:tcPr>
          <w:p w14:paraId="36CA1D73"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1D74"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1D75" w14:textId="77777777" w:rsidR="00787570" w:rsidRDefault="000D56E2">
            <w:pPr>
              <w:jc w:val="right"/>
              <w:textAlignment w:val="bottom"/>
            </w:pPr>
            <w:r>
              <w:rPr>
                <w:rFonts w:ascii="Arial" w:eastAsia="宋体" w:hAnsi="Arial" w:cs="Arial"/>
                <w:color w:val="333333"/>
                <w:sz w:val="18"/>
                <w:szCs w:val="18"/>
              </w:rPr>
              <w:t>1,211 </w:t>
            </w:r>
          </w:p>
        </w:tc>
        <w:tc>
          <w:tcPr>
            <w:tcW w:w="0" w:type="auto"/>
            <w:shd w:val="clear" w:color="auto" w:fill="auto"/>
            <w:tcMar>
              <w:top w:w="40" w:type="dxa"/>
              <w:bottom w:w="40" w:type="dxa"/>
              <w:right w:w="20" w:type="dxa"/>
            </w:tcMar>
            <w:vAlign w:val="bottom"/>
          </w:tcPr>
          <w:p w14:paraId="36CA1D76" w14:textId="77777777" w:rsidR="00787570" w:rsidRDefault="00787570">
            <w:pPr>
              <w:jc w:val="right"/>
              <w:rPr>
                <w:rFonts w:ascii="宋体"/>
              </w:rPr>
            </w:pPr>
          </w:p>
        </w:tc>
        <w:tc>
          <w:tcPr>
            <w:tcW w:w="0" w:type="auto"/>
            <w:shd w:val="clear" w:color="auto" w:fill="auto"/>
          </w:tcPr>
          <w:p w14:paraId="36CA1D77" w14:textId="77777777" w:rsidR="00787570" w:rsidRDefault="00787570">
            <w:pPr>
              <w:rPr>
                <w:rFonts w:ascii="宋体"/>
              </w:rPr>
            </w:pPr>
          </w:p>
        </w:tc>
        <w:tc>
          <w:tcPr>
            <w:tcW w:w="0" w:type="auto"/>
            <w:shd w:val="clear" w:color="auto" w:fill="auto"/>
          </w:tcPr>
          <w:p w14:paraId="36CA1D78" w14:textId="77777777" w:rsidR="00787570" w:rsidRDefault="00787570">
            <w:pPr>
              <w:rPr>
                <w:rFonts w:ascii="宋体"/>
              </w:rPr>
            </w:pPr>
          </w:p>
        </w:tc>
        <w:tc>
          <w:tcPr>
            <w:tcW w:w="0" w:type="auto"/>
            <w:shd w:val="clear" w:color="auto" w:fill="auto"/>
          </w:tcPr>
          <w:p w14:paraId="36CA1D79" w14:textId="77777777" w:rsidR="00787570" w:rsidRDefault="00787570">
            <w:pPr>
              <w:rPr>
                <w:rFonts w:ascii="宋体"/>
              </w:rPr>
            </w:pPr>
          </w:p>
        </w:tc>
        <w:tc>
          <w:tcPr>
            <w:tcW w:w="0" w:type="auto"/>
            <w:shd w:val="clear" w:color="auto" w:fill="auto"/>
          </w:tcPr>
          <w:p w14:paraId="36CA1D7A" w14:textId="77777777" w:rsidR="00787570" w:rsidRDefault="00787570">
            <w:pPr>
              <w:rPr>
                <w:rFonts w:ascii="宋体"/>
              </w:rPr>
            </w:pPr>
          </w:p>
        </w:tc>
        <w:tc>
          <w:tcPr>
            <w:tcW w:w="0" w:type="auto"/>
            <w:shd w:val="clear" w:color="auto" w:fill="auto"/>
          </w:tcPr>
          <w:p w14:paraId="36CA1D7B" w14:textId="77777777" w:rsidR="00787570" w:rsidRDefault="00787570">
            <w:pPr>
              <w:rPr>
                <w:rFonts w:ascii="宋体"/>
              </w:rPr>
            </w:pPr>
          </w:p>
        </w:tc>
        <w:tc>
          <w:tcPr>
            <w:tcW w:w="0" w:type="auto"/>
            <w:shd w:val="clear" w:color="auto" w:fill="auto"/>
          </w:tcPr>
          <w:p w14:paraId="36CA1D7C" w14:textId="77777777" w:rsidR="00787570" w:rsidRDefault="00787570">
            <w:pPr>
              <w:rPr>
                <w:rFonts w:ascii="宋体"/>
              </w:rPr>
            </w:pPr>
          </w:p>
        </w:tc>
      </w:tr>
      <w:tr w:rsidR="00787570" w14:paraId="36CA1D8B" w14:textId="77777777">
        <w:trPr>
          <w:jc w:val="center"/>
        </w:trPr>
        <w:tc>
          <w:tcPr>
            <w:tcW w:w="0" w:type="auto"/>
            <w:gridSpan w:val="3"/>
            <w:shd w:val="clear" w:color="auto" w:fill="auto"/>
            <w:tcMar>
              <w:top w:w="40" w:type="dxa"/>
              <w:left w:w="180" w:type="dxa"/>
              <w:bottom w:w="40" w:type="dxa"/>
              <w:right w:w="20" w:type="dxa"/>
            </w:tcMar>
          </w:tcPr>
          <w:p w14:paraId="36CA1D7E" w14:textId="77777777" w:rsidR="00787570" w:rsidRDefault="000D56E2">
            <w:pPr>
              <w:textAlignment w:val="top"/>
            </w:pPr>
            <w:r>
              <w:rPr>
                <w:rFonts w:ascii="Arial" w:eastAsia="宋体" w:hAnsi="Arial" w:cs="Arial"/>
                <w:color w:val="333333"/>
                <w:sz w:val="18"/>
                <w:szCs w:val="18"/>
              </w:rPr>
              <w:t>(Gains) losses on equity investments, net</w:t>
            </w:r>
          </w:p>
        </w:tc>
        <w:tc>
          <w:tcPr>
            <w:tcW w:w="0" w:type="auto"/>
            <w:gridSpan w:val="3"/>
            <w:shd w:val="clear" w:color="auto" w:fill="auto"/>
            <w:tcMar>
              <w:left w:w="20" w:type="dxa"/>
              <w:right w:w="20" w:type="dxa"/>
            </w:tcMar>
            <w:vAlign w:val="bottom"/>
          </w:tcPr>
          <w:p w14:paraId="36CA1D7F"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1D80" w14:textId="77777777" w:rsidR="00787570" w:rsidRDefault="000D56E2">
            <w:pPr>
              <w:jc w:val="right"/>
              <w:textAlignment w:val="bottom"/>
            </w:pPr>
            <w:r>
              <w:rPr>
                <w:rFonts w:ascii="Arial" w:eastAsia="宋体" w:hAnsi="Arial" w:cs="Arial"/>
                <w:color w:val="0071C5"/>
                <w:sz w:val="18"/>
                <w:szCs w:val="18"/>
              </w:rPr>
              <w:t>(105)</w:t>
            </w:r>
          </w:p>
        </w:tc>
        <w:tc>
          <w:tcPr>
            <w:tcW w:w="0" w:type="auto"/>
            <w:shd w:val="clear" w:color="auto" w:fill="auto"/>
            <w:tcMar>
              <w:top w:w="40" w:type="dxa"/>
              <w:bottom w:w="40" w:type="dxa"/>
              <w:right w:w="20" w:type="dxa"/>
            </w:tcMar>
            <w:vAlign w:val="bottom"/>
          </w:tcPr>
          <w:p w14:paraId="36CA1D81"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1D82"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1D83" w14:textId="77777777" w:rsidR="00787570" w:rsidRDefault="000D56E2">
            <w:pPr>
              <w:jc w:val="right"/>
              <w:textAlignment w:val="bottom"/>
            </w:pPr>
            <w:r>
              <w:rPr>
                <w:rFonts w:ascii="Arial" w:eastAsia="宋体" w:hAnsi="Arial" w:cs="Arial"/>
                <w:color w:val="333333"/>
                <w:sz w:val="18"/>
                <w:szCs w:val="18"/>
              </w:rPr>
              <w:t>(395)</w:t>
            </w:r>
          </w:p>
        </w:tc>
        <w:tc>
          <w:tcPr>
            <w:tcW w:w="0" w:type="auto"/>
            <w:shd w:val="clear" w:color="auto" w:fill="auto"/>
            <w:tcMar>
              <w:top w:w="40" w:type="dxa"/>
              <w:bottom w:w="40" w:type="dxa"/>
              <w:right w:w="20" w:type="dxa"/>
            </w:tcMar>
            <w:vAlign w:val="bottom"/>
          </w:tcPr>
          <w:p w14:paraId="36CA1D84" w14:textId="77777777" w:rsidR="00787570" w:rsidRDefault="00787570">
            <w:pPr>
              <w:jc w:val="right"/>
              <w:rPr>
                <w:rFonts w:ascii="宋体"/>
              </w:rPr>
            </w:pPr>
          </w:p>
        </w:tc>
        <w:tc>
          <w:tcPr>
            <w:tcW w:w="0" w:type="auto"/>
            <w:shd w:val="clear" w:color="auto" w:fill="auto"/>
          </w:tcPr>
          <w:p w14:paraId="36CA1D85" w14:textId="77777777" w:rsidR="00787570" w:rsidRDefault="00787570">
            <w:pPr>
              <w:rPr>
                <w:rFonts w:ascii="宋体"/>
              </w:rPr>
            </w:pPr>
          </w:p>
        </w:tc>
        <w:tc>
          <w:tcPr>
            <w:tcW w:w="0" w:type="auto"/>
            <w:shd w:val="clear" w:color="auto" w:fill="auto"/>
          </w:tcPr>
          <w:p w14:paraId="36CA1D86" w14:textId="77777777" w:rsidR="00787570" w:rsidRDefault="00787570">
            <w:pPr>
              <w:rPr>
                <w:rFonts w:ascii="宋体"/>
              </w:rPr>
            </w:pPr>
          </w:p>
        </w:tc>
        <w:tc>
          <w:tcPr>
            <w:tcW w:w="0" w:type="auto"/>
            <w:shd w:val="clear" w:color="auto" w:fill="auto"/>
          </w:tcPr>
          <w:p w14:paraId="36CA1D87" w14:textId="77777777" w:rsidR="00787570" w:rsidRDefault="00787570">
            <w:pPr>
              <w:rPr>
                <w:rFonts w:ascii="宋体"/>
              </w:rPr>
            </w:pPr>
          </w:p>
        </w:tc>
        <w:tc>
          <w:tcPr>
            <w:tcW w:w="0" w:type="auto"/>
            <w:shd w:val="clear" w:color="auto" w:fill="auto"/>
          </w:tcPr>
          <w:p w14:paraId="36CA1D88" w14:textId="77777777" w:rsidR="00787570" w:rsidRDefault="00787570">
            <w:pPr>
              <w:rPr>
                <w:rFonts w:ascii="宋体"/>
              </w:rPr>
            </w:pPr>
          </w:p>
        </w:tc>
        <w:tc>
          <w:tcPr>
            <w:tcW w:w="0" w:type="auto"/>
            <w:shd w:val="clear" w:color="auto" w:fill="auto"/>
          </w:tcPr>
          <w:p w14:paraId="36CA1D89" w14:textId="77777777" w:rsidR="00787570" w:rsidRDefault="00787570">
            <w:pPr>
              <w:rPr>
                <w:rFonts w:ascii="宋体"/>
              </w:rPr>
            </w:pPr>
          </w:p>
        </w:tc>
        <w:tc>
          <w:tcPr>
            <w:tcW w:w="0" w:type="auto"/>
            <w:shd w:val="clear" w:color="auto" w:fill="auto"/>
          </w:tcPr>
          <w:p w14:paraId="36CA1D8A" w14:textId="77777777" w:rsidR="00787570" w:rsidRDefault="00787570">
            <w:pPr>
              <w:rPr>
                <w:rFonts w:ascii="宋体"/>
              </w:rPr>
            </w:pPr>
          </w:p>
        </w:tc>
      </w:tr>
      <w:tr w:rsidR="00787570" w14:paraId="36CA1D97" w14:textId="77777777">
        <w:trPr>
          <w:jc w:val="center"/>
          <w:hidden/>
        </w:trPr>
        <w:tc>
          <w:tcPr>
            <w:tcW w:w="0" w:type="auto"/>
            <w:gridSpan w:val="3"/>
            <w:shd w:val="clear" w:color="auto" w:fill="auto"/>
          </w:tcPr>
          <w:p w14:paraId="36CA1D8C" w14:textId="77777777" w:rsidR="00787570" w:rsidRDefault="00787570">
            <w:pPr>
              <w:rPr>
                <w:rFonts w:ascii="宋体"/>
                <w:vanish/>
              </w:rPr>
            </w:pPr>
          </w:p>
        </w:tc>
        <w:tc>
          <w:tcPr>
            <w:tcW w:w="0" w:type="auto"/>
            <w:gridSpan w:val="3"/>
            <w:shd w:val="clear" w:color="auto" w:fill="auto"/>
          </w:tcPr>
          <w:p w14:paraId="36CA1D8D" w14:textId="77777777" w:rsidR="00787570" w:rsidRDefault="00787570">
            <w:pPr>
              <w:rPr>
                <w:rFonts w:ascii="宋体"/>
                <w:vanish/>
              </w:rPr>
            </w:pPr>
          </w:p>
        </w:tc>
        <w:tc>
          <w:tcPr>
            <w:tcW w:w="0" w:type="auto"/>
            <w:gridSpan w:val="3"/>
            <w:shd w:val="clear" w:color="auto" w:fill="auto"/>
          </w:tcPr>
          <w:p w14:paraId="36CA1D8E" w14:textId="77777777" w:rsidR="00787570" w:rsidRDefault="00787570">
            <w:pPr>
              <w:rPr>
                <w:rFonts w:ascii="宋体"/>
                <w:vanish/>
              </w:rPr>
            </w:pPr>
          </w:p>
        </w:tc>
        <w:tc>
          <w:tcPr>
            <w:tcW w:w="0" w:type="auto"/>
            <w:gridSpan w:val="3"/>
            <w:shd w:val="clear" w:color="auto" w:fill="auto"/>
          </w:tcPr>
          <w:p w14:paraId="36CA1D8F" w14:textId="77777777" w:rsidR="00787570" w:rsidRDefault="00787570">
            <w:pPr>
              <w:rPr>
                <w:rFonts w:ascii="宋体"/>
                <w:vanish/>
              </w:rPr>
            </w:pPr>
          </w:p>
        </w:tc>
        <w:tc>
          <w:tcPr>
            <w:tcW w:w="0" w:type="auto"/>
            <w:gridSpan w:val="3"/>
            <w:shd w:val="clear" w:color="auto" w:fill="auto"/>
          </w:tcPr>
          <w:p w14:paraId="36CA1D90" w14:textId="77777777" w:rsidR="00787570" w:rsidRDefault="00787570">
            <w:pPr>
              <w:rPr>
                <w:rFonts w:ascii="宋体"/>
                <w:vanish/>
              </w:rPr>
            </w:pPr>
          </w:p>
        </w:tc>
        <w:tc>
          <w:tcPr>
            <w:tcW w:w="0" w:type="auto"/>
            <w:shd w:val="clear" w:color="auto" w:fill="auto"/>
          </w:tcPr>
          <w:p w14:paraId="36CA1D91" w14:textId="77777777" w:rsidR="00787570" w:rsidRDefault="00787570">
            <w:pPr>
              <w:rPr>
                <w:rFonts w:ascii="宋体"/>
              </w:rPr>
            </w:pPr>
          </w:p>
        </w:tc>
        <w:tc>
          <w:tcPr>
            <w:tcW w:w="0" w:type="auto"/>
            <w:shd w:val="clear" w:color="auto" w:fill="auto"/>
          </w:tcPr>
          <w:p w14:paraId="36CA1D92" w14:textId="77777777" w:rsidR="00787570" w:rsidRDefault="00787570">
            <w:pPr>
              <w:rPr>
                <w:rFonts w:ascii="宋体"/>
              </w:rPr>
            </w:pPr>
          </w:p>
        </w:tc>
        <w:tc>
          <w:tcPr>
            <w:tcW w:w="0" w:type="auto"/>
            <w:shd w:val="clear" w:color="auto" w:fill="auto"/>
          </w:tcPr>
          <w:p w14:paraId="36CA1D93" w14:textId="77777777" w:rsidR="00787570" w:rsidRDefault="00787570">
            <w:pPr>
              <w:rPr>
                <w:rFonts w:ascii="宋体"/>
              </w:rPr>
            </w:pPr>
          </w:p>
        </w:tc>
        <w:tc>
          <w:tcPr>
            <w:tcW w:w="0" w:type="auto"/>
            <w:shd w:val="clear" w:color="auto" w:fill="auto"/>
          </w:tcPr>
          <w:p w14:paraId="36CA1D94" w14:textId="77777777" w:rsidR="00787570" w:rsidRDefault="00787570">
            <w:pPr>
              <w:rPr>
                <w:rFonts w:ascii="宋体"/>
              </w:rPr>
            </w:pPr>
          </w:p>
        </w:tc>
        <w:tc>
          <w:tcPr>
            <w:tcW w:w="0" w:type="auto"/>
            <w:shd w:val="clear" w:color="auto" w:fill="auto"/>
          </w:tcPr>
          <w:p w14:paraId="36CA1D95" w14:textId="77777777" w:rsidR="00787570" w:rsidRDefault="00787570">
            <w:pPr>
              <w:rPr>
                <w:rFonts w:ascii="宋体"/>
              </w:rPr>
            </w:pPr>
          </w:p>
        </w:tc>
        <w:tc>
          <w:tcPr>
            <w:tcW w:w="0" w:type="auto"/>
            <w:shd w:val="clear" w:color="auto" w:fill="auto"/>
          </w:tcPr>
          <w:p w14:paraId="36CA1D96" w14:textId="77777777" w:rsidR="00787570" w:rsidRDefault="00787570">
            <w:pPr>
              <w:rPr>
                <w:rFonts w:ascii="宋体"/>
              </w:rPr>
            </w:pPr>
          </w:p>
        </w:tc>
      </w:tr>
      <w:tr w:rsidR="00787570" w14:paraId="36CA1DA3" w14:textId="77777777">
        <w:trPr>
          <w:jc w:val="center"/>
          <w:hidden/>
        </w:trPr>
        <w:tc>
          <w:tcPr>
            <w:tcW w:w="0" w:type="auto"/>
            <w:gridSpan w:val="3"/>
            <w:shd w:val="clear" w:color="auto" w:fill="auto"/>
          </w:tcPr>
          <w:p w14:paraId="36CA1D98" w14:textId="77777777" w:rsidR="00787570" w:rsidRDefault="00787570">
            <w:pPr>
              <w:rPr>
                <w:rFonts w:ascii="宋体"/>
                <w:vanish/>
              </w:rPr>
            </w:pPr>
          </w:p>
        </w:tc>
        <w:tc>
          <w:tcPr>
            <w:tcW w:w="0" w:type="auto"/>
            <w:gridSpan w:val="3"/>
            <w:shd w:val="clear" w:color="auto" w:fill="auto"/>
          </w:tcPr>
          <w:p w14:paraId="36CA1D99" w14:textId="77777777" w:rsidR="00787570" w:rsidRDefault="00787570">
            <w:pPr>
              <w:rPr>
                <w:rFonts w:ascii="宋体"/>
                <w:vanish/>
              </w:rPr>
            </w:pPr>
          </w:p>
        </w:tc>
        <w:tc>
          <w:tcPr>
            <w:tcW w:w="0" w:type="auto"/>
            <w:gridSpan w:val="3"/>
            <w:shd w:val="clear" w:color="auto" w:fill="auto"/>
          </w:tcPr>
          <w:p w14:paraId="36CA1D9A" w14:textId="77777777" w:rsidR="00787570" w:rsidRDefault="00787570">
            <w:pPr>
              <w:rPr>
                <w:rFonts w:ascii="宋体"/>
                <w:vanish/>
              </w:rPr>
            </w:pPr>
          </w:p>
        </w:tc>
        <w:tc>
          <w:tcPr>
            <w:tcW w:w="0" w:type="auto"/>
            <w:gridSpan w:val="3"/>
            <w:shd w:val="clear" w:color="auto" w:fill="auto"/>
          </w:tcPr>
          <w:p w14:paraId="36CA1D9B" w14:textId="77777777" w:rsidR="00787570" w:rsidRDefault="00787570">
            <w:pPr>
              <w:rPr>
                <w:rFonts w:ascii="宋体"/>
                <w:vanish/>
              </w:rPr>
            </w:pPr>
          </w:p>
        </w:tc>
        <w:tc>
          <w:tcPr>
            <w:tcW w:w="0" w:type="auto"/>
            <w:gridSpan w:val="3"/>
            <w:shd w:val="clear" w:color="auto" w:fill="auto"/>
          </w:tcPr>
          <w:p w14:paraId="36CA1D9C" w14:textId="77777777" w:rsidR="00787570" w:rsidRDefault="00787570">
            <w:pPr>
              <w:rPr>
                <w:rFonts w:ascii="宋体"/>
                <w:vanish/>
              </w:rPr>
            </w:pPr>
          </w:p>
        </w:tc>
        <w:tc>
          <w:tcPr>
            <w:tcW w:w="0" w:type="auto"/>
            <w:shd w:val="clear" w:color="auto" w:fill="auto"/>
          </w:tcPr>
          <w:p w14:paraId="36CA1D9D" w14:textId="77777777" w:rsidR="00787570" w:rsidRDefault="00787570">
            <w:pPr>
              <w:rPr>
                <w:rFonts w:ascii="宋体"/>
              </w:rPr>
            </w:pPr>
          </w:p>
        </w:tc>
        <w:tc>
          <w:tcPr>
            <w:tcW w:w="0" w:type="auto"/>
            <w:shd w:val="clear" w:color="auto" w:fill="auto"/>
          </w:tcPr>
          <w:p w14:paraId="36CA1D9E" w14:textId="77777777" w:rsidR="00787570" w:rsidRDefault="00787570">
            <w:pPr>
              <w:rPr>
                <w:rFonts w:ascii="宋体"/>
              </w:rPr>
            </w:pPr>
          </w:p>
        </w:tc>
        <w:tc>
          <w:tcPr>
            <w:tcW w:w="0" w:type="auto"/>
            <w:shd w:val="clear" w:color="auto" w:fill="auto"/>
          </w:tcPr>
          <w:p w14:paraId="36CA1D9F" w14:textId="77777777" w:rsidR="00787570" w:rsidRDefault="00787570">
            <w:pPr>
              <w:rPr>
                <w:rFonts w:ascii="宋体"/>
              </w:rPr>
            </w:pPr>
          </w:p>
        </w:tc>
        <w:tc>
          <w:tcPr>
            <w:tcW w:w="0" w:type="auto"/>
            <w:shd w:val="clear" w:color="auto" w:fill="auto"/>
          </w:tcPr>
          <w:p w14:paraId="36CA1DA0" w14:textId="77777777" w:rsidR="00787570" w:rsidRDefault="00787570">
            <w:pPr>
              <w:rPr>
                <w:rFonts w:ascii="宋体"/>
              </w:rPr>
            </w:pPr>
          </w:p>
        </w:tc>
        <w:tc>
          <w:tcPr>
            <w:tcW w:w="0" w:type="auto"/>
            <w:shd w:val="clear" w:color="auto" w:fill="auto"/>
          </w:tcPr>
          <w:p w14:paraId="36CA1DA1" w14:textId="77777777" w:rsidR="00787570" w:rsidRDefault="00787570">
            <w:pPr>
              <w:rPr>
                <w:rFonts w:ascii="宋体"/>
              </w:rPr>
            </w:pPr>
          </w:p>
        </w:tc>
        <w:tc>
          <w:tcPr>
            <w:tcW w:w="0" w:type="auto"/>
            <w:shd w:val="clear" w:color="auto" w:fill="auto"/>
          </w:tcPr>
          <w:p w14:paraId="36CA1DA2" w14:textId="77777777" w:rsidR="00787570" w:rsidRDefault="00787570">
            <w:pPr>
              <w:rPr>
                <w:rFonts w:ascii="宋体"/>
              </w:rPr>
            </w:pPr>
          </w:p>
        </w:tc>
      </w:tr>
      <w:tr w:rsidR="00787570" w14:paraId="36CA1DAF" w14:textId="77777777">
        <w:trPr>
          <w:jc w:val="center"/>
          <w:hidden/>
        </w:trPr>
        <w:tc>
          <w:tcPr>
            <w:tcW w:w="0" w:type="auto"/>
            <w:gridSpan w:val="3"/>
            <w:shd w:val="clear" w:color="auto" w:fill="auto"/>
          </w:tcPr>
          <w:p w14:paraId="36CA1DA4" w14:textId="77777777" w:rsidR="00787570" w:rsidRDefault="00787570">
            <w:pPr>
              <w:rPr>
                <w:rFonts w:ascii="宋体"/>
                <w:vanish/>
              </w:rPr>
            </w:pPr>
          </w:p>
        </w:tc>
        <w:tc>
          <w:tcPr>
            <w:tcW w:w="0" w:type="auto"/>
            <w:gridSpan w:val="3"/>
            <w:shd w:val="clear" w:color="auto" w:fill="auto"/>
          </w:tcPr>
          <w:p w14:paraId="36CA1DA5" w14:textId="77777777" w:rsidR="00787570" w:rsidRDefault="00787570">
            <w:pPr>
              <w:rPr>
                <w:rFonts w:ascii="宋体"/>
                <w:vanish/>
              </w:rPr>
            </w:pPr>
          </w:p>
        </w:tc>
        <w:tc>
          <w:tcPr>
            <w:tcW w:w="0" w:type="auto"/>
            <w:gridSpan w:val="3"/>
            <w:shd w:val="clear" w:color="auto" w:fill="auto"/>
          </w:tcPr>
          <w:p w14:paraId="36CA1DA6" w14:textId="77777777" w:rsidR="00787570" w:rsidRDefault="00787570">
            <w:pPr>
              <w:rPr>
                <w:rFonts w:ascii="宋体"/>
                <w:vanish/>
              </w:rPr>
            </w:pPr>
          </w:p>
        </w:tc>
        <w:tc>
          <w:tcPr>
            <w:tcW w:w="0" w:type="auto"/>
            <w:gridSpan w:val="3"/>
            <w:shd w:val="clear" w:color="auto" w:fill="auto"/>
          </w:tcPr>
          <w:p w14:paraId="36CA1DA7" w14:textId="77777777" w:rsidR="00787570" w:rsidRDefault="00787570">
            <w:pPr>
              <w:rPr>
                <w:rFonts w:ascii="宋体"/>
                <w:vanish/>
              </w:rPr>
            </w:pPr>
          </w:p>
        </w:tc>
        <w:tc>
          <w:tcPr>
            <w:tcW w:w="0" w:type="auto"/>
            <w:gridSpan w:val="3"/>
            <w:shd w:val="clear" w:color="auto" w:fill="auto"/>
          </w:tcPr>
          <w:p w14:paraId="36CA1DA8" w14:textId="77777777" w:rsidR="00787570" w:rsidRDefault="00787570">
            <w:pPr>
              <w:rPr>
                <w:rFonts w:ascii="宋体"/>
                <w:vanish/>
              </w:rPr>
            </w:pPr>
          </w:p>
        </w:tc>
        <w:tc>
          <w:tcPr>
            <w:tcW w:w="0" w:type="auto"/>
            <w:shd w:val="clear" w:color="auto" w:fill="auto"/>
          </w:tcPr>
          <w:p w14:paraId="36CA1DA9" w14:textId="77777777" w:rsidR="00787570" w:rsidRDefault="00787570">
            <w:pPr>
              <w:rPr>
                <w:rFonts w:ascii="宋体"/>
              </w:rPr>
            </w:pPr>
          </w:p>
        </w:tc>
        <w:tc>
          <w:tcPr>
            <w:tcW w:w="0" w:type="auto"/>
            <w:shd w:val="clear" w:color="auto" w:fill="auto"/>
          </w:tcPr>
          <w:p w14:paraId="36CA1DAA" w14:textId="77777777" w:rsidR="00787570" w:rsidRDefault="00787570">
            <w:pPr>
              <w:rPr>
                <w:rFonts w:ascii="宋体"/>
              </w:rPr>
            </w:pPr>
          </w:p>
        </w:tc>
        <w:tc>
          <w:tcPr>
            <w:tcW w:w="0" w:type="auto"/>
            <w:shd w:val="clear" w:color="auto" w:fill="auto"/>
          </w:tcPr>
          <w:p w14:paraId="36CA1DAB" w14:textId="77777777" w:rsidR="00787570" w:rsidRDefault="00787570">
            <w:pPr>
              <w:rPr>
                <w:rFonts w:ascii="宋体"/>
              </w:rPr>
            </w:pPr>
          </w:p>
        </w:tc>
        <w:tc>
          <w:tcPr>
            <w:tcW w:w="0" w:type="auto"/>
            <w:shd w:val="clear" w:color="auto" w:fill="auto"/>
          </w:tcPr>
          <w:p w14:paraId="36CA1DAC" w14:textId="77777777" w:rsidR="00787570" w:rsidRDefault="00787570">
            <w:pPr>
              <w:rPr>
                <w:rFonts w:ascii="宋体"/>
              </w:rPr>
            </w:pPr>
          </w:p>
        </w:tc>
        <w:tc>
          <w:tcPr>
            <w:tcW w:w="0" w:type="auto"/>
            <w:shd w:val="clear" w:color="auto" w:fill="auto"/>
          </w:tcPr>
          <w:p w14:paraId="36CA1DAD" w14:textId="77777777" w:rsidR="00787570" w:rsidRDefault="00787570">
            <w:pPr>
              <w:rPr>
                <w:rFonts w:ascii="宋体"/>
              </w:rPr>
            </w:pPr>
          </w:p>
        </w:tc>
        <w:tc>
          <w:tcPr>
            <w:tcW w:w="0" w:type="auto"/>
            <w:shd w:val="clear" w:color="auto" w:fill="auto"/>
          </w:tcPr>
          <w:p w14:paraId="36CA1DAE" w14:textId="77777777" w:rsidR="00787570" w:rsidRDefault="00787570">
            <w:pPr>
              <w:rPr>
                <w:rFonts w:ascii="宋体"/>
              </w:rPr>
            </w:pPr>
          </w:p>
        </w:tc>
      </w:tr>
      <w:tr w:rsidR="00787570" w14:paraId="36CA1DBB" w14:textId="77777777">
        <w:trPr>
          <w:jc w:val="center"/>
        </w:trPr>
        <w:tc>
          <w:tcPr>
            <w:tcW w:w="0" w:type="auto"/>
            <w:gridSpan w:val="3"/>
            <w:shd w:val="clear" w:color="auto" w:fill="auto"/>
            <w:tcMar>
              <w:top w:w="40" w:type="dxa"/>
              <w:left w:w="180" w:type="dxa"/>
              <w:bottom w:w="40" w:type="dxa"/>
              <w:right w:w="20" w:type="dxa"/>
            </w:tcMar>
          </w:tcPr>
          <w:p w14:paraId="36CA1DB0" w14:textId="77777777" w:rsidR="00787570" w:rsidRDefault="000D56E2">
            <w:pPr>
              <w:textAlignment w:val="top"/>
            </w:pPr>
            <w:r>
              <w:rPr>
                <w:rFonts w:ascii="Arial" w:eastAsia="宋体" w:hAnsi="Arial" w:cs="Arial"/>
                <w:color w:val="333333"/>
                <w:sz w:val="18"/>
                <w:szCs w:val="18"/>
              </w:rPr>
              <w:t>Changes in assets and liabilities:</w:t>
            </w:r>
          </w:p>
        </w:tc>
        <w:tc>
          <w:tcPr>
            <w:tcW w:w="0" w:type="auto"/>
            <w:gridSpan w:val="3"/>
            <w:shd w:val="clear" w:color="auto" w:fill="auto"/>
            <w:tcMar>
              <w:left w:w="20" w:type="dxa"/>
              <w:right w:w="20" w:type="dxa"/>
            </w:tcMar>
            <w:vAlign w:val="bottom"/>
          </w:tcPr>
          <w:p w14:paraId="36CA1DB1"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1DB2"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1DB3"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1DB4" w14:textId="77777777" w:rsidR="00787570" w:rsidRDefault="00787570">
            <w:pPr>
              <w:rPr>
                <w:rFonts w:ascii="宋体"/>
              </w:rPr>
            </w:pPr>
          </w:p>
        </w:tc>
        <w:tc>
          <w:tcPr>
            <w:tcW w:w="0" w:type="auto"/>
            <w:shd w:val="clear" w:color="auto" w:fill="auto"/>
          </w:tcPr>
          <w:p w14:paraId="36CA1DB5" w14:textId="77777777" w:rsidR="00787570" w:rsidRDefault="00787570">
            <w:pPr>
              <w:rPr>
                <w:rFonts w:ascii="宋体"/>
              </w:rPr>
            </w:pPr>
          </w:p>
        </w:tc>
        <w:tc>
          <w:tcPr>
            <w:tcW w:w="0" w:type="auto"/>
            <w:shd w:val="clear" w:color="auto" w:fill="auto"/>
          </w:tcPr>
          <w:p w14:paraId="36CA1DB6" w14:textId="77777777" w:rsidR="00787570" w:rsidRDefault="00787570">
            <w:pPr>
              <w:rPr>
                <w:rFonts w:ascii="宋体"/>
              </w:rPr>
            </w:pPr>
          </w:p>
        </w:tc>
        <w:tc>
          <w:tcPr>
            <w:tcW w:w="0" w:type="auto"/>
            <w:shd w:val="clear" w:color="auto" w:fill="auto"/>
          </w:tcPr>
          <w:p w14:paraId="36CA1DB7" w14:textId="77777777" w:rsidR="00787570" w:rsidRDefault="00787570">
            <w:pPr>
              <w:rPr>
                <w:rFonts w:ascii="宋体"/>
              </w:rPr>
            </w:pPr>
          </w:p>
        </w:tc>
        <w:tc>
          <w:tcPr>
            <w:tcW w:w="0" w:type="auto"/>
            <w:shd w:val="clear" w:color="auto" w:fill="auto"/>
          </w:tcPr>
          <w:p w14:paraId="36CA1DB8" w14:textId="77777777" w:rsidR="00787570" w:rsidRDefault="00787570">
            <w:pPr>
              <w:rPr>
                <w:rFonts w:ascii="宋体"/>
              </w:rPr>
            </w:pPr>
          </w:p>
        </w:tc>
        <w:tc>
          <w:tcPr>
            <w:tcW w:w="0" w:type="auto"/>
            <w:shd w:val="clear" w:color="auto" w:fill="auto"/>
          </w:tcPr>
          <w:p w14:paraId="36CA1DB9" w14:textId="77777777" w:rsidR="00787570" w:rsidRDefault="00787570">
            <w:pPr>
              <w:rPr>
                <w:rFonts w:ascii="宋体"/>
              </w:rPr>
            </w:pPr>
          </w:p>
        </w:tc>
        <w:tc>
          <w:tcPr>
            <w:tcW w:w="0" w:type="auto"/>
            <w:shd w:val="clear" w:color="auto" w:fill="auto"/>
          </w:tcPr>
          <w:p w14:paraId="36CA1DBA" w14:textId="77777777" w:rsidR="00787570" w:rsidRDefault="00787570">
            <w:pPr>
              <w:rPr>
                <w:rFonts w:ascii="宋体"/>
              </w:rPr>
            </w:pPr>
          </w:p>
        </w:tc>
      </w:tr>
      <w:tr w:rsidR="00787570" w14:paraId="36CA1DC9" w14:textId="77777777">
        <w:trPr>
          <w:jc w:val="center"/>
        </w:trPr>
        <w:tc>
          <w:tcPr>
            <w:tcW w:w="0" w:type="auto"/>
            <w:gridSpan w:val="3"/>
            <w:shd w:val="clear" w:color="auto" w:fill="auto"/>
            <w:tcMar>
              <w:top w:w="40" w:type="dxa"/>
              <w:left w:w="405" w:type="dxa"/>
              <w:bottom w:w="40" w:type="dxa"/>
              <w:right w:w="20" w:type="dxa"/>
            </w:tcMar>
          </w:tcPr>
          <w:p w14:paraId="36CA1DBC" w14:textId="77777777" w:rsidR="00787570" w:rsidRDefault="000D56E2">
            <w:pPr>
              <w:textAlignment w:val="top"/>
            </w:pPr>
            <w:r>
              <w:rPr>
                <w:rFonts w:ascii="Arial" w:eastAsia="宋体" w:hAnsi="Arial" w:cs="Arial"/>
                <w:color w:val="333333"/>
                <w:sz w:val="18"/>
                <w:szCs w:val="18"/>
              </w:rPr>
              <w:t>Accounts receivable</w:t>
            </w:r>
          </w:p>
        </w:tc>
        <w:tc>
          <w:tcPr>
            <w:tcW w:w="0" w:type="auto"/>
            <w:gridSpan w:val="3"/>
            <w:shd w:val="clear" w:color="auto" w:fill="auto"/>
            <w:tcMar>
              <w:left w:w="20" w:type="dxa"/>
              <w:right w:w="20" w:type="dxa"/>
            </w:tcMar>
            <w:vAlign w:val="bottom"/>
          </w:tcPr>
          <w:p w14:paraId="36CA1DBD"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1DBE" w14:textId="77777777" w:rsidR="00787570" w:rsidRDefault="000D56E2">
            <w:pPr>
              <w:jc w:val="right"/>
              <w:textAlignment w:val="bottom"/>
            </w:pPr>
            <w:r>
              <w:rPr>
                <w:rFonts w:ascii="Arial" w:eastAsia="宋体" w:hAnsi="Arial" w:cs="Arial"/>
                <w:color w:val="0071C5"/>
                <w:sz w:val="18"/>
                <w:szCs w:val="18"/>
              </w:rPr>
              <w:t>525 </w:t>
            </w:r>
          </w:p>
        </w:tc>
        <w:tc>
          <w:tcPr>
            <w:tcW w:w="0" w:type="auto"/>
            <w:shd w:val="clear" w:color="auto" w:fill="auto"/>
            <w:tcMar>
              <w:top w:w="40" w:type="dxa"/>
              <w:bottom w:w="40" w:type="dxa"/>
              <w:right w:w="20" w:type="dxa"/>
            </w:tcMar>
            <w:vAlign w:val="bottom"/>
          </w:tcPr>
          <w:p w14:paraId="36CA1DBF"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1DC0"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1DC1" w14:textId="77777777" w:rsidR="00787570" w:rsidRDefault="000D56E2">
            <w:pPr>
              <w:jc w:val="right"/>
              <w:textAlignment w:val="bottom"/>
            </w:pPr>
            <w:r>
              <w:rPr>
                <w:rFonts w:ascii="Arial" w:eastAsia="宋体" w:hAnsi="Arial" w:cs="Arial"/>
                <w:color w:val="333333"/>
                <w:sz w:val="18"/>
                <w:szCs w:val="18"/>
              </w:rPr>
              <w:t>(156)</w:t>
            </w:r>
          </w:p>
        </w:tc>
        <w:tc>
          <w:tcPr>
            <w:tcW w:w="0" w:type="auto"/>
            <w:shd w:val="clear" w:color="auto" w:fill="auto"/>
            <w:tcMar>
              <w:top w:w="40" w:type="dxa"/>
              <w:bottom w:w="40" w:type="dxa"/>
              <w:right w:w="20" w:type="dxa"/>
            </w:tcMar>
            <w:vAlign w:val="bottom"/>
          </w:tcPr>
          <w:p w14:paraId="36CA1DC2" w14:textId="77777777" w:rsidR="00787570" w:rsidRDefault="00787570">
            <w:pPr>
              <w:jc w:val="right"/>
              <w:rPr>
                <w:rFonts w:ascii="宋体"/>
              </w:rPr>
            </w:pPr>
          </w:p>
        </w:tc>
        <w:tc>
          <w:tcPr>
            <w:tcW w:w="0" w:type="auto"/>
            <w:shd w:val="clear" w:color="auto" w:fill="auto"/>
          </w:tcPr>
          <w:p w14:paraId="36CA1DC3" w14:textId="77777777" w:rsidR="00787570" w:rsidRDefault="00787570">
            <w:pPr>
              <w:rPr>
                <w:rFonts w:ascii="宋体"/>
              </w:rPr>
            </w:pPr>
          </w:p>
        </w:tc>
        <w:tc>
          <w:tcPr>
            <w:tcW w:w="0" w:type="auto"/>
            <w:shd w:val="clear" w:color="auto" w:fill="auto"/>
          </w:tcPr>
          <w:p w14:paraId="36CA1DC4" w14:textId="77777777" w:rsidR="00787570" w:rsidRDefault="00787570">
            <w:pPr>
              <w:rPr>
                <w:rFonts w:ascii="宋体"/>
              </w:rPr>
            </w:pPr>
          </w:p>
        </w:tc>
        <w:tc>
          <w:tcPr>
            <w:tcW w:w="0" w:type="auto"/>
            <w:shd w:val="clear" w:color="auto" w:fill="auto"/>
          </w:tcPr>
          <w:p w14:paraId="36CA1DC5" w14:textId="77777777" w:rsidR="00787570" w:rsidRDefault="00787570">
            <w:pPr>
              <w:rPr>
                <w:rFonts w:ascii="宋体"/>
              </w:rPr>
            </w:pPr>
          </w:p>
        </w:tc>
        <w:tc>
          <w:tcPr>
            <w:tcW w:w="0" w:type="auto"/>
            <w:shd w:val="clear" w:color="auto" w:fill="auto"/>
          </w:tcPr>
          <w:p w14:paraId="36CA1DC6" w14:textId="77777777" w:rsidR="00787570" w:rsidRDefault="00787570">
            <w:pPr>
              <w:rPr>
                <w:rFonts w:ascii="宋体"/>
              </w:rPr>
            </w:pPr>
          </w:p>
        </w:tc>
        <w:tc>
          <w:tcPr>
            <w:tcW w:w="0" w:type="auto"/>
            <w:shd w:val="clear" w:color="auto" w:fill="auto"/>
          </w:tcPr>
          <w:p w14:paraId="36CA1DC7" w14:textId="77777777" w:rsidR="00787570" w:rsidRDefault="00787570">
            <w:pPr>
              <w:rPr>
                <w:rFonts w:ascii="宋体"/>
              </w:rPr>
            </w:pPr>
          </w:p>
        </w:tc>
        <w:tc>
          <w:tcPr>
            <w:tcW w:w="0" w:type="auto"/>
            <w:shd w:val="clear" w:color="auto" w:fill="auto"/>
          </w:tcPr>
          <w:p w14:paraId="36CA1DC8" w14:textId="77777777" w:rsidR="00787570" w:rsidRDefault="00787570">
            <w:pPr>
              <w:rPr>
                <w:rFonts w:ascii="宋体"/>
              </w:rPr>
            </w:pPr>
          </w:p>
        </w:tc>
      </w:tr>
      <w:tr w:rsidR="00787570" w14:paraId="36CA1DD7" w14:textId="77777777">
        <w:trPr>
          <w:jc w:val="center"/>
        </w:trPr>
        <w:tc>
          <w:tcPr>
            <w:tcW w:w="0" w:type="auto"/>
            <w:gridSpan w:val="3"/>
            <w:shd w:val="clear" w:color="auto" w:fill="auto"/>
            <w:tcMar>
              <w:top w:w="40" w:type="dxa"/>
              <w:left w:w="405" w:type="dxa"/>
              <w:bottom w:w="40" w:type="dxa"/>
              <w:right w:w="20" w:type="dxa"/>
            </w:tcMar>
          </w:tcPr>
          <w:p w14:paraId="36CA1DCA" w14:textId="77777777" w:rsidR="00787570" w:rsidRDefault="000D56E2">
            <w:pPr>
              <w:textAlignment w:val="top"/>
            </w:pPr>
            <w:r>
              <w:rPr>
                <w:rFonts w:ascii="Arial" w:eastAsia="宋体" w:hAnsi="Arial" w:cs="Arial"/>
                <w:color w:val="333333"/>
                <w:sz w:val="18"/>
                <w:szCs w:val="18"/>
              </w:rPr>
              <w:t>Inventories</w:t>
            </w:r>
          </w:p>
        </w:tc>
        <w:tc>
          <w:tcPr>
            <w:tcW w:w="0" w:type="auto"/>
            <w:gridSpan w:val="3"/>
            <w:shd w:val="clear" w:color="auto" w:fill="auto"/>
            <w:tcMar>
              <w:left w:w="20" w:type="dxa"/>
              <w:right w:w="20" w:type="dxa"/>
            </w:tcMar>
            <w:vAlign w:val="bottom"/>
          </w:tcPr>
          <w:p w14:paraId="36CA1DCB"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1DCC" w14:textId="77777777" w:rsidR="00787570" w:rsidRDefault="000D56E2">
            <w:pPr>
              <w:jc w:val="right"/>
              <w:textAlignment w:val="bottom"/>
            </w:pPr>
            <w:r>
              <w:rPr>
                <w:rFonts w:ascii="Arial" w:eastAsia="宋体" w:hAnsi="Arial" w:cs="Arial"/>
                <w:color w:val="0071C5"/>
                <w:sz w:val="18"/>
                <w:szCs w:val="18"/>
              </w:rPr>
              <w:t>(570)</w:t>
            </w:r>
          </w:p>
        </w:tc>
        <w:tc>
          <w:tcPr>
            <w:tcW w:w="0" w:type="auto"/>
            <w:shd w:val="clear" w:color="auto" w:fill="auto"/>
            <w:tcMar>
              <w:top w:w="40" w:type="dxa"/>
              <w:bottom w:w="40" w:type="dxa"/>
              <w:right w:w="20" w:type="dxa"/>
            </w:tcMar>
            <w:vAlign w:val="bottom"/>
          </w:tcPr>
          <w:p w14:paraId="36CA1DCD"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1DCE"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1DCF" w14:textId="77777777" w:rsidR="00787570" w:rsidRDefault="000D56E2">
            <w:pPr>
              <w:jc w:val="right"/>
              <w:textAlignment w:val="bottom"/>
            </w:pPr>
            <w:r>
              <w:rPr>
                <w:rFonts w:ascii="Arial" w:eastAsia="宋体" w:hAnsi="Arial" w:cs="Arial"/>
                <w:color w:val="333333"/>
                <w:sz w:val="18"/>
                <w:szCs w:val="18"/>
              </w:rPr>
              <w:t>(1,376)</w:t>
            </w:r>
          </w:p>
        </w:tc>
        <w:tc>
          <w:tcPr>
            <w:tcW w:w="0" w:type="auto"/>
            <w:shd w:val="clear" w:color="auto" w:fill="auto"/>
            <w:tcMar>
              <w:top w:w="40" w:type="dxa"/>
              <w:bottom w:w="40" w:type="dxa"/>
              <w:right w:w="20" w:type="dxa"/>
            </w:tcMar>
            <w:vAlign w:val="bottom"/>
          </w:tcPr>
          <w:p w14:paraId="36CA1DD0" w14:textId="77777777" w:rsidR="00787570" w:rsidRDefault="00787570">
            <w:pPr>
              <w:jc w:val="right"/>
              <w:rPr>
                <w:rFonts w:ascii="宋体"/>
              </w:rPr>
            </w:pPr>
          </w:p>
        </w:tc>
        <w:tc>
          <w:tcPr>
            <w:tcW w:w="0" w:type="auto"/>
            <w:shd w:val="clear" w:color="auto" w:fill="auto"/>
          </w:tcPr>
          <w:p w14:paraId="36CA1DD1" w14:textId="77777777" w:rsidR="00787570" w:rsidRDefault="00787570">
            <w:pPr>
              <w:rPr>
                <w:rFonts w:ascii="宋体"/>
              </w:rPr>
            </w:pPr>
          </w:p>
        </w:tc>
        <w:tc>
          <w:tcPr>
            <w:tcW w:w="0" w:type="auto"/>
            <w:shd w:val="clear" w:color="auto" w:fill="auto"/>
          </w:tcPr>
          <w:p w14:paraId="36CA1DD2" w14:textId="77777777" w:rsidR="00787570" w:rsidRDefault="00787570">
            <w:pPr>
              <w:rPr>
                <w:rFonts w:ascii="宋体"/>
              </w:rPr>
            </w:pPr>
          </w:p>
        </w:tc>
        <w:tc>
          <w:tcPr>
            <w:tcW w:w="0" w:type="auto"/>
            <w:shd w:val="clear" w:color="auto" w:fill="auto"/>
          </w:tcPr>
          <w:p w14:paraId="36CA1DD3" w14:textId="77777777" w:rsidR="00787570" w:rsidRDefault="00787570">
            <w:pPr>
              <w:rPr>
                <w:rFonts w:ascii="宋体"/>
              </w:rPr>
            </w:pPr>
          </w:p>
        </w:tc>
        <w:tc>
          <w:tcPr>
            <w:tcW w:w="0" w:type="auto"/>
            <w:shd w:val="clear" w:color="auto" w:fill="auto"/>
          </w:tcPr>
          <w:p w14:paraId="36CA1DD4" w14:textId="77777777" w:rsidR="00787570" w:rsidRDefault="00787570">
            <w:pPr>
              <w:rPr>
                <w:rFonts w:ascii="宋体"/>
              </w:rPr>
            </w:pPr>
          </w:p>
        </w:tc>
        <w:tc>
          <w:tcPr>
            <w:tcW w:w="0" w:type="auto"/>
            <w:shd w:val="clear" w:color="auto" w:fill="auto"/>
          </w:tcPr>
          <w:p w14:paraId="36CA1DD5" w14:textId="77777777" w:rsidR="00787570" w:rsidRDefault="00787570">
            <w:pPr>
              <w:rPr>
                <w:rFonts w:ascii="宋体"/>
              </w:rPr>
            </w:pPr>
          </w:p>
        </w:tc>
        <w:tc>
          <w:tcPr>
            <w:tcW w:w="0" w:type="auto"/>
            <w:shd w:val="clear" w:color="auto" w:fill="auto"/>
          </w:tcPr>
          <w:p w14:paraId="36CA1DD6" w14:textId="77777777" w:rsidR="00787570" w:rsidRDefault="00787570">
            <w:pPr>
              <w:rPr>
                <w:rFonts w:ascii="宋体"/>
              </w:rPr>
            </w:pPr>
          </w:p>
        </w:tc>
      </w:tr>
      <w:tr w:rsidR="00787570" w14:paraId="36CA1DE5" w14:textId="77777777">
        <w:trPr>
          <w:jc w:val="center"/>
        </w:trPr>
        <w:tc>
          <w:tcPr>
            <w:tcW w:w="0" w:type="auto"/>
            <w:gridSpan w:val="3"/>
            <w:shd w:val="clear" w:color="auto" w:fill="auto"/>
            <w:tcMar>
              <w:top w:w="40" w:type="dxa"/>
              <w:left w:w="405" w:type="dxa"/>
              <w:bottom w:w="40" w:type="dxa"/>
              <w:right w:w="20" w:type="dxa"/>
            </w:tcMar>
          </w:tcPr>
          <w:p w14:paraId="36CA1DD8" w14:textId="77777777" w:rsidR="00787570" w:rsidRDefault="000D56E2">
            <w:pPr>
              <w:textAlignment w:val="top"/>
            </w:pPr>
            <w:r>
              <w:rPr>
                <w:rFonts w:ascii="Arial" w:eastAsia="宋体" w:hAnsi="Arial" w:cs="Arial"/>
                <w:color w:val="333333"/>
                <w:sz w:val="18"/>
                <w:szCs w:val="18"/>
              </w:rPr>
              <w:t>Accounts payable</w:t>
            </w:r>
          </w:p>
        </w:tc>
        <w:tc>
          <w:tcPr>
            <w:tcW w:w="0" w:type="auto"/>
            <w:gridSpan w:val="3"/>
            <w:shd w:val="clear" w:color="auto" w:fill="auto"/>
            <w:tcMar>
              <w:left w:w="20" w:type="dxa"/>
              <w:right w:w="20" w:type="dxa"/>
            </w:tcMar>
            <w:vAlign w:val="bottom"/>
          </w:tcPr>
          <w:p w14:paraId="36CA1DD9"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1DDA" w14:textId="77777777" w:rsidR="00787570" w:rsidRDefault="000D56E2">
            <w:pPr>
              <w:jc w:val="right"/>
              <w:textAlignment w:val="bottom"/>
            </w:pPr>
            <w:r>
              <w:rPr>
                <w:rFonts w:ascii="Arial" w:eastAsia="宋体" w:hAnsi="Arial" w:cs="Arial"/>
                <w:color w:val="0071C5"/>
                <w:sz w:val="18"/>
                <w:szCs w:val="18"/>
              </w:rPr>
              <w:t>355 </w:t>
            </w:r>
          </w:p>
        </w:tc>
        <w:tc>
          <w:tcPr>
            <w:tcW w:w="0" w:type="auto"/>
            <w:shd w:val="clear" w:color="auto" w:fill="auto"/>
            <w:tcMar>
              <w:top w:w="40" w:type="dxa"/>
              <w:bottom w:w="40" w:type="dxa"/>
              <w:right w:w="20" w:type="dxa"/>
            </w:tcMar>
            <w:vAlign w:val="bottom"/>
          </w:tcPr>
          <w:p w14:paraId="36CA1DDB"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1DDC"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1DDD" w14:textId="77777777" w:rsidR="00787570" w:rsidRDefault="000D56E2">
            <w:pPr>
              <w:jc w:val="right"/>
              <w:textAlignment w:val="bottom"/>
            </w:pPr>
            <w:r>
              <w:rPr>
                <w:rFonts w:ascii="Arial" w:eastAsia="宋体" w:hAnsi="Arial" w:cs="Arial"/>
                <w:color w:val="333333"/>
                <w:sz w:val="18"/>
                <w:szCs w:val="18"/>
              </w:rPr>
              <w:t>728 </w:t>
            </w:r>
          </w:p>
        </w:tc>
        <w:tc>
          <w:tcPr>
            <w:tcW w:w="0" w:type="auto"/>
            <w:shd w:val="clear" w:color="auto" w:fill="auto"/>
            <w:tcMar>
              <w:top w:w="40" w:type="dxa"/>
              <w:bottom w:w="40" w:type="dxa"/>
              <w:right w:w="20" w:type="dxa"/>
            </w:tcMar>
            <w:vAlign w:val="bottom"/>
          </w:tcPr>
          <w:p w14:paraId="36CA1DDE" w14:textId="77777777" w:rsidR="00787570" w:rsidRDefault="00787570">
            <w:pPr>
              <w:jc w:val="right"/>
              <w:rPr>
                <w:rFonts w:ascii="宋体"/>
              </w:rPr>
            </w:pPr>
          </w:p>
        </w:tc>
        <w:tc>
          <w:tcPr>
            <w:tcW w:w="0" w:type="auto"/>
            <w:shd w:val="clear" w:color="auto" w:fill="auto"/>
          </w:tcPr>
          <w:p w14:paraId="36CA1DDF" w14:textId="77777777" w:rsidR="00787570" w:rsidRDefault="00787570">
            <w:pPr>
              <w:rPr>
                <w:rFonts w:ascii="宋体"/>
              </w:rPr>
            </w:pPr>
          </w:p>
        </w:tc>
        <w:tc>
          <w:tcPr>
            <w:tcW w:w="0" w:type="auto"/>
            <w:shd w:val="clear" w:color="auto" w:fill="auto"/>
          </w:tcPr>
          <w:p w14:paraId="36CA1DE0" w14:textId="77777777" w:rsidR="00787570" w:rsidRDefault="00787570">
            <w:pPr>
              <w:rPr>
                <w:rFonts w:ascii="宋体"/>
              </w:rPr>
            </w:pPr>
          </w:p>
        </w:tc>
        <w:tc>
          <w:tcPr>
            <w:tcW w:w="0" w:type="auto"/>
            <w:shd w:val="clear" w:color="auto" w:fill="auto"/>
          </w:tcPr>
          <w:p w14:paraId="36CA1DE1" w14:textId="77777777" w:rsidR="00787570" w:rsidRDefault="00787570">
            <w:pPr>
              <w:rPr>
                <w:rFonts w:ascii="宋体"/>
              </w:rPr>
            </w:pPr>
          </w:p>
        </w:tc>
        <w:tc>
          <w:tcPr>
            <w:tcW w:w="0" w:type="auto"/>
            <w:shd w:val="clear" w:color="auto" w:fill="auto"/>
          </w:tcPr>
          <w:p w14:paraId="36CA1DE2" w14:textId="77777777" w:rsidR="00787570" w:rsidRDefault="00787570">
            <w:pPr>
              <w:rPr>
                <w:rFonts w:ascii="宋体"/>
              </w:rPr>
            </w:pPr>
          </w:p>
        </w:tc>
        <w:tc>
          <w:tcPr>
            <w:tcW w:w="0" w:type="auto"/>
            <w:shd w:val="clear" w:color="auto" w:fill="auto"/>
          </w:tcPr>
          <w:p w14:paraId="36CA1DE3" w14:textId="77777777" w:rsidR="00787570" w:rsidRDefault="00787570">
            <w:pPr>
              <w:rPr>
                <w:rFonts w:ascii="宋体"/>
              </w:rPr>
            </w:pPr>
          </w:p>
        </w:tc>
        <w:tc>
          <w:tcPr>
            <w:tcW w:w="0" w:type="auto"/>
            <w:shd w:val="clear" w:color="auto" w:fill="auto"/>
          </w:tcPr>
          <w:p w14:paraId="36CA1DE4" w14:textId="77777777" w:rsidR="00787570" w:rsidRDefault="00787570">
            <w:pPr>
              <w:rPr>
                <w:rFonts w:ascii="宋体"/>
              </w:rPr>
            </w:pPr>
          </w:p>
        </w:tc>
      </w:tr>
      <w:tr w:rsidR="00787570" w14:paraId="36CA1DF3" w14:textId="77777777">
        <w:trPr>
          <w:jc w:val="center"/>
        </w:trPr>
        <w:tc>
          <w:tcPr>
            <w:tcW w:w="0" w:type="auto"/>
            <w:gridSpan w:val="3"/>
            <w:shd w:val="clear" w:color="auto" w:fill="auto"/>
            <w:tcMar>
              <w:top w:w="40" w:type="dxa"/>
              <w:left w:w="405" w:type="dxa"/>
              <w:bottom w:w="40" w:type="dxa"/>
              <w:right w:w="20" w:type="dxa"/>
            </w:tcMar>
          </w:tcPr>
          <w:p w14:paraId="36CA1DE6" w14:textId="77777777" w:rsidR="00787570" w:rsidRDefault="000D56E2">
            <w:pPr>
              <w:textAlignment w:val="top"/>
            </w:pPr>
            <w:r>
              <w:rPr>
                <w:rFonts w:ascii="Arial" w:eastAsia="宋体" w:hAnsi="Arial" w:cs="Arial"/>
                <w:color w:val="333333"/>
                <w:sz w:val="18"/>
                <w:szCs w:val="18"/>
              </w:rPr>
              <w:t>Accrued compensation and benefits</w:t>
            </w:r>
          </w:p>
        </w:tc>
        <w:tc>
          <w:tcPr>
            <w:tcW w:w="0" w:type="auto"/>
            <w:gridSpan w:val="3"/>
            <w:shd w:val="clear" w:color="auto" w:fill="auto"/>
            <w:tcMar>
              <w:left w:w="20" w:type="dxa"/>
              <w:right w:w="20" w:type="dxa"/>
            </w:tcMar>
            <w:vAlign w:val="bottom"/>
          </w:tcPr>
          <w:p w14:paraId="36CA1DE7"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1DE8" w14:textId="77777777" w:rsidR="00787570" w:rsidRDefault="000D56E2">
            <w:pPr>
              <w:jc w:val="right"/>
              <w:textAlignment w:val="bottom"/>
            </w:pPr>
            <w:r>
              <w:rPr>
                <w:rFonts w:ascii="Arial" w:eastAsia="宋体" w:hAnsi="Arial" w:cs="Arial"/>
                <w:color w:val="0071C5"/>
                <w:sz w:val="18"/>
                <w:szCs w:val="18"/>
              </w:rPr>
              <w:t>(488)</w:t>
            </w:r>
          </w:p>
        </w:tc>
        <w:tc>
          <w:tcPr>
            <w:tcW w:w="0" w:type="auto"/>
            <w:shd w:val="clear" w:color="auto" w:fill="auto"/>
            <w:tcMar>
              <w:top w:w="40" w:type="dxa"/>
              <w:bottom w:w="40" w:type="dxa"/>
              <w:right w:w="20" w:type="dxa"/>
            </w:tcMar>
            <w:vAlign w:val="bottom"/>
          </w:tcPr>
          <w:p w14:paraId="36CA1DE9"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1DEA"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1DEB" w14:textId="77777777" w:rsidR="00787570" w:rsidRDefault="000D56E2">
            <w:pPr>
              <w:jc w:val="right"/>
              <w:textAlignment w:val="bottom"/>
            </w:pPr>
            <w:r>
              <w:rPr>
                <w:rFonts w:ascii="Arial" w:eastAsia="宋体" w:hAnsi="Arial" w:cs="Arial"/>
                <w:color w:val="333333"/>
                <w:sz w:val="18"/>
                <w:szCs w:val="18"/>
              </w:rPr>
              <w:t>(365)</w:t>
            </w:r>
          </w:p>
        </w:tc>
        <w:tc>
          <w:tcPr>
            <w:tcW w:w="0" w:type="auto"/>
            <w:shd w:val="clear" w:color="auto" w:fill="auto"/>
            <w:tcMar>
              <w:top w:w="40" w:type="dxa"/>
              <w:bottom w:w="40" w:type="dxa"/>
              <w:right w:w="20" w:type="dxa"/>
            </w:tcMar>
            <w:vAlign w:val="bottom"/>
          </w:tcPr>
          <w:p w14:paraId="36CA1DEC" w14:textId="77777777" w:rsidR="00787570" w:rsidRDefault="00787570">
            <w:pPr>
              <w:jc w:val="right"/>
              <w:rPr>
                <w:rFonts w:ascii="宋体"/>
              </w:rPr>
            </w:pPr>
          </w:p>
        </w:tc>
        <w:tc>
          <w:tcPr>
            <w:tcW w:w="0" w:type="auto"/>
            <w:shd w:val="clear" w:color="auto" w:fill="auto"/>
          </w:tcPr>
          <w:p w14:paraId="36CA1DED" w14:textId="77777777" w:rsidR="00787570" w:rsidRDefault="00787570">
            <w:pPr>
              <w:rPr>
                <w:rFonts w:ascii="宋体"/>
              </w:rPr>
            </w:pPr>
          </w:p>
        </w:tc>
        <w:tc>
          <w:tcPr>
            <w:tcW w:w="0" w:type="auto"/>
            <w:shd w:val="clear" w:color="auto" w:fill="auto"/>
          </w:tcPr>
          <w:p w14:paraId="36CA1DEE" w14:textId="77777777" w:rsidR="00787570" w:rsidRDefault="00787570">
            <w:pPr>
              <w:rPr>
                <w:rFonts w:ascii="宋体"/>
              </w:rPr>
            </w:pPr>
          </w:p>
        </w:tc>
        <w:tc>
          <w:tcPr>
            <w:tcW w:w="0" w:type="auto"/>
            <w:shd w:val="clear" w:color="auto" w:fill="auto"/>
          </w:tcPr>
          <w:p w14:paraId="36CA1DEF" w14:textId="77777777" w:rsidR="00787570" w:rsidRDefault="00787570">
            <w:pPr>
              <w:rPr>
                <w:rFonts w:ascii="宋体"/>
              </w:rPr>
            </w:pPr>
          </w:p>
        </w:tc>
        <w:tc>
          <w:tcPr>
            <w:tcW w:w="0" w:type="auto"/>
            <w:shd w:val="clear" w:color="auto" w:fill="auto"/>
          </w:tcPr>
          <w:p w14:paraId="36CA1DF0" w14:textId="77777777" w:rsidR="00787570" w:rsidRDefault="00787570">
            <w:pPr>
              <w:rPr>
                <w:rFonts w:ascii="宋体"/>
              </w:rPr>
            </w:pPr>
          </w:p>
        </w:tc>
        <w:tc>
          <w:tcPr>
            <w:tcW w:w="0" w:type="auto"/>
            <w:shd w:val="clear" w:color="auto" w:fill="auto"/>
          </w:tcPr>
          <w:p w14:paraId="36CA1DF1" w14:textId="77777777" w:rsidR="00787570" w:rsidRDefault="00787570">
            <w:pPr>
              <w:rPr>
                <w:rFonts w:ascii="宋体"/>
              </w:rPr>
            </w:pPr>
          </w:p>
        </w:tc>
        <w:tc>
          <w:tcPr>
            <w:tcW w:w="0" w:type="auto"/>
            <w:shd w:val="clear" w:color="auto" w:fill="auto"/>
          </w:tcPr>
          <w:p w14:paraId="36CA1DF2" w14:textId="77777777" w:rsidR="00787570" w:rsidRDefault="00787570">
            <w:pPr>
              <w:rPr>
                <w:rFonts w:ascii="宋体"/>
              </w:rPr>
            </w:pPr>
          </w:p>
        </w:tc>
      </w:tr>
      <w:tr w:rsidR="00787570" w14:paraId="36CA1E01" w14:textId="77777777">
        <w:trPr>
          <w:jc w:val="center"/>
        </w:trPr>
        <w:tc>
          <w:tcPr>
            <w:tcW w:w="0" w:type="auto"/>
            <w:gridSpan w:val="3"/>
            <w:shd w:val="clear" w:color="auto" w:fill="auto"/>
            <w:tcMar>
              <w:top w:w="40" w:type="dxa"/>
              <w:left w:w="405" w:type="dxa"/>
              <w:bottom w:w="40" w:type="dxa"/>
              <w:right w:w="20" w:type="dxa"/>
            </w:tcMar>
          </w:tcPr>
          <w:p w14:paraId="36CA1DF4" w14:textId="77777777" w:rsidR="00787570" w:rsidRDefault="000D56E2">
            <w:pPr>
              <w:textAlignment w:val="top"/>
            </w:pPr>
            <w:r>
              <w:rPr>
                <w:rFonts w:ascii="Arial" w:eastAsia="宋体" w:hAnsi="Arial" w:cs="Arial"/>
                <w:color w:val="333333"/>
                <w:sz w:val="18"/>
                <w:szCs w:val="18"/>
              </w:rPr>
              <w:t>Prepaid supply agreements</w:t>
            </w:r>
          </w:p>
        </w:tc>
        <w:tc>
          <w:tcPr>
            <w:tcW w:w="0" w:type="auto"/>
            <w:gridSpan w:val="3"/>
            <w:shd w:val="clear" w:color="auto" w:fill="auto"/>
            <w:tcMar>
              <w:left w:w="20" w:type="dxa"/>
              <w:right w:w="20" w:type="dxa"/>
            </w:tcMar>
            <w:vAlign w:val="bottom"/>
          </w:tcPr>
          <w:p w14:paraId="36CA1DF5"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1DF6" w14:textId="77777777" w:rsidR="00787570" w:rsidRDefault="000D56E2">
            <w:pPr>
              <w:jc w:val="right"/>
              <w:textAlignment w:val="bottom"/>
            </w:pPr>
            <w:r>
              <w:rPr>
                <w:rFonts w:ascii="Arial" w:eastAsia="宋体" w:hAnsi="Arial" w:cs="Arial"/>
                <w:color w:val="0071C5"/>
                <w:sz w:val="18"/>
                <w:szCs w:val="18"/>
              </w:rPr>
              <w:t>(91)</w:t>
            </w:r>
          </w:p>
        </w:tc>
        <w:tc>
          <w:tcPr>
            <w:tcW w:w="0" w:type="auto"/>
            <w:shd w:val="clear" w:color="auto" w:fill="auto"/>
            <w:tcMar>
              <w:top w:w="40" w:type="dxa"/>
              <w:bottom w:w="40" w:type="dxa"/>
              <w:right w:w="20" w:type="dxa"/>
            </w:tcMar>
            <w:vAlign w:val="bottom"/>
          </w:tcPr>
          <w:p w14:paraId="36CA1DF7"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1DF8"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1DF9" w14:textId="77777777" w:rsidR="00787570" w:rsidRDefault="000D56E2">
            <w:pPr>
              <w:jc w:val="right"/>
              <w:textAlignment w:val="bottom"/>
            </w:pPr>
            <w:r>
              <w:rPr>
                <w:rFonts w:ascii="Arial" w:eastAsia="宋体" w:hAnsi="Arial" w:cs="Arial"/>
                <w:color w:val="333333"/>
                <w:sz w:val="18"/>
                <w:szCs w:val="18"/>
              </w:rPr>
              <w:t>(674)</w:t>
            </w:r>
          </w:p>
        </w:tc>
        <w:tc>
          <w:tcPr>
            <w:tcW w:w="0" w:type="auto"/>
            <w:shd w:val="clear" w:color="auto" w:fill="auto"/>
            <w:tcMar>
              <w:top w:w="40" w:type="dxa"/>
              <w:bottom w:w="40" w:type="dxa"/>
              <w:right w:w="20" w:type="dxa"/>
            </w:tcMar>
            <w:vAlign w:val="bottom"/>
          </w:tcPr>
          <w:p w14:paraId="36CA1DFA" w14:textId="77777777" w:rsidR="00787570" w:rsidRDefault="00787570">
            <w:pPr>
              <w:jc w:val="right"/>
              <w:rPr>
                <w:rFonts w:ascii="宋体"/>
              </w:rPr>
            </w:pPr>
          </w:p>
        </w:tc>
        <w:tc>
          <w:tcPr>
            <w:tcW w:w="0" w:type="auto"/>
            <w:shd w:val="clear" w:color="auto" w:fill="auto"/>
          </w:tcPr>
          <w:p w14:paraId="36CA1DFB" w14:textId="77777777" w:rsidR="00787570" w:rsidRDefault="00787570">
            <w:pPr>
              <w:rPr>
                <w:rFonts w:ascii="宋体"/>
              </w:rPr>
            </w:pPr>
          </w:p>
        </w:tc>
        <w:tc>
          <w:tcPr>
            <w:tcW w:w="0" w:type="auto"/>
            <w:shd w:val="clear" w:color="auto" w:fill="auto"/>
          </w:tcPr>
          <w:p w14:paraId="36CA1DFC" w14:textId="77777777" w:rsidR="00787570" w:rsidRDefault="00787570">
            <w:pPr>
              <w:rPr>
                <w:rFonts w:ascii="宋体"/>
              </w:rPr>
            </w:pPr>
          </w:p>
        </w:tc>
        <w:tc>
          <w:tcPr>
            <w:tcW w:w="0" w:type="auto"/>
            <w:shd w:val="clear" w:color="auto" w:fill="auto"/>
          </w:tcPr>
          <w:p w14:paraId="36CA1DFD" w14:textId="77777777" w:rsidR="00787570" w:rsidRDefault="00787570">
            <w:pPr>
              <w:rPr>
                <w:rFonts w:ascii="宋体"/>
              </w:rPr>
            </w:pPr>
          </w:p>
        </w:tc>
        <w:tc>
          <w:tcPr>
            <w:tcW w:w="0" w:type="auto"/>
            <w:shd w:val="clear" w:color="auto" w:fill="auto"/>
          </w:tcPr>
          <w:p w14:paraId="36CA1DFE" w14:textId="77777777" w:rsidR="00787570" w:rsidRDefault="00787570">
            <w:pPr>
              <w:rPr>
                <w:rFonts w:ascii="宋体"/>
              </w:rPr>
            </w:pPr>
          </w:p>
        </w:tc>
        <w:tc>
          <w:tcPr>
            <w:tcW w:w="0" w:type="auto"/>
            <w:shd w:val="clear" w:color="auto" w:fill="auto"/>
          </w:tcPr>
          <w:p w14:paraId="36CA1DFF" w14:textId="77777777" w:rsidR="00787570" w:rsidRDefault="00787570">
            <w:pPr>
              <w:rPr>
                <w:rFonts w:ascii="宋体"/>
              </w:rPr>
            </w:pPr>
          </w:p>
        </w:tc>
        <w:tc>
          <w:tcPr>
            <w:tcW w:w="0" w:type="auto"/>
            <w:shd w:val="clear" w:color="auto" w:fill="auto"/>
          </w:tcPr>
          <w:p w14:paraId="36CA1E00" w14:textId="77777777" w:rsidR="00787570" w:rsidRDefault="00787570">
            <w:pPr>
              <w:rPr>
                <w:rFonts w:ascii="宋体"/>
              </w:rPr>
            </w:pPr>
          </w:p>
        </w:tc>
      </w:tr>
      <w:tr w:rsidR="00787570" w14:paraId="36CA1E0F" w14:textId="77777777">
        <w:trPr>
          <w:jc w:val="center"/>
        </w:trPr>
        <w:tc>
          <w:tcPr>
            <w:tcW w:w="0" w:type="auto"/>
            <w:gridSpan w:val="3"/>
            <w:shd w:val="clear" w:color="auto" w:fill="auto"/>
            <w:tcMar>
              <w:top w:w="40" w:type="dxa"/>
              <w:left w:w="405" w:type="dxa"/>
              <w:bottom w:w="40" w:type="dxa"/>
              <w:right w:w="20" w:type="dxa"/>
            </w:tcMar>
          </w:tcPr>
          <w:p w14:paraId="36CA1E02" w14:textId="77777777" w:rsidR="00787570" w:rsidRDefault="000D56E2">
            <w:pPr>
              <w:textAlignment w:val="top"/>
            </w:pPr>
            <w:r>
              <w:rPr>
                <w:rFonts w:ascii="Arial" w:eastAsia="宋体" w:hAnsi="Arial" w:cs="Arial"/>
                <w:color w:val="333333"/>
                <w:sz w:val="18"/>
                <w:szCs w:val="18"/>
              </w:rPr>
              <w:t>Income taxes</w:t>
            </w:r>
          </w:p>
        </w:tc>
        <w:tc>
          <w:tcPr>
            <w:tcW w:w="0" w:type="auto"/>
            <w:gridSpan w:val="3"/>
            <w:shd w:val="clear" w:color="auto" w:fill="auto"/>
            <w:tcMar>
              <w:left w:w="20" w:type="dxa"/>
              <w:right w:w="20" w:type="dxa"/>
            </w:tcMar>
            <w:vAlign w:val="bottom"/>
          </w:tcPr>
          <w:p w14:paraId="36CA1E03"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1E04" w14:textId="77777777" w:rsidR="00787570" w:rsidRDefault="000D56E2">
            <w:pPr>
              <w:jc w:val="right"/>
              <w:textAlignment w:val="bottom"/>
            </w:pPr>
            <w:r>
              <w:rPr>
                <w:rFonts w:ascii="Arial" w:eastAsia="宋体" w:hAnsi="Arial" w:cs="Arial"/>
                <w:color w:val="0071C5"/>
                <w:sz w:val="18"/>
                <w:szCs w:val="18"/>
              </w:rPr>
              <w:t>493 </w:t>
            </w:r>
          </w:p>
        </w:tc>
        <w:tc>
          <w:tcPr>
            <w:tcW w:w="0" w:type="auto"/>
            <w:shd w:val="clear" w:color="auto" w:fill="auto"/>
            <w:tcMar>
              <w:top w:w="40" w:type="dxa"/>
              <w:bottom w:w="40" w:type="dxa"/>
              <w:right w:w="20" w:type="dxa"/>
            </w:tcMar>
            <w:vAlign w:val="bottom"/>
          </w:tcPr>
          <w:p w14:paraId="36CA1E05"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1E06"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1E07" w14:textId="77777777" w:rsidR="00787570" w:rsidRDefault="000D56E2">
            <w:pPr>
              <w:jc w:val="right"/>
              <w:textAlignment w:val="bottom"/>
            </w:pPr>
            <w:r>
              <w:rPr>
                <w:rFonts w:ascii="Arial" w:eastAsia="宋体" w:hAnsi="Arial" w:cs="Arial"/>
                <w:color w:val="333333"/>
                <w:sz w:val="18"/>
                <w:szCs w:val="18"/>
              </w:rPr>
              <w:t>435 </w:t>
            </w:r>
          </w:p>
        </w:tc>
        <w:tc>
          <w:tcPr>
            <w:tcW w:w="0" w:type="auto"/>
            <w:shd w:val="clear" w:color="auto" w:fill="auto"/>
            <w:tcMar>
              <w:top w:w="40" w:type="dxa"/>
              <w:bottom w:w="40" w:type="dxa"/>
              <w:right w:w="20" w:type="dxa"/>
            </w:tcMar>
            <w:vAlign w:val="bottom"/>
          </w:tcPr>
          <w:p w14:paraId="36CA1E08" w14:textId="77777777" w:rsidR="00787570" w:rsidRDefault="00787570">
            <w:pPr>
              <w:jc w:val="right"/>
              <w:rPr>
                <w:rFonts w:ascii="宋体"/>
              </w:rPr>
            </w:pPr>
          </w:p>
        </w:tc>
        <w:tc>
          <w:tcPr>
            <w:tcW w:w="0" w:type="auto"/>
            <w:shd w:val="clear" w:color="auto" w:fill="auto"/>
          </w:tcPr>
          <w:p w14:paraId="36CA1E09" w14:textId="77777777" w:rsidR="00787570" w:rsidRDefault="00787570">
            <w:pPr>
              <w:rPr>
                <w:rFonts w:ascii="宋体"/>
              </w:rPr>
            </w:pPr>
          </w:p>
        </w:tc>
        <w:tc>
          <w:tcPr>
            <w:tcW w:w="0" w:type="auto"/>
            <w:shd w:val="clear" w:color="auto" w:fill="auto"/>
          </w:tcPr>
          <w:p w14:paraId="36CA1E0A" w14:textId="77777777" w:rsidR="00787570" w:rsidRDefault="00787570">
            <w:pPr>
              <w:rPr>
                <w:rFonts w:ascii="宋体"/>
              </w:rPr>
            </w:pPr>
          </w:p>
        </w:tc>
        <w:tc>
          <w:tcPr>
            <w:tcW w:w="0" w:type="auto"/>
            <w:shd w:val="clear" w:color="auto" w:fill="auto"/>
          </w:tcPr>
          <w:p w14:paraId="36CA1E0B" w14:textId="77777777" w:rsidR="00787570" w:rsidRDefault="00787570">
            <w:pPr>
              <w:rPr>
                <w:rFonts w:ascii="宋体"/>
              </w:rPr>
            </w:pPr>
          </w:p>
        </w:tc>
        <w:tc>
          <w:tcPr>
            <w:tcW w:w="0" w:type="auto"/>
            <w:shd w:val="clear" w:color="auto" w:fill="auto"/>
          </w:tcPr>
          <w:p w14:paraId="36CA1E0C" w14:textId="77777777" w:rsidR="00787570" w:rsidRDefault="00787570">
            <w:pPr>
              <w:rPr>
                <w:rFonts w:ascii="宋体"/>
              </w:rPr>
            </w:pPr>
          </w:p>
        </w:tc>
        <w:tc>
          <w:tcPr>
            <w:tcW w:w="0" w:type="auto"/>
            <w:shd w:val="clear" w:color="auto" w:fill="auto"/>
          </w:tcPr>
          <w:p w14:paraId="36CA1E0D" w14:textId="77777777" w:rsidR="00787570" w:rsidRDefault="00787570">
            <w:pPr>
              <w:rPr>
                <w:rFonts w:ascii="宋体"/>
              </w:rPr>
            </w:pPr>
          </w:p>
        </w:tc>
        <w:tc>
          <w:tcPr>
            <w:tcW w:w="0" w:type="auto"/>
            <w:shd w:val="clear" w:color="auto" w:fill="auto"/>
          </w:tcPr>
          <w:p w14:paraId="36CA1E0E" w14:textId="77777777" w:rsidR="00787570" w:rsidRDefault="00787570">
            <w:pPr>
              <w:rPr>
                <w:rFonts w:ascii="宋体"/>
              </w:rPr>
            </w:pPr>
          </w:p>
        </w:tc>
      </w:tr>
      <w:tr w:rsidR="00787570" w14:paraId="36CA1E1D" w14:textId="77777777">
        <w:trPr>
          <w:jc w:val="center"/>
        </w:trPr>
        <w:tc>
          <w:tcPr>
            <w:tcW w:w="0" w:type="auto"/>
            <w:gridSpan w:val="3"/>
            <w:shd w:val="clear" w:color="auto" w:fill="auto"/>
            <w:tcMar>
              <w:top w:w="40" w:type="dxa"/>
              <w:left w:w="405" w:type="dxa"/>
              <w:bottom w:w="40" w:type="dxa"/>
              <w:right w:w="20" w:type="dxa"/>
            </w:tcMar>
          </w:tcPr>
          <w:p w14:paraId="36CA1E10" w14:textId="77777777" w:rsidR="00787570" w:rsidRDefault="000D56E2">
            <w:pPr>
              <w:textAlignment w:val="top"/>
            </w:pPr>
            <w:r>
              <w:rPr>
                <w:rFonts w:ascii="Arial" w:eastAsia="宋体" w:hAnsi="Arial" w:cs="Arial"/>
                <w:color w:val="333333"/>
                <w:sz w:val="18"/>
                <w:szCs w:val="18"/>
              </w:rPr>
              <w:t>Other assets and liabilities</w:t>
            </w:r>
          </w:p>
        </w:tc>
        <w:tc>
          <w:tcPr>
            <w:tcW w:w="0" w:type="auto"/>
            <w:gridSpan w:val="3"/>
            <w:shd w:val="clear" w:color="auto" w:fill="auto"/>
            <w:tcMar>
              <w:left w:w="20" w:type="dxa"/>
              <w:right w:w="20" w:type="dxa"/>
            </w:tcMar>
            <w:vAlign w:val="bottom"/>
          </w:tcPr>
          <w:p w14:paraId="36CA1E11"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1E12" w14:textId="77777777" w:rsidR="00787570" w:rsidRDefault="000D56E2">
            <w:pPr>
              <w:jc w:val="right"/>
              <w:textAlignment w:val="bottom"/>
            </w:pPr>
            <w:r>
              <w:rPr>
                <w:rFonts w:ascii="Arial" w:eastAsia="宋体" w:hAnsi="Arial" w:cs="Arial"/>
                <w:color w:val="0071C5"/>
                <w:sz w:val="18"/>
                <w:szCs w:val="18"/>
              </w:rPr>
              <w:t>(296)</w:t>
            </w:r>
          </w:p>
        </w:tc>
        <w:tc>
          <w:tcPr>
            <w:tcW w:w="0" w:type="auto"/>
            <w:shd w:val="clear" w:color="auto" w:fill="auto"/>
            <w:tcMar>
              <w:top w:w="40" w:type="dxa"/>
              <w:bottom w:w="40" w:type="dxa"/>
              <w:right w:w="20" w:type="dxa"/>
            </w:tcMar>
            <w:vAlign w:val="bottom"/>
          </w:tcPr>
          <w:p w14:paraId="36CA1E13"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1E14"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1E15" w14:textId="77777777" w:rsidR="00787570" w:rsidRDefault="000D56E2">
            <w:pPr>
              <w:jc w:val="right"/>
              <w:textAlignment w:val="bottom"/>
            </w:pPr>
            <w:r>
              <w:rPr>
                <w:rFonts w:ascii="Arial" w:eastAsia="宋体" w:hAnsi="Arial" w:cs="Arial"/>
                <w:color w:val="333333"/>
                <w:sz w:val="18"/>
                <w:szCs w:val="18"/>
              </w:rPr>
              <w:t>1,769 </w:t>
            </w:r>
          </w:p>
        </w:tc>
        <w:tc>
          <w:tcPr>
            <w:tcW w:w="0" w:type="auto"/>
            <w:shd w:val="clear" w:color="auto" w:fill="auto"/>
            <w:tcMar>
              <w:top w:w="40" w:type="dxa"/>
              <w:bottom w:w="40" w:type="dxa"/>
              <w:right w:w="20" w:type="dxa"/>
            </w:tcMar>
            <w:vAlign w:val="bottom"/>
          </w:tcPr>
          <w:p w14:paraId="36CA1E16" w14:textId="77777777" w:rsidR="00787570" w:rsidRDefault="00787570">
            <w:pPr>
              <w:jc w:val="right"/>
              <w:rPr>
                <w:rFonts w:ascii="宋体"/>
              </w:rPr>
            </w:pPr>
          </w:p>
        </w:tc>
        <w:tc>
          <w:tcPr>
            <w:tcW w:w="0" w:type="auto"/>
            <w:shd w:val="clear" w:color="auto" w:fill="auto"/>
          </w:tcPr>
          <w:p w14:paraId="36CA1E17" w14:textId="77777777" w:rsidR="00787570" w:rsidRDefault="00787570">
            <w:pPr>
              <w:rPr>
                <w:rFonts w:ascii="宋体"/>
              </w:rPr>
            </w:pPr>
          </w:p>
        </w:tc>
        <w:tc>
          <w:tcPr>
            <w:tcW w:w="0" w:type="auto"/>
            <w:shd w:val="clear" w:color="auto" w:fill="auto"/>
          </w:tcPr>
          <w:p w14:paraId="36CA1E18" w14:textId="77777777" w:rsidR="00787570" w:rsidRDefault="00787570">
            <w:pPr>
              <w:rPr>
                <w:rFonts w:ascii="宋体"/>
              </w:rPr>
            </w:pPr>
          </w:p>
        </w:tc>
        <w:tc>
          <w:tcPr>
            <w:tcW w:w="0" w:type="auto"/>
            <w:shd w:val="clear" w:color="auto" w:fill="auto"/>
          </w:tcPr>
          <w:p w14:paraId="36CA1E19" w14:textId="77777777" w:rsidR="00787570" w:rsidRDefault="00787570">
            <w:pPr>
              <w:rPr>
                <w:rFonts w:ascii="宋体"/>
              </w:rPr>
            </w:pPr>
          </w:p>
        </w:tc>
        <w:tc>
          <w:tcPr>
            <w:tcW w:w="0" w:type="auto"/>
            <w:shd w:val="clear" w:color="auto" w:fill="auto"/>
          </w:tcPr>
          <w:p w14:paraId="36CA1E1A" w14:textId="77777777" w:rsidR="00787570" w:rsidRDefault="00787570">
            <w:pPr>
              <w:rPr>
                <w:rFonts w:ascii="宋体"/>
              </w:rPr>
            </w:pPr>
          </w:p>
        </w:tc>
        <w:tc>
          <w:tcPr>
            <w:tcW w:w="0" w:type="auto"/>
            <w:shd w:val="clear" w:color="auto" w:fill="auto"/>
          </w:tcPr>
          <w:p w14:paraId="36CA1E1B" w14:textId="77777777" w:rsidR="00787570" w:rsidRDefault="00787570">
            <w:pPr>
              <w:rPr>
                <w:rFonts w:ascii="宋体"/>
              </w:rPr>
            </w:pPr>
          </w:p>
        </w:tc>
        <w:tc>
          <w:tcPr>
            <w:tcW w:w="0" w:type="auto"/>
            <w:shd w:val="clear" w:color="auto" w:fill="auto"/>
          </w:tcPr>
          <w:p w14:paraId="36CA1E1C" w14:textId="77777777" w:rsidR="00787570" w:rsidRDefault="00787570">
            <w:pPr>
              <w:rPr>
                <w:rFonts w:ascii="宋体"/>
              </w:rPr>
            </w:pPr>
          </w:p>
        </w:tc>
      </w:tr>
      <w:tr w:rsidR="00787570" w14:paraId="36CA1E2B" w14:textId="77777777">
        <w:trPr>
          <w:jc w:val="center"/>
        </w:trPr>
        <w:tc>
          <w:tcPr>
            <w:tcW w:w="0" w:type="auto"/>
            <w:gridSpan w:val="3"/>
            <w:shd w:val="clear" w:color="auto" w:fill="auto"/>
            <w:tcMar>
              <w:top w:w="40" w:type="dxa"/>
              <w:left w:w="120" w:type="dxa"/>
              <w:bottom w:w="40" w:type="dxa"/>
              <w:right w:w="20" w:type="dxa"/>
            </w:tcMar>
          </w:tcPr>
          <w:p w14:paraId="36CA1E1E" w14:textId="77777777" w:rsidR="00787570" w:rsidRDefault="000D56E2">
            <w:pPr>
              <w:textAlignment w:val="top"/>
            </w:pPr>
            <w:r>
              <w:rPr>
                <w:rFonts w:ascii="Arial" w:eastAsia="宋体" w:hAnsi="Arial" w:cs="Arial"/>
                <w:color w:val="333333"/>
                <w:sz w:val="18"/>
                <w:szCs w:val="18"/>
              </w:rPr>
              <w:t xml:space="preserve">Total </w:t>
            </w:r>
            <w:r>
              <w:rPr>
                <w:rFonts w:ascii="Arial" w:eastAsia="宋体" w:hAnsi="Arial" w:cs="Arial"/>
                <w:color w:val="333333"/>
                <w:sz w:val="18"/>
                <w:szCs w:val="18"/>
              </w:rPr>
              <w:t>adjustments</w:t>
            </w:r>
          </w:p>
        </w:tc>
        <w:tc>
          <w:tcPr>
            <w:tcW w:w="0" w:type="auto"/>
            <w:gridSpan w:val="3"/>
            <w:shd w:val="clear" w:color="auto" w:fill="auto"/>
            <w:tcMar>
              <w:left w:w="20" w:type="dxa"/>
              <w:right w:w="20" w:type="dxa"/>
            </w:tcMar>
            <w:vAlign w:val="bottom"/>
          </w:tcPr>
          <w:p w14:paraId="36CA1E1F" w14:textId="77777777" w:rsidR="00787570" w:rsidRDefault="00787570">
            <w:pPr>
              <w:rPr>
                <w:rFonts w:ascii="宋体"/>
              </w:rPr>
            </w:pPr>
          </w:p>
        </w:tc>
        <w:tc>
          <w:tcPr>
            <w:tcW w:w="0" w:type="auto"/>
            <w:gridSpan w:val="2"/>
            <w:tcBorders>
              <w:top w:val="single" w:sz="8" w:space="0" w:color="333333"/>
            </w:tcBorders>
            <w:shd w:val="clear" w:color="auto" w:fill="auto"/>
            <w:tcMar>
              <w:top w:w="40" w:type="dxa"/>
              <w:left w:w="20" w:type="dxa"/>
              <w:bottom w:w="40" w:type="dxa"/>
              <w:right w:w="0" w:type="dxa"/>
            </w:tcMar>
            <w:vAlign w:val="bottom"/>
          </w:tcPr>
          <w:p w14:paraId="36CA1E20" w14:textId="77777777" w:rsidR="00787570" w:rsidRDefault="000D56E2">
            <w:pPr>
              <w:jc w:val="right"/>
              <w:textAlignment w:val="bottom"/>
            </w:pPr>
            <w:r>
              <w:rPr>
                <w:rFonts w:ascii="Arial" w:eastAsia="宋体" w:hAnsi="Arial" w:cs="Arial"/>
                <w:color w:val="0071C5"/>
                <w:sz w:val="18"/>
                <w:szCs w:val="18"/>
              </w:rPr>
              <w:t>10,452 </w:t>
            </w:r>
          </w:p>
        </w:tc>
        <w:tc>
          <w:tcPr>
            <w:tcW w:w="0" w:type="auto"/>
            <w:tcBorders>
              <w:top w:val="single" w:sz="8" w:space="0" w:color="333333"/>
            </w:tcBorders>
            <w:shd w:val="clear" w:color="auto" w:fill="auto"/>
            <w:tcMar>
              <w:top w:w="40" w:type="dxa"/>
              <w:bottom w:w="40" w:type="dxa"/>
              <w:right w:w="20" w:type="dxa"/>
            </w:tcMar>
            <w:vAlign w:val="bottom"/>
          </w:tcPr>
          <w:p w14:paraId="36CA1E21"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1E22" w14:textId="77777777" w:rsidR="00787570" w:rsidRDefault="00787570">
            <w:pPr>
              <w:rPr>
                <w:rFonts w:ascii="宋体"/>
              </w:rPr>
            </w:pPr>
          </w:p>
        </w:tc>
        <w:tc>
          <w:tcPr>
            <w:tcW w:w="0" w:type="auto"/>
            <w:gridSpan w:val="2"/>
            <w:tcBorders>
              <w:top w:val="single" w:sz="8" w:space="0" w:color="333333"/>
            </w:tcBorders>
            <w:shd w:val="clear" w:color="auto" w:fill="auto"/>
            <w:tcMar>
              <w:top w:w="40" w:type="dxa"/>
              <w:left w:w="20" w:type="dxa"/>
              <w:bottom w:w="40" w:type="dxa"/>
              <w:right w:w="0" w:type="dxa"/>
            </w:tcMar>
            <w:vAlign w:val="bottom"/>
          </w:tcPr>
          <w:p w14:paraId="36CA1E23" w14:textId="77777777" w:rsidR="00787570" w:rsidRDefault="000D56E2">
            <w:pPr>
              <w:jc w:val="right"/>
              <w:textAlignment w:val="bottom"/>
            </w:pPr>
            <w:r>
              <w:rPr>
                <w:rFonts w:ascii="Arial" w:eastAsia="宋体" w:hAnsi="Arial" w:cs="Arial"/>
                <w:color w:val="333333"/>
                <w:sz w:val="18"/>
                <w:szCs w:val="18"/>
              </w:rPr>
              <w:t>9,114 </w:t>
            </w:r>
          </w:p>
        </w:tc>
        <w:tc>
          <w:tcPr>
            <w:tcW w:w="0" w:type="auto"/>
            <w:tcBorders>
              <w:top w:val="single" w:sz="8" w:space="0" w:color="333333"/>
            </w:tcBorders>
            <w:shd w:val="clear" w:color="auto" w:fill="auto"/>
            <w:tcMar>
              <w:top w:w="40" w:type="dxa"/>
              <w:bottom w:w="40" w:type="dxa"/>
              <w:right w:w="20" w:type="dxa"/>
            </w:tcMar>
            <w:vAlign w:val="bottom"/>
          </w:tcPr>
          <w:p w14:paraId="36CA1E24" w14:textId="77777777" w:rsidR="00787570" w:rsidRDefault="00787570">
            <w:pPr>
              <w:jc w:val="right"/>
              <w:rPr>
                <w:rFonts w:ascii="宋体"/>
              </w:rPr>
            </w:pPr>
          </w:p>
        </w:tc>
        <w:tc>
          <w:tcPr>
            <w:tcW w:w="0" w:type="auto"/>
            <w:shd w:val="clear" w:color="auto" w:fill="auto"/>
          </w:tcPr>
          <w:p w14:paraId="36CA1E25" w14:textId="77777777" w:rsidR="00787570" w:rsidRDefault="00787570">
            <w:pPr>
              <w:rPr>
                <w:rFonts w:ascii="宋体"/>
              </w:rPr>
            </w:pPr>
          </w:p>
        </w:tc>
        <w:tc>
          <w:tcPr>
            <w:tcW w:w="0" w:type="auto"/>
            <w:shd w:val="clear" w:color="auto" w:fill="auto"/>
          </w:tcPr>
          <w:p w14:paraId="36CA1E26" w14:textId="77777777" w:rsidR="00787570" w:rsidRDefault="00787570">
            <w:pPr>
              <w:rPr>
                <w:rFonts w:ascii="宋体"/>
              </w:rPr>
            </w:pPr>
          </w:p>
        </w:tc>
        <w:tc>
          <w:tcPr>
            <w:tcW w:w="0" w:type="auto"/>
            <w:shd w:val="clear" w:color="auto" w:fill="auto"/>
          </w:tcPr>
          <w:p w14:paraId="36CA1E27" w14:textId="77777777" w:rsidR="00787570" w:rsidRDefault="00787570">
            <w:pPr>
              <w:rPr>
                <w:rFonts w:ascii="宋体"/>
              </w:rPr>
            </w:pPr>
          </w:p>
        </w:tc>
        <w:tc>
          <w:tcPr>
            <w:tcW w:w="0" w:type="auto"/>
            <w:shd w:val="clear" w:color="auto" w:fill="auto"/>
          </w:tcPr>
          <w:p w14:paraId="36CA1E28" w14:textId="77777777" w:rsidR="00787570" w:rsidRDefault="00787570">
            <w:pPr>
              <w:rPr>
                <w:rFonts w:ascii="宋体"/>
              </w:rPr>
            </w:pPr>
          </w:p>
        </w:tc>
        <w:tc>
          <w:tcPr>
            <w:tcW w:w="0" w:type="auto"/>
            <w:shd w:val="clear" w:color="auto" w:fill="auto"/>
          </w:tcPr>
          <w:p w14:paraId="36CA1E29" w14:textId="77777777" w:rsidR="00787570" w:rsidRDefault="00787570">
            <w:pPr>
              <w:rPr>
                <w:rFonts w:ascii="宋体"/>
              </w:rPr>
            </w:pPr>
          </w:p>
        </w:tc>
        <w:tc>
          <w:tcPr>
            <w:tcW w:w="0" w:type="auto"/>
            <w:shd w:val="clear" w:color="auto" w:fill="auto"/>
          </w:tcPr>
          <w:p w14:paraId="36CA1E2A" w14:textId="77777777" w:rsidR="00787570" w:rsidRDefault="00787570">
            <w:pPr>
              <w:rPr>
                <w:rFonts w:ascii="宋体"/>
              </w:rPr>
            </w:pPr>
          </w:p>
        </w:tc>
      </w:tr>
      <w:tr w:rsidR="00787570" w14:paraId="36CA1E39" w14:textId="77777777">
        <w:trPr>
          <w:jc w:val="center"/>
        </w:trPr>
        <w:tc>
          <w:tcPr>
            <w:tcW w:w="0" w:type="auto"/>
            <w:gridSpan w:val="3"/>
            <w:shd w:val="clear" w:color="auto" w:fill="auto"/>
            <w:tcMar>
              <w:top w:w="40" w:type="dxa"/>
              <w:left w:w="20" w:type="dxa"/>
              <w:bottom w:w="40" w:type="dxa"/>
              <w:right w:w="20" w:type="dxa"/>
            </w:tcMar>
          </w:tcPr>
          <w:p w14:paraId="36CA1E2C" w14:textId="77777777" w:rsidR="00787570" w:rsidRDefault="000D56E2">
            <w:pPr>
              <w:textAlignment w:val="top"/>
            </w:pPr>
            <w:r>
              <w:rPr>
                <w:rFonts w:ascii="Arial" w:eastAsia="宋体" w:hAnsi="Arial" w:cs="Arial"/>
                <w:b/>
                <w:bCs/>
                <w:color w:val="333333"/>
                <w:sz w:val="18"/>
                <w:szCs w:val="18"/>
              </w:rPr>
              <w:t>Net cash provided by operating activities</w:t>
            </w:r>
          </w:p>
        </w:tc>
        <w:tc>
          <w:tcPr>
            <w:tcW w:w="0" w:type="auto"/>
            <w:gridSpan w:val="3"/>
            <w:shd w:val="clear" w:color="auto" w:fill="auto"/>
            <w:tcMar>
              <w:left w:w="20" w:type="dxa"/>
              <w:right w:w="20" w:type="dxa"/>
            </w:tcMar>
            <w:vAlign w:val="bottom"/>
          </w:tcPr>
          <w:p w14:paraId="36CA1E2D" w14:textId="77777777" w:rsidR="00787570" w:rsidRDefault="00787570">
            <w:pPr>
              <w:rPr>
                <w:rFonts w:ascii="宋体"/>
              </w:rPr>
            </w:pPr>
          </w:p>
        </w:tc>
        <w:tc>
          <w:tcPr>
            <w:tcW w:w="0" w:type="auto"/>
            <w:gridSpan w:val="2"/>
            <w:tcBorders>
              <w:top w:val="single" w:sz="8" w:space="0" w:color="333333"/>
            </w:tcBorders>
            <w:shd w:val="clear" w:color="auto" w:fill="auto"/>
            <w:tcMar>
              <w:top w:w="40" w:type="dxa"/>
              <w:left w:w="20" w:type="dxa"/>
              <w:bottom w:w="40" w:type="dxa"/>
              <w:right w:w="0" w:type="dxa"/>
            </w:tcMar>
            <w:vAlign w:val="bottom"/>
          </w:tcPr>
          <w:p w14:paraId="36CA1E2E" w14:textId="77777777" w:rsidR="00787570" w:rsidRDefault="000D56E2">
            <w:pPr>
              <w:jc w:val="right"/>
              <w:textAlignment w:val="bottom"/>
            </w:pPr>
            <w:r>
              <w:rPr>
                <w:rFonts w:ascii="Arial" w:eastAsia="宋体" w:hAnsi="Arial" w:cs="Arial"/>
                <w:b/>
                <w:bCs/>
                <w:color w:val="0071C5"/>
                <w:sz w:val="18"/>
                <w:szCs w:val="18"/>
              </w:rPr>
              <w:t>25,494</w:t>
            </w:r>
            <w:r>
              <w:rPr>
                <w:rFonts w:ascii="Arial" w:eastAsia="宋体" w:hAnsi="Arial" w:cs="Arial"/>
                <w:color w:val="0071C5"/>
                <w:sz w:val="18"/>
                <w:szCs w:val="18"/>
              </w:rPr>
              <w:t> </w:t>
            </w:r>
          </w:p>
        </w:tc>
        <w:tc>
          <w:tcPr>
            <w:tcW w:w="0" w:type="auto"/>
            <w:tcBorders>
              <w:top w:val="single" w:sz="8" w:space="0" w:color="333333"/>
            </w:tcBorders>
            <w:shd w:val="clear" w:color="auto" w:fill="auto"/>
            <w:tcMar>
              <w:top w:w="40" w:type="dxa"/>
              <w:bottom w:w="40" w:type="dxa"/>
              <w:right w:w="20" w:type="dxa"/>
            </w:tcMar>
            <w:vAlign w:val="bottom"/>
          </w:tcPr>
          <w:p w14:paraId="36CA1E2F"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1E30" w14:textId="77777777" w:rsidR="00787570" w:rsidRDefault="00787570">
            <w:pPr>
              <w:rPr>
                <w:rFonts w:ascii="宋体"/>
              </w:rPr>
            </w:pPr>
          </w:p>
        </w:tc>
        <w:tc>
          <w:tcPr>
            <w:tcW w:w="0" w:type="auto"/>
            <w:gridSpan w:val="2"/>
            <w:tcBorders>
              <w:top w:val="single" w:sz="8" w:space="0" w:color="333333"/>
            </w:tcBorders>
            <w:shd w:val="clear" w:color="auto" w:fill="auto"/>
            <w:tcMar>
              <w:top w:w="40" w:type="dxa"/>
              <w:left w:w="20" w:type="dxa"/>
              <w:bottom w:w="40" w:type="dxa"/>
              <w:right w:w="0" w:type="dxa"/>
            </w:tcMar>
            <w:vAlign w:val="bottom"/>
          </w:tcPr>
          <w:p w14:paraId="36CA1E31" w14:textId="77777777" w:rsidR="00787570" w:rsidRDefault="000D56E2">
            <w:pPr>
              <w:jc w:val="right"/>
              <w:textAlignment w:val="bottom"/>
            </w:pPr>
            <w:r>
              <w:rPr>
                <w:rFonts w:ascii="Arial" w:eastAsia="宋体" w:hAnsi="Arial" w:cs="Arial"/>
                <w:b/>
                <w:bCs/>
                <w:color w:val="333333"/>
                <w:sz w:val="18"/>
                <w:szCs w:val="18"/>
              </w:rPr>
              <w:t>23,257</w:t>
            </w:r>
            <w:r>
              <w:rPr>
                <w:rFonts w:ascii="Arial" w:eastAsia="宋体" w:hAnsi="Arial" w:cs="Arial"/>
                <w:color w:val="333333"/>
                <w:sz w:val="18"/>
                <w:szCs w:val="18"/>
              </w:rPr>
              <w:t> </w:t>
            </w:r>
          </w:p>
        </w:tc>
        <w:tc>
          <w:tcPr>
            <w:tcW w:w="0" w:type="auto"/>
            <w:tcBorders>
              <w:top w:val="single" w:sz="8" w:space="0" w:color="333333"/>
            </w:tcBorders>
            <w:shd w:val="clear" w:color="auto" w:fill="auto"/>
            <w:tcMar>
              <w:top w:w="40" w:type="dxa"/>
              <w:bottom w:w="40" w:type="dxa"/>
              <w:right w:w="20" w:type="dxa"/>
            </w:tcMar>
            <w:vAlign w:val="bottom"/>
          </w:tcPr>
          <w:p w14:paraId="36CA1E32" w14:textId="77777777" w:rsidR="00787570" w:rsidRDefault="00787570">
            <w:pPr>
              <w:jc w:val="right"/>
              <w:rPr>
                <w:rFonts w:ascii="宋体"/>
              </w:rPr>
            </w:pPr>
          </w:p>
        </w:tc>
        <w:tc>
          <w:tcPr>
            <w:tcW w:w="0" w:type="auto"/>
            <w:shd w:val="clear" w:color="auto" w:fill="auto"/>
          </w:tcPr>
          <w:p w14:paraId="36CA1E33" w14:textId="77777777" w:rsidR="00787570" w:rsidRDefault="00787570">
            <w:pPr>
              <w:rPr>
                <w:rFonts w:ascii="宋体"/>
              </w:rPr>
            </w:pPr>
          </w:p>
        </w:tc>
        <w:tc>
          <w:tcPr>
            <w:tcW w:w="0" w:type="auto"/>
            <w:shd w:val="clear" w:color="auto" w:fill="auto"/>
          </w:tcPr>
          <w:p w14:paraId="36CA1E34" w14:textId="77777777" w:rsidR="00787570" w:rsidRDefault="00787570">
            <w:pPr>
              <w:rPr>
                <w:rFonts w:ascii="宋体"/>
              </w:rPr>
            </w:pPr>
          </w:p>
        </w:tc>
        <w:tc>
          <w:tcPr>
            <w:tcW w:w="0" w:type="auto"/>
            <w:shd w:val="clear" w:color="auto" w:fill="auto"/>
          </w:tcPr>
          <w:p w14:paraId="36CA1E35" w14:textId="77777777" w:rsidR="00787570" w:rsidRDefault="00787570">
            <w:pPr>
              <w:rPr>
                <w:rFonts w:ascii="宋体"/>
              </w:rPr>
            </w:pPr>
          </w:p>
        </w:tc>
        <w:tc>
          <w:tcPr>
            <w:tcW w:w="0" w:type="auto"/>
            <w:shd w:val="clear" w:color="auto" w:fill="auto"/>
          </w:tcPr>
          <w:p w14:paraId="36CA1E36" w14:textId="77777777" w:rsidR="00787570" w:rsidRDefault="00787570">
            <w:pPr>
              <w:rPr>
                <w:rFonts w:ascii="宋体"/>
              </w:rPr>
            </w:pPr>
          </w:p>
        </w:tc>
        <w:tc>
          <w:tcPr>
            <w:tcW w:w="0" w:type="auto"/>
            <w:shd w:val="clear" w:color="auto" w:fill="auto"/>
          </w:tcPr>
          <w:p w14:paraId="36CA1E37" w14:textId="77777777" w:rsidR="00787570" w:rsidRDefault="00787570">
            <w:pPr>
              <w:rPr>
                <w:rFonts w:ascii="宋体"/>
              </w:rPr>
            </w:pPr>
          </w:p>
        </w:tc>
        <w:tc>
          <w:tcPr>
            <w:tcW w:w="0" w:type="auto"/>
            <w:shd w:val="clear" w:color="auto" w:fill="auto"/>
          </w:tcPr>
          <w:p w14:paraId="36CA1E38" w14:textId="77777777" w:rsidR="00787570" w:rsidRDefault="00787570">
            <w:pPr>
              <w:rPr>
                <w:rFonts w:ascii="宋体"/>
              </w:rPr>
            </w:pPr>
          </w:p>
        </w:tc>
      </w:tr>
      <w:tr w:rsidR="00787570" w14:paraId="36CA1E45" w14:textId="77777777">
        <w:trPr>
          <w:jc w:val="center"/>
        </w:trPr>
        <w:tc>
          <w:tcPr>
            <w:tcW w:w="0" w:type="auto"/>
            <w:gridSpan w:val="3"/>
            <w:shd w:val="clear" w:color="auto" w:fill="auto"/>
            <w:tcMar>
              <w:top w:w="40" w:type="dxa"/>
              <w:left w:w="20" w:type="dxa"/>
              <w:bottom w:w="40" w:type="dxa"/>
              <w:right w:w="20" w:type="dxa"/>
            </w:tcMar>
          </w:tcPr>
          <w:p w14:paraId="36CA1E3A" w14:textId="77777777" w:rsidR="00787570" w:rsidRDefault="000D56E2">
            <w:pPr>
              <w:textAlignment w:val="top"/>
            </w:pPr>
            <w:r>
              <w:rPr>
                <w:rFonts w:ascii="Arial" w:eastAsia="宋体" w:hAnsi="Arial" w:cs="Arial"/>
                <w:color w:val="333333"/>
                <w:sz w:val="18"/>
                <w:szCs w:val="18"/>
              </w:rPr>
              <w:t>Cash flows provided by (used for) investing activities:</w:t>
            </w:r>
          </w:p>
        </w:tc>
        <w:tc>
          <w:tcPr>
            <w:tcW w:w="0" w:type="auto"/>
            <w:gridSpan w:val="3"/>
            <w:shd w:val="clear" w:color="auto" w:fill="auto"/>
            <w:tcMar>
              <w:left w:w="20" w:type="dxa"/>
              <w:right w:w="20" w:type="dxa"/>
            </w:tcMar>
            <w:vAlign w:val="bottom"/>
          </w:tcPr>
          <w:p w14:paraId="36CA1E3B" w14:textId="77777777" w:rsidR="00787570" w:rsidRDefault="00787570">
            <w:pPr>
              <w:rPr>
                <w:rFonts w:ascii="宋体"/>
              </w:rPr>
            </w:pPr>
          </w:p>
        </w:tc>
        <w:tc>
          <w:tcPr>
            <w:tcW w:w="0" w:type="auto"/>
            <w:gridSpan w:val="3"/>
            <w:tcBorders>
              <w:top w:val="single" w:sz="8" w:space="0" w:color="333333"/>
            </w:tcBorders>
            <w:shd w:val="clear" w:color="auto" w:fill="auto"/>
            <w:tcMar>
              <w:left w:w="20" w:type="dxa"/>
              <w:right w:w="20" w:type="dxa"/>
            </w:tcMar>
            <w:vAlign w:val="bottom"/>
          </w:tcPr>
          <w:p w14:paraId="36CA1E3C"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1E3D" w14:textId="77777777" w:rsidR="00787570" w:rsidRDefault="00787570">
            <w:pPr>
              <w:rPr>
                <w:rFonts w:ascii="宋体"/>
              </w:rPr>
            </w:pPr>
          </w:p>
        </w:tc>
        <w:tc>
          <w:tcPr>
            <w:tcW w:w="0" w:type="auto"/>
            <w:gridSpan w:val="3"/>
            <w:tcBorders>
              <w:top w:val="single" w:sz="8" w:space="0" w:color="333333"/>
            </w:tcBorders>
            <w:shd w:val="clear" w:color="auto" w:fill="auto"/>
            <w:tcMar>
              <w:left w:w="20" w:type="dxa"/>
              <w:right w:w="20" w:type="dxa"/>
            </w:tcMar>
            <w:vAlign w:val="bottom"/>
          </w:tcPr>
          <w:p w14:paraId="36CA1E3E" w14:textId="77777777" w:rsidR="00787570" w:rsidRDefault="00787570">
            <w:pPr>
              <w:rPr>
                <w:rFonts w:ascii="宋体"/>
              </w:rPr>
            </w:pPr>
          </w:p>
        </w:tc>
        <w:tc>
          <w:tcPr>
            <w:tcW w:w="0" w:type="auto"/>
            <w:shd w:val="clear" w:color="auto" w:fill="auto"/>
          </w:tcPr>
          <w:p w14:paraId="36CA1E3F" w14:textId="77777777" w:rsidR="00787570" w:rsidRDefault="00787570">
            <w:pPr>
              <w:rPr>
                <w:rFonts w:ascii="宋体"/>
              </w:rPr>
            </w:pPr>
          </w:p>
        </w:tc>
        <w:tc>
          <w:tcPr>
            <w:tcW w:w="0" w:type="auto"/>
            <w:shd w:val="clear" w:color="auto" w:fill="auto"/>
          </w:tcPr>
          <w:p w14:paraId="36CA1E40" w14:textId="77777777" w:rsidR="00787570" w:rsidRDefault="00787570">
            <w:pPr>
              <w:rPr>
                <w:rFonts w:ascii="宋体"/>
              </w:rPr>
            </w:pPr>
          </w:p>
        </w:tc>
        <w:tc>
          <w:tcPr>
            <w:tcW w:w="0" w:type="auto"/>
            <w:shd w:val="clear" w:color="auto" w:fill="auto"/>
          </w:tcPr>
          <w:p w14:paraId="36CA1E41" w14:textId="77777777" w:rsidR="00787570" w:rsidRDefault="00787570">
            <w:pPr>
              <w:rPr>
                <w:rFonts w:ascii="宋体"/>
              </w:rPr>
            </w:pPr>
          </w:p>
        </w:tc>
        <w:tc>
          <w:tcPr>
            <w:tcW w:w="0" w:type="auto"/>
            <w:shd w:val="clear" w:color="auto" w:fill="auto"/>
          </w:tcPr>
          <w:p w14:paraId="36CA1E42" w14:textId="77777777" w:rsidR="00787570" w:rsidRDefault="00787570">
            <w:pPr>
              <w:rPr>
                <w:rFonts w:ascii="宋体"/>
              </w:rPr>
            </w:pPr>
          </w:p>
        </w:tc>
        <w:tc>
          <w:tcPr>
            <w:tcW w:w="0" w:type="auto"/>
            <w:shd w:val="clear" w:color="auto" w:fill="auto"/>
          </w:tcPr>
          <w:p w14:paraId="36CA1E43" w14:textId="77777777" w:rsidR="00787570" w:rsidRDefault="00787570">
            <w:pPr>
              <w:rPr>
                <w:rFonts w:ascii="宋体"/>
              </w:rPr>
            </w:pPr>
          </w:p>
        </w:tc>
        <w:tc>
          <w:tcPr>
            <w:tcW w:w="0" w:type="auto"/>
            <w:shd w:val="clear" w:color="auto" w:fill="auto"/>
          </w:tcPr>
          <w:p w14:paraId="36CA1E44" w14:textId="77777777" w:rsidR="00787570" w:rsidRDefault="00787570">
            <w:pPr>
              <w:rPr>
                <w:rFonts w:ascii="宋体"/>
              </w:rPr>
            </w:pPr>
          </w:p>
        </w:tc>
      </w:tr>
      <w:tr w:rsidR="00787570" w14:paraId="36CA1E53" w14:textId="77777777">
        <w:trPr>
          <w:jc w:val="center"/>
        </w:trPr>
        <w:tc>
          <w:tcPr>
            <w:tcW w:w="0" w:type="auto"/>
            <w:gridSpan w:val="3"/>
            <w:shd w:val="clear" w:color="auto" w:fill="auto"/>
            <w:tcMar>
              <w:top w:w="40" w:type="dxa"/>
              <w:left w:w="195" w:type="dxa"/>
              <w:bottom w:w="40" w:type="dxa"/>
              <w:right w:w="20" w:type="dxa"/>
            </w:tcMar>
          </w:tcPr>
          <w:p w14:paraId="36CA1E46" w14:textId="77777777" w:rsidR="00787570" w:rsidRDefault="000D56E2">
            <w:pPr>
              <w:textAlignment w:val="top"/>
            </w:pPr>
            <w:r>
              <w:rPr>
                <w:rFonts w:ascii="Arial" w:eastAsia="宋体" w:hAnsi="Arial" w:cs="Arial"/>
                <w:color w:val="333333"/>
                <w:sz w:val="18"/>
                <w:szCs w:val="18"/>
              </w:rPr>
              <w:t>Additions to property, plant and equipment</w:t>
            </w:r>
          </w:p>
        </w:tc>
        <w:tc>
          <w:tcPr>
            <w:tcW w:w="0" w:type="auto"/>
            <w:gridSpan w:val="3"/>
            <w:shd w:val="clear" w:color="auto" w:fill="auto"/>
            <w:tcMar>
              <w:left w:w="20" w:type="dxa"/>
              <w:right w:w="20" w:type="dxa"/>
            </w:tcMar>
            <w:vAlign w:val="bottom"/>
          </w:tcPr>
          <w:p w14:paraId="36CA1E47"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1E48" w14:textId="77777777" w:rsidR="00787570" w:rsidRDefault="000D56E2">
            <w:pPr>
              <w:jc w:val="right"/>
              <w:textAlignment w:val="bottom"/>
            </w:pPr>
            <w:r>
              <w:rPr>
                <w:rFonts w:ascii="Arial" w:eastAsia="宋体" w:hAnsi="Arial" w:cs="Arial"/>
                <w:color w:val="0071C5"/>
                <w:sz w:val="18"/>
                <w:szCs w:val="18"/>
              </w:rPr>
              <w:t>(10,392)</w:t>
            </w:r>
          </w:p>
        </w:tc>
        <w:tc>
          <w:tcPr>
            <w:tcW w:w="0" w:type="auto"/>
            <w:shd w:val="clear" w:color="auto" w:fill="auto"/>
            <w:tcMar>
              <w:top w:w="40" w:type="dxa"/>
              <w:bottom w:w="40" w:type="dxa"/>
              <w:right w:w="20" w:type="dxa"/>
            </w:tcMar>
            <w:vAlign w:val="bottom"/>
          </w:tcPr>
          <w:p w14:paraId="36CA1E49"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1E4A"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1E4B" w14:textId="77777777" w:rsidR="00787570" w:rsidRDefault="000D56E2">
            <w:pPr>
              <w:jc w:val="right"/>
              <w:textAlignment w:val="bottom"/>
            </w:pPr>
            <w:r>
              <w:rPr>
                <w:rFonts w:ascii="Arial" w:eastAsia="宋体" w:hAnsi="Arial" w:cs="Arial"/>
                <w:color w:val="333333"/>
                <w:sz w:val="18"/>
                <w:szCs w:val="18"/>
              </w:rPr>
              <w:t>(11,547)</w:t>
            </w:r>
          </w:p>
        </w:tc>
        <w:tc>
          <w:tcPr>
            <w:tcW w:w="0" w:type="auto"/>
            <w:shd w:val="clear" w:color="auto" w:fill="auto"/>
            <w:tcMar>
              <w:top w:w="40" w:type="dxa"/>
              <w:bottom w:w="40" w:type="dxa"/>
              <w:right w:w="20" w:type="dxa"/>
            </w:tcMar>
            <w:vAlign w:val="bottom"/>
          </w:tcPr>
          <w:p w14:paraId="36CA1E4C" w14:textId="77777777" w:rsidR="00787570" w:rsidRDefault="00787570">
            <w:pPr>
              <w:jc w:val="right"/>
              <w:rPr>
                <w:rFonts w:ascii="宋体"/>
              </w:rPr>
            </w:pPr>
          </w:p>
        </w:tc>
        <w:tc>
          <w:tcPr>
            <w:tcW w:w="0" w:type="auto"/>
            <w:shd w:val="clear" w:color="auto" w:fill="auto"/>
          </w:tcPr>
          <w:p w14:paraId="36CA1E4D" w14:textId="77777777" w:rsidR="00787570" w:rsidRDefault="00787570">
            <w:pPr>
              <w:rPr>
                <w:rFonts w:ascii="宋体"/>
              </w:rPr>
            </w:pPr>
          </w:p>
        </w:tc>
        <w:tc>
          <w:tcPr>
            <w:tcW w:w="0" w:type="auto"/>
            <w:shd w:val="clear" w:color="auto" w:fill="auto"/>
          </w:tcPr>
          <w:p w14:paraId="36CA1E4E" w14:textId="77777777" w:rsidR="00787570" w:rsidRDefault="00787570">
            <w:pPr>
              <w:rPr>
                <w:rFonts w:ascii="宋体"/>
              </w:rPr>
            </w:pPr>
          </w:p>
        </w:tc>
        <w:tc>
          <w:tcPr>
            <w:tcW w:w="0" w:type="auto"/>
            <w:shd w:val="clear" w:color="auto" w:fill="auto"/>
          </w:tcPr>
          <w:p w14:paraId="36CA1E4F" w14:textId="77777777" w:rsidR="00787570" w:rsidRDefault="00787570">
            <w:pPr>
              <w:rPr>
                <w:rFonts w:ascii="宋体"/>
              </w:rPr>
            </w:pPr>
          </w:p>
        </w:tc>
        <w:tc>
          <w:tcPr>
            <w:tcW w:w="0" w:type="auto"/>
            <w:shd w:val="clear" w:color="auto" w:fill="auto"/>
          </w:tcPr>
          <w:p w14:paraId="36CA1E50" w14:textId="77777777" w:rsidR="00787570" w:rsidRDefault="00787570">
            <w:pPr>
              <w:rPr>
                <w:rFonts w:ascii="宋体"/>
              </w:rPr>
            </w:pPr>
          </w:p>
        </w:tc>
        <w:tc>
          <w:tcPr>
            <w:tcW w:w="0" w:type="auto"/>
            <w:shd w:val="clear" w:color="auto" w:fill="auto"/>
          </w:tcPr>
          <w:p w14:paraId="36CA1E51" w14:textId="77777777" w:rsidR="00787570" w:rsidRDefault="00787570">
            <w:pPr>
              <w:rPr>
                <w:rFonts w:ascii="宋体"/>
              </w:rPr>
            </w:pPr>
          </w:p>
        </w:tc>
        <w:tc>
          <w:tcPr>
            <w:tcW w:w="0" w:type="auto"/>
            <w:shd w:val="clear" w:color="auto" w:fill="auto"/>
          </w:tcPr>
          <w:p w14:paraId="36CA1E52" w14:textId="77777777" w:rsidR="00787570" w:rsidRDefault="00787570">
            <w:pPr>
              <w:rPr>
                <w:rFonts w:ascii="宋体"/>
              </w:rPr>
            </w:pPr>
          </w:p>
        </w:tc>
      </w:tr>
      <w:tr w:rsidR="00787570" w14:paraId="36CA1E5F" w14:textId="77777777">
        <w:trPr>
          <w:jc w:val="center"/>
          <w:hidden/>
        </w:trPr>
        <w:tc>
          <w:tcPr>
            <w:tcW w:w="0" w:type="auto"/>
            <w:gridSpan w:val="3"/>
            <w:shd w:val="clear" w:color="auto" w:fill="auto"/>
          </w:tcPr>
          <w:p w14:paraId="36CA1E54" w14:textId="77777777" w:rsidR="00787570" w:rsidRDefault="00787570">
            <w:pPr>
              <w:rPr>
                <w:rFonts w:ascii="宋体"/>
                <w:vanish/>
              </w:rPr>
            </w:pPr>
          </w:p>
        </w:tc>
        <w:tc>
          <w:tcPr>
            <w:tcW w:w="0" w:type="auto"/>
            <w:gridSpan w:val="3"/>
            <w:shd w:val="clear" w:color="auto" w:fill="auto"/>
          </w:tcPr>
          <w:p w14:paraId="36CA1E55" w14:textId="77777777" w:rsidR="00787570" w:rsidRDefault="00787570">
            <w:pPr>
              <w:rPr>
                <w:rFonts w:ascii="宋体"/>
                <w:vanish/>
              </w:rPr>
            </w:pPr>
          </w:p>
        </w:tc>
        <w:tc>
          <w:tcPr>
            <w:tcW w:w="0" w:type="auto"/>
            <w:gridSpan w:val="3"/>
            <w:shd w:val="clear" w:color="auto" w:fill="auto"/>
          </w:tcPr>
          <w:p w14:paraId="36CA1E56" w14:textId="77777777" w:rsidR="00787570" w:rsidRDefault="00787570">
            <w:pPr>
              <w:rPr>
                <w:rFonts w:ascii="宋体"/>
                <w:vanish/>
              </w:rPr>
            </w:pPr>
          </w:p>
        </w:tc>
        <w:tc>
          <w:tcPr>
            <w:tcW w:w="0" w:type="auto"/>
            <w:gridSpan w:val="3"/>
            <w:shd w:val="clear" w:color="auto" w:fill="auto"/>
          </w:tcPr>
          <w:p w14:paraId="36CA1E57" w14:textId="77777777" w:rsidR="00787570" w:rsidRDefault="00787570">
            <w:pPr>
              <w:rPr>
                <w:rFonts w:ascii="宋体"/>
                <w:vanish/>
              </w:rPr>
            </w:pPr>
          </w:p>
        </w:tc>
        <w:tc>
          <w:tcPr>
            <w:tcW w:w="0" w:type="auto"/>
            <w:gridSpan w:val="3"/>
            <w:shd w:val="clear" w:color="auto" w:fill="auto"/>
          </w:tcPr>
          <w:p w14:paraId="36CA1E58" w14:textId="77777777" w:rsidR="00787570" w:rsidRDefault="00787570">
            <w:pPr>
              <w:rPr>
                <w:rFonts w:ascii="宋体"/>
                <w:vanish/>
              </w:rPr>
            </w:pPr>
          </w:p>
        </w:tc>
        <w:tc>
          <w:tcPr>
            <w:tcW w:w="0" w:type="auto"/>
            <w:shd w:val="clear" w:color="auto" w:fill="auto"/>
          </w:tcPr>
          <w:p w14:paraId="36CA1E59" w14:textId="77777777" w:rsidR="00787570" w:rsidRDefault="00787570">
            <w:pPr>
              <w:rPr>
                <w:rFonts w:ascii="宋体"/>
              </w:rPr>
            </w:pPr>
          </w:p>
        </w:tc>
        <w:tc>
          <w:tcPr>
            <w:tcW w:w="0" w:type="auto"/>
            <w:shd w:val="clear" w:color="auto" w:fill="auto"/>
          </w:tcPr>
          <w:p w14:paraId="36CA1E5A" w14:textId="77777777" w:rsidR="00787570" w:rsidRDefault="00787570">
            <w:pPr>
              <w:rPr>
                <w:rFonts w:ascii="宋体"/>
              </w:rPr>
            </w:pPr>
          </w:p>
        </w:tc>
        <w:tc>
          <w:tcPr>
            <w:tcW w:w="0" w:type="auto"/>
            <w:shd w:val="clear" w:color="auto" w:fill="auto"/>
          </w:tcPr>
          <w:p w14:paraId="36CA1E5B" w14:textId="77777777" w:rsidR="00787570" w:rsidRDefault="00787570">
            <w:pPr>
              <w:rPr>
                <w:rFonts w:ascii="宋体"/>
              </w:rPr>
            </w:pPr>
          </w:p>
        </w:tc>
        <w:tc>
          <w:tcPr>
            <w:tcW w:w="0" w:type="auto"/>
            <w:shd w:val="clear" w:color="auto" w:fill="auto"/>
          </w:tcPr>
          <w:p w14:paraId="36CA1E5C" w14:textId="77777777" w:rsidR="00787570" w:rsidRDefault="00787570">
            <w:pPr>
              <w:rPr>
                <w:rFonts w:ascii="宋体"/>
              </w:rPr>
            </w:pPr>
          </w:p>
        </w:tc>
        <w:tc>
          <w:tcPr>
            <w:tcW w:w="0" w:type="auto"/>
            <w:shd w:val="clear" w:color="auto" w:fill="auto"/>
          </w:tcPr>
          <w:p w14:paraId="36CA1E5D" w14:textId="77777777" w:rsidR="00787570" w:rsidRDefault="00787570">
            <w:pPr>
              <w:rPr>
                <w:rFonts w:ascii="宋体"/>
              </w:rPr>
            </w:pPr>
          </w:p>
        </w:tc>
        <w:tc>
          <w:tcPr>
            <w:tcW w:w="0" w:type="auto"/>
            <w:shd w:val="clear" w:color="auto" w:fill="auto"/>
          </w:tcPr>
          <w:p w14:paraId="36CA1E5E" w14:textId="77777777" w:rsidR="00787570" w:rsidRDefault="00787570">
            <w:pPr>
              <w:rPr>
                <w:rFonts w:ascii="宋体"/>
              </w:rPr>
            </w:pPr>
          </w:p>
        </w:tc>
      </w:tr>
      <w:tr w:rsidR="00787570" w14:paraId="36CA1E6D" w14:textId="77777777">
        <w:trPr>
          <w:jc w:val="center"/>
        </w:trPr>
        <w:tc>
          <w:tcPr>
            <w:tcW w:w="0" w:type="auto"/>
            <w:gridSpan w:val="3"/>
            <w:shd w:val="clear" w:color="auto" w:fill="auto"/>
            <w:tcMar>
              <w:top w:w="40" w:type="dxa"/>
              <w:left w:w="195" w:type="dxa"/>
              <w:bottom w:w="40" w:type="dxa"/>
              <w:right w:w="20" w:type="dxa"/>
            </w:tcMar>
          </w:tcPr>
          <w:p w14:paraId="36CA1E60" w14:textId="77777777" w:rsidR="00787570" w:rsidRDefault="000D56E2">
            <w:pPr>
              <w:textAlignment w:val="top"/>
            </w:pPr>
            <w:r>
              <w:rPr>
                <w:rFonts w:ascii="Arial" w:eastAsia="宋体" w:hAnsi="Arial" w:cs="Arial"/>
                <w:color w:val="333333"/>
                <w:sz w:val="18"/>
                <w:szCs w:val="18"/>
              </w:rPr>
              <w:t>Purchases of available-for-sale debt investments</w:t>
            </w:r>
          </w:p>
        </w:tc>
        <w:tc>
          <w:tcPr>
            <w:tcW w:w="0" w:type="auto"/>
            <w:gridSpan w:val="3"/>
            <w:shd w:val="clear" w:color="auto" w:fill="auto"/>
            <w:tcMar>
              <w:left w:w="20" w:type="dxa"/>
              <w:right w:w="20" w:type="dxa"/>
            </w:tcMar>
            <w:vAlign w:val="bottom"/>
          </w:tcPr>
          <w:p w14:paraId="36CA1E61"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1E62" w14:textId="77777777" w:rsidR="00787570" w:rsidRDefault="000D56E2">
            <w:pPr>
              <w:jc w:val="right"/>
              <w:textAlignment w:val="bottom"/>
            </w:pPr>
            <w:r>
              <w:rPr>
                <w:rFonts w:ascii="Arial" w:eastAsia="宋体" w:hAnsi="Arial" w:cs="Arial"/>
                <w:color w:val="0071C5"/>
                <w:sz w:val="18"/>
                <w:szCs w:val="18"/>
              </w:rPr>
              <w:t>(6,323)</w:t>
            </w:r>
          </w:p>
        </w:tc>
        <w:tc>
          <w:tcPr>
            <w:tcW w:w="0" w:type="auto"/>
            <w:shd w:val="clear" w:color="auto" w:fill="auto"/>
            <w:tcMar>
              <w:top w:w="40" w:type="dxa"/>
              <w:bottom w:w="40" w:type="dxa"/>
              <w:right w:w="20" w:type="dxa"/>
            </w:tcMar>
            <w:vAlign w:val="bottom"/>
          </w:tcPr>
          <w:p w14:paraId="36CA1E63"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1E64"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1E65" w14:textId="77777777" w:rsidR="00787570" w:rsidRDefault="000D56E2">
            <w:pPr>
              <w:jc w:val="right"/>
              <w:textAlignment w:val="bottom"/>
            </w:pPr>
            <w:r>
              <w:rPr>
                <w:rFonts w:ascii="Arial" w:eastAsia="宋体" w:hAnsi="Arial" w:cs="Arial"/>
                <w:color w:val="333333"/>
                <w:sz w:val="18"/>
                <w:szCs w:val="18"/>
              </w:rPr>
              <w:t>(2,028)</w:t>
            </w:r>
          </w:p>
        </w:tc>
        <w:tc>
          <w:tcPr>
            <w:tcW w:w="0" w:type="auto"/>
            <w:shd w:val="clear" w:color="auto" w:fill="auto"/>
            <w:tcMar>
              <w:top w:w="40" w:type="dxa"/>
              <w:bottom w:w="40" w:type="dxa"/>
              <w:right w:w="20" w:type="dxa"/>
            </w:tcMar>
            <w:vAlign w:val="bottom"/>
          </w:tcPr>
          <w:p w14:paraId="36CA1E66" w14:textId="77777777" w:rsidR="00787570" w:rsidRDefault="00787570">
            <w:pPr>
              <w:jc w:val="right"/>
              <w:rPr>
                <w:rFonts w:ascii="宋体"/>
              </w:rPr>
            </w:pPr>
          </w:p>
        </w:tc>
        <w:tc>
          <w:tcPr>
            <w:tcW w:w="0" w:type="auto"/>
            <w:shd w:val="clear" w:color="auto" w:fill="auto"/>
          </w:tcPr>
          <w:p w14:paraId="36CA1E67" w14:textId="77777777" w:rsidR="00787570" w:rsidRDefault="00787570">
            <w:pPr>
              <w:rPr>
                <w:rFonts w:ascii="宋体"/>
              </w:rPr>
            </w:pPr>
          </w:p>
        </w:tc>
        <w:tc>
          <w:tcPr>
            <w:tcW w:w="0" w:type="auto"/>
            <w:shd w:val="clear" w:color="auto" w:fill="auto"/>
          </w:tcPr>
          <w:p w14:paraId="36CA1E68" w14:textId="77777777" w:rsidR="00787570" w:rsidRDefault="00787570">
            <w:pPr>
              <w:rPr>
                <w:rFonts w:ascii="宋体"/>
              </w:rPr>
            </w:pPr>
          </w:p>
        </w:tc>
        <w:tc>
          <w:tcPr>
            <w:tcW w:w="0" w:type="auto"/>
            <w:shd w:val="clear" w:color="auto" w:fill="auto"/>
          </w:tcPr>
          <w:p w14:paraId="36CA1E69" w14:textId="77777777" w:rsidR="00787570" w:rsidRDefault="00787570">
            <w:pPr>
              <w:rPr>
                <w:rFonts w:ascii="宋体"/>
              </w:rPr>
            </w:pPr>
          </w:p>
        </w:tc>
        <w:tc>
          <w:tcPr>
            <w:tcW w:w="0" w:type="auto"/>
            <w:shd w:val="clear" w:color="auto" w:fill="auto"/>
          </w:tcPr>
          <w:p w14:paraId="36CA1E6A" w14:textId="77777777" w:rsidR="00787570" w:rsidRDefault="00787570">
            <w:pPr>
              <w:rPr>
                <w:rFonts w:ascii="宋体"/>
              </w:rPr>
            </w:pPr>
          </w:p>
        </w:tc>
        <w:tc>
          <w:tcPr>
            <w:tcW w:w="0" w:type="auto"/>
            <w:shd w:val="clear" w:color="auto" w:fill="auto"/>
          </w:tcPr>
          <w:p w14:paraId="36CA1E6B" w14:textId="77777777" w:rsidR="00787570" w:rsidRDefault="00787570">
            <w:pPr>
              <w:rPr>
                <w:rFonts w:ascii="宋体"/>
              </w:rPr>
            </w:pPr>
          </w:p>
        </w:tc>
        <w:tc>
          <w:tcPr>
            <w:tcW w:w="0" w:type="auto"/>
            <w:shd w:val="clear" w:color="auto" w:fill="auto"/>
          </w:tcPr>
          <w:p w14:paraId="36CA1E6C" w14:textId="77777777" w:rsidR="00787570" w:rsidRDefault="00787570">
            <w:pPr>
              <w:rPr>
                <w:rFonts w:ascii="宋体"/>
              </w:rPr>
            </w:pPr>
          </w:p>
        </w:tc>
      </w:tr>
      <w:tr w:rsidR="00787570" w14:paraId="36CA1E79" w14:textId="77777777">
        <w:trPr>
          <w:jc w:val="center"/>
          <w:hidden/>
        </w:trPr>
        <w:tc>
          <w:tcPr>
            <w:tcW w:w="0" w:type="auto"/>
            <w:gridSpan w:val="3"/>
            <w:shd w:val="clear" w:color="auto" w:fill="auto"/>
          </w:tcPr>
          <w:p w14:paraId="36CA1E6E" w14:textId="77777777" w:rsidR="00787570" w:rsidRDefault="00787570">
            <w:pPr>
              <w:rPr>
                <w:rFonts w:ascii="宋体"/>
                <w:vanish/>
              </w:rPr>
            </w:pPr>
          </w:p>
        </w:tc>
        <w:tc>
          <w:tcPr>
            <w:tcW w:w="0" w:type="auto"/>
            <w:gridSpan w:val="3"/>
            <w:shd w:val="clear" w:color="auto" w:fill="auto"/>
          </w:tcPr>
          <w:p w14:paraId="36CA1E6F" w14:textId="77777777" w:rsidR="00787570" w:rsidRDefault="00787570">
            <w:pPr>
              <w:rPr>
                <w:rFonts w:ascii="宋体"/>
                <w:vanish/>
              </w:rPr>
            </w:pPr>
          </w:p>
        </w:tc>
        <w:tc>
          <w:tcPr>
            <w:tcW w:w="0" w:type="auto"/>
            <w:gridSpan w:val="3"/>
            <w:shd w:val="clear" w:color="auto" w:fill="auto"/>
          </w:tcPr>
          <w:p w14:paraId="36CA1E70" w14:textId="77777777" w:rsidR="00787570" w:rsidRDefault="00787570">
            <w:pPr>
              <w:rPr>
                <w:rFonts w:ascii="宋体"/>
                <w:vanish/>
              </w:rPr>
            </w:pPr>
          </w:p>
        </w:tc>
        <w:tc>
          <w:tcPr>
            <w:tcW w:w="0" w:type="auto"/>
            <w:gridSpan w:val="3"/>
            <w:shd w:val="clear" w:color="auto" w:fill="auto"/>
          </w:tcPr>
          <w:p w14:paraId="36CA1E71" w14:textId="77777777" w:rsidR="00787570" w:rsidRDefault="00787570">
            <w:pPr>
              <w:rPr>
                <w:rFonts w:ascii="宋体"/>
                <w:vanish/>
              </w:rPr>
            </w:pPr>
          </w:p>
        </w:tc>
        <w:tc>
          <w:tcPr>
            <w:tcW w:w="0" w:type="auto"/>
            <w:gridSpan w:val="3"/>
            <w:shd w:val="clear" w:color="auto" w:fill="auto"/>
          </w:tcPr>
          <w:p w14:paraId="36CA1E72" w14:textId="77777777" w:rsidR="00787570" w:rsidRDefault="00787570">
            <w:pPr>
              <w:rPr>
                <w:rFonts w:ascii="宋体"/>
                <w:vanish/>
              </w:rPr>
            </w:pPr>
          </w:p>
        </w:tc>
        <w:tc>
          <w:tcPr>
            <w:tcW w:w="0" w:type="auto"/>
            <w:shd w:val="clear" w:color="auto" w:fill="auto"/>
          </w:tcPr>
          <w:p w14:paraId="36CA1E73" w14:textId="77777777" w:rsidR="00787570" w:rsidRDefault="00787570">
            <w:pPr>
              <w:rPr>
                <w:rFonts w:ascii="宋体"/>
              </w:rPr>
            </w:pPr>
          </w:p>
        </w:tc>
        <w:tc>
          <w:tcPr>
            <w:tcW w:w="0" w:type="auto"/>
            <w:shd w:val="clear" w:color="auto" w:fill="auto"/>
          </w:tcPr>
          <w:p w14:paraId="36CA1E74" w14:textId="77777777" w:rsidR="00787570" w:rsidRDefault="00787570">
            <w:pPr>
              <w:rPr>
                <w:rFonts w:ascii="宋体"/>
              </w:rPr>
            </w:pPr>
          </w:p>
        </w:tc>
        <w:tc>
          <w:tcPr>
            <w:tcW w:w="0" w:type="auto"/>
            <w:shd w:val="clear" w:color="auto" w:fill="auto"/>
          </w:tcPr>
          <w:p w14:paraId="36CA1E75" w14:textId="77777777" w:rsidR="00787570" w:rsidRDefault="00787570">
            <w:pPr>
              <w:rPr>
                <w:rFonts w:ascii="宋体"/>
              </w:rPr>
            </w:pPr>
          </w:p>
        </w:tc>
        <w:tc>
          <w:tcPr>
            <w:tcW w:w="0" w:type="auto"/>
            <w:shd w:val="clear" w:color="auto" w:fill="auto"/>
          </w:tcPr>
          <w:p w14:paraId="36CA1E76" w14:textId="77777777" w:rsidR="00787570" w:rsidRDefault="00787570">
            <w:pPr>
              <w:rPr>
                <w:rFonts w:ascii="宋体"/>
              </w:rPr>
            </w:pPr>
          </w:p>
        </w:tc>
        <w:tc>
          <w:tcPr>
            <w:tcW w:w="0" w:type="auto"/>
            <w:shd w:val="clear" w:color="auto" w:fill="auto"/>
          </w:tcPr>
          <w:p w14:paraId="36CA1E77" w14:textId="77777777" w:rsidR="00787570" w:rsidRDefault="00787570">
            <w:pPr>
              <w:rPr>
                <w:rFonts w:ascii="宋体"/>
              </w:rPr>
            </w:pPr>
          </w:p>
        </w:tc>
        <w:tc>
          <w:tcPr>
            <w:tcW w:w="0" w:type="auto"/>
            <w:shd w:val="clear" w:color="auto" w:fill="auto"/>
          </w:tcPr>
          <w:p w14:paraId="36CA1E78" w14:textId="77777777" w:rsidR="00787570" w:rsidRDefault="00787570">
            <w:pPr>
              <w:rPr>
                <w:rFonts w:ascii="宋体"/>
              </w:rPr>
            </w:pPr>
          </w:p>
        </w:tc>
      </w:tr>
      <w:tr w:rsidR="00787570" w14:paraId="36CA1E87" w14:textId="77777777">
        <w:trPr>
          <w:jc w:val="center"/>
        </w:trPr>
        <w:tc>
          <w:tcPr>
            <w:tcW w:w="0" w:type="auto"/>
            <w:gridSpan w:val="3"/>
            <w:shd w:val="clear" w:color="auto" w:fill="auto"/>
            <w:tcMar>
              <w:top w:w="40" w:type="dxa"/>
              <w:left w:w="195" w:type="dxa"/>
              <w:bottom w:w="40" w:type="dxa"/>
              <w:right w:w="20" w:type="dxa"/>
            </w:tcMar>
          </w:tcPr>
          <w:p w14:paraId="36CA1E7A" w14:textId="77777777" w:rsidR="00787570" w:rsidRDefault="000D56E2">
            <w:pPr>
              <w:textAlignment w:val="top"/>
            </w:pPr>
            <w:r>
              <w:rPr>
                <w:rFonts w:ascii="Arial" w:eastAsia="宋体" w:hAnsi="Arial" w:cs="Arial"/>
                <w:color w:val="333333"/>
                <w:sz w:val="18"/>
                <w:szCs w:val="18"/>
              </w:rPr>
              <w:t>Maturities and sales of available-for-sale debt investments</w:t>
            </w:r>
          </w:p>
        </w:tc>
        <w:tc>
          <w:tcPr>
            <w:tcW w:w="0" w:type="auto"/>
            <w:gridSpan w:val="3"/>
            <w:shd w:val="clear" w:color="auto" w:fill="auto"/>
            <w:tcMar>
              <w:left w:w="20" w:type="dxa"/>
              <w:right w:w="20" w:type="dxa"/>
            </w:tcMar>
            <w:vAlign w:val="bottom"/>
          </w:tcPr>
          <w:p w14:paraId="36CA1E7B"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1E7C" w14:textId="77777777" w:rsidR="00787570" w:rsidRDefault="000D56E2">
            <w:pPr>
              <w:jc w:val="right"/>
              <w:textAlignment w:val="bottom"/>
            </w:pPr>
            <w:r>
              <w:rPr>
                <w:rFonts w:ascii="Arial" w:eastAsia="宋体" w:hAnsi="Arial" w:cs="Arial"/>
                <w:color w:val="0071C5"/>
                <w:sz w:val="18"/>
                <w:szCs w:val="18"/>
              </w:rPr>
              <w:t>5,037 </w:t>
            </w:r>
          </w:p>
        </w:tc>
        <w:tc>
          <w:tcPr>
            <w:tcW w:w="0" w:type="auto"/>
            <w:shd w:val="clear" w:color="auto" w:fill="auto"/>
            <w:tcMar>
              <w:top w:w="40" w:type="dxa"/>
              <w:bottom w:w="40" w:type="dxa"/>
              <w:right w:w="20" w:type="dxa"/>
            </w:tcMar>
            <w:vAlign w:val="bottom"/>
          </w:tcPr>
          <w:p w14:paraId="36CA1E7D"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1E7E"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1E7F" w14:textId="77777777" w:rsidR="00787570" w:rsidRDefault="000D56E2">
            <w:pPr>
              <w:jc w:val="right"/>
              <w:textAlignment w:val="bottom"/>
            </w:pPr>
            <w:r>
              <w:rPr>
                <w:rFonts w:ascii="Arial" w:eastAsia="宋体" w:hAnsi="Arial" w:cs="Arial"/>
                <w:color w:val="333333"/>
                <w:sz w:val="18"/>
                <w:szCs w:val="18"/>
              </w:rPr>
              <w:t>3,118 </w:t>
            </w:r>
          </w:p>
        </w:tc>
        <w:tc>
          <w:tcPr>
            <w:tcW w:w="0" w:type="auto"/>
            <w:shd w:val="clear" w:color="auto" w:fill="auto"/>
            <w:tcMar>
              <w:top w:w="40" w:type="dxa"/>
              <w:bottom w:w="40" w:type="dxa"/>
              <w:right w:w="20" w:type="dxa"/>
            </w:tcMar>
            <w:vAlign w:val="bottom"/>
          </w:tcPr>
          <w:p w14:paraId="36CA1E80" w14:textId="77777777" w:rsidR="00787570" w:rsidRDefault="00787570">
            <w:pPr>
              <w:jc w:val="right"/>
              <w:rPr>
                <w:rFonts w:ascii="宋体"/>
              </w:rPr>
            </w:pPr>
          </w:p>
        </w:tc>
        <w:tc>
          <w:tcPr>
            <w:tcW w:w="0" w:type="auto"/>
            <w:shd w:val="clear" w:color="auto" w:fill="auto"/>
          </w:tcPr>
          <w:p w14:paraId="36CA1E81" w14:textId="77777777" w:rsidR="00787570" w:rsidRDefault="00787570">
            <w:pPr>
              <w:rPr>
                <w:rFonts w:ascii="宋体"/>
              </w:rPr>
            </w:pPr>
          </w:p>
        </w:tc>
        <w:tc>
          <w:tcPr>
            <w:tcW w:w="0" w:type="auto"/>
            <w:shd w:val="clear" w:color="auto" w:fill="auto"/>
          </w:tcPr>
          <w:p w14:paraId="36CA1E82" w14:textId="77777777" w:rsidR="00787570" w:rsidRDefault="00787570">
            <w:pPr>
              <w:rPr>
                <w:rFonts w:ascii="宋体"/>
              </w:rPr>
            </w:pPr>
          </w:p>
        </w:tc>
        <w:tc>
          <w:tcPr>
            <w:tcW w:w="0" w:type="auto"/>
            <w:shd w:val="clear" w:color="auto" w:fill="auto"/>
          </w:tcPr>
          <w:p w14:paraId="36CA1E83" w14:textId="77777777" w:rsidR="00787570" w:rsidRDefault="00787570">
            <w:pPr>
              <w:rPr>
                <w:rFonts w:ascii="宋体"/>
              </w:rPr>
            </w:pPr>
          </w:p>
        </w:tc>
        <w:tc>
          <w:tcPr>
            <w:tcW w:w="0" w:type="auto"/>
            <w:shd w:val="clear" w:color="auto" w:fill="auto"/>
          </w:tcPr>
          <w:p w14:paraId="36CA1E84" w14:textId="77777777" w:rsidR="00787570" w:rsidRDefault="00787570">
            <w:pPr>
              <w:rPr>
                <w:rFonts w:ascii="宋体"/>
              </w:rPr>
            </w:pPr>
          </w:p>
        </w:tc>
        <w:tc>
          <w:tcPr>
            <w:tcW w:w="0" w:type="auto"/>
            <w:shd w:val="clear" w:color="auto" w:fill="auto"/>
          </w:tcPr>
          <w:p w14:paraId="36CA1E85" w14:textId="77777777" w:rsidR="00787570" w:rsidRDefault="00787570">
            <w:pPr>
              <w:rPr>
                <w:rFonts w:ascii="宋体"/>
              </w:rPr>
            </w:pPr>
          </w:p>
        </w:tc>
        <w:tc>
          <w:tcPr>
            <w:tcW w:w="0" w:type="auto"/>
            <w:shd w:val="clear" w:color="auto" w:fill="auto"/>
          </w:tcPr>
          <w:p w14:paraId="36CA1E86" w14:textId="77777777" w:rsidR="00787570" w:rsidRDefault="00787570">
            <w:pPr>
              <w:rPr>
                <w:rFonts w:ascii="宋体"/>
              </w:rPr>
            </w:pPr>
          </w:p>
        </w:tc>
      </w:tr>
      <w:tr w:rsidR="00787570" w14:paraId="36CA1E95" w14:textId="77777777">
        <w:trPr>
          <w:jc w:val="center"/>
        </w:trPr>
        <w:tc>
          <w:tcPr>
            <w:tcW w:w="0" w:type="auto"/>
            <w:gridSpan w:val="3"/>
            <w:shd w:val="clear" w:color="auto" w:fill="auto"/>
            <w:tcMar>
              <w:top w:w="40" w:type="dxa"/>
              <w:left w:w="195" w:type="dxa"/>
              <w:bottom w:w="40" w:type="dxa"/>
              <w:right w:w="20" w:type="dxa"/>
            </w:tcMar>
          </w:tcPr>
          <w:p w14:paraId="36CA1E88" w14:textId="77777777" w:rsidR="00787570" w:rsidRDefault="000D56E2">
            <w:pPr>
              <w:textAlignment w:val="top"/>
            </w:pPr>
            <w:r>
              <w:rPr>
                <w:rFonts w:ascii="Arial" w:eastAsia="宋体" w:hAnsi="Arial" w:cs="Arial"/>
                <w:color w:val="333333"/>
                <w:sz w:val="18"/>
                <w:szCs w:val="18"/>
              </w:rPr>
              <w:t>Purchases of trading assets</w:t>
            </w:r>
          </w:p>
        </w:tc>
        <w:tc>
          <w:tcPr>
            <w:tcW w:w="0" w:type="auto"/>
            <w:gridSpan w:val="3"/>
            <w:shd w:val="clear" w:color="auto" w:fill="auto"/>
            <w:tcMar>
              <w:left w:w="20" w:type="dxa"/>
              <w:right w:w="20" w:type="dxa"/>
            </w:tcMar>
            <w:vAlign w:val="bottom"/>
          </w:tcPr>
          <w:p w14:paraId="36CA1E89"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1E8A" w14:textId="77777777" w:rsidR="00787570" w:rsidRDefault="000D56E2">
            <w:pPr>
              <w:jc w:val="right"/>
              <w:textAlignment w:val="bottom"/>
            </w:pPr>
            <w:r>
              <w:rPr>
                <w:rFonts w:ascii="Arial" w:eastAsia="宋体" w:hAnsi="Arial" w:cs="Arial"/>
                <w:color w:val="0071C5"/>
                <w:sz w:val="18"/>
                <w:szCs w:val="18"/>
              </w:rPr>
              <w:t>(14,744)</w:t>
            </w:r>
          </w:p>
        </w:tc>
        <w:tc>
          <w:tcPr>
            <w:tcW w:w="0" w:type="auto"/>
            <w:shd w:val="clear" w:color="auto" w:fill="auto"/>
            <w:tcMar>
              <w:top w:w="40" w:type="dxa"/>
              <w:bottom w:w="40" w:type="dxa"/>
              <w:right w:w="20" w:type="dxa"/>
            </w:tcMar>
            <w:vAlign w:val="bottom"/>
          </w:tcPr>
          <w:p w14:paraId="36CA1E8B"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1E8C"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1E8D" w14:textId="77777777" w:rsidR="00787570" w:rsidRDefault="000D56E2">
            <w:pPr>
              <w:jc w:val="right"/>
              <w:textAlignment w:val="bottom"/>
            </w:pPr>
            <w:r>
              <w:rPr>
                <w:rFonts w:ascii="Arial" w:eastAsia="宋体" w:hAnsi="Arial" w:cs="Arial"/>
                <w:color w:val="333333"/>
                <w:sz w:val="18"/>
                <w:szCs w:val="18"/>
              </w:rPr>
              <w:t>(5,769)</w:t>
            </w:r>
          </w:p>
        </w:tc>
        <w:tc>
          <w:tcPr>
            <w:tcW w:w="0" w:type="auto"/>
            <w:shd w:val="clear" w:color="auto" w:fill="auto"/>
            <w:tcMar>
              <w:top w:w="40" w:type="dxa"/>
              <w:bottom w:w="40" w:type="dxa"/>
              <w:right w:w="20" w:type="dxa"/>
            </w:tcMar>
            <w:vAlign w:val="bottom"/>
          </w:tcPr>
          <w:p w14:paraId="36CA1E8E" w14:textId="77777777" w:rsidR="00787570" w:rsidRDefault="00787570">
            <w:pPr>
              <w:jc w:val="right"/>
              <w:rPr>
                <w:rFonts w:ascii="宋体"/>
              </w:rPr>
            </w:pPr>
          </w:p>
        </w:tc>
        <w:tc>
          <w:tcPr>
            <w:tcW w:w="0" w:type="auto"/>
            <w:shd w:val="clear" w:color="auto" w:fill="auto"/>
          </w:tcPr>
          <w:p w14:paraId="36CA1E8F" w14:textId="77777777" w:rsidR="00787570" w:rsidRDefault="00787570">
            <w:pPr>
              <w:rPr>
                <w:rFonts w:ascii="宋体"/>
              </w:rPr>
            </w:pPr>
          </w:p>
        </w:tc>
        <w:tc>
          <w:tcPr>
            <w:tcW w:w="0" w:type="auto"/>
            <w:shd w:val="clear" w:color="auto" w:fill="auto"/>
          </w:tcPr>
          <w:p w14:paraId="36CA1E90" w14:textId="77777777" w:rsidR="00787570" w:rsidRDefault="00787570">
            <w:pPr>
              <w:rPr>
                <w:rFonts w:ascii="宋体"/>
              </w:rPr>
            </w:pPr>
          </w:p>
        </w:tc>
        <w:tc>
          <w:tcPr>
            <w:tcW w:w="0" w:type="auto"/>
            <w:shd w:val="clear" w:color="auto" w:fill="auto"/>
          </w:tcPr>
          <w:p w14:paraId="36CA1E91" w14:textId="77777777" w:rsidR="00787570" w:rsidRDefault="00787570">
            <w:pPr>
              <w:rPr>
                <w:rFonts w:ascii="宋体"/>
              </w:rPr>
            </w:pPr>
          </w:p>
        </w:tc>
        <w:tc>
          <w:tcPr>
            <w:tcW w:w="0" w:type="auto"/>
            <w:shd w:val="clear" w:color="auto" w:fill="auto"/>
          </w:tcPr>
          <w:p w14:paraId="36CA1E92" w14:textId="77777777" w:rsidR="00787570" w:rsidRDefault="00787570">
            <w:pPr>
              <w:rPr>
                <w:rFonts w:ascii="宋体"/>
              </w:rPr>
            </w:pPr>
          </w:p>
        </w:tc>
        <w:tc>
          <w:tcPr>
            <w:tcW w:w="0" w:type="auto"/>
            <w:shd w:val="clear" w:color="auto" w:fill="auto"/>
          </w:tcPr>
          <w:p w14:paraId="36CA1E93" w14:textId="77777777" w:rsidR="00787570" w:rsidRDefault="00787570">
            <w:pPr>
              <w:rPr>
                <w:rFonts w:ascii="宋体"/>
              </w:rPr>
            </w:pPr>
          </w:p>
        </w:tc>
        <w:tc>
          <w:tcPr>
            <w:tcW w:w="0" w:type="auto"/>
            <w:shd w:val="clear" w:color="auto" w:fill="auto"/>
          </w:tcPr>
          <w:p w14:paraId="36CA1E94" w14:textId="77777777" w:rsidR="00787570" w:rsidRDefault="00787570">
            <w:pPr>
              <w:rPr>
                <w:rFonts w:ascii="宋体"/>
              </w:rPr>
            </w:pPr>
          </w:p>
        </w:tc>
      </w:tr>
      <w:tr w:rsidR="00787570" w14:paraId="36CA1EA3" w14:textId="77777777">
        <w:trPr>
          <w:jc w:val="center"/>
        </w:trPr>
        <w:tc>
          <w:tcPr>
            <w:tcW w:w="0" w:type="auto"/>
            <w:gridSpan w:val="3"/>
            <w:shd w:val="clear" w:color="auto" w:fill="auto"/>
            <w:tcMar>
              <w:top w:w="40" w:type="dxa"/>
              <w:left w:w="195" w:type="dxa"/>
              <w:bottom w:w="40" w:type="dxa"/>
              <w:right w:w="20" w:type="dxa"/>
            </w:tcMar>
          </w:tcPr>
          <w:p w14:paraId="36CA1E96" w14:textId="77777777" w:rsidR="00787570" w:rsidRDefault="000D56E2">
            <w:pPr>
              <w:textAlignment w:val="top"/>
            </w:pPr>
            <w:r>
              <w:rPr>
                <w:rFonts w:ascii="Arial" w:eastAsia="宋体" w:hAnsi="Arial" w:cs="Arial"/>
                <w:color w:val="333333"/>
                <w:sz w:val="18"/>
                <w:szCs w:val="18"/>
              </w:rPr>
              <w:t xml:space="preserve">Maturities and </w:t>
            </w:r>
            <w:r>
              <w:rPr>
                <w:rFonts w:ascii="Arial" w:eastAsia="宋体" w:hAnsi="Arial" w:cs="Arial"/>
                <w:color w:val="333333"/>
                <w:sz w:val="18"/>
                <w:szCs w:val="18"/>
              </w:rPr>
              <w:t>sales of trading assets</w:t>
            </w:r>
          </w:p>
        </w:tc>
        <w:tc>
          <w:tcPr>
            <w:tcW w:w="0" w:type="auto"/>
            <w:gridSpan w:val="3"/>
            <w:shd w:val="clear" w:color="auto" w:fill="auto"/>
            <w:tcMar>
              <w:left w:w="20" w:type="dxa"/>
              <w:right w:w="20" w:type="dxa"/>
            </w:tcMar>
            <w:vAlign w:val="bottom"/>
          </w:tcPr>
          <w:p w14:paraId="36CA1E97"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1E98" w14:textId="77777777" w:rsidR="00787570" w:rsidRDefault="000D56E2">
            <w:pPr>
              <w:jc w:val="right"/>
              <w:textAlignment w:val="bottom"/>
            </w:pPr>
            <w:r>
              <w:rPr>
                <w:rFonts w:ascii="Arial" w:eastAsia="宋体" w:hAnsi="Arial" w:cs="Arial"/>
                <w:color w:val="0071C5"/>
                <w:sz w:val="18"/>
                <w:szCs w:val="18"/>
              </w:rPr>
              <w:t>11,227 </w:t>
            </w:r>
          </w:p>
        </w:tc>
        <w:tc>
          <w:tcPr>
            <w:tcW w:w="0" w:type="auto"/>
            <w:shd w:val="clear" w:color="auto" w:fill="auto"/>
            <w:tcMar>
              <w:top w:w="40" w:type="dxa"/>
              <w:bottom w:w="40" w:type="dxa"/>
              <w:right w:w="20" w:type="dxa"/>
            </w:tcMar>
            <w:vAlign w:val="bottom"/>
          </w:tcPr>
          <w:p w14:paraId="36CA1E99"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1E9A"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1E9B" w14:textId="77777777" w:rsidR="00787570" w:rsidRDefault="000D56E2">
            <w:pPr>
              <w:jc w:val="right"/>
              <w:textAlignment w:val="bottom"/>
            </w:pPr>
            <w:r>
              <w:rPr>
                <w:rFonts w:ascii="Arial" w:eastAsia="宋体" w:hAnsi="Arial" w:cs="Arial"/>
                <w:color w:val="333333"/>
                <w:sz w:val="18"/>
                <w:szCs w:val="18"/>
              </w:rPr>
              <w:t>5,467 </w:t>
            </w:r>
          </w:p>
        </w:tc>
        <w:tc>
          <w:tcPr>
            <w:tcW w:w="0" w:type="auto"/>
            <w:shd w:val="clear" w:color="auto" w:fill="auto"/>
            <w:tcMar>
              <w:top w:w="40" w:type="dxa"/>
              <w:bottom w:w="40" w:type="dxa"/>
              <w:right w:w="20" w:type="dxa"/>
            </w:tcMar>
            <w:vAlign w:val="bottom"/>
          </w:tcPr>
          <w:p w14:paraId="36CA1E9C" w14:textId="77777777" w:rsidR="00787570" w:rsidRDefault="00787570">
            <w:pPr>
              <w:jc w:val="right"/>
              <w:rPr>
                <w:rFonts w:ascii="宋体"/>
              </w:rPr>
            </w:pPr>
          </w:p>
        </w:tc>
        <w:tc>
          <w:tcPr>
            <w:tcW w:w="0" w:type="auto"/>
            <w:shd w:val="clear" w:color="auto" w:fill="auto"/>
          </w:tcPr>
          <w:p w14:paraId="36CA1E9D" w14:textId="77777777" w:rsidR="00787570" w:rsidRDefault="00787570">
            <w:pPr>
              <w:rPr>
                <w:rFonts w:ascii="宋体"/>
              </w:rPr>
            </w:pPr>
          </w:p>
        </w:tc>
        <w:tc>
          <w:tcPr>
            <w:tcW w:w="0" w:type="auto"/>
            <w:shd w:val="clear" w:color="auto" w:fill="auto"/>
          </w:tcPr>
          <w:p w14:paraId="36CA1E9E" w14:textId="77777777" w:rsidR="00787570" w:rsidRDefault="00787570">
            <w:pPr>
              <w:rPr>
                <w:rFonts w:ascii="宋体"/>
              </w:rPr>
            </w:pPr>
          </w:p>
        </w:tc>
        <w:tc>
          <w:tcPr>
            <w:tcW w:w="0" w:type="auto"/>
            <w:shd w:val="clear" w:color="auto" w:fill="auto"/>
          </w:tcPr>
          <w:p w14:paraId="36CA1E9F" w14:textId="77777777" w:rsidR="00787570" w:rsidRDefault="00787570">
            <w:pPr>
              <w:rPr>
                <w:rFonts w:ascii="宋体"/>
              </w:rPr>
            </w:pPr>
          </w:p>
        </w:tc>
        <w:tc>
          <w:tcPr>
            <w:tcW w:w="0" w:type="auto"/>
            <w:shd w:val="clear" w:color="auto" w:fill="auto"/>
          </w:tcPr>
          <w:p w14:paraId="36CA1EA0" w14:textId="77777777" w:rsidR="00787570" w:rsidRDefault="00787570">
            <w:pPr>
              <w:rPr>
                <w:rFonts w:ascii="宋体"/>
              </w:rPr>
            </w:pPr>
          </w:p>
        </w:tc>
        <w:tc>
          <w:tcPr>
            <w:tcW w:w="0" w:type="auto"/>
            <w:shd w:val="clear" w:color="auto" w:fill="auto"/>
          </w:tcPr>
          <w:p w14:paraId="36CA1EA1" w14:textId="77777777" w:rsidR="00787570" w:rsidRDefault="00787570">
            <w:pPr>
              <w:rPr>
                <w:rFonts w:ascii="宋体"/>
              </w:rPr>
            </w:pPr>
          </w:p>
        </w:tc>
        <w:tc>
          <w:tcPr>
            <w:tcW w:w="0" w:type="auto"/>
            <w:shd w:val="clear" w:color="auto" w:fill="auto"/>
          </w:tcPr>
          <w:p w14:paraId="36CA1EA2" w14:textId="77777777" w:rsidR="00787570" w:rsidRDefault="00787570">
            <w:pPr>
              <w:rPr>
                <w:rFonts w:ascii="宋体"/>
              </w:rPr>
            </w:pPr>
          </w:p>
        </w:tc>
      </w:tr>
      <w:tr w:rsidR="00787570" w14:paraId="36CA1EAF" w14:textId="77777777">
        <w:trPr>
          <w:jc w:val="center"/>
          <w:hidden/>
        </w:trPr>
        <w:tc>
          <w:tcPr>
            <w:tcW w:w="0" w:type="auto"/>
            <w:gridSpan w:val="3"/>
            <w:shd w:val="clear" w:color="auto" w:fill="auto"/>
          </w:tcPr>
          <w:p w14:paraId="36CA1EA4" w14:textId="77777777" w:rsidR="00787570" w:rsidRDefault="00787570">
            <w:pPr>
              <w:rPr>
                <w:rFonts w:ascii="宋体"/>
                <w:vanish/>
              </w:rPr>
            </w:pPr>
          </w:p>
        </w:tc>
        <w:tc>
          <w:tcPr>
            <w:tcW w:w="0" w:type="auto"/>
            <w:gridSpan w:val="3"/>
            <w:shd w:val="clear" w:color="auto" w:fill="auto"/>
          </w:tcPr>
          <w:p w14:paraId="36CA1EA5" w14:textId="77777777" w:rsidR="00787570" w:rsidRDefault="00787570">
            <w:pPr>
              <w:rPr>
                <w:rFonts w:ascii="宋体"/>
                <w:vanish/>
              </w:rPr>
            </w:pPr>
          </w:p>
        </w:tc>
        <w:tc>
          <w:tcPr>
            <w:tcW w:w="0" w:type="auto"/>
            <w:gridSpan w:val="3"/>
            <w:shd w:val="clear" w:color="auto" w:fill="auto"/>
          </w:tcPr>
          <w:p w14:paraId="36CA1EA6" w14:textId="77777777" w:rsidR="00787570" w:rsidRDefault="00787570">
            <w:pPr>
              <w:rPr>
                <w:rFonts w:ascii="宋体"/>
                <w:vanish/>
              </w:rPr>
            </w:pPr>
          </w:p>
        </w:tc>
        <w:tc>
          <w:tcPr>
            <w:tcW w:w="0" w:type="auto"/>
            <w:gridSpan w:val="3"/>
            <w:shd w:val="clear" w:color="auto" w:fill="auto"/>
          </w:tcPr>
          <w:p w14:paraId="36CA1EA7" w14:textId="77777777" w:rsidR="00787570" w:rsidRDefault="00787570">
            <w:pPr>
              <w:rPr>
                <w:rFonts w:ascii="宋体"/>
                <w:vanish/>
              </w:rPr>
            </w:pPr>
          </w:p>
        </w:tc>
        <w:tc>
          <w:tcPr>
            <w:tcW w:w="0" w:type="auto"/>
            <w:gridSpan w:val="3"/>
            <w:shd w:val="clear" w:color="auto" w:fill="auto"/>
          </w:tcPr>
          <w:p w14:paraId="36CA1EA8" w14:textId="77777777" w:rsidR="00787570" w:rsidRDefault="00787570">
            <w:pPr>
              <w:rPr>
                <w:rFonts w:ascii="宋体"/>
                <w:vanish/>
              </w:rPr>
            </w:pPr>
          </w:p>
        </w:tc>
        <w:tc>
          <w:tcPr>
            <w:tcW w:w="0" w:type="auto"/>
            <w:shd w:val="clear" w:color="auto" w:fill="auto"/>
          </w:tcPr>
          <w:p w14:paraId="36CA1EA9" w14:textId="77777777" w:rsidR="00787570" w:rsidRDefault="00787570">
            <w:pPr>
              <w:rPr>
                <w:rFonts w:ascii="宋体"/>
              </w:rPr>
            </w:pPr>
          </w:p>
        </w:tc>
        <w:tc>
          <w:tcPr>
            <w:tcW w:w="0" w:type="auto"/>
            <w:shd w:val="clear" w:color="auto" w:fill="auto"/>
          </w:tcPr>
          <w:p w14:paraId="36CA1EAA" w14:textId="77777777" w:rsidR="00787570" w:rsidRDefault="00787570">
            <w:pPr>
              <w:rPr>
                <w:rFonts w:ascii="宋体"/>
              </w:rPr>
            </w:pPr>
          </w:p>
        </w:tc>
        <w:tc>
          <w:tcPr>
            <w:tcW w:w="0" w:type="auto"/>
            <w:shd w:val="clear" w:color="auto" w:fill="auto"/>
          </w:tcPr>
          <w:p w14:paraId="36CA1EAB" w14:textId="77777777" w:rsidR="00787570" w:rsidRDefault="00787570">
            <w:pPr>
              <w:rPr>
                <w:rFonts w:ascii="宋体"/>
              </w:rPr>
            </w:pPr>
          </w:p>
        </w:tc>
        <w:tc>
          <w:tcPr>
            <w:tcW w:w="0" w:type="auto"/>
            <w:shd w:val="clear" w:color="auto" w:fill="auto"/>
          </w:tcPr>
          <w:p w14:paraId="36CA1EAC" w14:textId="77777777" w:rsidR="00787570" w:rsidRDefault="00787570">
            <w:pPr>
              <w:rPr>
                <w:rFonts w:ascii="宋体"/>
              </w:rPr>
            </w:pPr>
          </w:p>
        </w:tc>
        <w:tc>
          <w:tcPr>
            <w:tcW w:w="0" w:type="auto"/>
            <w:shd w:val="clear" w:color="auto" w:fill="auto"/>
          </w:tcPr>
          <w:p w14:paraId="36CA1EAD" w14:textId="77777777" w:rsidR="00787570" w:rsidRDefault="00787570">
            <w:pPr>
              <w:rPr>
                <w:rFonts w:ascii="宋体"/>
              </w:rPr>
            </w:pPr>
          </w:p>
        </w:tc>
        <w:tc>
          <w:tcPr>
            <w:tcW w:w="0" w:type="auto"/>
            <w:shd w:val="clear" w:color="auto" w:fill="auto"/>
          </w:tcPr>
          <w:p w14:paraId="36CA1EAE" w14:textId="77777777" w:rsidR="00787570" w:rsidRDefault="00787570">
            <w:pPr>
              <w:rPr>
                <w:rFonts w:ascii="宋体"/>
              </w:rPr>
            </w:pPr>
          </w:p>
        </w:tc>
      </w:tr>
      <w:tr w:rsidR="00787570" w14:paraId="36CA1EBB" w14:textId="77777777">
        <w:trPr>
          <w:jc w:val="center"/>
          <w:hidden/>
        </w:trPr>
        <w:tc>
          <w:tcPr>
            <w:tcW w:w="0" w:type="auto"/>
            <w:gridSpan w:val="3"/>
            <w:shd w:val="clear" w:color="auto" w:fill="auto"/>
          </w:tcPr>
          <w:p w14:paraId="36CA1EB0" w14:textId="77777777" w:rsidR="00787570" w:rsidRDefault="00787570">
            <w:pPr>
              <w:rPr>
                <w:rFonts w:ascii="宋体"/>
                <w:vanish/>
              </w:rPr>
            </w:pPr>
          </w:p>
        </w:tc>
        <w:tc>
          <w:tcPr>
            <w:tcW w:w="0" w:type="auto"/>
            <w:gridSpan w:val="3"/>
            <w:shd w:val="clear" w:color="auto" w:fill="auto"/>
          </w:tcPr>
          <w:p w14:paraId="36CA1EB1" w14:textId="77777777" w:rsidR="00787570" w:rsidRDefault="00787570">
            <w:pPr>
              <w:rPr>
                <w:rFonts w:ascii="宋体"/>
                <w:vanish/>
              </w:rPr>
            </w:pPr>
          </w:p>
        </w:tc>
        <w:tc>
          <w:tcPr>
            <w:tcW w:w="0" w:type="auto"/>
            <w:gridSpan w:val="3"/>
            <w:shd w:val="clear" w:color="auto" w:fill="auto"/>
          </w:tcPr>
          <w:p w14:paraId="36CA1EB2" w14:textId="77777777" w:rsidR="00787570" w:rsidRDefault="00787570">
            <w:pPr>
              <w:rPr>
                <w:rFonts w:ascii="宋体"/>
                <w:vanish/>
              </w:rPr>
            </w:pPr>
          </w:p>
        </w:tc>
        <w:tc>
          <w:tcPr>
            <w:tcW w:w="0" w:type="auto"/>
            <w:gridSpan w:val="3"/>
            <w:shd w:val="clear" w:color="auto" w:fill="auto"/>
          </w:tcPr>
          <w:p w14:paraId="36CA1EB3" w14:textId="77777777" w:rsidR="00787570" w:rsidRDefault="00787570">
            <w:pPr>
              <w:rPr>
                <w:rFonts w:ascii="宋体"/>
                <w:vanish/>
              </w:rPr>
            </w:pPr>
          </w:p>
        </w:tc>
        <w:tc>
          <w:tcPr>
            <w:tcW w:w="0" w:type="auto"/>
            <w:gridSpan w:val="3"/>
            <w:shd w:val="clear" w:color="auto" w:fill="auto"/>
          </w:tcPr>
          <w:p w14:paraId="36CA1EB4" w14:textId="77777777" w:rsidR="00787570" w:rsidRDefault="00787570">
            <w:pPr>
              <w:rPr>
                <w:rFonts w:ascii="宋体"/>
                <w:vanish/>
              </w:rPr>
            </w:pPr>
          </w:p>
        </w:tc>
        <w:tc>
          <w:tcPr>
            <w:tcW w:w="0" w:type="auto"/>
            <w:shd w:val="clear" w:color="auto" w:fill="auto"/>
          </w:tcPr>
          <w:p w14:paraId="36CA1EB5" w14:textId="77777777" w:rsidR="00787570" w:rsidRDefault="00787570">
            <w:pPr>
              <w:rPr>
                <w:rFonts w:ascii="宋体"/>
              </w:rPr>
            </w:pPr>
          </w:p>
        </w:tc>
        <w:tc>
          <w:tcPr>
            <w:tcW w:w="0" w:type="auto"/>
            <w:shd w:val="clear" w:color="auto" w:fill="auto"/>
          </w:tcPr>
          <w:p w14:paraId="36CA1EB6" w14:textId="77777777" w:rsidR="00787570" w:rsidRDefault="00787570">
            <w:pPr>
              <w:rPr>
                <w:rFonts w:ascii="宋体"/>
              </w:rPr>
            </w:pPr>
          </w:p>
        </w:tc>
        <w:tc>
          <w:tcPr>
            <w:tcW w:w="0" w:type="auto"/>
            <w:shd w:val="clear" w:color="auto" w:fill="auto"/>
          </w:tcPr>
          <w:p w14:paraId="36CA1EB7" w14:textId="77777777" w:rsidR="00787570" w:rsidRDefault="00787570">
            <w:pPr>
              <w:rPr>
                <w:rFonts w:ascii="宋体"/>
              </w:rPr>
            </w:pPr>
          </w:p>
        </w:tc>
        <w:tc>
          <w:tcPr>
            <w:tcW w:w="0" w:type="auto"/>
            <w:shd w:val="clear" w:color="auto" w:fill="auto"/>
          </w:tcPr>
          <w:p w14:paraId="36CA1EB8" w14:textId="77777777" w:rsidR="00787570" w:rsidRDefault="00787570">
            <w:pPr>
              <w:rPr>
                <w:rFonts w:ascii="宋体"/>
              </w:rPr>
            </w:pPr>
          </w:p>
        </w:tc>
        <w:tc>
          <w:tcPr>
            <w:tcW w:w="0" w:type="auto"/>
            <w:shd w:val="clear" w:color="auto" w:fill="auto"/>
          </w:tcPr>
          <w:p w14:paraId="36CA1EB9" w14:textId="77777777" w:rsidR="00787570" w:rsidRDefault="00787570">
            <w:pPr>
              <w:rPr>
                <w:rFonts w:ascii="宋体"/>
              </w:rPr>
            </w:pPr>
          </w:p>
        </w:tc>
        <w:tc>
          <w:tcPr>
            <w:tcW w:w="0" w:type="auto"/>
            <w:shd w:val="clear" w:color="auto" w:fill="auto"/>
          </w:tcPr>
          <w:p w14:paraId="36CA1EBA" w14:textId="77777777" w:rsidR="00787570" w:rsidRDefault="00787570">
            <w:pPr>
              <w:rPr>
                <w:rFonts w:ascii="宋体"/>
              </w:rPr>
            </w:pPr>
          </w:p>
        </w:tc>
      </w:tr>
      <w:tr w:rsidR="00787570" w14:paraId="36CA1EC7" w14:textId="77777777">
        <w:trPr>
          <w:jc w:val="center"/>
          <w:hidden/>
        </w:trPr>
        <w:tc>
          <w:tcPr>
            <w:tcW w:w="0" w:type="auto"/>
            <w:gridSpan w:val="3"/>
            <w:shd w:val="clear" w:color="auto" w:fill="auto"/>
          </w:tcPr>
          <w:p w14:paraId="36CA1EBC" w14:textId="77777777" w:rsidR="00787570" w:rsidRDefault="00787570">
            <w:pPr>
              <w:rPr>
                <w:rFonts w:ascii="宋体"/>
                <w:vanish/>
              </w:rPr>
            </w:pPr>
          </w:p>
        </w:tc>
        <w:tc>
          <w:tcPr>
            <w:tcW w:w="0" w:type="auto"/>
            <w:gridSpan w:val="3"/>
            <w:shd w:val="clear" w:color="auto" w:fill="auto"/>
          </w:tcPr>
          <w:p w14:paraId="36CA1EBD" w14:textId="77777777" w:rsidR="00787570" w:rsidRDefault="00787570">
            <w:pPr>
              <w:rPr>
                <w:rFonts w:ascii="宋体"/>
                <w:vanish/>
              </w:rPr>
            </w:pPr>
          </w:p>
        </w:tc>
        <w:tc>
          <w:tcPr>
            <w:tcW w:w="0" w:type="auto"/>
            <w:gridSpan w:val="3"/>
            <w:shd w:val="clear" w:color="auto" w:fill="auto"/>
          </w:tcPr>
          <w:p w14:paraId="36CA1EBE" w14:textId="77777777" w:rsidR="00787570" w:rsidRDefault="00787570">
            <w:pPr>
              <w:rPr>
                <w:rFonts w:ascii="宋体"/>
                <w:vanish/>
              </w:rPr>
            </w:pPr>
          </w:p>
        </w:tc>
        <w:tc>
          <w:tcPr>
            <w:tcW w:w="0" w:type="auto"/>
            <w:gridSpan w:val="3"/>
            <w:shd w:val="clear" w:color="auto" w:fill="auto"/>
          </w:tcPr>
          <w:p w14:paraId="36CA1EBF" w14:textId="77777777" w:rsidR="00787570" w:rsidRDefault="00787570">
            <w:pPr>
              <w:rPr>
                <w:rFonts w:ascii="宋体"/>
                <w:vanish/>
              </w:rPr>
            </w:pPr>
          </w:p>
        </w:tc>
        <w:tc>
          <w:tcPr>
            <w:tcW w:w="0" w:type="auto"/>
            <w:gridSpan w:val="3"/>
            <w:shd w:val="clear" w:color="auto" w:fill="auto"/>
          </w:tcPr>
          <w:p w14:paraId="36CA1EC0" w14:textId="77777777" w:rsidR="00787570" w:rsidRDefault="00787570">
            <w:pPr>
              <w:rPr>
                <w:rFonts w:ascii="宋体"/>
                <w:vanish/>
              </w:rPr>
            </w:pPr>
          </w:p>
        </w:tc>
        <w:tc>
          <w:tcPr>
            <w:tcW w:w="0" w:type="auto"/>
            <w:shd w:val="clear" w:color="auto" w:fill="auto"/>
          </w:tcPr>
          <w:p w14:paraId="36CA1EC1" w14:textId="77777777" w:rsidR="00787570" w:rsidRDefault="00787570">
            <w:pPr>
              <w:rPr>
                <w:rFonts w:ascii="宋体"/>
              </w:rPr>
            </w:pPr>
          </w:p>
        </w:tc>
        <w:tc>
          <w:tcPr>
            <w:tcW w:w="0" w:type="auto"/>
            <w:shd w:val="clear" w:color="auto" w:fill="auto"/>
          </w:tcPr>
          <w:p w14:paraId="36CA1EC2" w14:textId="77777777" w:rsidR="00787570" w:rsidRDefault="00787570">
            <w:pPr>
              <w:rPr>
                <w:rFonts w:ascii="宋体"/>
              </w:rPr>
            </w:pPr>
          </w:p>
        </w:tc>
        <w:tc>
          <w:tcPr>
            <w:tcW w:w="0" w:type="auto"/>
            <w:shd w:val="clear" w:color="auto" w:fill="auto"/>
          </w:tcPr>
          <w:p w14:paraId="36CA1EC3" w14:textId="77777777" w:rsidR="00787570" w:rsidRDefault="00787570">
            <w:pPr>
              <w:rPr>
                <w:rFonts w:ascii="宋体"/>
              </w:rPr>
            </w:pPr>
          </w:p>
        </w:tc>
        <w:tc>
          <w:tcPr>
            <w:tcW w:w="0" w:type="auto"/>
            <w:shd w:val="clear" w:color="auto" w:fill="auto"/>
          </w:tcPr>
          <w:p w14:paraId="36CA1EC4" w14:textId="77777777" w:rsidR="00787570" w:rsidRDefault="00787570">
            <w:pPr>
              <w:rPr>
                <w:rFonts w:ascii="宋体"/>
              </w:rPr>
            </w:pPr>
          </w:p>
        </w:tc>
        <w:tc>
          <w:tcPr>
            <w:tcW w:w="0" w:type="auto"/>
            <w:shd w:val="clear" w:color="auto" w:fill="auto"/>
          </w:tcPr>
          <w:p w14:paraId="36CA1EC5" w14:textId="77777777" w:rsidR="00787570" w:rsidRDefault="00787570">
            <w:pPr>
              <w:rPr>
                <w:rFonts w:ascii="宋体"/>
              </w:rPr>
            </w:pPr>
          </w:p>
        </w:tc>
        <w:tc>
          <w:tcPr>
            <w:tcW w:w="0" w:type="auto"/>
            <w:shd w:val="clear" w:color="auto" w:fill="auto"/>
          </w:tcPr>
          <w:p w14:paraId="36CA1EC6" w14:textId="77777777" w:rsidR="00787570" w:rsidRDefault="00787570">
            <w:pPr>
              <w:rPr>
                <w:rFonts w:ascii="宋体"/>
              </w:rPr>
            </w:pPr>
          </w:p>
        </w:tc>
      </w:tr>
      <w:tr w:rsidR="00787570" w14:paraId="36CA1ED5" w14:textId="77777777">
        <w:trPr>
          <w:jc w:val="center"/>
        </w:trPr>
        <w:tc>
          <w:tcPr>
            <w:tcW w:w="0" w:type="auto"/>
            <w:gridSpan w:val="3"/>
            <w:shd w:val="clear" w:color="auto" w:fill="auto"/>
            <w:tcMar>
              <w:top w:w="40" w:type="dxa"/>
              <w:left w:w="195" w:type="dxa"/>
              <w:bottom w:w="40" w:type="dxa"/>
              <w:right w:w="20" w:type="dxa"/>
            </w:tcMar>
          </w:tcPr>
          <w:p w14:paraId="36CA1EC8" w14:textId="77777777" w:rsidR="00787570" w:rsidRDefault="000D56E2">
            <w:pPr>
              <w:textAlignment w:val="top"/>
            </w:pPr>
            <w:r>
              <w:rPr>
                <w:rFonts w:ascii="Arial" w:eastAsia="宋体" w:hAnsi="Arial" w:cs="Arial"/>
                <w:color w:val="333333"/>
                <w:sz w:val="18"/>
                <w:szCs w:val="18"/>
              </w:rPr>
              <w:t>Sales of equity investments</w:t>
            </w:r>
          </w:p>
        </w:tc>
        <w:tc>
          <w:tcPr>
            <w:tcW w:w="0" w:type="auto"/>
            <w:gridSpan w:val="3"/>
            <w:shd w:val="clear" w:color="auto" w:fill="auto"/>
            <w:tcMar>
              <w:left w:w="20" w:type="dxa"/>
              <w:right w:w="20" w:type="dxa"/>
            </w:tcMar>
            <w:vAlign w:val="bottom"/>
          </w:tcPr>
          <w:p w14:paraId="36CA1EC9"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1ECA" w14:textId="77777777" w:rsidR="00787570" w:rsidRDefault="000D56E2">
            <w:pPr>
              <w:jc w:val="right"/>
              <w:textAlignment w:val="bottom"/>
            </w:pPr>
            <w:r>
              <w:rPr>
                <w:rFonts w:ascii="Arial" w:eastAsia="宋体" w:hAnsi="Arial" w:cs="Arial"/>
                <w:color w:val="0071C5"/>
                <w:sz w:val="18"/>
                <w:szCs w:val="18"/>
              </w:rPr>
              <w:t>339 </w:t>
            </w:r>
          </w:p>
        </w:tc>
        <w:tc>
          <w:tcPr>
            <w:tcW w:w="0" w:type="auto"/>
            <w:shd w:val="clear" w:color="auto" w:fill="auto"/>
            <w:tcMar>
              <w:top w:w="40" w:type="dxa"/>
              <w:bottom w:w="40" w:type="dxa"/>
              <w:right w:w="20" w:type="dxa"/>
            </w:tcMar>
            <w:vAlign w:val="bottom"/>
          </w:tcPr>
          <w:p w14:paraId="36CA1ECB"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1ECC"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1ECD" w14:textId="77777777" w:rsidR="00787570" w:rsidRDefault="000D56E2">
            <w:pPr>
              <w:jc w:val="right"/>
              <w:textAlignment w:val="bottom"/>
            </w:pPr>
            <w:r>
              <w:rPr>
                <w:rFonts w:ascii="Arial" w:eastAsia="宋体" w:hAnsi="Arial" w:cs="Arial"/>
                <w:color w:val="333333"/>
                <w:sz w:val="18"/>
                <w:szCs w:val="18"/>
              </w:rPr>
              <w:t>1,414 </w:t>
            </w:r>
          </w:p>
        </w:tc>
        <w:tc>
          <w:tcPr>
            <w:tcW w:w="0" w:type="auto"/>
            <w:shd w:val="clear" w:color="auto" w:fill="auto"/>
            <w:tcMar>
              <w:top w:w="40" w:type="dxa"/>
              <w:bottom w:w="40" w:type="dxa"/>
              <w:right w:w="20" w:type="dxa"/>
            </w:tcMar>
            <w:vAlign w:val="bottom"/>
          </w:tcPr>
          <w:p w14:paraId="36CA1ECE" w14:textId="77777777" w:rsidR="00787570" w:rsidRDefault="00787570">
            <w:pPr>
              <w:jc w:val="right"/>
              <w:rPr>
                <w:rFonts w:ascii="宋体"/>
              </w:rPr>
            </w:pPr>
          </w:p>
        </w:tc>
        <w:tc>
          <w:tcPr>
            <w:tcW w:w="0" w:type="auto"/>
            <w:shd w:val="clear" w:color="auto" w:fill="auto"/>
          </w:tcPr>
          <w:p w14:paraId="36CA1ECF" w14:textId="77777777" w:rsidR="00787570" w:rsidRDefault="00787570">
            <w:pPr>
              <w:rPr>
                <w:rFonts w:ascii="宋体"/>
              </w:rPr>
            </w:pPr>
          </w:p>
        </w:tc>
        <w:tc>
          <w:tcPr>
            <w:tcW w:w="0" w:type="auto"/>
            <w:shd w:val="clear" w:color="auto" w:fill="auto"/>
          </w:tcPr>
          <w:p w14:paraId="36CA1ED0" w14:textId="77777777" w:rsidR="00787570" w:rsidRDefault="00787570">
            <w:pPr>
              <w:rPr>
                <w:rFonts w:ascii="宋体"/>
              </w:rPr>
            </w:pPr>
          </w:p>
        </w:tc>
        <w:tc>
          <w:tcPr>
            <w:tcW w:w="0" w:type="auto"/>
            <w:shd w:val="clear" w:color="auto" w:fill="auto"/>
          </w:tcPr>
          <w:p w14:paraId="36CA1ED1" w14:textId="77777777" w:rsidR="00787570" w:rsidRDefault="00787570">
            <w:pPr>
              <w:rPr>
                <w:rFonts w:ascii="宋体"/>
              </w:rPr>
            </w:pPr>
          </w:p>
        </w:tc>
        <w:tc>
          <w:tcPr>
            <w:tcW w:w="0" w:type="auto"/>
            <w:shd w:val="clear" w:color="auto" w:fill="auto"/>
          </w:tcPr>
          <w:p w14:paraId="36CA1ED2" w14:textId="77777777" w:rsidR="00787570" w:rsidRDefault="00787570">
            <w:pPr>
              <w:rPr>
                <w:rFonts w:ascii="宋体"/>
              </w:rPr>
            </w:pPr>
          </w:p>
        </w:tc>
        <w:tc>
          <w:tcPr>
            <w:tcW w:w="0" w:type="auto"/>
            <w:shd w:val="clear" w:color="auto" w:fill="auto"/>
          </w:tcPr>
          <w:p w14:paraId="36CA1ED3" w14:textId="77777777" w:rsidR="00787570" w:rsidRDefault="00787570">
            <w:pPr>
              <w:rPr>
                <w:rFonts w:ascii="宋体"/>
              </w:rPr>
            </w:pPr>
          </w:p>
        </w:tc>
        <w:tc>
          <w:tcPr>
            <w:tcW w:w="0" w:type="auto"/>
            <w:shd w:val="clear" w:color="auto" w:fill="auto"/>
          </w:tcPr>
          <w:p w14:paraId="36CA1ED4" w14:textId="77777777" w:rsidR="00787570" w:rsidRDefault="00787570">
            <w:pPr>
              <w:rPr>
                <w:rFonts w:ascii="宋体"/>
              </w:rPr>
            </w:pPr>
          </w:p>
        </w:tc>
      </w:tr>
      <w:tr w:rsidR="00787570" w14:paraId="36CA1EE1" w14:textId="77777777">
        <w:trPr>
          <w:jc w:val="center"/>
          <w:hidden/>
        </w:trPr>
        <w:tc>
          <w:tcPr>
            <w:tcW w:w="0" w:type="auto"/>
            <w:gridSpan w:val="3"/>
            <w:shd w:val="clear" w:color="auto" w:fill="auto"/>
          </w:tcPr>
          <w:p w14:paraId="36CA1ED6" w14:textId="77777777" w:rsidR="00787570" w:rsidRDefault="00787570">
            <w:pPr>
              <w:rPr>
                <w:rFonts w:ascii="宋体"/>
                <w:vanish/>
              </w:rPr>
            </w:pPr>
          </w:p>
        </w:tc>
        <w:tc>
          <w:tcPr>
            <w:tcW w:w="0" w:type="auto"/>
            <w:gridSpan w:val="3"/>
            <w:shd w:val="clear" w:color="auto" w:fill="auto"/>
          </w:tcPr>
          <w:p w14:paraId="36CA1ED7" w14:textId="77777777" w:rsidR="00787570" w:rsidRDefault="00787570">
            <w:pPr>
              <w:rPr>
                <w:rFonts w:ascii="宋体"/>
                <w:vanish/>
              </w:rPr>
            </w:pPr>
          </w:p>
        </w:tc>
        <w:tc>
          <w:tcPr>
            <w:tcW w:w="0" w:type="auto"/>
            <w:gridSpan w:val="3"/>
            <w:shd w:val="clear" w:color="auto" w:fill="auto"/>
          </w:tcPr>
          <w:p w14:paraId="36CA1ED8" w14:textId="77777777" w:rsidR="00787570" w:rsidRDefault="00787570">
            <w:pPr>
              <w:rPr>
                <w:rFonts w:ascii="宋体"/>
                <w:vanish/>
              </w:rPr>
            </w:pPr>
          </w:p>
        </w:tc>
        <w:tc>
          <w:tcPr>
            <w:tcW w:w="0" w:type="auto"/>
            <w:gridSpan w:val="3"/>
            <w:shd w:val="clear" w:color="auto" w:fill="auto"/>
          </w:tcPr>
          <w:p w14:paraId="36CA1ED9" w14:textId="77777777" w:rsidR="00787570" w:rsidRDefault="00787570">
            <w:pPr>
              <w:rPr>
                <w:rFonts w:ascii="宋体"/>
                <w:vanish/>
              </w:rPr>
            </w:pPr>
          </w:p>
        </w:tc>
        <w:tc>
          <w:tcPr>
            <w:tcW w:w="0" w:type="auto"/>
            <w:gridSpan w:val="3"/>
            <w:shd w:val="clear" w:color="auto" w:fill="auto"/>
          </w:tcPr>
          <w:p w14:paraId="36CA1EDA" w14:textId="77777777" w:rsidR="00787570" w:rsidRDefault="00787570">
            <w:pPr>
              <w:rPr>
                <w:rFonts w:ascii="宋体"/>
                <w:vanish/>
              </w:rPr>
            </w:pPr>
          </w:p>
        </w:tc>
        <w:tc>
          <w:tcPr>
            <w:tcW w:w="0" w:type="auto"/>
            <w:shd w:val="clear" w:color="auto" w:fill="auto"/>
          </w:tcPr>
          <w:p w14:paraId="36CA1EDB" w14:textId="77777777" w:rsidR="00787570" w:rsidRDefault="00787570">
            <w:pPr>
              <w:rPr>
                <w:rFonts w:ascii="宋体"/>
              </w:rPr>
            </w:pPr>
          </w:p>
        </w:tc>
        <w:tc>
          <w:tcPr>
            <w:tcW w:w="0" w:type="auto"/>
            <w:shd w:val="clear" w:color="auto" w:fill="auto"/>
          </w:tcPr>
          <w:p w14:paraId="36CA1EDC" w14:textId="77777777" w:rsidR="00787570" w:rsidRDefault="00787570">
            <w:pPr>
              <w:rPr>
                <w:rFonts w:ascii="宋体"/>
              </w:rPr>
            </w:pPr>
          </w:p>
        </w:tc>
        <w:tc>
          <w:tcPr>
            <w:tcW w:w="0" w:type="auto"/>
            <w:shd w:val="clear" w:color="auto" w:fill="auto"/>
          </w:tcPr>
          <w:p w14:paraId="36CA1EDD" w14:textId="77777777" w:rsidR="00787570" w:rsidRDefault="00787570">
            <w:pPr>
              <w:rPr>
                <w:rFonts w:ascii="宋体"/>
              </w:rPr>
            </w:pPr>
          </w:p>
        </w:tc>
        <w:tc>
          <w:tcPr>
            <w:tcW w:w="0" w:type="auto"/>
            <w:shd w:val="clear" w:color="auto" w:fill="auto"/>
          </w:tcPr>
          <w:p w14:paraId="36CA1EDE" w14:textId="77777777" w:rsidR="00787570" w:rsidRDefault="00787570">
            <w:pPr>
              <w:rPr>
                <w:rFonts w:ascii="宋体"/>
              </w:rPr>
            </w:pPr>
          </w:p>
        </w:tc>
        <w:tc>
          <w:tcPr>
            <w:tcW w:w="0" w:type="auto"/>
            <w:shd w:val="clear" w:color="auto" w:fill="auto"/>
          </w:tcPr>
          <w:p w14:paraId="36CA1EDF" w14:textId="77777777" w:rsidR="00787570" w:rsidRDefault="00787570">
            <w:pPr>
              <w:rPr>
                <w:rFonts w:ascii="宋体"/>
              </w:rPr>
            </w:pPr>
          </w:p>
        </w:tc>
        <w:tc>
          <w:tcPr>
            <w:tcW w:w="0" w:type="auto"/>
            <w:shd w:val="clear" w:color="auto" w:fill="auto"/>
          </w:tcPr>
          <w:p w14:paraId="36CA1EE0" w14:textId="77777777" w:rsidR="00787570" w:rsidRDefault="00787570">
            <w:pPr>
              <w:rPr>
                <w:rFonts w:ascii="宋体"/>
              </w:rPr>
            </w:pPr>
          </w:p>
        </w:tc>
      </w:tr>
      <w:tr w:rsidR="00787570" w14:paraId="36CA1EED" w14:textId="77777777">
        <w:trPr>
          <w:jc w:val="center"/>
          <w:hidden/>
        </w:trPr>
        <w:tc>
          <w:tcPr>
            <w:tcW w:w="0" w:type="auto"/>
            <w:gridSpan w:val="3"/>
            <w:shd w:val="clear" w:color="auto" w:fill="auto"/>
          </w:tcPr>
          <w:p w14:paraId="36CA1EE2" w14:textId="77777777" w:rsidR="00787570" w:rsidRDefault="00787570">
            <w:pPr>
              <w:rPr>
                <w:rFonts w:ascii="宋体"/>
                <w:vanish/>
              </w:rPr>
            </w:pPr>
          </w:p>
        </w:tc>
        <w:tc>
          <w:tcPr>
            <w:tcW w:w="0" w:type="auto"/>
            <w:gridSpan w:val="3"/>
            <w:shd w:val="clear" w:color="auto" w:fill="auto"/>
          </w:tcPr>
          <w:p w14:paraId="36CA1EE3" w14:textId="77777777" w:rsidR="00787570" w:rsidRDefault="00787570">
            <w:pPr>
              <w:rPr>
                <w:rFonts w:ascii="宋体"/>
                <w:vanish/>
              </w:rPr>
            </w:pPr>
          </w:p>
        </w:tc>
        <w:tc>
          <w:tcPr>
            <w:tcW w:w="0" w:type="auto"/>
            <w:gridSpan w:val="3"/>
            <w:shd w:val="clear" w:color="auto" w:fill="auto"/>
          </w:tcPr>
          <w:p w14:paraId="36CA1EE4" w14:textId="77777777" w:rsidR="00787570" w:rsidRDefault="00787570">
            <w:pPr>
              <w:rPr>
                <w:rFonts w:ascii="宋体"/>
                <w:vanish/>
              </w:rPr>
            </w:pPr>
          </w:p>
        </w:tc>
        <w:tc>
          <w:tcPr>
            <w:tcW w:w="0" w:type="auto"/>
            <w:gridSpan w:val="3"/>
            <w:shd w:val="clear" w:color="auto" w:fill="auto"/>
          </w:tcPr>
          <w:p w14:paraId="36CA1EE5" w14:textId="77777777" w:rsidR="00787570" w:rsidRDefault="00787570">
            <w:pPr>
              <w:rPr>
                <w:rFonts w:ascii="宋体"/>
                <w:vanish/>
              </w:rPr>
            </w:pPr>
          </w:p>
        </w:tc>
        <w:tc>
          <w:tcPr>
            <w:tcW w:w="0" w:type="auto"/>
            <w:gridSpan w:val="3"/>
            <w:shd w:val="clear" w:color="auto" w:fill="auto"/>
          </w:tcPr>
          <w:p w14:paraId="36CA1EE6" w14:textId="77777777" w:rsidR="00787570" w:rsidRDefault="00787570">
            <w:pPr>
              <w:rPr>
                <w:rFonts w:ascii="宋体"/>
                <w:vanish/>
              </w:rPr>
            </w:pPr>
          </w:p>
        </w:tc>
        <w:tc>
          <w:tcPr>
            <w:tcW w:w="0" w:type="auto"/>
            <w:shd w:val="clear" w:color="auto" w:fill="auto"/>
          </w:tcPr>
          <w:p w14:paraId="36CA1EE7" w14:textId="77777777" w:rsidR="00787570" w:rsidRDefault="00787570">
            <w:pPr>
              <w:rPr>
                <w:rFonts w:ascii="宋体"/>
              </w:rPr>
            </w:pPr>
          </w:p>
        </w:tc>
        <w:tc>
          <w:tcPr>
            <w:tcW w:w="0" w:type="auto"/>
            <w:shd w:val="clear" w:color="auto" w:fill="auto"/>
          </w:tcPr>
          <w:p w14:paraId="36CA1EE8" w14:textId="77777777" w:rsidR="00787570" w:rsidRDefault="00787570">
            <w:pPr>
              <w:rPr>
                <w:rFonts w:ascii="宋体"/>
              </w:rPr>
            </w:pPr>
          </w:p>
        </w:tc>
        <w:tc>
          <w:tcPr>
            <w:tcW w:w="0" w:type="auto"/>
            <w:shd w:val="clear" w:color="auto" w:fill="auto"/>
          </w:tcPr>
          <w:p w14:paraId="36CA1EE9" w14:textId="77777777" w:rsidR="00787570" w:rsidRDefault="00787570">
            <w:pPr>
              <w:rPr>
                <w:rFonts w:ascii="宋体"/>
              </w:rPr>
            </w:pPr>
          </w:p>
        </w:tc>
        <w:tc>
          <w:tcPr>
            <w:tcW w:w="0" w:type="auto"/>
            <w:shd w:val="clear" w:color="auto" w:fill="auto"/>
          </w:tcPr>
          <w:p w14:paraId="36CA1EEA" w14:textId="77777777" w:rsidR="00787570" w:rsidRDefault="00787570">
            <w:pPr>
              <w:rPr>
                <w:rFonts w:ascii="宋体"/>
              </w:rPr>
            </w:pPr>
          </w:p>
        </w:tc>
        <w:tc>
          <w:tcPr>
            <w:tcW w:w="0" w:type="auto"/>
            <w:shd w:val="clear" w:color="auto" w:fill="auto"/>
          </w:tcPr>
          <w:p w14:paraId="36CA1EEB" w14:textId="77777777" w:rsidR="00787570" w:rsidRDefault="00787570">
            <w:pPr>
              <w:rPr>
                <w:rFonts w:ascii="宋体"/>
              </w:rPr>
            </w:pPr>
          </w:p>
        </w:tc>
        <w:tc>
          <w:tcPr>
            <w:tcW w:w="0" w:type="auto"/>
            <w:shd w:val="clear" w:color="auto" w:fill="auto"/>
          </w:tcPr>
          <w:p w14:paraId="36CA1EEC" w14:textId="77777777" w:rsidR="00787570" w:rsidRDefault="00787570">
            <w:pPr>
              <w:rPr>
                <w:rFonts w:ascii="宋体"/>
              </w:rPr>
            </w:pPr>
          </w:p>
        </w:tc>
      </w:tr>
      <w:tr w:rsidR="00787570" w14:paraId="36CA1EF9" w14:textId="77777777">
        <w:trPr>
          <w:jc w:val="center"/>
          <w:hidden/>
        </w:trPr>
        <w:tc>
          <w:tcPr>
            <w:tcW w:w="0" w:type="auto"/>
            <w:gridSpan w:val="3"/>
            <w:shd w:val="clear" w:color="auto" w:fill="auto"/>
          </w:tcPr>
          <w:p w14:paraId="36CA1EEE" w14:textId="77777777" w:rsidR="00787570" w:rsidRDefault="00787570">
            <w:pPr>
              <w:rPr>
                <w:rFonts w:ascii="宋体"/>
                <w:vanish/>
              </w:rPr>
            </w:pPr>
          </w:p>
        </w:tc>
        <w:tc>
          <w:tcPr>
            <w:tcW w:w="0" w:type="auto"/>
            <w:gridSpan w:val="3"/>
            <w:shd w:val="clear" w:color="auto" w:fill="auto"/>
          </w:tcPr>
          <w:p w14:paraId="36CA1EEF" w14:textId="77777777" w:rsidR="00787570" w:rsidRDefault="00787570">
            <w:pPr>
              <w:rPr>
                <w:rFonts w:ascii="宋体"/>
                <w:vanish/>
              </w:rPr>
            </w:pPr>
          </w:p>
        </w:tc>
        <w:tc>
          <w:tcPr>
            <w:tcW w:w="0" w:type="auto"/>
            <w:gridSpan w:val="3"/>
            <w:shd w:val="clear" w:color="auto" w:fill="auto"/>
          </w:tcPr>
          <w:p w14:paraId="36CA1EF0" w14:textId="77777777" w:rsidR="00787570" w:rsidRDefault="00787570">
            <w:pPr>
              <w:rPr>
                <w:rFonts w:ascii="宋体"/>
                <w:vanish/>
              </w:rPr>
            </w:pPr>
          </w:p>
        </w:tc>
        <w:tc>
          <w:tcPr>
            <w:tcW w:w="0" w:type="auto"/>
            <w:gridSpan w:val="3"/>
            <w:shd w:val="clear" w:color="auto" w:fill="auto"/>
          </w:tcPr>
          <w:p w14:paraId="36CA1EF1" w14:textId="77777777" w:rsidR="00787570" w:rsidRDefault="00787570">
            <w:pPr>
              <w:rPr>
                <w:rFonts w:ascii="宋体"/>
                <w:vanish/>
              </w:rPr>
            </w:pPr>
          </w:p>
        </w:tc>
        <w:tc>
          <w:tcPr>
            <w:tcW w:w="0" w:type="auto"/>
            <w:gridSpan w:val="3"/>
            <w:shd w:val="clear" w:color="auto" w:fill="auto"/>
          </w:tcPr>
          <w:p w14:paraId="36CA1EF2" w14:textId="77777777" w:rsidR="00787570" w:rsidRDefault="00787570">
            <w:pPr>
              <w:rPr>
                <w:rFonts w:ascii="宋体"/>
                <w:vanish/>
              </w:rPr>
            </w:pPr>
          </w:p>
        </w:tc>
        <w:tc>
          <w:tcPr>
            <w:tcW w:w="0" w:type="auto"/>
            <w:shd w:val="clear" w:color="auto" w:fill="auto"/>
          </w:tcPr>
          <w:p w14:paraId="36CA1EF3" w14:textId="77777777" w:rsidR="00787570" w:rsidRDefault="00787570">
            <w:pPr>
              <w:rPr>
                <w:rFonts w:ascii="宋体"/>
              </w:rPr>
            </w:pPr>
          </w:p>
        </w:tc>
        <w:tc>
          <w:tcPr>
            <w:tcW w:w="0" w:type="auto"/>
            <w:shd w:val="clear" w:color="auto" w:fill="auto"/>
          </w:tcPr>
          <w:p w14:paraId="36CA1EF4" w14:textId="77777777" w:rsidR="00787570" w:rsidRDefault="00787570">
            <w:pPr>
              <w:rPr>
                <w:rFonts w:ascii="宋体"/>
              </w:rPr>
            </w:pPr>
          </w:p>
        </w:tc>
        <w:tc>
          <w:tcPr>
            <w:tcW w:w="0" w:type="auto"/>
            <w:shd w:val="clear" w:color="auto" w:fill="auto"/>
          </w:tcPr>
          <w:p w14:paraId="36CA1EF5" w14:textId="77777777" w:rsidR="00787570" w:rsidRDefault="00787570">
            <w:pPr>
              <w:rPr>
                <w:rFonts w:ascii="宋体"/>
              </w:rPr>
            </w:pPr>
          </w:p>
        </w:tc>
        <w:tc>
          <w:tcPr>
            <w:tcW w:w="0" w:type="auto"/>
            <w:shd w:val="clear" w:color="auto" w:fill="auto"/>
          </w:tcPr>
          <w:p w14:paraId="36CA1EF6" w14:textId="77777777" w:rsidR="00787570" w:rsidRDefault="00787570">
            <w:pPr>
              <w:rPr>
                <w:rFonts w:ascii="宋体"/>
              </w:rPr>
            </w:pPr>
          </w:p>
        </w:tc>
        <w:tc>
          <w:tcPr>
            <w:tcW w:w="0" w:type="auto"/>
            <w:shd w:val="clear" w:color="auto" w:fill="auto"/>
          </w:tcPr>
          <w:p w14:paraId="36CA1EF7" w14:textId="77777777" w:rsidR="00787570" w:rsidRDefault="00787570">
            <w:pPr>
              <w:rPr>
                <w:rFonts w:ascii="宋体"/>
              </w:rPr>
            </w:pPr>
          </w:p>
        </w:tc>
        <w:tc>
          <w:tcPr>
            <w:tcW w:w="0" w:type="auto"/>
            <w:shd w:val="clear" w:color="auto" w:fill="auto"/>
          </w:tcPr>
          <w:p w14:paraId="36CA1EF8" w14:textId="77777777" w:rsidR="00787570" w:rsidRDefault="00787570">
            <w:pPr>
              <w:rPr>
                <w:rFonts w:ascii="宋体"/>
              </w:rPr>
            </w:pPr>
          </w:p>
        </w:tc>
      </w:tr>
      <w:tr w:rsidR="00787570" w14:paraId="36CA1F07" w14:textId="77777777">
        <w:trPr>
          <w:jc w:val="center"/>
        </w:trPr>
        <w:tc>
          <w:tcPr>
            <w:tcW w:w="0" w:type="auto"/>
            <w:gridSpan w:val="3"/>
            <w:shd w:val="clear" w:color="auto" w:fill="auto"/>
            <w:tcMar>
              <w:top w:w="40" w:type="dxa"/>
              <w:left w:w="195" w:type="dxa"/>
              <w:bottom w:w="40" w:type="dxa"/>
              <w:right w:w="20" w:type="dxa"/>
            </w:tcMar>
          </w:tcPr>
          <w:p w14:paraId="36CA1EFA" w14:textId="77777777" w:rsidR="00787570" w:rsidRDefault="000D56E2">
            <w:pPr>
              <w:textAlignment w:val="top"/>
            </w:pPr>
            <w:r>
              <w:rPr>
                <w:rFonts w:ascii="Arial" w:eastAsia="宋体" w:hAnsi="Arial" w:cs="Arial"/>
                <w:color w:val="333333"/>
                <w:sz w:val="18"/>
                <w:szCs w:val="18"/>
              </w:rPr>
              <w:t>Other investing</w:t>
            </w:r>
          </w:p>
        </w:tc>
        <w:tc>
          <w:tcPr>
            <w:tcW w:w="0" w:type="auto"/>
            <w:gridSpan w:val="3"/>
            <w:shd w:val="clear" w:color="auto" w:fill="auto"/>
            <w:tcMar>
              <w:left w:w="20" w:type="dxa"/>
              <w:right w:w="20" w:type="dxa"/>
            </w:tcMar>
            <w:vAlign w:val="bottom"/>
          </w:tcPr>
          <w:p w14:paraId="36CA1EFB"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1EFC" w14:textId="77777777" w:rsidR="00787570" w:rsidRDefault="000D56E2">
            <w:pPr>
              <w:jc w:val="right"/>
              <w:textAlignment w:val="bottom"/>
            </w:pPr>
            <w:r>
              <w:rPr>
                <w:rFonts w:ascii="Arial" w:eastAsia="宋体" w:hAnsi="Arial" w:cs="Arial"/>
                <w:color w:val="0071C5"/>
                <w:sz w:val="18"/>
                <w:szCs w:val="18"/>
              </w:rPr>
              <w:t>(256)</w:t>
            </w:r>
          </w:p>
        </w:tc>
        <w:tc>
          <w:tcPr>
            <w:tcW w:w="0" w:type="auto"/>
            <w:shd w:val="clear" w:color="auto" w:fill="auto"/>
            <w:tcMar>
              <w:top w:w="40" w:type="dxa"/>
              <w:bottom w:w="40" w:type="dxa"/>
              <w:right w:w="20" w:type="dxa"/>
            </w:tcMar>
            <w:vAlign w:val="bottom"/>
          </w:tcPr>
          <w:p w14:paraId="36CA1EFD"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1EFE"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1EFF" w14:textId="77777777" w:rsidR="00787570" w:rsidRDefault="000D56E2">
            <w:pPr>
              <w:jc w:val="right"/>
              <w:textAlignment w:val="bottom"/>
            </w:pPr>
            <w:r>
              <w:rPr>
                <w:rFonts w:ascii="Arial" w:eastAsia="宋体" w:hAnsi="Arial" w:cs="Arial"/>
                <w:color w:val="333333"/>
                <w:sz w:val="18"/>
                <w:szCs w:val="18"/>
              </w:rPr>
              <w:t>(575)</w:t>
            </w:r>
          </w:p>
        </w:tc>
        <w:tc>
          <w:tcPr>
            <w:tcW w:w="0" w:type="auto"/>
            <w:shd w:val="clear" w:color="auto" w:fill="auto"/>
            <w:tcMar>
              <w:top w:w="40" w:type="dxa"/>
              <w:bottom w:w="40" w:type="dxa"/>
              <w:right w:w="20" w:type="dxa"/>
            </w:tcMar>
            <w:vAlign w:val="bottom"/>
          </w:tcPr>
          <w:p w14:paraId="36CA1F00" w14:textId="77777777" w:rsidR="00787570" w:rsidRDefault="00787570">
            <w:pPr>
              <w:jc w:val="right"/>
              <w:rPr>
                <w:rFonts w:ascii="宋体"/>
              </w:rPr>
            </w:pPr>
          </w:p>
        </w:tc>
        <w:tc>
          <w:tcPr>
            <w:tcW w:w="0" w:type="auto"/>
            <w:shd w:val="clear" w:color="auto" w:fill="auto"/>
          </w:tcPr>
          <w:p w14:paraId="36CA1F01" w14:textId="77777777" w:rsidR="00787570" w:rsidRDefault="00787570">
            <w:pPr>
              <w:rPr>
                <w:rFonts w:ascii="宋体"/>
              </w:rPr>
            </w:pPr>
          </w:p>
        </w:tc>
        <w:tc>
          <w:tcPr>
            <w:tcW w:w="0" w:type="auto"/>
            <w:shd w:val="clear" w:color="auto" w:fill="auto"/>
          </w:tcPr>
          <w:p w14:paraId="36CA1F02" w14:textId="77777777" w:rsidR="00787570" w:rsidRDefault="00787570">
            <w:pPr>
              <w:rPr>
                <w:rFonts w:ascii="宋体"/>
              </w:rPr>
            </w:pPr>
          </w:p>
        </w:tc>
        <w:tc>
          <w:tcPr>
            <w:tcW w:w="0" w:type="auto"/>
            <w:shd w:val="clear" w:color="auto" w:fill="auto"/>
          </w:tcPr>
          <w:p w14:paraId="36CA1F03" w14:textId="77777777" w:rsidR="00787570" w:rsidRDefault="00787570">
            <w:pPr>
              <w:rPr>
                <w:rFonts w:ascii="宋体"/>
              </w:rPr>
            </w:pPr>
          </w:p>
        </w:tc>
        <w:tc>
          <w:tcPr>
            <w:tcW w:w="0" w:type="auto"/>
            <w:shd w:val="clear" w:color="auto" w:fill="auto"/>
          </w:tcPr>
          <w:p w14:paraId="36CA1F04" w14:textId="77777777" w:rsidR="00787570" w:rsidRDefault="00787570">
            <w:pPr>
              <w:rPr>
                <w:rFonts w:ascii="宋体"/>
              </w:rPr>
            </w:pPr>
          </w:p>
        </w:tc>
        <w:tc>
          <w:tcPr>
            <w:tcW w:w="0" w:type="auto"/>
            <w:shd w:val="clear" w:color="auto" w:fill="auto"/>
          </w:tcPr>
          <w:p w14:paraId="36CA1F05" w14:textId="77777777" w:rsidR="00787570" w:rsidRDefault="00787570">
            <w:pPr>
              <w:rPr>
                <w:rFonts w:ascii="宋体"/>
              </w:rPr>
            </w:pPr>
          </w:p>
        </w:tc>
        <w:tc>
          <w:tcPr>
            <w:tcW w:w="0" w:type="auto"/>
            <w:shd w:val="clear" w:color="auto" w:fill="auto"/>
          </w:tcPr>
          <w:p w14:paraId="36CA1F06" w14:textId="77777777" w:rsidR="00787570" w:rsidRDefault="00787570">
            <w:pPr>
              <w:rPr>
                <w:rFonts w:ascii="宋体"/>
              </w:rPr>
            </w:pPr>
          </w:p>
        </w:tc>
      </w:tr>
      <w:tr w:rsidR="00787570" w14:paraId="36CA1F15" w14:textId="77777777">
        <w:trPr>
          <w:jc w:val="center"/>
        </w:trPr>
        <w:tc>
          <w:tcPr>
            <w:tcW w:w="0" w:type="auto"/>
            <w:gridSpan w:val="3"/>
            <w:shd w:val="clear" w:color="auto" w:fill="auto"/>
            <w:tcMar>
              <w:top w:w="40" w:type="dxa"/>
              <w:left w:w="20" w:type="dxa"/>
              <w:bottom w:w="40" w:type="dxa"/>
              <w:right w:w="20" w:type="dxa"/>
            </w:tcMar>
          </w:tcPr>
          <w:p w14:paraId="36CA1F08" w14:textId="77777777" w:rsidR="00787570" w:rsidRDefault="000D56E2">
            <w:pPr>
              <w:textAlignment w:val="top"/>
            </w:pPr>
            <w:r>
              <w:rPr>
                <w:rFonts w:ascii="Arial" w:eastAsia="宋体" w:hAnsi="Arial" w:cs="Arial"/>
                <w:b/>
                <w:bCs/>
                <w:color w:val="333333"/>
                <w:sz w:val="18"/>
                <w:szCs w:val="18"/>
              </w:rPr>
              <w:t xml:space="preserve">Net cash used for investing </w:t>
            </w:r>
            <w:r>
              <w:rPr>
                <w:rFonts w:ascii="Arial" w:eastAsia="宋体" w:hAnsi="Arial" w:cs="Arial"/>
                <w:b/>
                <w:bCs/>
                <w:color w:val="333333"/>
                <w:sz w:val="18"/>
                <w:szCs w:val="18"/>
              </w:rPr>
              <w:t>activities</w:t>
            </w:r>
          </w:p>
        </w:tc>
        <w:tc>
          <w:tcPr>
            <w:tcW w:w="0" w:type="auto"/>
            <w:gridSpan w:val="3"/>
            <w:shd w:val="clear" w:color="auto" w:fill="auto"/>
            <w:tcMar>
              <w:left w:w="20" w:type="dxa"/>
              <w:right w:w="20" w:type="dxa"/>
            </w:tcMar>
            <w:vAlign w:val="bottom"/>
          </w:tcPr>
          <w:p w14:paraId="36CA1F09" w14:textId="77777777" w:rsidR="00787570" w:rsidRDefault="00787570">
            <w:pPr>
              <w:rPr>
                <w:rFonts w:ascii="宋体"/>
              </w:rPr>
            </w:pPr>
          </w:p>
        </w:tc>
        <w:tc>
          <w:tcPr>
            <w:tcW w:w="0" w:type="auto"/>
            <w:gridSpan w:val="2"/>
            <w:tcBorders>
              <w:top w:val="single" w:sz="8" w:space="0" w:color="333333"/>
            </w:tcBorders>
            <w:shd w:val="clear" w:color="auto" w:fill="auto"/>
            <w:tcMar>
              <w:top w:w="40" w:type="dxa"/>
              <w:left w:w="20" w:type="dxa"/>
              <w:bottom w:w="40" w:type="dxa"/>
              <w:right w:w="0" w:type="dxa"/>
            </w:tcMar>
            <w:vAlign w:val="bottom"/>
          </w:tcPr>
          <w:p w14:paraId="36CA1F0A" w14:textId="77777777" w:rsidR="00787570" w:rsidRDefault="000D56E2">
            <w:pPr>
              <w:jc w:val="right"/>
              <w:textAlignment w:val="bottom"/>
            </w:pPr>
            <w:r>
              <w:rPr>
                <w:rFonts w:ascii="Arial" w:eastAsia="宋体" w:hAnsi="Arial" w:cs="Arial"/>
                <w:b/>
                <w:bCs/>
                <w:color w:val="0071C5"/>
                <w:sz w:val="18"/>
                <w:szCs w:val="18"/>
              </w:rPr>
              <w:t>(15,112)</w:t>
            </w:r>
          </w:p>
        </w:tc>
        <w:tc>
          <w:tcPr>
            <w:tcW w:w="0" w:type="auto"/>
            <w:tcBorders>
              <w:top w:val="single" w:sz="8" w:space="0" w:color="333333"/>
            </w:tcBorders>
            <w:shd w:val="clear" w:color="auto" w:fill="auto"/>
            <w:tcMar>
              <w:top w:w="40" w:type="dxa"/>
              <w:bottom w:w="40" w:type="dxa"/>
              <w:right w:w="20" w:type="dxa"/>
            </w:tcMar>
            <w:vAlign w:val="bottom"/>
          </w:tcPr>
          <w:p w14:paraId="36CA1F0B"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1F0C" w14:textId="77777777" w:rsidR="00787570" w:rsidRDefault="00787570">
            <w:pPr>
              <w:rPr>
                <w:rFonts w:ascii="宋体"/>
              </w:rPr>
            </w:pPr>
          </w:p>
        </w:tc>
        <w:tc>
          <w:tcPr>
            <w:tcW w:w="0" w:type="auto"/>
            <w:gridSpan w:val="2"/>
            <w:tcBorders>
              <w:top w:val="single" w:sz="8" w:space="0" w:color="333333"/>
            </w:tcBorders>
            <w:shd w:val="clear" w:color="auto" w:fill="auto"/>
            <w:tcMar>
              <w:top w:w="40" w:type="dxa"/>
              <w:left w:w="20" w:type="dxa"/>
              <w:bottom w:w="40" w:type="dxa"/>
              <w:right w:w="0" w:type="dxa"/>
            </w:tcMar>
            <w:vAlign w:val="bottom"/>
          </w:tcPr>
          <w:p w14:paraId="36CA1F0D" w14:textId="77777777" w:rsidR="00787570" w:rsidRDefault="000D56E2">
            <w:pPr>
              <w:jc w:val="right"/>
              <w:textAlignment w:val="bottom"/>
            </w:pPr>
            <w:r>
              <w:rPr>
                <w:rFonts w:ascii="Arial" w:eastAsia="宋体" w:hAnsi="Arial" w:cs="Arial"/>
                <w:b/>
                <w:bCs/>
                <w:color w:val="333333"/>
                <w:sz w:val="18"/>
                <w:szCs w:val="18"/>
              </w:rPr>
              <w:t>(9,920)</w:t>
            </w:r>
          </w:p>
        </w:tc>
        <w:tc>
          <w:tcPr>
            <w:tcW w:w="0" w:type="auto"/>
            <w:tcBorders>
              <w:top w:val="single" w:sz="8" w:space="0" w:color="333333"/>
            </w:tcBorders>
            <w:shd w:val="clear" w:color="auto" w:fill="auto"/>
            <w:tcMar>
              <w:top w:w="40" w:type="dxa"/>
              <w:bottom w:w="40" w:type="dxa"/>
              <w:right w:w="20" w:type="dxa"/>
            </w:tcMar>
            <w:vAlign w:val="bottom"/>
          </w:tcPr>
          <w:p w14:paraId="36CA1F0E" w14:textId="77777777" w:rsidR="00787570" w:rsidRDefault="00787570">
            <w:pPr>
              <w:jc w:val="right"/>
              <w:rPr>
                <w:rFonts w:ascii="宋体"/>
              </w:rPr>
            </w:pPr>
          </w:p>
        </w:tc>
        <w:tc>
          <w:tcPr>
            <w:tcW w:w="0" w:type="auto"/>
            <w:shd w:val="clear" w:color="auto" w:fill="auto"/>
          </w:tcPr>
          <w:p w14:paraId="36CA1F0F" w14:textId="77777777" w:rsidR="00787570" w:rsidRDefault="00787570">
            <w:pPr>
              <w:rPr>
                <w:rFonts w:ascii="宋体"/>
              </w:rPr>
            </w:pPr>
          </w:p>
        </w:tc>
        <w:tc>
          <w:tcPr>
            <w:tcW w:w="0" w:type="auto"/>
            <w:shd w:val="clear" w:color="auto" w:fill="auto"/>
          </w:tcPr>
          <w:p w14:paraId="36CA1F10" w14:textId="77777777" w:rsidR="00787570" w:rsidRDefault="00787570">
            <w:pPr>
              <w:rPr>
                <w:rFonts w:ascii="宋体"/>
              </w:rPr>
            </w:pPr>
          </w:p>
        </w:tc>
        <w:tc>
          <w:tcPr>
            <w:tcW w:w="0" w:type="auto"/>
            <w:shd w:val="clear" w:color="auto" w:fill="auto"/>
          </w:tcPr>
          <w:p w14:paraId="36CA1F11" w14:textId="77777777" w:rsidR="00787570" w:rsidRDefault="00787570">
            <w:pPr>
              <w:rPr>
                <w:rFonts w:ascii="宋体"/>
              </w:rPr>
            </w:pPr>
          </w:p>
        </w:tc>
        <w:tc>
          <w:tcPr>
            <w:tcW w:w="0" w:type="auto"/>
            <w:shd w:val="clear" w:color="auto" w:fill="auto"/>
          </w:tcPr>
          <w:p w14:paraId="36CA1F12" w14:textId="77777777" w:rsidR="00787570" w:rsidRDefault="00787570">
            <w:pPr>
              <w:rPr>
                <w:rFonts w:ascii="宋体"/>
              </w:rPr>
            </w:pPr>
          </w:p>
        </w:tc>
        <w:tc>
          <w:tcPr>
            <w:tcW w:w="0" w:type="auto"/>
            <w:shd w:val="clear" w:color="auto" w:fill="auto"/>
          </w:tcPr>
          <w:p w14:paraId="36CA1F13" w14:textId="77777777" w:rsidR="00787570" w:rsidRDefault="00787570">
            <w:pPr>
              <w:rPr>
                <w:rFonts w:ascii="宋体"/>
              </w:rPr>
            </w:pPr>
          </w:p>
        </w:tc>
        <w:tc>
          <w:tcPr>
            <w:tcW w:w="0" w:type="auto"/>
            <w:shd w:val="clear" w:color="auto" w:fill="auto"/>
          </w:tcPr>
          <w:p w14:paraId="36CA1F14" w14:textId="77777777" w:rsidR="00787570" w:rsidRDefault="00787570">
            <w:pPr>
              <w:rPr>
                <w:rFonts w:ascii="宋体"/>
              </w:rPr>
            </w:pPr>
          </w:p>
        </w:tc>
      </w:tr>
      <w:tr w:rsidR="00787570" w14:paraId="36CA1F21" w14:textId="77777777">
        <w:trPr>
          <w:jc w:val="center"/>
        </w:trPr>
        <w:tc>
          <w:tcPr>
            <w:tcW w:w="0" w:type="auto"/>
            <w:gridSpan w:val="3"/>
            <w:shd w:val="clear" w:color="auto" w:fill="auto"/>
            <w:tcMar>
              <w:top w:w="40" w:type="dxa"/>
              <w:left w:w="20" w:type="dxa"/>
              <w:bottom w:w="40" w:type="dxa"/>
              <w:right w:w="20" w:type="dxa"/>
            </w:tcMar>
          </w:tcPr>
          <w:p w14:paraId="36CA1F16" w14:textId="77777777" w:rsidR="00787570" w:rsidRDefault="000D56E2">
            <w:pPr>
              <w:textAlignment w:val="top"/>
            </w:pPr>
            <w:r>
              <w:rPr>
                <w:rFonts w:ascii="Arial" w:eastAsia="宋体" w:hAnsi="Arial" w:cs="Arial"/>
                <w:color w:val="333333"/>
                <w:sz w:val="18"/>
                <w:szCs w:val="18"/>
              </w:rPr>
              <w:t>Cash flows provided by (used for) financing activities:</w:t>
            </w:r>
          </w:p>
        </w:tc>
        <w:tc>
          <w:tcPr>
            <w:tcW w:w="0" w:type="auto"/>
            <w:gridSpan w:val="3"/>
            <w:shd w:val="clear" w:color="auto" w:fill="auto"/>
            <w:tcMar>
              <w:left w:w="20" w:type="dxa"/>
              <w:right w:w="20" w:type="dxa"/>
            </w:tcMar>
            <w:vAlign w:val="bottom"/>
          </w:tcPr>
          <w:p w14:paraId="36CA1F17" w14:textId="77777777" w:rsidR="00787570" w:rsidRDefault="00787570">
            <w:pPr>
              <w:rPr>
                <w:rFonts w:ascii="宋体"/>
              </w:rPr>
            </w:pPr>
          </w:p>
        </w:tc>
        <w:tc>
          <w:tcPr>
            <w:tcW w:w="0" w:type="auto"/>
            <w:gridSpan w:val="3"/>
            <w:tcBorders>
              <w:top w:val="single" w:sz="8" w:space="0" w:color="333333"/>
            </w:tcBorders>
            <w:shd w:val="clear" w:color="auto" w:fill="auto"/>
            <w:tcMar>
              <w:left w:w="20" w:type="dxa"/>
              <w:right w:w="20" w:type="dxa"/>
            </w:tcMar>
            <w:vAlign w:val="bottom"/>
          </w:tcPr>
          <w:p w14:paraId="36CA1F18"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1F19" w14:textId="77777777" w:rsidR="00787570" w:rsidRDefault="00787570">
            <w:pPr>
              <w:rPr>
                <w:rFonts w:ascii="宋体"/>
              </w:rPr>
            </w:pPr>
          </w:p>
        </w:tc>
        <w:tc>
          <w:tcPr>
            <w:tcW w:w="0" w:type="auto"/>
            <w:gridSpan w:val="3"/>
            <w:tcBorders>
              <w:top w:val="single" w:sz="8" w:space="0" w:color="333333"/>
            </w:tcBorders>
            <w:shd w:val="clear" w:color="auto" w:fill="auto"/>
            <w:tcMar>
              <w:left w:w="20" w:type="dxa"/>
              <w:right w:w="20" w:type="dxa"/>
            </w:tcMar>
            <w:vAlign w:val="bottom"/>
          </w:tcPr>
          <w:p w14:paraId="36CA1F1A" w14:textId="77777777" w:rsidR="00787570" w:rsidRDefault="00787570">
            <w:pPr>
              <w:rPr>
                <w:rFonts w:ascii="宋体"/>
              </w:rPr>
            </w:pPr>
          </w:p>
        </w:tc>
        <w:tc>
          <w:tcPr>
            <w:tcW w:w="0" w:type="auto"/>
            <w:shd w:val="clear" w:color="auto" w:fill="auto"/>
          </w:tcPr>
          <w:p w14:paraId="36CA1F1B" w14:textId="77777777" w:rsidR="00787570" w:rsidRDefault="00787570">
            <w:pPr>
              <w:rPr>
                <w:rFonts w:ascii="宋体"/>
              </w:rPr>
            </w:pPr>
          </w:p>
        </w:tc>
        <w:tc>
          <w:tcPr>
            <w:tcW w:w="0" w:type="auto"/>
            <w:shd w:val="clear" w:color="auto" w:fill="auto"/>
          </w:tcPr>
          <w:p w14:paraId="36CA1F1C" w14:textId="77777777" w:rsidR="00787570" w:rsidRDefault="00787570">
            <w:pPr>
              <w:rPr>
                <w:rFonts w:ascii="宋体"/>
              </w:rPr>
            </w:pPr>
          </w:p>
        </w:tc>
        <w:tc>
          <w:tcPr>
            <w:tcW w:w="0" w:type="auto"/>
            <w:shd w:val="clear" w:color="auto" w:fill="auto"/>
          </w:tcPr>
          <w:p w14:paraId="36CA1F1D" w14:textId="77777777" w:rsidR="00787570" w:rsidRDefault="00787570">
            <w:pPr>
              <w:rPr>
                <w:rFonts w:ascii="宋体"/>
              </w:rPr>
            </w:pPr>
          </w:p>
        </w:tc>
        <w:tc>
          <w:tcPr>
            <w:tcW w:w="0" w:type="auto"/>
            <w:shd w:val="clear" w:color="auto" w:fill="auto"/>
          </w:tcPr>
          <w:p w14:paraId="36CA1F1E" w14:textId="77777777" w:rsidR="00787570" w:rsidRDefault="00787570">
            <w:pPr>
              <w:rPr>
                <w:rFonts w:ascii="宋体"/>
              </w:rPr>
            </w:pPr>
          </w:p>
        </w:tc>
        <w:tc>
          <w:tcPr>
            <w:tcW w:w="0" w:type="auto"/>
            <w:shd w:val="clear" w:color="auto" w:fill="auto"/>
          </w:tcPr>
          <w:p w14:paraId="36CA1F1F" w14:textId="77777777" w:rsidR="00787570" w:rsidRDefault="00787570">
            <w:pPr>
              <w:rPr>
                <w:rFonts w:ascii="宋体"/>
              </w:rPr>
            </w:pPr>
          </w:p>
        </w:tc>
        <w:tc>
          <w:tcPr>
            <w:tcW w:w="0" w:type="auto"/>
            <w:shd w:val="clear" w:color="auto" w:fill="auto"/>
          </w:tcPr>
          <w:p w14:paraId="36CA1F20" w14:textId="77777777" w:rsidR="00787570" w:rsidRDefault="00787570">
            <w:pPr>
              <w:rPr>
                <w:rFonts w:ascii="宋体"/>
              </w:rPr>
            </w:pPr>
          </w:p>
        </w:tc>
      </w:tr>
      <w:tr w:rsidR="00787570" w14:paraId="36CA1F2F" w14:textId="77777777">
        <w:trPr>
          <w:jc w:val="center"/>
        </w:trPr>
        <w:tc>
          <w:tcPr>
            <w:tcW w:w="0" w:type="auto"/>
            <w:gridSpan w:val="3"/>
            <w:shd w:val="clear" w:color="auto" w:fill="auto"/>
            <w:tcMar>
              <w:top w:w="40" w:type="dxa"/>
              <w:left w:w="195" w:type="dxa"/>
              <w:bottom w:w="40" w:type="dxa"/>
              <w:right w:w="20" w:type="dxa"/>
            </w:tcMar>
          </w:tcPr>
          <w:p w14:paraId="36CA1F22" w14:textId="77777777" w:rsidR="00787570" w:rsidRDefault="000D56E2">
            <w:pPr>
              <w:textAlignment w:val="top"/>
            </w:pPr>
            <w:r>
              <w:rPr>
                <w:rFonts w:ascii="Arial" w:eastAsia="宋体" w:hAnsi="Arial" w:cs="Arial"/>
                <w:color w:val="333333"/>
                <w:sz w:val="18"/>
                <w:szCs w:val="18"/>
              </w:rPr>
              <w:t>Increase (decrease) in short-term debt, net</w:t>
            </w:r>
          </w:p>
        </w:tc>
        <w:tc>
          <w:tcPr>
            <w:tcW w:w="0" w:type="auto"/>
            <w:gridSpan w:val="3"/>
            <w:shd w:val="clear" w:color="auto" w:fill="auto"/>
            <w:tcMar>
              <w:left w:w="20" w:type="dxa"/>
              <w:right w:w="20" w:type="dxa"/>
            </w:tcMar>
            <w:vAlign w:val="bottom"/>
          </w:tcPr>
          <w:p w14:paraId="36CA1F23"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1F24" w14:textId="77777777" w:rsidR="00787570" w:rsidRDefault="000D56E2">
            <w:pPr>
              <w:jc w:val="right"/>
              <w:textAlignment w:val="bottom"/>
            </w:pPr>
            <w:r>
              <w:rPr>
                <w:rFonts w:ascii="Arial" w:eastAsia="宋体" w:hAnsi="Arial" w:cs="Arial"/>
                <w:color w:val="0071C5"/>
                <w:sz w:val="18"/>
                <w:szCs w:val="18"/>
              </w:rPr>
              <w:t>— </w:t>
            </w:r>
          </w:p>
        </w:tc>
        <w:tc>
          <w:tcPr>
            <w:tcW w:w="0" w:type="auto"/>
            <w:shd w:val="clear" w:color="auto" w:fill="auto"/>
            <w:tcMar>
              <w:top w:w="40" w:type="dxa"/>
              <w:bottom w:w="40" w:type="dxa"/>
              <w:right w:w="20" w:type="dxa"/>
            </w:tcMar>
            <w:vAlign w:val="bottom"/>
          </w:tcPr>
          <w:p w14:paraId="36CA1F25"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1F26"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1F27" w14:textId="77777777" w:rsidR="00787570" w:rsidRDefault="000D56E2">
            <w:pPr>
              <w:jc w:val="right"/>
              <w:textAlignment w:val="bottom"/>
            </w:pPr>
            <w:r>
              <w:rPr>
                <w:rFonts w:ascii="Arial" w:eastAsia="宋体" w:hAnsi="Arial" w:cs="Arial"/>
                <w:color w:val="333333"/>
                <w:sz w:val="18"/>
                <w:szCs w:val="18"/>
              </w:rPr>
              <w:t>835 </w:t>
            </w:r>
          </w:p>
        </w:tc>
        <w:tc>
          <w:tcPr>
            <w:tcW w:w="0" w:type="auto"/>
            <w:shd w:val="clear" w:color="auto" w:fill="auto"/>
            <w:tcMar>
              <w:top w:w="40" w:type="dxa"/>
              <w:bottom w:w="40" w:type="dxa"/>
              <w:right w:w="20" w:type="dxa"/>
            </w:tcMar>
            <w:vAlign w:val="bottom"/>
          </w:tcPr>
          <w:p w14:paraId="36CA1F28" w14:textId="77777777" w:rsidR="00787570" w:rsidRDefault="00787570">
            <w:pPr>
              <w:jc w:val="right"/>
              <w:rPr>
                <w:rFonts w:ascii="宋体"/>
              </w:rPr>
            </w:pPr>
          </w:p>
        </w:tc>
        <w:tc>
          <w:tcPr>
            <w:tcW w:w="0" w:type="auto"/>
            <w:shd w:val="clear" w:color="auto" w:fill="auto"/>
          </w:tcPr>
          <w:p w14:paraId="36CA1F29" w14:textId="77777777" w:rsidR="00787570" w:rsidRDefault="00787570">
            <w:pPr>
              <w:rPr>
                <w:rFonts w:ascii="宋体"/>
              </w:rPr>
            </w:pPr>
          </w:p>
        </w:tc>
        <w:tc>
          <w:tcPr>
            <w:tcW w:w="0" w:type="auto"/>
            <w:shd w:val="clear" w:color="auto" w:fill="auto"/>
          </w:tcPr>
          <w:p w14:paraId="36CA1F2A" w14:textId="77777777" w:rsidR="00787570" w:rsidRDefault="00787570">
            <w:pPr>
              <w:rPr>
                <w:rFonts w:ascii="宋体"/>
              </w:rPr>
            </w:pPr>
          </w:p>
        </w:tc>
        <w:tc>
          <w:tcPr>
            <w:tcW w:w="0" w:type="auto"/>
            <w:shd w:val="clear" w:color="auto" w:fill="auto"/>
          </w:tcPr>
          <w:p w14:paraId="36CA1F2B" w14:textId="77777777" w:rsidR="00787570" w:rsidRDefault="00787570">
            <w:pPr>
              <w:rPr>
                <w:rFonts w:ascii="宋体"/>
              </w:rPr>
            </w:pPr>
          </w:p>
        </w:tc>
        <w:tc>
          <w:tcPr>
            <w:tcW w:w="0" w:type="auto"/>
            <w:shd w:val="clear" w:color="auto" w:fill="auto"/>
          </w:tcPr>
          <w:p w14:paraId="36CA1F2C" w14:textId="77777777" w:rsidR="00787570" w:rsidRDefault="00787570">
            <w:pPr>
              <w:rPr>
                <w:rFonts w:ascii="宋体"/>
              </w:rPr>
            </w:pPr>
          </w:p>
        </w:tc>
        <w:tc>
          <w:tcPr>
            <w:tcW w:w="0" w:type="auto"/>
            <w:shd w:val="clear" w:color="auto" w:fill="auto"/>
          </w:tcPr>
          <w:p w14:paraId="36CA1F2D" w14:textId="77777777" w:rsidR="00787570" w:rsidRDefault="00787570">
            <w:pPr>
              <w:rPr>
                <w:rFonts w:ascii="宋体"/>
              </w:rPr>
            </w:pPr>
          </w:p>
        </w:tc>
        <w:tc>
          <w:tcPr>
            <w:tcW w:w="0" w:type="auto"/>
            <w:shd w:val="clear" w:color="auto" w:fill="auto"/>
          </w:tcPr>
          <w:p w14:paraId="36CA1F2E" w14:textId="77777777" w:rsidR="00787570" w:rsidRDefault="00787570">
            <w:pPr>
              <w:rPr>
                <w:rFonts w:ascii="宋体"/>
              </w:rPr>
            </w:pPr>
          </w:p>
        </w:tc>
      </w:tr>
      <w:tr w:rsidR="00787570" w14:paraId="36CA1F3B" w14:textId="77777777">
        <w:trPr>
          <w:jc w:val="center"/>
          <w:hidden/>
        </w:trPr>
        <w:tc>
          <w:tcPr>
            <w:tcW w:w="0" w:type="auto"/>
            <w:gridSpan w:val="3"/>
            <w:shd w:val="clear" w:color="auto" w:fill="auto"/>
          </w:tcPr>
          <w:p w14:paraId="36CA1F30" w14:textId="77777777" w:rsidR="00787570" w:rsidRDefault="00787570">
            <w:pPr>
              <w:rPr>
                <w:rFonts w:ascii="宋体"/>
                <w:vanish/>
              </w:rPr>
            </w:pPr>
          </w:p>
        </w:tc>
        <w:tc>
          <w:tcPr>
            <w:tcW w:w="0" w:type="auto"/>
            <w:gridSpan w:val="3"/>
            <w:shd w:val="clear" w:color="auto" w:fill="auto"/>
          </w:tcPr>
          <w:p w14:paraId="36CA1F31" w14:textId="77777777" w:rsidR="00787570" w:rsidRDefault="00787570">
            <w:pPr>
              <w:rPr>
                <w:rFonts w:ascii="宋体"/>
                <w:vanish/>
              </w:rPr>
            </w:pPr>
          </w:p>
        </w:tc>
        <w:tc>
          <w:tcPr>
            <w:tcW w:w="0" w:type="auto"/>
            <w:gridSpan w:val="3"/>
            <w:shd w:val="clear" w:color="auto" w:fill="auto"/>
          </w:tcPr>
          <w:p w14:paraId="36CA1F32" w14:textId="77777777" w:rsidR="00787570" w:rsidRDefault="00787570">
            <w:pPr>
              <w:rPr>
                <w:rFonts w:ascii="宋体"/>
                <w:vanish/>
              </w:rPr>
            </w:pPr>
          </w:p>
        </w:tc>
        <w:tc>
          <w:tcPr>
            <w:tcW w:w="0" w:type="auto"/>
            <w:gridSpan w:val="3"/>
            <w:shd w:val="clear" w:color="auto" w:fill="auto"/>
          </w:tcPr>
          <w:p w14:paraId="36CA1F33" w14:textId="77777777" w:rsidR="00787570" w:rsidRDefault="00787570">
            <w:pPr>
              <w:rPr>
                <w:rFonts w:ascii="宋体"/>
                <w:vanish/>
              </w:rPr>
            </w:pPr>
          </w:p>
        </w:tc>
        <w:tc>
          <w:tcPr>
            <w:tcW w:w="0" w:type="auto"/>
            <w:gridSpan w:val="3"/>
            <w:shd w:val="clear" w:color="auto" w:fill="auto"/>
          </w:tcPr>
          <w:p w14:paraId="36CA1F34" w14:textId="77777777" w:rsidR="00787570" w:rsidRDefault="00787570">
            <w:pPr>
              <w:rPr>
                <w:rFonts w:ascii="宋体"/>
                <w:vanish/>
              </w:rPr>
            </w:pPr>
          </w:p>
        </w:tc>
        <w:tc>
          <w:tcPr>
            <w:tcW w:w="0" w:type="auto"/>
            <w:shd w:val="clear" w:color="auto" w:fill="auto"/>
          </w:tcPr>
          <w:p w14:paraId="36CA1F35" w14:textId="77777777" w:rsidR="00787570" w:rsidRDefault="00787570">
            <w:pPr>
              <w:rPr>
                <w:rFonts w:ascii="宋体"/>
              </w:rPr>
            </w:pPr>
          </w:p>
        </w:tc>
        <w:tc>
          <w:tcPr>
            <w:tcW w:w="0" w:type="auto"/>
            <w:shd w:val="clear" w:color="auto" w:fill="auto"/>
          </w:tcPr>
          <w:p w14:paraId="36CA1F36" w14:textId="77777777" w:rsidR="00787570" w:rsidRDefault="00787570">
            <w:pPr>
              <w:rPr>
                <w:rFonts w:ascii="宋体"/>
              </w:rPr>
            </w:pPr>
          </w:p>
        </w:tc>
        <w:tc>
          <w:tcPr>
            <w:tcW w:w="0" w:type="auto"/>
            <w:shd w:val="clear" w:color="auto" w:fill="auto"/>
          </w:tcPr>
          <w:p w14:paraId="36CA1F37" w14:textId="77777777" w:rsidR="00787570" w:rsidRDefault="00787570">
            <w:pPr>
              <w:rPr>
                <w:rFonts w:ascii="宋体"/>
              </w:rPr>
            </w:pPr>
          </w:p>
        </w:tc>
        <w:tc>
          <w:tcPr>
            <w:tcW w:w="0" w:type="auto"/>
            <w:shd w:val="clear" w:color="auto" w:fill="auto"/>
          </w:tcPr>
          <w:p w14:paraId="36CA1F38" w14:textId="77777777" w:rsidR="00787570" w:rsidRDefault="00787570">
            <w:pPr>
              <w:rPr>
                <w:rFonts w:ascii="宋体"/>
              </w:rPr>
            </w:pPr>
          </w:p>
        </w:tc>
        <w:tc>
          <w:tcPr>
            <w:tcW w:w="0" w:type="auto"/>
            <w:shd w:val="clear" w:color="auto" w:fill="auto"/>
          </w:tcPr>
          <w:p w14:paraId="36CA1F39" w14:textId="77777777" w:rsidR="00787570" w:rsidRDefault="00787570">
            <w:pPr>
              <w:rPr>
                <w:rFonts w:ascii="宋体"/>
              </w:rPr>
            </w:pPr>
          </w:p>
        </w:tc>
        <w:tc>
          <w:tcPr>
            <w:tcW w:w="0" w:type="auto"/>
            <w:shd w:val="clear" w:color="auto" w:fill="auto"/>
          </w:tcPr>
          <w:p w14:paraId="36CA1F3A" w14:textId="77777777" w:rsidR="00787570" w:rsidRDefault="00787570">
            <w:pPr>
              <w:rPr>
                <w:rFonts w:ascii="宋体"/>
              </w:rPr>
            </w:pPr>
          </w:p>
        </w:tc>
      </w:tr>
      <w:tr w:rsidR="00787570" w14:paraId="36CA1F47" w14:textId="77777777">
        <w:trPr>
          <w:jc w:val="center"/>
          <w:hidden/>
        </w:trPr>
        <w:tc>
          <w:tcPr>
            <w:tcW w:w="0" w:type="auto"/>
            <w:gridSpan w:val="3"/>
            <w:shd w:val="clear" w:color="auto" w:fill="auto"/>
          </w:tcPr>
          <w:p w14:paraId="36CA1F3C" w14:textId="77777777" w:rsidR="00787570" w:rsidRDefault="00787570">
            <w:pPr>
              <w:rPr>
                <w:rFonts w:ascii="宋体"/>
                <w:vanish/>
              </w:rPr>
            </w:pPr>
          </w:p>
        </w:tc>
        <w:tc>
          <w:tcPr>
            <w:tcW w:w="0" w:type="auto"/>
            <w:gridSpan w:val="3"/>
            <w:shd w:val="clear" w:color="auto" w:fill="auto"/>
          </w:tcPr>
          <w:p w14:paraId="36CA1F3D" w14:textId="77777777" w:rsidR="00787570" w:rsidRDefault="00787570">
            <w:pPr>
              <w:rPr>
                <w:rFonts w:ascii="宋体"/>
                <w:vanish/>
              </w:rPr>
            </w:pPr>
          </w:p>
        </w:tc>
        <w:tc>
          <w:tcPr>
            <w:tcW w:w="0" w:type="auto"/>
            <w:gridSpan w:val="3"/>
            <w:shd w:val="clear" w:color="auto" w:fill="auto"/>
          </w:tcPr>
          <w:p w14:paraId="36CA1F3E" w14:textId="77777777" w:rsidR="00787570" w:rsidRDefault="00787570">
            <w:pPr>
              <w:rPr>
                <w:rFonts w:ascii="宋体"/>
                <w:vanish/>
              </w:rPr>
            </w:pPr>
          </w:p>
        </w:tc>
        <w:tc>
          <w:tcPr>
            <w:tcW w:w="0" w:type="auto"/>
            <w:gridSpan w:val="3"/>
            <w:shd w:val="clear" w:color="auto" w:fill="auto"/>
          </w:tcPr>
          <w:p w14:paraId="36CA1F3F" w14:textId="77777777" w:rsidR="00787570" w:rsidRDefault="00787570">
            <w:pPr>
              <w:rPr>
                <w:rFonts w:ascii="宋体"/>
                <w:vanish/>
              </w:rPr>
            </w:pPr>
          </w:p>
        </w:tc>
        <w:tc>
          <w:tcPr>
            <w:tcW w:w="0" w:type="auto"/>
            <w:gridSpan w:val="3"/>
            <w:shd w:val="clear" w:color="auto" w:fill="auto"/>
          </w:tcPr>
          <w:p w14:paraId="36CA1F40" w14:textId="77777777" w:rsidR="00787570" w:rsidRDefault="00787570">
            <w:pPr>
              <w:rPr>
                <w:rFonts w:ascii="宋体"/>
                <w:vanish/>
              </w:rPr>
            </w:pPr>
          </w:p>
        </w:tc>
        <w:tc>
          <w:tcPr>
            <w:tcW w:w="0" w:type="auto"/>
            <w:shd w:val="clear" w:color="auto" w:fill="auto"/>
          </w:tcPr>
          <w:p w14:paraId="36CA1F41" w14:textId="77777777" w:rsidR="00787570" w:rsidRDefault="00787570">
            <w:pPr>
              <w:rPr>
                <w:rFonts w:ascii="宋体"/>
              </w:rPr>
            </w:pPr>
          </w:p>
        </w:tc>
        <w:tc>
          <w:tcPr>
            <w:tcW w:w="0" w:type="auto"/>
            <w:shd w:val="clear" w:color="auto" w:fill="auto"/>
          </w:tcPr>
          <w:p w14:paraId="36CA1F42" w14:textId="77777777" w:rsidR="00787570" w:rsidRDefault="00787570">
            <w:pPr>
              <w:rPr>
                <w:rFonts w:ascii="宋体"/>
              </w:rPr>
            </w:pPr>
          </w:p>
        </w:tc>
        <w:tc>
          <w:tcPr>
            <w:tcW w:w="0" w:type="auto"/>
            <w:shd w:val="clear" w:color="auto" w:fill="auto"/>
          </w:tcPr>
          <w:p w14:paraId="36CA1F43" w14:textId="77777777" w:rsidR="00787570" w:rsidRDefault="00787570">
            <w:pPr>
              <w:rPr>
                <w:rFonts w:ascii="宋体"/>
              </w:rPr>
            </w:pPr>
          </w:p>
        </w:tc>
        <w:tc>
          <w:tcPr>
            <w:tcW w:w="0" w:type="auto"/>
            <w:shd w:val="clear" w:color="auto" w:fill="auto"/>
          </w:tcPr>
          <w:p w14:paraId="36CA1F44" w14:textId="77777777" w:rsidR="00787570" w:rsidRDefault="00787570">
            <w:pPr>
              <w:rPr>
                <w:rFonts w:ascii="宋体"/>
              </w:rPr>
            </w:pPr>
          </w:p>
        </w:tc>
        <w:tc>
          <w:tcPr>
            <w:tcW w:w="0" w:type="auto"/>
            <w:shd w:val="clear" w:color="auto" w:fill="auto"/>
          </w:tcPr>
          <w:p w14:paraId="36CA1F45" w14:textId="77777777" w:rsidR="00787570" w:rsidRDefault="00787570">
            <w:pPr>
              <w:rPr>
                <w:rFonts w:ascii="宋体"/>
              </w:rPr>
            </w:pPr>
          </w:p>
        </w:tc>
        <w:tc>
          <w:tcPr>
            <w:tcW w:w="0" w:type="auto"/>
            <w:shd w:val="clear" w:color="auto" w:fill="auto"/>
          </w:tcPr>
          <w:p w14:paraId="36CA1F46" w14:textId="77777777" w:rsidR="00787570" w:rsidRDefault="00787570">
            <w:pPr>
              <w:rPr>
                <w:rFonts w:ascii="宋体"/>
              </w:rPr>
            </w:pPr>
          </w:p>
        </w:tc>
      </w:tr>
      <w:tr w:rsidR="00787570" w14:paraId="36CA1F55" w14:textId="77777777">
        <w:trPr>
          <w:jc w:val="center"/>
        </w:trPr>
        <w:tc>
          <w:tcPr>
            <w:tcW w:w="0" w:type="auto"/>
            <w:gridSpan w:val="3"/>
            <w:shd w:val="clear" w:color="auto" w:fill="auto"/>
            <w:tcMar>
              <w:top w:w="40" w:type="dxa"/>
              <w:left w:w="195" w:type="dxa"/>
              <w:bottom w:w="40" w:type="dxa"/>
              <w:right w:w="20" w:type="dxa"/>
            </w:tcMar>
          </w:tcPr>
          <w:p w14:paraId="36CA1F48" w14:textId="77777777" w:rsidR="00787570" w:rsidRDefault="000D56E2">
            <w:pPr>
              <w:textAlignment w:val="top"/>
            </w:pPr>
            <w:r>
              <w:rPr>
                <w:rFonts w:ascii="Arial" w:eastAsia="宋体" w:hAnsi="Arial" w:cs="Arial"/>
                <w:color w:val="333333"/>
                <w:sz w:val="18"/>
                <w:szCs w:val="18"/>
              </w:rPr>
              <w:t>Issuance of long-term debt, net of issuance costs</w:t>
            </w:r>
          </w:p>
        </w:tc>
        <w:tc>
          <w:tcPr>
            <w:tcW w:w="0" w:type="auto"/>
            <w:gridSpan w:val="3"/>
            <w:shd w:val="clear" w:color="auto" w:fill="auto"/>
            <w:tcMar>
              <w:left w:w="20" w:type="dxa"/>
              <w:right w:w="20" w:type="dxa"/>
            </w:tcMar>
            <w:vAlign w:val="bottom"/>
          </w:tcPr>
          <w:p w14:paraId="36CA1F49"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1F4A" w14:textId="77777777" w:rsidR="00787570" w:rsidRDefault="000D56E2">
            <w:pPr>
              <w:jc w:val="right"/>
              <w:textAlignment w:val="bottom"/>
            </w:pPr>
            <w:r>
              <w:rPr>
                <w:rFonts w:ascii="Arial" w:eastAsia="宋体" w:hAnsi="Arial" w:cs="Arial"/>
                <w:color w:val="0071C5"/>
                <w:sz w:val="18"/>
                <w:szCs w:val="18"/>
              </w:rPr>
              <w:t>10,247 </w:t>
            </w:r>
          </w:p>
        </w:tc>
        <w:tc>
          <w:tcPr>
            <w:tcW w:w="0" w:type="auto"/>
            <w:shd w:val="clear" w:color="auto" w:fill="auto"/>
            <w:tcMar>
              <w:top w:w="40" w:type="dxa"/>
              <w:bottom w:w="40" w:type="dxa"/>
              <w:right w:w="20" w:type="dxa"/>
            </w:tcMar>
            <w:vAlign w:val="bottom"/>
          </w:tcPr>
          <w:p w14:paraId="36CA1F4B"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1F4C"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1F4D" w14:textId="77777777" w:rsidR="00787570" w:rsidRDefault="000D56E2">
            <w:pPr>
              <w:jc w:val="right"/>
              <w:textAlignment w:val="bottom"/>
            </w:pPr>
            <w:r>
              <w:rPr>
                <w:rFonts w:ascii="Arial" w:eastAsia="宋体" w:hAnsi="Arial" w:cs="Arial"/>
                <w:color w:val="333333"/>
                <w:sz w:val="18"/>
                <w:szCs w:val="18"/>
              </w:rPr>
              <w:t>650 </w:t>
            </w:r>
          </w:p>
        </w:tc>
        <w:tc>
          <w:tcPr>
            <w:tcW w:w="0" w:type="auto"/>
            <w:shd w:val="clear" w:color="auto" w:fill="auto"/>
            <w:tcMar>
              <w:top w:w="40" w:type="dxa"/>
              <w:bottom w:w="40" w:type="dxa"/>
              <w:right w:w="20" w:type="dxa"/>
            </w:tcMar>
            <w:vAlign w:val="bottom"/>
          </w:tcPr>
          <w:p w14:paraId="36CA1F4E" w14:textId="77777777" w:rsidR="00787570" w:rsidRDefault="00787570">
            <w:pPr>
              <w:jc w:val="right"/>
              <w:rPr>
                <w:rFonts w:ascii="宋体"/>
              </w:rPr>
            </w:pPr>
          </w:p>
        </w:tc>
        <w:tc>
          <w:tcPr>
            <w:tcW w:w="0" w:type="auto"/>
            <w:shd w:val="clear" w:color="auto" w:fill="auto"/>
          </w:tcPr>
          <w:p w14:paraId="36CA1F4F" w14:textId="77777777" w:rsidR="00787570" w:rsidRDefault="00787570">
            <w:pPr>
              <w:rPr>
                <w:rFonts w:ascii="宋体"/>
              </w:rPr>
            </w:pPr>
          </w:p>
        </w:tc>
        <w:tc>
          <w:tcPr>
            <w:tcW w:w="0" w:type="auto"/>
            <w:shd w:val="clear" w:color="auto" w:fill="auto"/>
          </w:tcPr>
          <w:p w14:paraId="36CA1F50" w14:textId="77777777" w:rsidR="00787570" w:rsidRDefault="00787570">
            <w:pPr>
              <w:rPr>
                <w:rFonts w:ascii="宋体"/>
              </w:rPr>
            </w:pPr>
          </w:p>
        </w:tc>
        <w:tc>
          <w:tcPr>
            <w:tcW w:w="0" w:type="auto"/>
            <w:shd w:val="clear" w:color="auto" w:fill="auto"/>
          </w:tcPr>
          <w:p w14:paraId="36CA1F51" w14:textId="77777777" w:rsidR="00787570" w:rsidRDefault="00787570">
            <w:pPr>
              <w:rPr>
                <w:rFonts w:ascii="宋体"/>
              </w:rPr>
            </w:pPr>
          </w:p>
        </w:tc>
        <w:tc>
          <w:tcPr>
            <w:tcW w:w="0" w:type="auto"/>
            <w:shd w:val="clear" w:color="auto" w:fill="auto"/>
          </w:tcPr>
          <w:p w14:paraId="36CA1F52" w14:textId="77777777" w:rsidR="00787570" w:rsidRDefault="00787570">
            <w:pPr>
              <w:rPr>
                <w:rFonts w:ascii="宋体"/>
              </w:rPr>
            </w:pPr>
          </w:p>
        </w:tc>
        <w:tc>
          <w:tcPr>
            <w:tcW w:w="0" w:type="auto"/>
            <w:shd w:val="clear" w:color="auto" w:fill="auto"/>
          </w:tcPr>
          <w:p w14:paraId="36CA1F53" w14:textId="77777777" w:rsidR="00787570" w:rsidRDefault="00787570">
            <w:pPr>
              <w:rPr>
                <w:rFonts w:ascii="宋体"/>
              </w:rPr>
            </w:pPr>
          </w:p>
        </w:tc>
        <w:tc>
          <w:tcPr>
            <w:tcW w:w="0" w:type="auto"/>
            <w:shd w:val="clear" w:color="auto" w:fill="auto"/>
          </w:tcPr>
          <w:p w14:paraId="36CA1F54" w14:textId="77777777" w:rsidR="00787570" w:rsidRDefault="00787570">
            <w:pPr>
              <w:rPr>
                <w:rFonts w:ascii="宋体"/>
              </w:rPr>
            </w:pPr>
          </w:p>
        </w:tc>
      </w:tr>
      <w:tr w:rsidR="00787570" w14:paraId="36CA1F63" w14:textId="77777777">
        <w:trPr>
          <w:jc w:val="center"/>
        </w:trPr>
        <w:tc>
          <w:tcPr>
            <w:tcW w:w="0" w:type="auto"/>
            <w:gridSpan w:val="3"/>
            <w:shd w:val="clear" w:color="auto" w:fill="auto"/>
            <w:tcMar>
              <w:top w:w="40" w:type="dxa"/>
              <w:left w:w="195" w:type="dxa"/>
              <w:bottom w:w="40" w:type="dxa"/>
              <w:right w:w="20" w:type="dxa"/>
            </w:tcMar>
          </w:tcPr>
          <w:p w14:paraId="36CA1F56" w14:textId="77777777" w:rsidR="00787570" w:rsidRDefault="000D56E2">
            <w:pPr>
              <w:textAlignment w:val="top"/>
            </w:pPr>
            <w:r>
              <w:rPr>
                <w:rFonts w:ascii="Arial" w:eastAsia="宋体" w:hAnsi="Arial" w:cs="Arial"/>
                <w:color w:val="333333"/>
                <w:sz w:val="18"/>
                <w:szCs w:val="18"/>
              </w:rPr>
              <w:t>Repayment of debt and debt conversion</w:t>
            </w:r>
          </w:p>
        </w:tc>
        <w:tc>
          <w:tcPr>
            <w:tcW w:w="0" w:type="auto"/>
            <w:gridSpan w:val="3"/>
            <w:shd w:val="clear" w:color="auto" w:fill="auto"/>
            <w:tcMar>
              <w:left w:w="20" w:type="dxa"/>
              <w:right w:w="20" w:type="dxa"/>
            </w:tcMar>
            <w:vAlign w:val="bottom"/>
          </w:tcPr>
          <w:p w14:paraId="36CA1F57"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1F58" w14:textId="77777777" w:rsidR="00787570" w:rsidRDefault="000D56E2">
            <w:pPr>
              <w:jc w:val="right"/>
              <w:textAlignment w:val="bottom"/>
            </w:pPr>
            <w:r>
              <w:rPr>
                <w:rFonts w:ascii="Arial" w:eastAsia="宋体" w:hAnsi="Arial" w:cs="Arial"/>
                <w:color w:val="0071C5"/>
                <w:sz w:val="18"/>
                <w:szCs w:val="18"/>
              </w:rPr>
              <w:t>(4,525)</w:t>
            </w:r>
          </w:p>
        </w:tc>
        <w:tc>
          <w:tcPr>
            <w:tcW w:w="0" w:type="auto"/>
            <w:shd w:val="clear" w:color="auto" w:fill="auto"/>
            <w:tcMar>
              <w:top w:w="40" w:type="dxa"/>
              <w:bottom w:w="40" w:type="dxa"/>
              <w:right w:w="20" w:type="dxa"/>
            </w:tcMar>
            <w:vAlign w:val="bottom"/>
          </w:tcPr>
          <w:p w14:paraId="36CA1F59"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1F5A"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1F5B" w14:textId="77777777" w:rsidR="00787570" w:rsidRDefault="000D56E2">
            <w:pPr>
              <w:jc w:val="right"/>
              <w:textAlignment w:val="bottom"/>
            </w:pPr>
            <w:r>
              <w:rPr>
                <w:rFonts w:ascii="Arial" w:eastAsia="宋体" w:hAnsi="Arial" w:cs="Arial"/>
                <w:color w:val="333333"/>
                <w:sz w:val="18"/>
                <w:szCs w:val="18"/>
              </w:rPr>
              <w:t>(1,478)</w:t>
            </w:r>
          </w:p>
        </w:tc>
        <w:tc>
          <w:tcPr>
            <w:tcW w:w="0" w:type="auto"/>
            <w:shd w:val="clear" w:color="auto" w:fill="auto"/>
            <w:tcMar>
              <w:top w:w="40" w:type="dxa"/>
              <w:bottom w:w="40" w:type="dxa"/>
              <w:right w:w="20" w:type="dxa"/>
            </w:tcMar>
            <w:vAlign w:val="bottom"/>
          </w:tcPr>
          <w:p w14:paraId="36CA1F5C" w14:textId="77777777" w:rsidR="00787570" w:rsidRDefault="00787570">
            <w:pPr>
              <w:jc w:val="right"/>
              <w:rPr>
                <w:rFonts w:ascii="宋体"/>
              </w:rPr>
            </w:pPr>
          </w:p>
        </w:tc>
        <w:tc>
          <w:tcPr>
            <w:tcW w:w="0" w:type="auto"/>
            <w:shd w:val="clear" w:color="auto" w:fill="auto"/>
          </w:tcPr>
          <w:p w14:paraId="36CA1F5D" w14:textId="77777777" w:rsidR="00787570" w:rsidRDefault="00787570">
            <w:pPr>
              <w:rPr>
                <w:rFonts w:ascii="宋体"/>
              </w:rPr>
            </w:pPr>
          </w:p>
        </w:tc>
        <w:tc>
          <w:tcPr>
            <w:tcW w:w="0" w:type="auto"/>
            <w:shd w:val="clear" w:color="auto" w:fill="auto"/>
          </w:tcPr>
          <w:p w14:paraId="36CA1F5E" w14:textId="77777777" w:rsidR="00787570" w:rsidRDefault="00787570">
            <w:pPr>
              <w:rPr>
                <w:rFonts w:ascii="宋体"/>
              </w:rPr>
            </w:pPr>
          </w:p>
        </w:tc>
        <w:tc>
          <w:tcPr>
            <w:tcW w:w="0" w:type="auto"/>
            <w:shd w:val="clear" w:color="auto" w:fill="auto"/>
          </w:tcPr>
          <w:p w14:paraId="36CA1F5F" w14:textId="77777777" w:rsidR="00787570" w:rsidRDefault="00787570">
            <w:pPr>
              <w:rPr>
                <w:rFonts w:ascii="宋体"/>
              </w:rPr>
            </w:pPr>
          </w:p>
        </w:tc>
        <w:tc>
          <w:tcPr>
            <w:tcW w:w="0" w:type="auto"/>
            <w:shd w:val="clear" w:color="auto" w:fill="auto"/>
          </w:tcPr>
          <w:p w14:paraId="36CA1F60" w14:textId="77777777" w:rsidR="00787570" w:rsidRDefault="00787570">
            <w:pPr>
              <w:rPr>
                <w:rFonts w:ascii="宋体"/>
              </w:rPr>
            </w:pPr>
          </w:p>
        </w:tc>
        <w:tc>
          <w:tcPr>
            <w:tcW w:w="0" w:type="auto"/>
            <w:shd w:val="clear" w:color="auto" w:fill="auto"/>
          </w:tcPr>
          <w:p w14:paraId="36CA1F61" w14:textId="77777777" w:rsidR="00787570" w:rsidRDefault="00787570">
            <w:pPr>
              <w:rPr>
                <w:rFonts w:ascii="宋体"/>
              </w:rPr>
            </w:pPr>
          </w:p>
        </w:tc>
        <w:tc>
          <w:tcPr>
            <w:tcW w:w="0" w:type="auto"/>
            <w:shd w:val="clear" w:color="auto" w:fill="auto"/>
          </w:tcPr>
          <w:p w14:paraId="36CA1F62" w14:textId="77777777" w:rsidR="00787570" w:rsidRDefault="00787570">
            <w:pPr>
              <w:rPr>
                <w:rFonts w:ascii="宋体"/>
              </w:rPr>
            </w:pPr>
          </w:p>
        </w:tc>
      </w:tr>
      <w:tr w:rsidR="00787570" w14:paraId="36CA1F71" w14:textId="77777777">
        <w:trPr>
          <w:jc w:val="center"/>
        </w:trPr>
        <w:tc>
          <w:tcPr>
            <w:tcW w:w="0" w:type="auto"/>
            <w:gridSpan w:val="3"/>
            <w:shd w:val="clear" w:color="auto" w:fill="auto"/>
            <w:tcMar>
              <w:top w:w="40" w:type="dxa"/>
              <w:left w:w="195" w:type="dxa"/>
              <w:bottom w:w="40" w:type="dxa"/>
              <w:right w:w="20" w:type="dxa"/>
            </w:tcMar>
          </w:tcPr>
          <w:p w14:paraId="36CA1F64" w14:textId="77777777" w:rsidR="00787570" w:rsidRDefault="000D56E2">
            <w:pPr>
              <w:textAlignment w:val="top"/>
            </w:pPr>
            <w:r>
              <w:rPr>
                <w:rFonts w:ascii="Arial" w:eastAsia="宋体" w:hAnsi="Arial" w:cs="Arial"/>
                <w:color w:val="333333"/>
                <w:sz w:val="18"/>
                <w:szCs w:val="18"/>
              </w:rPr>
              <w:t>Proceeds from sales of common stock through employee equity incentive plans</w:t>
            </w:r>
          </w:p>
        </w:tc>
        <w:tc>
          <w:tcPr>
            <w:tcW w:w="0" w:type="auto"/>
            <w:gridSpan w:val="3"/>
            <w:shd w:val="clear" w:color="auto" w:fill="auto"/>
            <w:tcMar>
              <w:left w:w="20" w:type="dxa"/>
              <w:right w:w="20" w:type="dxa"/>
            </w:tcMar>
            <w:vAlign w:val="bottom"/>
          </w:tcPr>
          <w:p w14:paraId="36CA1F65"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1F66" w14:textId="77777777" w:rsidR="00787570" w:rsidRDefault="000D56E2">
            <w:pPr>
              <w:jc w:val="right"/>
              <w:textAlignment w:val="bottom"/>
            </w:pPr>
            <w:r>
              <w:rPr>
                <w:rFonts w:ascii="Arial" w:eastAsia="宋体" w:hAnsi="Arial" w:cs="Arial"/>
                <w:color w:val="0071C5"/>
                <w:sz w:val="18"/>
                <w:szCs w:val="18"/>
              </w:rPr>
              <w:t>897 </w:t>
            </w:r>
          </w:p>
        </w:tc>
        <w:tc>
          <w:tcPr>
            <w:tcW w:w="0" w:type="auto"/>
            <w:shd w:val="clear" w:color="auto" w:fill="auto"/>
            <w:tcMar>
              <w:top w:w="40" w:type="dxa"/>
              <w:bottom w:w="40" w:type="dxa"/>
              <w:right w:w="20" w:type="dxa"/>
            </w:tcMar>
            <w:vAlign w:val="bottom"/>
          </w:tcPr>
          <w:p w14:paraId="36CA1F67"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1F68"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1F69" w14:textId="77777777" w:rsidR="00787570" w:rsidRDefault="000D56E2">
            <w:pPr>
              <w:jc w:val="right"/>
              <w:textAlignment w:val="bottom"/>
            </w:pPr>
            <w:r>
              <w:rPr>
                <w:rFonts w:ascii="Arial" w:eastAsia="宋体" w:hAnsi="Arial" w:cs="Arial"/>
                <w:color w:val="333333"/>
                <w:sz w:val="18"/>
                <w:szCs w:val="18"/>
              </w:rPr>
              <w:t>797 </w:t>
            </w:r>
          </w:p>
        </w:tc>
        <w:tc>
          <w:tcPr>
            <w:tcW w:w="0" w:type="auto"/>
            <w:shd w:val="clear" w:color="auto" w:fill="auto"/>
            <w:tcMar>
              <w:top w:w="40" w:type="dxa"/>
              <w:bottom w:w="40" w:type="dxa"/>
              <w:right w:w="20" w:type="dxa"/>
            </w:tcMar>
            <w:vAlign w:val="bottom"/>
          </w:tcPr>
          <w:p w14:paraId="36CA1F6A" w14:textId="77777777" w:rsidR="00787570" w:rsidRDefault="00787570">
            <w:pPr>
              <w:jc w:val="right"/>
              <w:rPr>
                <w:rFonts w:ascii="宋体"/>
              </w:rPr>
            </w:pPr>
          </w:p>
        </w:tc>
        <w:tc>
          <w:tcPr>
            <w:tcW w:w="0" w:type="auto"/>
            <w:shd w:val="clear" w:color="auto" w:fill="auto"/>
          </w:tcPr>
          <w:p w14:paraId="36CA1F6B" w14:textId="77777777" w:rsidR="00787570" w:rsidRDefault="00787570">
            <w:pPr>
              <w:rPr>
                <w:rFonts w:ascii="宋体"/>
              </w:rPr>
            </w:pPr>
          </w:p>
        </w:tc>
        <w:tc>
          <w:tcPr>
            <w:tcW w:w="0" w:type="auto"/>
            <w:shd w:val="clear" w:color="auto" w:fill="auto"/>
          </w:tcPr>
          <w:p w14:paraId="36CA1F6C" w14:textId="77777777" w:rsidR="00787570" w:rsidRDefault="00787570">
            <w:pPr>
              <w:rPr>
                <w:rFonts w:ascii="宋体"/>
              </w:rPr>
            </w:pPr>
          </w:p>
        </w:tc>
        <w:tc>
          <w:tcPr>
            <w:tcW w:w="0" w:type="auto"/>
            <w:shd w:val="clear" w:color="auto" w:fill="auto"/>
          </w:tcPr>
          <w:p w14:paraId="36CA1F6D" w14:textId="77777777" w:rsidR="00787570" w:rsidRDefault="00787570">
            <w:pPr>
              <w:rPr>
                <w:rFonts w:ascii="宋体"/>
              </w:rPr>
            </w:pPr>
          </w:p>
        </w:tc>
        <w:tc>
          <w:tcPr>
            <w:tcW w:w="0" w:type="auto"/>
            <w:shd w:val="clear" w:color="auto" w:fill="auto"/>
          </w:tcPr>
          <w:p w14:paraId="36CA1F6E" w14:textId="77777777" w:rsidR="00787570" w:rsidRDefault="00787570">
            <w:pPr>
              <w:rPr>
                <w:rFonts w:ascii="宋体"/>
              </w:rPr>
            </w:pPr>
          </w:p>
        </w:tc>
        <w:tc>
          <w:tcPr>
            <w:tcW w:w="0" w:type="auto"/>
            <w:shd w:val="clear" w:color="auto" w:fill="auto"/>
          </w:tcPr>
          <w:p w14:paraId="36CA1F6F" w14:textId="77777777" w:rsidR="00787570" w:rsidRDefault="00787570">
            <w:pPr>
              <w:rPr>
                <w:rFonts w:ascii="宋体"/>
              </w:rPr>
            </w:pPr>
          </w:p>
        </w:tc>
        <w:tc>
          <w:tcPr>
            <w:tcW w:w="0" w:type="auto"/>
            <w:shd w:val="clear" w:color="auto" w:fill="auto"/>
          </w:tcPr>
          <w:p w14:paraId="36CA1F70" w14:textId="77777777" w:rsidR="00787570" w:rsidRDefault="00787570">
            <w:pPr>
              <w:rPr>
                <w:rFonts w:ascii="宋体"/>
              </w:rPr>
            </w:pPr>
          </w:p>
        </w:tc>
      </w:tr>
      <w:tr w:rsidR="00787570" w14:paraId="36CA1F7F" w14:textId="77777777">
        <w:trPr>
          <w:jc w:val="center"/>
        </w:trPr>
        <w:tc>
          <w:tcPr>
            <w:tcW w:w="0" w:type="auto"/>
            <w:gridSpan w:val="3"/>
            <w:shd w:val="clear" w:color="auto" w:fill="auto"/>
            <w:tcMar>
              <w:top w:w="40" w:type="dxa"/>
              <w:left w:w="195" w:type="dxa"/>
              <w:bottom w:w="40" w:type="dxa"/>
              <w:right w:w="20" w:type="dxa"/>
            </w:tcMar>
          </w:tcPr>
          <w:p w14:paraId="36CA1F72" w14:textId="77777777" w:rsidR="00787570" w:rsidRDefault="000D56E2">
            <w:pPr>
              <w:textAlignment w:val="top"/>
            </w:pPr>
            <w:r>
              <w:rPr>
                <w:rFonts w:ascii="Arial" w:eastAsia="宋体" w:hAnsi="Arial" w:cs="Arial"/>
                <w:color w:val="333333"/>
                <w:sz w:val="18"/>
                <w:szCs w:val="18"/>
              </w:rPr>
              <w:t>Repurchase of common stock</w:t>
            </w:r>
          </w:p>
        </w:tc>
        <w:tc>
          <w:tcPr>
            <w:tcW w:w="0" w:type="auto"/>
            <w:gridSpan w:val="3"/>
            <w:shd w:val="clear" w:color="auto" w:fill="auto"/>
            <w:tcMar>
              <w:left w:w="20" w:type="dxa"/>
              <w:right w:w="20" w:type="dxa"/>
            </w:tcMar>
            <w:vAlign w:val="bottom"/>
          </w:tcPr>
          <w:p w14:paraId="36CA1F73"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1F74" w14:textId="77777777" w:rsidR="00787570" w:rsidRDefault="000D56E2">
            <w:pPr>
              <w:jc w:val="right"/>
              <w:textAlignment w:val="bottom"/>
            </w:pPr>
            <w:r>
              <w:rPr>
                <w:rFonts w:ascii="Arial" w:eastAsia="宋体" w:hAnsi="Arial" w:cs="Arial"/>
                <w:color w:val="0071C5"/>
                <w:sz w:val="18"/>
                <w:szCs w:val="18"/>
              </w:rPr>
              <w:t>(12,229)</w:t>
            </w:r>
          </w:p>
        </w:tc>
        <w:tc>
          <w:tcPr>
            <w:tcW w:w="0" w:type="auto"/>
            <w:shd w:val="clear" w:color="auto" w:fill="auto"/>
            <w:tcMar>
              <w:top w:w="40" w:type="dxa"/>
              <w:bottom w:w="40" w:type="dxa"/>
              <w:right w:w="20" w:type="dxa"/>
            </w:tcMar>
            <w:vAlign w:val="bottom"/>
          </w:tcPr>
          <w:p w14:paraId="36CA1F75"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1F76"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1F77" w14:textId="77777777" w:rsidR="00787570" w:rsidRDefault="000D56E2">
            <w:pPr>
              <w:jc w:val="right"/>
              <w:textAlignment w:val="bottom"/>
            </w:pPr>
            <w:r>
              <w:rPr>
                <w:rFonts w:ascii="Arial" w:eastAsia="宋体" w:hAnsi="Arial" w:cs="Arial"/>
                <w:color w:val="333333"/>
                <w:sz w:val="18"/>
                <w:szCs w:val="18"/>
              </w:rPr>
              <w:t>(10,100)</w:t>
            </w:r>
          </w:p>
        </w:tc>
        <w:tc>
          <w:tcPr>
            <w:tcW w:w="0" w:type="auto"/>
            <w:shd w:val="clear" w:color="auto" w:fill="auto"/>
            <w:tcMar>
              <w:top w:w="40" w:type="dxa"/>
              <w:bottom w:w="40" w:type="dxa"/>
              <w:right w:w="20" w:type="dxa"/>
            </w:tcMar>
            <w:vAlign w:val="bottom"/>
          </w:tcPr>
          <w:p w14:paraId="36CA1F78" w14:textId="77777777" w:rsidR="00787570" w:rsidRDefault="00787570">
            <w:pPr>
              <w:jc w:val="right"/>
              <w:rPr>
                <w:rFonts w:ascii="宋体"/>
              </w:rPr>
            </w:pPr>
          </w:p>
        </w:tc>
        <w:tc>
          <w:tcPr>
            <w:tcW w:w="0" w:type="auto"/>
            <w:shd w:val="clear" w:color="auto" w:fill="auto"/>
          </w:tcPr>
          <w:p w14:paraId="36CA1F79" w14:textId="77777777" w:rsidR="00787570" w:rsidRDefault="00787570">
            <w:pPr>
              <w:rPr>
                <w:rFonts w:ascii="宋体"/>
              </w:rPr>
            </w:pPr>
          </w:p>
        </w:tc>
        <w:tc>
          <w:tcPr>
            <w:tcW w:w="0" w:type="auto"/>
            <w:shd w:val="clear" w:color="auto" w:fill="auto"/>
          </w:tcPr>
          <w:p w14:paraId="36CA1F7A" w14:textId="77777777" w:rsidR="00787570" w:rsidRDefault="00787570">
            <w:pPr>
              <w:rPr>
                <w:rFonts w:ascii="宋体"/>
              </w:rPr>
            </w:pPr>
          </w:p>
        </w:tc>
        <w:tc>
          <w:tcPr>
            <w:tcW w:w="0" w:type="auto"/>
            <w:shd w:val="clear" w:color="auto" w:fill="auto"/>
          </w:tcPr>
          <w:p w14:paraId="36CA1F7B" w14:textId="77777777" w:rsidR="00787570" w:rsidRDefault="00787570">
            <w:pPr>
              <w:rPr>
                <w:rFonts w:ascii="宋体"/>
              </w:rPr>
            </w:pPr>
          </w:p>
        </w:tc>
        <w:tc>
          <w:tcPr>
            <w:tcW w:w="0" w:type="auto"/>
            <w:shd w:val="clear" w:color="auto" w:fill="auto"/>
          </w:tcPr>
          <w:p w14:paraId="36CA1F7C" w14:textId="77777777" w:rsidR="00787570" w:rsidRDefault="00787570">
            <w:pPr>
              <w:rPr>
                <w:rFonts w:ascii="宋体"/>
              </w:rPr>
            </w:pPr>
          </w:p>
        </w:tc>
        <w:tc>
          <w:tcPr>
            <w:tcW w:w="0" w:type="auto"/>
            <w:shd w:val="clear" w:color="auto" w:fill="auto"/>
          </w:tcPr>
          <w:p w14:paraId="36CA1F7D" w14:textId="77777777" w:rsidR="00787570" w:rsidRDefault="00787570">
            <w:pPr>
              <w:rPr>
                <w:rFonts w:ascii="宋体"/>
              </w:rPr>
            </w:pPr>
          </w:p>
        </w:tc>
        <w:tc>
          <w:tcPr>
            <w:tcW w:w="0" w:type="auto"/>
            <w:shd w:val="clear" w:color="auto" w:fill="auto"/>
          </w:tcPr>
          <w:p w14:paraId="36CA1F7E" w14:textId="77777777" w:rsidR="00787570" w:rsidRDefault="00787570">
            <w:pPr>
              <w:rPr>
                <w:rFonts w:ascii="宋体"/>
              </w:rPr>
            </w:pPr>
          </w:p>
        </w:tc>
      </w:tr>
      <w:tr w:rsidR="00787570" w14:paraId="36CA1F8D" w14:textId="77777777">
        <w:trPr>
          <w:jc w:val="center"/>
        </w:trPr>
        <w:tc>
          <w:tcPr>
            <w:tcW w:w="0" w:type="auto"/>
            <w:gridSpan w:val="3"/>
            <w:shd w:val="clear" w:color="auto" w:fill="auto"/>
            <w:tcMar>
              <w:top w:w="40" w:type="dxa"/>
              <w:left w:w="20" w:type="dxa"/>
              <w:bottom w:w="40" w:type="dxa"/>
              <w:right w:w="20" w:type="dxa"/>
            </w:tcMar>
          </w:tcPr>
          <w:p w14:paraId="36CA1F80" w14:textId="77777777" w:rsidR="00787570" w:rsidRDefault="000D56E2">
            <w:pPr>
              <w:spacing w:after="180"/>
              <w:textAlignment w:val="top"/>
            </w:pPr>
            <w:r>
              <w:rPr>
                <w:rFonts w:ascii="Arial" w:eastAsia="宋体" w:hAnsi="Arial" w:cs="Arial"/>
                <w:color w:val="333333"/>
                <w:sz w:val="18"/>
                <w:szCs w:val="18"/>
              </w:rPr>
              <w:t>Accelerated share repurchase forward agreements</w:t>
            </w:r>
          </w:p>
        </w:tc>
        <w:tc>
          <w:tcPr>
            <w:tcW w:w="0" w:type="auto"/>
            <w:gridSpan w:val="3"/>
            <w:shd w:val="clear" w:color="auto" w:fill="auto"/>
            <w:tcMar>
              <w:left w:w="20" w:type="dxa"/>
              <w:right w:w="20" w:type="dxa"/>
            </w:tcMar>
            <w:vAlign w:val="bottom"/>
          </w:tcPr>
          <w:p w14:paraId="36CA1F81"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1F82" w14:textId="77777777" w:rsidR="00787570" w:rsidRDefault="000D56E2">
            <w:pPr>
              <w:jc w:val="right"/>
              <w:textAlignment w:val="bottom"/>
            </w:pPr>
            <w:r>
              <w:rPr>
                <w:rFonts w:ascii="Arial" w:eastAsia="宋体" w:hAnsi="Arial" w:cs="Arial"/>
                <w:color w:val="0071C5"/>
                <w:sz w:val="18"/>
                <w:szCs w:val="18"/>
              </w:rPr>
              <w:t>(2,000)</w:t>
            </w:r>
          </w:p>
        </w:tc>
        <w:tc>
          <w:tcPr>
            <w:tcW w:w="0" w:type="auto"/>
            <w:shd w:val="clear" w:color="auto" w:fill="auto"/>
            <w:tcMar>
              <w:top w:w="40" w:type="dxa"/>
              <w:bottom w:w="40" w:type="dxa"/>
              <w:right w:w="20" w:type="dxa"/>
            </w:tcMar>
            <w:vAlign w:val="bottom"/>
          </w:tcPr>
          <w:p w14:paraId="36CA1F83"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1F84"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1F85" w14:textId="77777777" w:rsidR="00787570" w:rsidRDefault="000D56E2">
            <w:pPr>
              <w:jc w:val="right"/>
              <w:textAlignment w:val="bottom"/>
            </w:pPr>
            <w:r>
              <w:rPr>
                <w:rFonts w:ascii="Arial" w:eastAsia="宋体" w:hAnsi="Arial" w:cs="Arial"/>
                <w:color w:val="333333"/>
                <w:sz w:val="18"/>
                <w:szCs w:val="18"/>
              </w:rPr>
              <w:t>— </w:t>
            </w:r>
          </w:p>
        </w:tc>
        <w:tc>
          <w:tcPr>
            <w:tcW w:w="0" w:type="auto"/>
            <w:shd w:val="clear" w:color="auto" w:fill="auto"/>
            <w:tcMar>
              <w:top w:w="40" w:type="dxa"/>
              <w:bottom w:w="40" w:type="dxa"/>
              <w:right w:w="20" w:type="dxa"/>
            </w:tcMar>
            <w:vAlign w:val="bottom"/>
          </w:tcPr>
          <w:p w14:paraId="36CA1F86" w14:textId="77777777" w:rsidR="00787570" w:rsidRDefault="00787570">
            <w:pPr>
              <w:jc w:val="right"/>
              <w:rPr>
                <w:rFonts w:ascii="宋体"/>
              </w:rPr>
            </w:pPr>
          </w:p>
        </w:tc>
        <w:tc>
          <w:tcPr>
            <w:tcW w:w="0" w:type="auto"/>
            <w:shd w:val="clear" w:color="auto" w:fill="auto"/>
          </w:tcPr>
          <w:p w14:paraId="36CA1F87" w14:textId="77777777" w:rsidR="00787570" w:rsidRDefault="00787570">
            <w:pPr>
              <w:rPr>
                <w:rFonts w:ascii="宋体"/>
              </w:rPr>
            </w:pPr>
          </w:p>
        </w:tc>
        <w:tc>
          <w:tcPr>
            <w:tcW w:w="0" w:type="auto"/>
            <w:shd w:val="clear" w:color="auto" w:fill="auto"/>
          </w:tcPr>
          <w:p w14:paraId="36CA1F88" w14:textId="77777777" w:rsidR="00787570" w:rsidRDefault="00787570">
            <w:pPr>
              <w:rPr>
                <w:rFonts w:ascii="宋体"/>
              </w:rPr>
            </w:pPr>
          </w:p>
        </w:tc>
        <w:tc>
          <w:tcPr>
            <w:tcW w:w="0" w:type="auto"/>
            <w:shd w:val="clear" w:color="auto" w:fill="auto"/>
          </w:tcPr>
          <w:p w14:paraId="36CA1F89" w14:textId="77777777" w:rsidR="00787570" w:rsidRDefault="00787570">
            <w:pPr>
              <w:rPr>
                <w:rFonts w:ascii="宋体"/>
              </w:rPr>
            </w:pPr>
          </w:p>
        </w:tc>
        <w:tc>
          <w:tcPr>
            <w:tcW w:w="0" w:type="auto"/>
            <w:shd w:val="clear" w:color="auto" w:fill="auto"/>
          </w:tcPr>
          <w:p w14:paraId="36CA1F8A" w14:textId="77777777" w:rsidR="00787570" w:rsidRDefault="00787570">
            <w:pPr>
              <w:rPr>
                <w:rFonts w:ascii="宋体"/>
              </w:rPr>
            </w:pPr>
          </w:p>
        </w:tc>
        <w:tc>
          <w:tcPr>
            <w:tcW w:w="0" w:type="auto"/>
            <w:shd w:val="clear" w:color="auto" w:fill="auto"/>
          </w:tcPr>
          <w:p w14:paraId="36CA1F8B" w14:textId="77777777" w:rsidR="00787570" w:rsidRDefault="00787570">
            <w:pPr>
              <w:rPr>
                <w:rFonts w:ascii="宋体"/>
              </w:rPr>
            </w:pPr>
          </w:p>
        </w:tc>
        <w:tc>
          <w:tcPr>
            <w:tcW w:w="0" w:type="auto"/>
            <w:shd w:val="clear" w:color="auto" w:fill="auto"/>
          </w:tcPr>
          <w:p w14:paraId="36CA1F8C" w14:textId="77777777" w:rsidR="00787570" w:rsidRDefault="00787570">
            <w:pPr>
              <w:rPr>
                <w:rFonts w:ascii="宋体"/>
              </w:rPr>
            </w:pPr>
          </w:p>
        </w:tc>
      </w:tr>
      <w:tr w:rsidR="00787570" w14:paraId="36CA1F99" w14:textId="77777777">
        <w:trPr>
          <w:jc w:val="center"/>
          <w:hidden/>
        </w:trPr>
        <w:tc>
          <w:tcPr>
            <w:tcW w:w="0" w:type="auto"/>
            <w:gridSpan w:val="3"/>
            <w:shd w:val="clear" w:color="auto" w:fill="auto"/>
          </w:tcPr>
          <w:p w14:paraId="36CA1F8E" w14:textId="77777777" w:rsidR="00787570" w:rsidRDefault="00787570">
            <w:pPr>
              <w:rPr>
                <w:rFonts w:ascii="宋体"/>
                <w:vanish/>
              </w:rPr>
            </w:pPr>
          </w:p>
        </w:tc>
        <w:tc>
          <w:tcPr>
            <w:tcW w:w="0" w:type="auto"/>
            <w:gridSpan w:val="3"/>
            <w:shd w:val="clear" w:color="auto" w:fill="auto"/>
          </w:tcPr>
          <w:p w14:paraId="36CA1F8F" w14:textId="77777777" w:rsidR="00787570" w:rsidRDefault="00787570">
            <w:pPr>
              <w:rPr>
                <w:rFonts w:ascii="宋体"/>
                <w:vanish/>
              </w:rPr>
            </w:pPr>
          </w:p>
        </w:tc>
        <w:tc>
          <w:tcPr>
            <w:tcW w:w="0" w:type="auto"/>
            <w:gridSpan w:val="3"/>
            <w:shd w:val="clear" w:color="auto" w:fill="auto"/>
          </w:tcPr>
          <w:p w14:paraId="36CA1F90" w14:textId="77777777" w:rsidR="00787570" w:rsidRDefault="00787570">
            <w:pPr>
              <w:rPr>
                <w:rFonts w:ascii="宋体"/>
                <w:vanish/>
              </w:rPr>
            </w:pPr>
          </w:p>
        </w:tc>
        <w:tc>
          <w:tcPr>
            <w:tcW w:w="0" w:type="auto"/>
            <w:gridSpan w:val="3"/>
            <w:shd w:val="clear" w:color="auto" w:fill="auto"/>
          </w:tcPr>
          <w:p w14:paraId="36CA1F91" w14:textId="77777777" w:rsidR="00787570" w:rsidRDefault="00787570">
            <w:pPr>
              <w:rPr>
                <w:rFonts w:ascii="宋体"/>
                <w:vanish/>
              </w:rPr>
            </w:pPr>
          </w:p>
        </w:tc>
        <w:tc>
          <w:tcPr>
            <w:tcW w:w="0" w:type="auto"/>
            <w:gridSpan w:val="3"/>
            <w:shd w:val="clear" w:color="auto" w:fill="auto"/>
          </w:tcPr>
          <w:p w14:paraId="36CA1F92" w14:textId="77777777" w:rsidR="00787570" w:rsidRDefault="00787570">
            <w:pPr>
              <w:rPr>
                <w:rFonts w:ascii="宋体"/>
                <w:vanish/>
              </w:rPr>
            </w:pPr>
          </w:p>
        </w:tc>
        <w:tc>
          <w:tcPr>
            <w:tcW w:w="0" w:type="auto"/>
            <w:shd w:val="clear" w:color="auto" w:fill="auto"/>
          </w:tcPr>
          <w:p w14:paraId="36CA1F93" w14:textId="77777777" w:rsidR="00787570" w:rsidRDefault="00787570">
            <w:pPr>
              <w:rPr>
                <w:rFonts w:ascii="宋体"/>
              </w:rPr>
            </w:pPr>
          </w:p>
        </w:tc>
        <w:tc>
          <w:tcPr>
            <w:tcW w:w="0" w:type="auto"/>
            <w:shd w:val="clear" w:color="auto" w:fill="auto"/>
          </w:tcPr>
          <w:p w14:paraId="36CA1F94" w14:textId="77777777" w:rsidR="00787570" w:rsidRDefault="00787570">
            <w:pPr>
              <w:rPr>
                <w:rFonts w:ascii="宋体"/>
              </w:rPr>
            </w:pPr>
          </w:p>
        </w:tc>
        <w:tc>
          <w:tcPr>
            <w:tcW w:w="0" w:type="auto"/>
            <w:shd w:val="clear" w:color="auto" w:fill="auto"/>
          </w:tcPr>
          <w:p w14:paraId="36CA1F95" w14:textId="77777777" w:rsidR="00787570" w:rsidRDefault="00787570">
            <w:pPr>
              <w:rPr>
                <w:rFonts w:ascii="宋体"/>
              </w:rPr>
            </w:pPr>
          </w:p>
        </w:tc>
        <w:tc>
          <w:tcPr>
            <w:tcW w:w="0" w:type="auto"/>
            <w:shd w:val="clear" w:color="auto" w:fill="auto"/>
          </w:tcPr>
          <w:p w14:paraId="36CA1F96" w14:textId="77777777" w:rsidR="00787570" w:rsidRDefault="00787570">
            <w:pPr>
              <w:rPr>
                <w:rFonts w:ascii="宋体"/>
              </w:rPr>
            </w:pPr>
          </w:p>
        </w:tc>
        <w:tc>
          <w:tcPr>
            <w:tcW w:w="0" w:type="auto"/>
            <w:shd w:val="clear" w:color="auto" w:fill="auto"/>
          </w:tcPr>
          <w:p w14:paraId="36CA1F97" w14:textId="77777777" w:rsidR="00787570" w:rsidRDefault="00787570">
            <w:pPr>
              <w:rPr>
                <w:rFonts w:ascii="宋体"/>
              </w:rPr>
            </w:pPr>
          </w:p>
        </w:tc>
        <w:tc>
          <w:tcPr>
            <w:tcW w:w="0" w:type="auto"/>
            <w:shd w:val="clear" w:color="auto" w:fill="auto"/>
          </w:tcPr>
          <w:p w14:paraId="36CA1F98" w14:textId="77777777" w:rsidR="00787570" w:rsidRDefault="00787570">
            <w:pPr>
              <w:rPr>
                <w:rFonts w:ascii="宋体"/>
              </w:rPr>
            </w:pPr>
          </w:p>
        </w:tc>
      </w:tr>
      <w:tr w:rsidR="00787570" w14:paraId="36CA1FA7" w14:textId="77777777">
        <w:trPr>
          <w:jc w:val="center"/>
        </w:trPr>
        <w:tc>
          <w:tcPr>
            <w:tcW w:w="0" w:type="auto"/>
            <w:gridSpan w:val="3"/>
            <w:shd w:val="clear" w:color="auto" w:fill="auto"/>
            <w:tcMar>
              <w:top w:w="40" w:type="dxa"/>
              <w:left w:w="195" w:type="dxa"/>
              <w:bottom w:w="40" w:type="dxa"/>
              <w:right w:w="20" w:type="dxa"/>
            </w:tcMar>
          </w:tcPr>
          <w:p w14:paraId="36CA1F9A" w14:textId="77777777" w:rsidR="00787570" w:rsidRDefault="000D56E2">
            <w:pPr>
              <w:textAlignment w:val="top"/>
            </w:pPr>
            <w:r>
              <w:rPr>
                <w:rFonts w:ascii="Arial" w:eastAsia="宋体" w:hAnsi="Arial" w:cs="Arial"/>
                <w:color w:val="333333"/>
                <w:sz w:val="18"/>
                <w:szCs w:val="18"/>
              </w:rPr>
              <w:t>Payment of dividends to stockholders</w:t>
            </w:r>
          </w:p>
        </w:tc>
        <w:tc>
          <w:tcPr>
            <w:tcW w:w="0" w:type="auto"/>
            <w:gridSpan w:val="3"/>
            <w:shd w:val="clear" w:color="auto" w:fill="auto"/>
            <w:tcMar>
              <w:left w:w="20" w:type="dxa"/>
              <w:right w:w="20" w:type="dxa"/>
            </w:tcMar>
            <w:vAlign w:val="bottom"/>
          </w:tcPr>
          <w:p w14:paraId="36CA1F9B"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1F9C" w14:textId="77777777" w:rsidR="00787570" w:rsidRDefault="000D56E2">
            <w:pPr>
              <w:jc w:val="right"/>
              <w:textAlignment w:val="bottom"/>
            </w:pPr>
            <w:r>
              <w:rPr>
                <w:rFonts w:ascii="Arial" w:eastAsia="宋体" w:hAnsi="Arial" w:cs="Arial"/>
                <w:color w:val="0071C5"/>
                <w:sz w:val="18"/>
                <w:szCs w:val="18"/>
              </w:rPr>
              <w:t>(4,215)</w:t>
            </w:r>
          </w:p>
        </w:tc>
        <w:tc>
          <w:tcPr>
            <w:tcW w:w="0" w:type="auto"/>
            <w:shd w:val="clear" w:color="auto" w:fill="auto"/>
            <w:tcMar>
              <w:top w:w="40" w:type="dxa"/>
              <w:bottom w:w="40" w:type="dxa"/>
              <w:right w:w="20" w:type="dxa"/>
            </w:tcMar>
            <w:vAlign w:val="bottom"/>
          </w:tcPr>
          <w:p w14:paraId="36CA1F9D"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1F9E"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1F9F" w14:textId="77777777" w:rsidR="00787570" w:rsidRDefault="000D56E2">
            <w:pPr>
              <w:jc w:val="right"/>
              <w:textAlignment w:val="bottom"/>
            </w:pPr>
            <w:r>
              <w:rPr>
                <w:rFonts w:ascii="Arial" w:eastAsia="宋体" w:hAnsi="Arial" w:cs="Arial"/>
                <w:color w:val="333333"/>
                <w:sz w:val="18"/>
                <w:szCs w:val="18"/>
              </w:rPr>
              <w:t>(4,214)</w:t>
            </w:r>
          </w:p>
        </w:tc>
        <w:tc>
          <w:tcPr>
            <w:tcW w:w="0" w:type="auto"/>
            <w:shd w:val="clear" w:color="auto" w:fill="auto"/>
            <w:tcMar>
              <w:top w:w="40" w:type="dxa"/>
              <w:bottom w:w="40" w:type="dxa"/>
              <w:right w:w="20" w:type="dxa"/>
            </w:tcMar>
            <w:vAlign w:val="bottom"/>
          </w:tcPr>
          <w:p w14:paraId="36CA1FA0" w14:textId="77777777" w:rsidR="00787570" w:rsidRDefault="00787570">
            <w:pPr>
              <w:jc w:val="right"/>
              <w:rPr>
                <w:rFonts w:ascii="宋体"/>
              </w:rPr>
            </w:pPr>
          </w:p>
        </w:tc>
        <w:tc>
          <w:tcPr>
            <w:tcW w:w="0" w:type="auto"/>
            <w:shd w:val="clear" w:color="auto" w:fill="auto"/>
          </w:tcPr>
          <w:p w14:paraId="36CA1FA1" w14:textId="77777777" w:rsidR="00787570" w:rsidRDefault="00787570">
            <w:pPr>
              <w:rPr>
                <w:rFonts w:ascii="宋体"/>
              </w:rPr>
            </w:pPr>
          </w:p>
        </w:tc>
        <w:tc>
          <w:tcPr>
            <w:tcW w:w="0" w:type="auto"/>
            <w:shd w:val="clear" w:color="auto" w:fill="auto"/>
          </w:tcPr>
          <w:p w14:paraId="36CA1FA2" w14:textId="77777777" w:rsidR="00787570" w:rsidRDefault="00787570">
            <w:pPr>
              <w:rPr>
                <w:rFonts w:ascii="宋体"/>
              </w:rPr>
            </w:pPr>
          </w:p>
        </w:tc>
        <w:tc>
          <w:tcPr>
            <w:tcW w:w="0" w:type="auto"/>
            <w:shd w:val="clear" w:color="auto" w:fill="auto"/>
          </w:tcPr>
          <w:p w14:paraId="36CA1FA3" w14:textId="77777777" w:rsidR="00787570" w:rsidRDefault="00787570">
            <w:pPr>
              <w:rPr>
                <w:rFonts w:ascii="宋体"/>
              </w:rPr>
            </w:pPr>
          </w:p>
        </w:tc>
        <w:tc>
          <w:tcPr>
            <w:tcW w:w="0" w:type="auto"/>
            <w:shd w:val="clear" w:color="auto" w:fill="auto"/>
          </w:tcPr>
          <w:p w14:paraId="36CA1FA4" w14:textId="77777777" w:rsidR="00787570" w:rsidRDefault="00787570">
            <w:pPr>
              <w:rPr>
                <w:rFonts w:ascii="宋体"/>
              </w:rPr>
            </w:pPr>
          </w:p>
        </w:tc>
        <w:tc>
          <w:tcPr>
            <w:tcW w:w="0" w:type="auto"/>
            <w:shd w:val="clear" w:color="auto" w:fill="auto"/>
          </w:tcPr>
          <w:p w14:paraId="36CA1FA5" w14:textId="77777777" w:rsidR="00787570" w:rsidRDefault="00787570">
            <w:pPr>
              <w:rPr>
                <w:rFonts w:ascii="宋体"/>
              </w:rPr>
            </w:pPr>
          </w:p>
        </w:tc>
        <w:tc>
          <w:tcPr>
            <w:tcW w:w="0" w:type="auto"/>
            <w:shd w:val="clear" w:color="auto" w:fill="auto"/>
          </w:tcPr>
          <w:p w14:paraId="36CA1FA6" w14:textId="77777777" w:rsidR="00787570" w:rsidRDefault="00787570">
            <w:pPr>
              <w:rPr>
                <w:rFonts w:ascii="宋体"/>
              </w:rPr>
            </w:pPr>
          </w:p>
        </w:tc>
      </w:tr>
      <w:tr w:rsidR="00787570" w14:paraId="36CA1FB3" w14:textId="77777777">
        <w:trPr>
          <w:jc w:val="center"/>
          <w:hidden/>
        </w:trPr>
        <w:tc>
          <w:tcPr>
            <w:tcW w:w="0" w:type="auto"/>
            <w:gridSpan w:val="3"/>
            <w:shd w:val="clear" w:color="auto" w:fill="auto"/>
          </w:tcPr>
          <w:p w14:paraId="36CA1FA8" w14:textId="77777777" w:rsidR="00787570" w:rsidRDefault="00787570">
            <w:pPr>
              <w:rPr>
                <w:rFonts w:ascii="宋体"/>
                <w:vanish/>
              </w:rPr>
            </w:pPr>
          </w:p>
        </w:tc>
        <w:tc>
          <w:tcPr>
            <w:tcW w:w="0" w:type="auto"/>
            <w:gridSpan w:val="3"/>
            <w:shd w:val="clear" w:color="auto" w:fill="auto"/>
          </w:tcPr>
          <w:p w14:paraId="36CA1FA9" w14:textId="77777777" w:rsidR="00787570" w:rsidRDefault="00787570">
            <w:pPr>
              <w:rPr>
                <w:rFonts w:ascii="宋体"/>
                <w:vanish/>
              </w:rPr>
            </w:pPr>
          </w:p>
        </w:tc>
        <w:tc>
          <w:tcPr>
            <w:tcW w:w="0" w:type="auto"/>
            <w:gridSpan w:val="3"/>
            <w:shd w:val="clear" w:color="auto" w:fill="auto"/>
          </w:tcPr>
          <w:p w14:paraId="36CA1FAA" w14:textId="77777777" w:rsidR="00787570" w:rsidRDefault="00787570">
            <w:pPr>
              <w:rPr>
                <w:rFonts w:ascii="宋体"/>
                <w:vanish/>
              </w:rPr>
            </w:pPr>
          </w:p>
        </w:tc>
        <w:tc>
          <w:tcPr>
            <w:tcW w:w="0" w:type="auto"/>
            <w:gridSpan w:val="3"/>
            <w:shd w:val="clear" w:color="auto" w:fill="auto"/>
          </w:tcPr>
          <w:p w14:paraId="36CA1FAB" w14:textId="77777777" w:rsidR="00787570" w:rsidRDefault="00787570">
            <w:pPr>
              <w:rPr>
                <w:rFonts w:ascii="宋体"/>
                <w:vanish/>
              </w:rPr>
            </w:pPr>
          </w:p>
        </w:tc>
        <w:tc>
          <w:tcPr>
            <w:tcW w:w="0" w:type="auto"/>
            <w:gridSpan w:val="3"/>
            <w:shd w:val="clear" w:color="auto" w:fill="auto"/>
          </w:tcPr>
          <w:p w14:paraId="36CA1FAC" w14:textId="77777777" w:rsidR="00787570" w:rsidRDefault="00787570">
            <w:pPr>
              <w:rPr>
                <w:rFonts w:ascii="宋体"/>
                <w:vanish/>
              </w:rPr>
            </w:pPr>
          </w:p>
        </w:tc>
        <w:tc>
          <w:tcPr>
            <w:tcW w:w="0" w:type="auto"/>
            <w:shd w:val="clear" w:color="auto" w:fill="auto"/>
          </w:tcPr>
          <w:p w14:paraId="36CA1FAD" w14:textId="77777777" w:rsidR="00787570" w:rsidRDefault="00787570">
            <w:pPr>
              <w:rPr>
                <w:rFonts w:ascii="宋体"/>
              </w:rPr>
            </w:pPr>
          </w:p>
        </w:tc>
        <w:tc>
          <w:tcPr>
            <w:tcW w:w="0" w:type="auto"/>
            <w:shd w:val="clear" w:color="auto" w:fill="auto"/>
          </w:tcPr>
          <w:p w14:paraId="36CA1FAE" w14:textId="77777777" w:rsidR="00787570" w:rsidRDefault="00787570">
            <w:pPr>
              <w:rPr>
                <w:rFonts w:ascii="宋体"/>
              </w:rPr>
            </w:pPr>
          </w:p>
        </w:tc>
        <w:tc>
          <w:tcPr>
            <w:tcW w:w="0" w:type="auto"/>
            <w:shd w:val="clear" w:color="auto" w:fill="auto"/>
          </w:tcPr>
          <w:p w14:paraId="36CA1FAF" w14:textId="77777777" w:rsidR="00787570" w:rsidRDefault="00787570">
            <w:pPr>
              <w:rPr>
                <w:rFonts w:ascii="宋体"/>
              </w:rPr>
            </w:pPr>
          </w:p>
        </w:tc>
        <w:tc>
          <w:tcPr>
            <w:tcW w:w="0" w:type="auto"/>
            <w:shd w:val="clear" w:color="auto" w:fill="auto"/>
          </w:tcPr>
          <w:p w14:paraId="36CA1FB0" w14:textId="77777777" w:rsidR="00787570" w:rsidRDefault="00787570">
            <w:pPr>
              <w:rPr>
                <w:rFonts w:ascii="宋体"/>
              </w:rPr>
            </w:pPr>
          </w:p>
        </w:tc>
        <w:tc>
          <w:tcPr>
            <w:tcW w:w="0" w:type="auto"/>
            <w:shd w:val="clear" w:color="auto" w:fill="auto"/>
          </w:tcPr>
          <w:p w14:paraId="36CA1FB1" w14:textId="77777777" w:rsidR="00787570" w:rsidRDefault="00787570">
            <w:pPr>
              <w:rPr>
                <w:rFonts w:ascii="宋体"/>
              </w:rPr>
            </w:pPr>
          </w:p>
        </w:tc>
        <w:tc>
          <w:tcPr>
            <w:tcW w:w="0" w:type="auto"/>
            <w:shd w:val="clear" w:color="auto" w:fill="auto"/>
          </w:tcPr>
          <w:p w14:paraId="36CA1FB2" w14:textId="77777777" w:rsidR="00787570" w:rsidRDefault="00787570">
            <w:pPr>
              <w:rPr>
                <w:rFonts w:ascii="宋体"/>
              </w:rPr>
            </w:pPr>
          </w:p>
        </w:tc>
      </w:tr>
      <w:tr w:rsidR="00787570" w14:paraId="36CA1FBF" w14:textId="77777777">
        <w:trPr>
          <w:jc w:val="center"/>
          <w:hidden/>
        </w:trPr>
        <w:tc>
          <w:tcPr>
            <w:tcW w:w="0" w:type="auto"/>
            <w:gridSpan w:val="3"/>
            <w:shd w:val="clear" w:color="auto" w:fill="auto"/>
          </w:tcPr>
          <w:p w14:paraId="36CA1FB4" w14:textId="77777777" w:rsidR="00787570" w:rsidRDefault="00787570">
            <w:pPr>
              <w:rPr>
                <w:rFonts w:ascii="宋体"/>
                <w:vanish/>
              </w:rPr>
            </w:pPr>
          </w:p>
        </w:tc>
        <w:tc>
          <w:tcPr>
            <w:tcW w:w="0" w:type="auto"/>
            <w:gridSpan w:val="3"/>
            <w:shd w:val="clear" w:color="auto" w:fill="auto"/>
          </w:tcPr>
          <w:p w14:paraId="36CA1FB5" w14:textId="77777777" w:rsidR="00787570" w:rsidRDefault="00787570">
            <w:pPr>
              <w:rPr>
                <w:rFonts w:ascii="宋体"/>
                <w:vanish/>
              </w:rPr>
            </w:pPr>
          </w:p>
        </w:tc>
        <w:tc>
          <w:tcPr>
            <w:tcW w:w="0" w:type="auto"/>
            <w:gridSpan w:val="3"/>
            <w:shd w:val="clear" w:color="auto" w:fill="auto"/>
          </w:tcPr>
          <w:p w14:paraId="36CA1FB6" w14:textId="77777777" w:rsidR="00787570" w:rsidRDefault="00787570">
            <w:pPr>
              <w:rPr>
                <w:rFonts w:ascii="宋体"/>
                <w:vanish/>
              </w:rPr>
            </w:pPr>
          </w:p>
        </w:tc>
        <w:tc>
          <w:tcPr>
            <w:tcW w:w="0" w:type="auto"/>
            <w:gridSpan w:val="3"/>
            <w:shd w:val="clear" w:color="auto" w:fill="auto"/>
          </w:tcPr>
          <w:p w14:paraId="36CA1FB7" w14:textId="77777777" w:rsidR="00787570" w:rsidRDefault="00787570">
            <w:pPr>
              <w:rPr>
                <w:rFonts w:ascii="宋体"/>
                <w:vanish/>
              </w:rPr>
            </w:pPr>
          </w:p>
        </w:tc>
        <w:tc>
          <w:tcPr>
            <w:tcW w:w="0" w:type="auto"/>
            <w:gridSpan w:val="3"/>
            <w:shd w:val="clear" w:color="auto" w:fill="auto"/>
          </w:tcPr>
          <w:p w14:paraId="36CA1FB8" w14:textId="77777777" w:rsidR="00787570" w:rsidRDefault="00787570">
            <w:pPr>
              <w:rPr>
                <w:rFonts w:ascii="宋体"/>
                <w:vanish/>
              </w:rPr>
            </w:pPr>
          </w:p>
        </w:tc>
        <w:tc>
          <w:tcPr>
            <w:tcW w:w="0" w:type="auto"/>
            <w:shd w:val="clear" w:color="auto" w:fill="auto"/>
          </w:tcPr>
          <w:p w14:paraId="36CA1FB9" w14:textId="77777777" w:rsidR="00787570" w:rsidRDefault="00787570">
            <w:pPr>
              <w:rPr>
                <w:rFonts w:ascii="宋体"/>
              </w:rPr>
            </w:pPr>
          </w:p>
        </w:tc>
        <w:tc>
          <w:tcPr>
            <w:tcW w:w="0" w:type="auto"/>
            <w:shd w:val="clear" w:color="auto" w:fill="auto"/>
          </w:tcPr>
          <w:p w14:paraId="36CA1FBA" w14:textId="77777777" w:rsidR="00787570" w:rsidRDefault="00787570">
            <w:pPr>
              <w:rPr>
                <w:rFonts w:ascii="宋体"/>
              </w:rPr>
            </w:pPr>
          </w:p>
        </w:tc>
        <w:tc>
          <w:tcPr>
            <w:tcW w:w="0" w:type="auto"/>
            <w:shd w:val="clear" w:color="auto" w:fill="auto"/>
          </w:tcPr>
          <w:p w14:paraId="36CA1FBB" w14:textId="77777777" w:rsidR="00787570" w:rsidRDefault="00787570">
            <w:pPr>
              <w:rPr>
                <w:rFonts w:ascii="宋体"/>
              </w:rPr>
            </w:pPr>
          </w:p>
        </w:tc>
        <w:tc>
          <w:tcPr>
            <w:tcW w:w="0" w:type="auto"/>
            <w:shd w:val="clear" w:color="auto" w:fill="auto"/>
          </w:tcPr>
          <w:p w14:paraId="36CA1FBC" w14:textId="77777777" w:rsidR="00787570" w:rsidRDefault="00787570">
            <w:pPr>
              <w:rPr>
                <w:rFonts w:ascii="宋体"/>
              </w:rPr>
            </w:pPr>
          </w:p>
        </w:tc>
        <w:tc>
          <w:tcPr>
            <w:tcW w:w="0" w:type="auto"/>
            <w:shd w:val="clear" w:color="auto" w:fill="auto"/>
          </w:tcPr>
          <w:p w14:paraId="36CA1FBD" w14:textId="77777777" w:rsidR="00787570" w:rsidRDefault="00787570">
            <w:pPr>
              <w:rPr>
                <w:rFonts w:ascii="宋体"/>
              </w:rPr>
            </w:pPr>
          </w:p>
        </w:tc>
        <w:tc>
          <w:tcPr>
            <w:tcW w:w="0" w:type="auto"/>
            <w:shd w:val="clear" w:color="auto" w:fill="auto"/>
          </w:tcPr>
          <w:p w14:paraId="36CA1FBE" w14:textId="77777777" w:rsidR="00787570" w:rsidRDefault="00787570">
            <w:pPr>
              <w:rPr>
                <w:rFonts w:ascii="宋体"/>
              </w:rPr>
            </w:pPr>
          </w:p>
        </w:tc>
      </w:tr>
      <w:tr w:rsidR="00787570" w14:paraId="36CA1FCB" w14:textId="77777777">
        <w:trPr>
          <w:jc w:val="center"/>
          <w:hidden/>
        </w:trPr>
        <w:tc>
          <w:tcPr>
            <w:tcW w:w="0" w:type="auto"/>
            <w:gridSpan w:val="3"/>
            <w:shd w:val="clear" w:color="auto" w:fill="auto"/>
          </w:tcPr>
          <w:p w14:paraId="36CA1FC0" w14:textId="77777777" w:rsidR="00787570" w:rsidRDefault="00787570">
            <w:pPr>
              <w:rPr>
                <w:rFonts w:ascii="宋体"/>
                <w:vanish/>
              </w:rPr>
            </w:pPr>
          </w:p>
        </w:tc>
        <w:tc>
          <w:tcPr>
            <w:tcW w:w="0" w:type="auto"/>
            <w:gridSpan w:val="3"/>
            <w:shd w:val="clear" w:color="auto" w:fill="auto"/>
          </w:tcPr>
          <w:p w14:paraId="36CA1FC1" w14:textId="77777777" w:rsidR="00787570" w:rsidRDefault="00787570">
            <w:pPr>
              <w:rPr>
                <w:rFonts w:ascii="宋体"/>
                <w:vanish/>
              </w:rPr>
            </w:pPr>
          </w:p>
        </w:tc>
        <w:tc>
          <w:tcPr>
            <w:tcW w:w="0" w:type="auto"/>
            <w:gridSpan w:val="3"/>
            <w:shd w:val="clear" w:color="auto" w:fill="auto"/>
          </w:tcPr>
          <w:p w14:paraId="36CA1FC2" w14:textId="77777777" w:rsidR="00787570" w:rsidRDefault="00787570">
            <w:pPr>
              <w:rPr>
                <w:rFonts w:ascii="宋体"/>
                <w:vanish/>
              </w:rPr>
            </w:pPr>
          </w:p>
        </w:tc>
        <w:tc>
          <w:tcPr>
            <w:tcW w:w="0" w:type="auto"/>
            <w:gridSpan w:val="3"/>
            <w:shd w:val="clear" w:color="auto" w:fill="auto"/>
          </w:tcPr>
          <w:p w14:paraId="36CA1FC3" w14:textId="77777777" w:rsidR="00787570" w:rsidRDefault="00787570">
            <w:pPr>
              <w:rPr>
                <w:rFonts w:ascii="宋体"/>
                <w:vanish/>
              </w:rPr>
            </w:pPr>
          </w:p>
        </w:tc>
        <w:tc>
          <w:tcPr>
            <w:tcW w:w="0" w:type="auto"/>
            <w:gridSpan w:val="3"/>
            <w:shd w:val="clear" w:color="auto" w:fill="auto"/>
          </w:tcPr>
          <w:p w14:paraId="36CA1FC4" w14:textId="77777777" w:rsidR="00787570" w:rsidRDefault="00787570">
            <w:pPr>
              <w:rPr>
                <w:rFonts w:ascii="宋体"/>
                <w:vanish/>
              </w:rPr>
            </w:pPr>
          </w:p>
        </w:tc>
        <w:tc>
          <w:tcPr>
            <w:tcW w:w="0" w:type="auto"/>
            <w:shd w:val="clear" w:color="auto" w:fill="auto"/>
          </w:tcPr>
          <w:p w14:paraId="36CA1FC5" w14:textId="77777777" w:rsidR="00787570" w:rsidRDefault="00787570">
            <w:pPr>
              <w:rPr>
                <w:rFonts w:ascii="宋体"/>
              </w:rPr>
            </w:pPr>
          </w:p>
        </w:tc>
        <w:tc>
          <w:tcPr>
            <w:tcW w:w="0" w:type="auto"/>
            <w:shd w:val="clear" w:color="auto" w:fill="auto"/>
          </w:tcPr>
          <w:p w14:paraId="36CA1FC6" w14:textId="77777777" w:rsidR="00787570" w:rsidRDefault="00787570">
            <w:pPr>
              <w:rPr>
                <w:rFonts w:ascii="宋体"/>
              </w:rPr>
            </w:pPr>
          </w:p>
        </w:tc>
        <w:tc>
          <w:tcPr>
            <w:tcW w:w="0" w:type="auto"/>
            <w:shd w:val="clear" w:color="auto" w:fill="auto"/>
          </w:tcPr>
          <w:p w14:paraId="36CA1FC7" w14:textId="77777777" w:rsidR="00787570" w:rsidRDefault="00787570">
            <w:pPr>
              <w:rPr>
                <w:rFonts w:ascii="宋体"/>
              </w:rPr>
            </w:pPr>
          </w:p>
        </w:tc>
        <w:tc>
          <w:tcPr>
            <w:tcW w:w="0" w:type="auto"/>
            <w:shd w:val="clear" w:color="auto" w:fill="auto"/>
          </w:tcPr>
          <w:p w14:paraId="36CA1FC8" w14:textId="77777777" w:rsidR="00787570" w:rsidRDefault="00787570">
            <w:pPr>
              <w:rPr>
                <w:rFonts w:ascii="宋体"/>
              </w:rPr>
            </w:pPr>
          </w:p>
        </w:tc>
        <w:tc>
          <w:tcPr>
            <w:tcW w:w="0" w:type="auto"/>
            <w:shd w:val="clear" w:color="auto" w:fill="auto"/>
          </w:tcPr>
          <w:p w14:paraId="36CA1FC9" w14:textId="77777777" w:rsidR="00787570" w:rsidRDefault="00787570">
            <w:pPr>
              <w:rPr>
                <w:rFonts w:ascii="宋体"/>
              </w:rPr>
            </w:pPr>
          </w:p>
        </w:tc>
        <w:tc>
          <w:tcPr>
            <w:tcW w:w="0" w:type="auto"/>
            <w:shd w:val="clear" w:color="auto" w:fill="auto"/>
          </w:tcPr>
          <w:p w14:paraId="36CA1FCA" w14:textId="77777777" w:rsidR="00787570" w:rsidRDefault="00787570">
            <w:pPr>
              <w:rPr>
                <w:rFonts w:ascii="宋体"/>
              </w:rPr>
            </w:pPr>
          </w:p>
        </w:tc>
      </w:tr>
      <w:tr w:rsidR="00787570" w14:paraId="36CA1FD9" w14:textId="77777777">
        <w:trPr>
          <w:jc w:val="center"/>
        </w:trPr>
        <w:tc>
          <w:tcPr>
            <w:tcW w:w="0" w:type="auto"/>
            <w:gridSpan w:val="3"/>
            <w:shd w:val="clear" w:color="auto" w:fill="auto"/>
            <w:tcMar>
              <w:top w:w="40" w:type="dxa"/>
              <w:left w:w="195" w:type="dxa"/>
              <w:bottom w:w="40" w:type="dxa"/>
              <w:right w:w="20" w:type="dxa"/>
            </w:tcMar>
          </w:tcPr>
          <w:p w14:paraId="36CA1FCC" w14:textId="77777777" w:rsidR="00787570" w:rsidRDefault="000D56E2">
            <w:pPr>
              <w:textAlignment w:val="top"/>
            </w:pPr>
            <w:r>
              <w:rPr>
                <w:rFonts w:ascii="Arial" w:eastAsia="宋体" w:hAnsi="Arial" w:cs="Arial"/>
                <w:color w:val="333333"/>
                <w:sz w:val="18"/>
                <w:szCs w:val="18"/>
              </w:rPr>
              <w:t>Other financing</w:t>
            </w:r>
          </w:p>
        </w:tc>
        <w:tc>
          <w:tcPr>
            <w:tcW w:w="0" w:type="auto"/>
            <w:gridSpan w:val="3"/>
            <w:shd w:val="clear" w:color="auto" w:fill="auto"/>
            <w:tcMar>
              <w:left w:w="20" w:type="dxa"/>
              <w:right w:w="20" w:type="dxa"/>
            </w:tcMar>
            <w:vAlign w:val="bottom"/>
          </w:tcPr>
          <w:p w14:paraId="36CA1FCD"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1FCE" w14:textId="77777777" w:rsidR="00787570" w:rsidRDefault="000D56E2">
            <w:pPr>
              <w:jc w:val="right"/>
              <w:textAlignment w:val="bottom"/>
            </w:pPr>
            <w:r>
              <w:rPr>
                <w:rFonts w:ascii="Arial" w:eastAsia="宋体" w:hAnsi="Arial" w:cs="Arial"/>
                <w:color w:val="0071C5"/>
                <w:sz w:val="18"/>
                <w:szCs w:val="18"/>
              </w:rPr>
              <w:t>605 </w:t>
            </w:r>
          </w:p>
        </w:tc>
        <w:tc>
          <w:tcPr>
            <w:tcW w:w="0" w:type="auto"/>
            <w:shd w:val="clear" w:color="auto" w:fill="auto"/>
            <w:tcMar>
              <w:top w:w="40" w:type="dxa"/>
              <w:bottom w:w="40" w:type="dxa"/>
              <w:right w:w="20" w:type="dxa"/>
            </w:tcMar>
            <w:vAlign w:val="bottom"/>
          </w:tcPr>
          <w:p w14:paraId="36CA1FCF"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1FD0"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1FD1" w14:textId="77777777" w:rsidR="00787570" w:rsidRDefault="000D56E2">
            <w:pPr>
              <w:jc w:val="right"/>
              <w:textAlignment w:val="bottom"/>
            </w:pPr>
            <w:r>
              <w:rPr>
                <w:rFonts w:ascii="Arial" w:eastAsia="宋体" w:hAnsi="Arial" w:cs="Arial"/>
                <w:color w:val="333333"/>
                <w:sz w:val="18"/>
                <w:szCs w:val="18"/>
              </w:rPr>
              <w:t>1,089 </w:t>
            </w:r>
          </w:p>
        </w:tc>
        <w:tc>
          <w:tcPr>
            <w:tcW w:w="0" w:type="auto"/>
            <w:shd w:val="clear" w:color="auto" w:fill="auto"/>
            <w:tcMar>
              <w:top w:w="40" w:type="dxa"/>
              <w:bottom w:w="40" w:type="dxa"/>
              <w:right w:w="20" w:type="dxa"/>
            </w:tcMar>
            <w:vAlign w:val="bottom"/>
          </w:tcPr>
          <w:p w14:paraId="36CA1FD2" w14:textId="77777777" w:rsidR="00787570" w:rsidRDefault="00787570">
            <w:pPr>
              <w:jc w:val="right"/>
              <w:rPr>
                <w:rFonts w:ascii="宋体"/>
              </w:rPr>
            </w:pPr>
          </w:p>
        </w:tc>
        <w:tc>
          <w:tcPr>
            <w:tcW w:w="0" w:type="auto"/>
            <w:shd w:val="clear" w:color="auto" w:fill="auto"/>
          </w:tcPr>
          <w:p w14:paraId="36CA1FD3" w14:textId="77777777" w:rsidR="00787570" w:rsidRDefault="00787570">
            <w:pPr>
              <w:rPr>
                <w:rFonts w:ascii="宋体"/>
              </w:rPr>
            </w:pPr>
          </w:p>
        </w:tc>
        <w:tc>
          <w:tcPr>
            <w:tcW w:w="0" w:type="auto"/>
            <w:shd w:val="clear" w:color="auto" w:fill="auto"/>
          </w:tcPr>
          <w:p w14:paraId="36CA1FD4" w14:textId="77777777" w:rsidR="00787570" w:rsidRDefault="00787570">
            <w:pPr>
              <w:rPr>
                <w:rFonts w:ascii="宋体"/>
              </w:rPr>
            </w:pPr>
          </w:p>
        </w:tc>
        <w:tc>
          <w:tcPr>
            <w:tcW w:w="0" w:type="auto"/>
            <w:shd w:val="clear" w:color="auto" w:fill="auto"/>
          </w:tcPr>
          <w:p w14:paraId="36CA1FD5" w14:textId="77777777" w:rsidR="00787570" w:rsidRDefault="00787570">
            <w:pPr>
              <w:rPr>
                <w:rFonts w:ascii="宋体"/>
              </w:rPr>
            </w:pPr>
          </w:p>
        </w:tc>
        <w:tc>
          <w:tcPr>
            <w:tcW w:w="0" w:type="auto"/>
            <w:shd w:val="clear" w:color="auto" w:fill="auto"/>
          </w:tcPr>
          <w:p w14:paraId="36CA1FD6" w14:textId="77777777" w:rsidR="00787570" w:rsidRDefault="00787570">
            <w:pPr>
              <w:rPr>
                <w:rFonts w:ascii="宋体"/>
              </w:rPr>
            </w:pPr>
          </w:p>
        </w:tc>
        <w:tc>
          <w:tcPr>
            <w:tcW w:w="0" w:type="auto"/>
            <w:shd w:val="clear" w:color="auto" w:fill="auto"/>
          </w:tcPr>
          <w:p w14:paraId="36CA1FD7" w14:textId="77777777" w:rsidR="00787570" w:rsidRDefault="00787570">
            <w:pPr>
              <w:rPr>
                <w:rFonts w:ascii="宋体"/>
              </w:rPr>
            </w:pPr>
          </w:p>
        </w:tc>
        <w:tc>
          <w:tcPr>
            <w:tcW w:w="0" w:type="auto"/>
            <w:shd w:val="clear" w:color="auto" w:fill="auto"/>
          </w:tcPr>
          <w:p w14:paraId="36CA1FD8" w14:textId="77777777" w:rsidR="00787570" w:rsidRDefault="00787570">
            <w:pPr>
              <w:rPr>
                <w:rFonts w:ascii="宋体"/>
              </w:rPr>
            </w:pPr>
          </w:p>
        </w:tc>
      </w:tr>
      <w:tr w:rsidR="00787570" w14:paraId="36CA1FE7" w14:textId="77777777">
        <w:trPr>
          <w:jc w:val="center"/>
        </w:trPr>
        <w:tc>
          <w:tcPr>
            <w:tcW w:w="0" w:type="auto"/>
            <w:gridSpan w:val="3"/>
            <w:shd w:val="clear" w:color="auto" w:fill="auto"/>
            <w:tcMar>
              <w:top w:w="40" w:type="dxa"/>
              <w:left w:w="20" w:type="dxa"/>
              <w:bottom w:w="40" w:type="dxa"/>
              <w:right w:w="20" w:type="dxa"/>
            </w:tcMar>
          </w:tcPr>
          <w:p w14:paraId="36CA1FDA" w14:textId="77777777" w:rsidR="00787570" w:rsidRDefault="000D56E2">
            <w:pPr>
              <w:textAlignment w:val="top"/>
            </w:pPr>
            <w:r>
              <w:rPr>
                <w:rFonts w:ascii="Arial" w:eastAsia="宋体" w:hAnsi="Arial" w:cs="Arial"/>
                <w:b/>
                <w:bCs/>
                <w:color w:val="333333"/>
                <w:sz w:val="18"/>
                <w:szCs w:val="18"/>
              </w:rPr>
              <w:t xml:space="preserve">Net cash provided by (used for) </w:t>
            </w:r>
            <w:r>
              <w:rPr>
                <w:rFonts w:ascii="Arial" w:eastAsia="宋体" w:hAnsi="Arial" w:cs="Arial"/>
                <w:b/>
                <w:bCs/>
                <w:color w:val="333333"/>
                <w:sz w:val="18"/>
                <w:szCs w:val="18"/>
              </w:rPr>
              <w:t>financing activities</w:t>
            </w:r>
          </w:p>
        </w:tc>
        <w:tc>
          <w:tcPr>
            <w:tcW w:w="0" w:type="auto"/>
            <w:gridSpan w:val="3"/>
            <w:shd w:val="clear" w:color="auto" w:fill="auto"/>
            <w:tcMar>
              <w:left w:w="20" w:type="dxa"/>
              <w:right w:w="20" w:type="dxa"/>
            </w:tcMar>
            <w:vAlign w:val="bottom"/>
          </w:tcPr>
          <w:p w14:paraId="36CA1FDB" w14:textId="77777777" w:rsidR="00787570" w:rsidRDefault="00787570">
            <w:pPr>
              <w:rPr>
                <w:rFonts w:ascii="宋体"/>
              </w:rPr>
            </w:pPr>
          </w:p>
        </w:tc>
        <w:tc>
          <w:tcPr>
            <w:tcW w:w="0" w:type="auto"/>
            <w:gridSpan w:val="2"/>
            <w:tcBorders>
              <w:top w:val="single" w:sz="8" w:space="0" w:color="333333"/>
            </w:tcBorders>
            <w:shd w:val="clear" w:color="auto" w:fill="auto"/>
            <w:tcMar>
              <w:top w:w="40" w:type="dxa"/>
              <w:left w:w="20" w:type="dxa"/>
              <w:bottom w:w="40" w:type="dxa"/>
              <w:right w:w="0" w:type="dxa"/>
            </w:tcMar>
            <w:vAlign w:val="bottom"/>
          </w:tcPr>
          <w:p w14:paraId="36CA1FDC" w14:textId="77777777" w:rsidR="00787570" w:rsidRDefault="000D56E2">
            <w:pPr>
              <w:jc w:val="right"/>
              <w:textAlignment w:val="bottom"/>
            </w:pPr>
            <w:r>
              <w:rPr>
                <w:rFonts w:ascii="Arial" w:eastAsia="宋体" w:hAnsi="Arial" w:cs="Arial"/>
                <w:b/>
                <w:bCs/>
                <w:color w:val="0071C5"/>
                <w:sz w:val="18"/>
                <w:szCs w:val="18"/>
              </w:rPr>
              <w:t>(11,220)</w:t>
            </w:r>
          </w:p>
        </w:tc>
        <w:tc>
          <w:tcPr>
            <w:tcW w:w="0" w:type="auto"/>
            <w:tcBorders>
              <w:top w:val="single" w:sz="8" w:space="0" w:color="333333"/>
            </w:tcBorders>
            <w:shd w:val="clear" w:color="auto" w:fill="auto"/>
            <w:tcMar>
              <w:top w:w="40" w:type="dxa"/>
              <w:bottom w:w="40" w:type="dxa"/>
              <w:right w:w="20" w:type="dxa"/>
            </w:tcMar>
            <w:vAlign w:val="bottom"/>
          </w:tcPr>
          <w:p w14:paraId="36CA1FDD"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1FDE" w14:textId="77777777" w:rsidR="00787570" w:rsidRDefault="00787570">
            <w:pPr>
              <w:rPr>
                <w:rFonts w:ascii="宋体"/>
              </w:rPr>
            </w:pPr>
          </w:p>
        </w:tc>
        <w:tc>
          <w:tcPr>
            <w:tcW w:w="0" w:type="auto"/>
            <w:gridSpan w:val="2"/>
            <w:tcBorders>
              <w:top w:val="single" w:sz="8" w:space="0" w:color="333333"/>
            </w:tcBorders>
            <w:shd w:val="clear" w:color="auto" w:fill="auto"/>
            <w:tcMar>
              <w:top w:w="40" w:type="dxa"/>
              <w:left w:w="20" w:type="dxa"/>
              <w:bottom w:w="40" w:type="dxa"/>
              <w:right w:w="0" w:type="dxa"/>
            </w:tcMar>
            <w:vAlign w:val="bottom"/>
          </w:tcPr>
          <w:p w14:paraId="36CA1FDF" w14:textId="77777777" w:rsidR="00787570" w:rsidRDefault="000D56E2">
            <w:pPr>
              <w:jc w:val="right"/>
              <w:textAlignment w:val="bottom"/>
            </w:pPr>
            <w:r>
              <w:rPr>
                <w:rFonts w:ascii="Arial" w:eastAsia="宋体" w:hAnsi="Arial" w:cs="Arial"/>
                <w:b/>
                <w:bCs/>
                <w:color w:val="333333"/>
                <w:sz w:val="18"/>
                <w:szCs w:val="18"/>
              </w:rPr>
              <w:t>(12,421)</w:t>
            </w:r>
          </w:p>
        </w:tc>
        <w:tc>
          <w:tcPr>
            <w:tcW w:w="0" w:type="auto"/>
            <w:tcBorders>
              <w:top w:val="single" w:sz="8" w:space="0" w:color="333333"/>
            </w:tcBorders>
            <w:shd w:val="clear" w:color="auto" w:fill="auto"/>
            <w:tcMar>
              <w:top w:w="40" w:type="dxa"/>
              <w:bottom w:w="40" w:type="dxa"/>
              <w:right w:w="20" w:type="dxa"/>
            </w:tcMar>
            <w:vAlign w:val="bottom"/>
          </w:tcPr>
          <w:p w14:paraId="36CA1FE0" w14:textId="77777777" w:rsidR="00787570" w:rsidRDefault="00787570">
            <w:pPr>
              <w:jc w:val="right"/>
              <w:rPr>
                <w:rFonts w:ascii="宋体"/>
              </w:rPr>
            </w:pPr>
          </w:p>
        </w:tc>
        <w:tc>
          <w:tcPr>
            <w:tcW w:w="0" w:type="auto"/>
            <w:shd w:val="clear" w:color="auto" w:fill="auto"/>
          </w:tcPr>
          <w:p w14:paraId="36CA1FE1" w14:textId="77777777" w:rsidR="00787570" w:rsidRDefault="00787570">
            <w:pPr>
              <w:rPr>
                <w:rFonts w:ascii="宋体"/>
              </w:rPr>
            </w:pPr>
          </w:p>
        </w:tc>
        <w:tc>
          <w:tcPr>
            <w:tcW w:w="0" w:type="auto"/>
            <w:shd w:val="clear" w:color="auto" w:fill="auto"/>
          </w:tcPr>
          <w:p w14:paraId="36CA1FE2" w14:textId="77777777" w:rsidR="00787570" w:rsidRDefault="00787570">
            <w:pPr>
              <w:rPr>
                <w:rFonts w:ascii="宋体"/>
              </w:rPr>
            </w:pPr>
          </w:p>
        </w:tc>
        <w:tc>
          <w:tcPr>
            <w:tcW w:w="0" w:type="auto"/>
            <w:shd w:val="clear" w:color="auto" w:fill="auto"/>
          </w:tcPr>
          <w:p w14:paraId="36CA1FE3" w14:textId="77777777" w:rsidR="00787570" w:rsidRDefault="00787570">
            <w:pPr>
              <w:rPr>
                <w:rFonts w:ascii="宋体"/>
              </w:rPr>
            </w:pPr>
          </w:p>
        </w:tc>
        <w:tc>
          <w:tcPr>
            <w:tcW w:w="0" w:type="auto"/>
            <w:shd w:val="clear" w:color="auto" w:fill="auto"/>
          </w:tcPr>
          <w:p w14:paraId="36CA1FE4" w14:textId="77777777" w:rsidR="00787570" w:rsidRDefault="00787570">
            <w:pPr>
              <w:rPr>
                <w:rFonts w:ascii="宋体"/>
              </w:rPr>
            </w:pPr>
          </w:p>
        </w:tc>
        <w:tc>
          <w:tcPr>
            <w:tcW w:w="0" w:type="auto"/>
            <w:shd w:val="clear" w:color="auto" w:fill="auto"/>
          </w:tcPr>
          <w:p w14:paraId="36CA1FE5" w14:textId="77777777" w:rsidR="00787570" w:rsidRDefault="00787570">
            <w:pPr>
              <w:rPr>
                <w:rFonts w:ascii="宋体"/>
              </w:rPr>
            </w:pPr>
          </w:p>
        </w:tc>
        <w:tc>
          <w:tcPr>
            <w:tcW w:w="0" w:type="auto"/>
            <w:shd w:val="clear" w:color="auto" w:fill="auto"/>
          </w:tcPr>
          <w:p w14:paraId="36CA1FE6" w14:textId="77777777" w:rsidR="00787570" w:rsidRDefault="00787570">
            <w:pPr>
              <w:rPr>
                <w:rFonts w:ascii="宋体"/>
              </w:rPr>
            </w:pPr>
          </w:p>
        </w:tc>
      </w:tr>
      <w:tr w:rsidR="00787570" w14:paraId="36CA1FF3" w14:textId="77777777">
        <w:trPr>
          <w:jc w:val="center"/>
          <w:hidden/>
        </w:trPr>
        <w:tc>
          <w:tcPr>
            <w:tcW w:w="0" w:type="auto"/>
            <w:gridSpan w:val="3"/>
            <w:shd w:val="clear" w:color="auto" w:fill="auto"/>
          </w:tcPr>
          <w:p w14:paraId="36CA1FE8" w14:textId="77777777" w:rsidR="00787570" w:rsidRDefault="00787570">
            <w:pPr>
              <w:rPr>
                <w:rFonts w:ascii="宋体"/>
                <w:vanish/>
              </w:rPr>
            </w:pPr>
          </w:p>
        </w:tc>
        <w:tc>
          <w:tcPr>
            <w:tcW w:w="0" w:type="auto"/>
            <w:gridSpan w:val="3"/>
            <w:shd w:val="clear" w:color="auto" w:fill="auto"/>
          </w:tcPr>
          <w:p w14:paraId="36CA1FE9" w14:textId="77777777" w:rsidR="00787570" w:rsidRDefault="00787570">
            <w:pPr>
              <w:rPr>
                <w:rFonts w:ascii="宋体"/>
                <w:vanish/>
              </w:rPr>
            </w:pPr>
          </w:p>
        </w:tc>
        <w:tc>
          <w:tcPr>
            <w:tcW w:w="0" w:type="auto"/>
            <w:gridSpan w:val="3"/>
            <w:shd w:val="clear" w:color="auto" w:fill="auto"/>
          </w:tcPr>
          <w:p w14:paraId="36CA1FEA" w14:textId="77777777" w:rsidR="00787570" w:rsidRDefault="00787570">
            <w:pPr>
              <w:rPr>
                <w:rFonts w:ascii="宋体"/>
                <w:vanish/>
              </w:rPr>
            </w:pPr>
          </w:p>
        </w:tc>
        <w:tc>
          <w:tcPr>
            <w:tcW w:w="0" w:type="auto"/>
            <w:gridSpan w:val="3"/>
            <w:shd w:val="clear" w:color="auto" w:fill="auto"/>
          </w:tcPr>
          <w:p w14:paraId="36CA1FEB" w14:textId="77777777" w:rsidR="00787570" w:rsidRDefault="00787570">
            <w:pPr>
              <w:rPr>
                <w:rFonts w:ascii="宋体"/>
                <w:vanish/>
              </w:rPr>
            </w:pPr>
          </w:p>
        </w:tc>
        <w:tc>
          <w:tcPr>
            <w:tcW w:w="0" w:type="auto"/>
            <w:gridSpan w:val="3"/>
            <w:shd w:val="clear" w:color="auto" w:fill="auto"/>
          </w:tcPr>
          <w:p w14:paraId="36CA1FEC" w14:textId="77777777" w:rsidR="00787570" w:rsidRDefault="00787570">
            <w:pPr>
              <w:rPr>
                <w:rFonts w:ascii="宋体"/>
                <w:vanish/>
              </w:rPr>
            </w:pPr>
          </w:p>
        </w:tc>
        <w:tc>
          <w:tcPr>
            <w:tcW w:w="0" w:type="auto"/>
            <w:shd w:val="clear" w:color="auto" w:fill="auto"/>
          </w:tcPr>
          <w:p w14:paraId="36CA1FED" w14:textId="77777777" w:rsidR="00787570" w:rsidRDefault="00787570">
            <w:pPr>
              <w:rPr>
                <w:rFonts w:ascii="宋体"/>
              </w:rPr>
            </w:pPr>
          </w:p>
        </w:tc>
        <w:tc>
          <w:tcPr>
            <w:tcW w:w="0" w:type="auto"/>
            <w:shd w:val="clear" w:color="auto" w:fill="auto"/>
          </w:tcPr>
          <w:p w14:paraId="36CA1FEE" w14:textId="77777777" w:rsidR="00787570" w:rsidRDefault="00787570">
            <w:pPr>
              <w:rPr>
                <w:rFonts w:ascii="宋体"/>
              </w:rPr>
            </w:pPr>
          </w:p>
        </w:tc>
        <w:tc>
          <w:tcPr>
            <w:tcW w:w="0" w:type="auto"/>
            <w:shd w:val="clear" w:color="auto" w:fill="auto"/>
          </w:tcPr>
          <w:p w14:paraId="36CA1FEF" w14:textId="77777777" w:rsidR="00787570" w:rsidRDefault="00787570">
            <w:pPr>
              <w:rPr>
                <w:rFonts w:ascii="宋体"/>
              </w:rPr>
            </w:pPr>
          </w:p>
        </w:tc>
        <w:tc>
          <w:tcPr>
            <w:tcW w:w="0" w:type="auto"/>
            <w:shd w:val="clear" w:color="auto" w:fill="auto"/>
          </w:tcPr>
          <w:p w14:paraId="36CA1FF0" w14:textId="77777777" w:rsidR="00787570" w:rsidRDefault="00787570">
            <w:pPr>
              <w:rPr>
                <w:rFonts w:ascii="宋体"/>
              </w:rPr>
            </w:pPr>
          </w:p>
        </w:tc>
        <w:tc>
          <w:tcPr>
            <w:tcW w:w="0" w:type="auto"/>
            <w:shd w:val="clear" w:color="auto" w:fill="auto"/>
          </w:tcPr>
          <w:p w14:paraId="36CA1FF1" w14:textId="77777777" w:rsidR="00787570" w:rsidRDefault="00787570">
            <w:pPr>
              <w:rPr>
                <w:rFonts w:ascii="宋体"/>
              </w:rPr>
            </w:pPr>
          </w:p>
        </w:tc>
        <w:tc>
          <w:tcPr>
            <w:tcW w:w="0" w:type="auto"/>
            <w:shd w:val="clear" w:color="auto" w:fill="auto"/>
          </w:tcPr>
          <w:p w14:paraId="36CA1FF2" w14:textId="77777777" w:rsidR="00787570" w:rsidRDefault="00787570">
            <w:pPr>
              <w:rPr>
                <w:rFonts w:ascii="宋体"/>
              </w:rPr>
            </w:pPr>
          </w:p>
        </w:tc>
      </w:tr>
      <w:tr w:rsidR="00787570" w14:paraId="36CA2001" w14:textId="77777777">
        <w:trPr>
          <w:jc w:val="center"/>
        </w:trPr>
        <w:tc>
          <w:tcPr>
            <w:tcW w:w="0" w:type="auto"/>
            <w:gridSpan w:val="3"/>
            <w:shd w:val="clear" w:color="auto" w:fill="auto"/>
            <w:tcMar>
              <w:top w:w="40" w:type="dxa"/>
              <w:left w:w="20" w:type="dxa"/>
              <w:bottom w:w="40" w:type="dxa"/>
              <w:right w:w="20" w:type="dxa"/>
            </w:tcMar>
          </w:tcPr>
          <w:p w14:paraId="36CA1FF4" w14:textId="77777777" w:rsidR="00787570" w:rsidRDefault="000D56E2">
            <w:pPr>
              <w:textAlignment w:val="top"/>
            </w:pPr>
            <w:r>
              <w:rPr>
                <w:rFonts w:ascii="Arial" w:eastAsia="宋体" w:hAnsi="Arial" w:cs="Arial"/>
                <w:b/>
                <w:bCs/>
                <w:color w:val="333333"/>
                <w:sz w:val="18"/>
                <w:szCs w:val="18"/>
              </w:rPr>
              <w:t>Net increase (decrease) in cash and cash equivalents</w:t>
            </w:r>
          </w:p>
        </w:tc>
        <w:tc>
          <w:tcPr>
            <w:tcW w:w="0" w:type="auto"/>
            <w:gridSpan w:val="3"/>
            <w:shd w:val="clear" w:color="auto" w:fill="auto"/>
            <w:tcMar>
              <w:left w:w="20" w:type="dxa"/>
              <w:right w:w="20" w:type="dxa"/>
            </w:tcMar>
            <w:vAlign w:val="bottom"/>
          </w:tcPr>
          <w:p w14:paraId="36CA1FF5" w14:textId="77777777" w:rsidR="00787570" w:rsidRDefault="00787570">
            <w:pPr>
              <w:rPr>
                <w:rFonts w:ascii="宋体"/>
              </w:rPr>
            </w:pPr>
          </w:p>
        </w:tc>
        <w:tc>
          <w:tcPr>
            <w:tcW w:w="0" w:type="auto"/>
            <w:gridSpan w:val="2"/>
            <w:tcBorders>
              <w:top w:val="single" w:sz="8" w:space="0" w:color="333333"/>
            </w:tcBorders>
            <w:shd w:val="clear" w:color="auto" w:fill="auto"/>
            <w:tcMar>
              <w:top w:w="40" w:type="dxa"/>
              <w:left w:w="20" w:type="dxa"/>
              <w:bottom w:w="40" w:type="dxa"/>
              <w:right w:w="0" w:type="dxa"/>
            </w:tcMar>
            <w:vAlign w:val="bottom"/>
          </w:tcPr>
          <w:p w14:paraId="36CA1FF6" w14:textId="77777777" w:rsidR="00787570" w:rsidRDefault="000D56E2">
            <w:pPr>
              <w:jc w:val="right"/>
              <w:textAlignment w:val="bottom"/>
            </w:pPr>
            <w:r>
              <w:rPr>
                <w:rFonts w:ascii="Arial" w:eastAsia="宋体" w:hAnsi="Arial" w:cs="Arial"/>
                <w:b/>
                <w:bCs/>
                <w:color w:val="0071C5"/>
                <w:sz w:val="18"/>
                <w:szCs w:val="18"/>
              </w:rPr>
              <w:t>(838)</w:t>
            </w:r>
          </w:p>
        </w:tc>
        <w:tc>
          <w:tcPr>
            <w:tcW w:w="0" w:type="auto"/>
            <w:tcBorders>
              <w:top w:val="single" w:sz="8" w:space="0" w:color="333333"/>
            </w:tcBorders>
            <w:shd w:val="clear" w:color="auto" w:fill="auto"/>
            <w:tcMar>
              <w:top w:w="40" w:type="dxa"/>
              <w:bottom w:w="40" w:type="dxa"/>
              <w:right w:w="20" w:type="dxa"/>
            </w:tcMar>
            <w:vAlign w:val="bottom"/>
          </w:tcPr>
          <w:p w14:paraId="36CA1FF7"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1FF8" w14:textId="77777777" w:rsidR="00787570" w:rsidRDefault="00787570">
            <w:pPr>
              <w:rPr>
                <w:rFonts w:ascii="宋体"/>
              </w:rPr>
            </w:pPr>
          </w:p>
        </w:tc>
        <w:tc>
          <w:tcPr>
            <w:tcW w:w="0" w:type="auto"/>
            <w:gridSpan w:val="2"/>
            <w:tcBorders>
              <w:top w:val="single" w:sz="8" w:space="0" w:color="333333"/>
            </w:tcBorders>
            <w:shd w:val="clear" w:color="auto" w:fill="auto"/>
            <w:tcMar>
              <w:top w:w="40" w:type="dxa"/>
              <w:left w:w="20" w:type="dxa"/>
              <w:bottom w:w="40" w:type="dxa"/>
              <w:right w:w="0" w:type="dxa"/>
            </w:tcMar>
            <w:vAlign w:val="bottom"/>
          </w:tcPr>
          <w:p w14:paraId="36CA1FF9" w14:textId="77777777" w:rsidR="00787570" w:rsidRDefault="000D56E2">
            <w:pPr>
              <w:jc w:val="right"/>
              <w:textAlignment w:val="bottom"/>
            </w:pPr>
            <w:r>
              <w:rPr>
                <w:rFonts w:ascii="Arial" w:eastAsia="宋体" w:hAnsi="Arial" w:cs="Arial"/>
                <w:b/>
                <w:bCs/>
                <w:color w:val="333333"/>
                <w:sz w:val="18"/>
                <w:szCs w:val="18"/>
              </w:rPr>
              <w:t>916</w:t>
            </w:r>
            <w:r>
              <w:rPr>
                <w:rFonts w:ascii="Arial" w:eastAsia="宋体" w:hAnsi="Arial" w:cs="Arial"/>
                <w:color w:val="333333"/>
                <w:sz w:val="18"/>
                <w:szCs w:val="18"/>
              </w:rPr>
              <w:t> </w:t>
            </w:r>
          </w:p>
        </w:tc>
        <w:tc>
          <w:tcPr>
            <w:tcW w:w="0" w:type="auto"/>
            <w:tcBorders>
              <w:top w:val="single" w:sz="8" w:space="0" w:color="333333"/>
            </w:tcBorders>
            <w:shd w:val="clear" w:color="auto" w:fill="auto"/>
            <w:tcMar>
              <w:top w:w="40" w:type="dxa"/>
              <w:bottom w:w="40" w:type="dxa"/>
              <w:right w:w="20" w:type="dxa"/>
            </w:tcMar>
            <w:vAlign w:val="bottom"/>
          </w:tcPr>
          <w:p w14:paraId="36CA1FFA" w14:textId="77777777" w:rsidR="00787570" w:rsidRDefault="00787570">
            <w:pPr>
              <w:jc w:val="right"/>
              <w:rPr>
                <w:rFonts w:ascii="宋体"/>
              </w:rPr>
            </w:pPr>
          </w:p>
        </w:tc>
        <w:tc>
          <w:tcPr>
            <w:tcW w:w="0" w:type="auto"/>
            <w:shd w:val="clear" w:color="auto" w:fill="auto"/>
          </w:tcPr>
          <w:p w14:paraId="36CA1FFB" w14:textId="77777777" w:rsidR="00787570" w:rsidRDefault="00787570">
            <w:pPr>
              <w:rPr>
                <w:rFonts w:ascii="宋体"/>
              </w:rPr>
            </w:pPr>
          </w:p>
        </w:tc>
        <w:tc>
          <w:tcPr>
            <w:tcW w:w="0" w:type="auto"/>
            <w:shd w:val="clear" w:color="auto" w:fill="auto"/>
          </w:tcPr>
          <w:p w14:paraId="36CA1FFC" w14:textId="77777777" w:rsidR="00787570" w:rsidRDefault="00787570">
            <w:pPr>
              <w:rPr>
                <w:rFonts w:ascii="宋体"/>
              </w:rPr>
            </w:pPr>
          </w:p>
        </w:tc>
        <w:tc>
          <w:tcPr>
            <w:tcW w:w="0" w:type="auto"/>
            <w:shd w:val="clear" w:color="auto" w:fill="auto"/>
          </w:tcPr>
          <w:p w14:paraId="36CA1FFD" w14:textId="77777777" w:rsidR="00787570" w:rsidRDefault="00787570">
            <w:pPr>
              <w:rPr>
                <w:rFonts w:ascii="宋体"/>
              </w:rPr>
            </w:pPr>
          </w:p>
        </w:tc>
        <w:tc>
          <w:tcPr>
            <w:tcW w:w="0" w:type="auto"/>
            <w:shd w:val="clear" w:color="auto" w:fill="auto"/>
          </w:tcPr>
          <w:p w14:paraId="36CA1FFE" w14:textId="77777777" w:rsidR="00787570" w:rsidRDefault="00787570">
            <w:pPr>
              <w:rPr>
                <w:rFonts w:ascii="宋体"/>
              </w:rPr>
            </w:pPr>
          </w:p>
        </w:tc>
        <w:tc>
          <w:tcPr>
            <w:tcW w:w="0" w:type="auto"/>
            <w:shd w:val="clear" w:color="auto" w:fill="auto"/>
          </w:tcPr>
          <w:p w14:paraId="36CA1FFF" w14:textId="77777777" w:rsidR="00787570" w:rsidRDefault="00787570">
            <w:pPr>
              <w:rPr>
                <w:rFonts w:ascii="宋体"/>
              </w:rPr>
            </w:pPr>
          </w:p>
        </w:tc>
        <w:tc>
          <w:tcPr>
            <w:tcW w:w="0" w:type="auto"/>
            <w:shd w:val="clear" w:color="auto" w:fill="auto"/>
          </w:tcPr>
          <w:p w14:paraId="36CA2000" w14:textId="77777777" w:rsidR="00787570" w:rsidRDefault="00787570">
            <w:pPr>
              <w:rPr>
                <w:rFonts w:ascii="宋体"/>
              </w:rPr>
            </w:pPr>
          </w:p>
        </w:tc>
      </w:tr>
      <w:tr w:rsidR="00787570" w14:paraId="36CA2011" w14:textId="77777777">
        <w:trPr>
          <w:jc w:val="center"/>
        </w:trPr>
        <w:tc>
          <w:tcPr>
            <w:tcW w:w="0" w:type="auto"/>
            <w:gridSpan w:val="3"/>
            <w:shd w:val="clear" w:color="auto" w:fill="auto"/>
            <w:tcMar>
              <w:top w:w="40" w:type="dxa"/>
              <w:left w:w="20" w:type="dxa"/>
              <w:bottom w:w="40" w:type="dxa"/>
              <w:right w:w="20" w:type="dxa"/>
            </w:tcMar>
          </w:tcPr>
          <w:p w14:paraId="36CA2002" w14:textId="77777777" w:rsidR="00787570" w:rsidRDefault="000D56E2">
            <w:pPr>
              <w:textAlignment w:val="top"/>
            </w:pPr>
            <w:r>
              <w:rPr>
                <w:rFonts w:ascii="Arial" w:eastAsia="宋体" w:hAnsi="Arial" w:cs="Arial"/>
                <w:b/>
                <w:bCs/>
                <w:color w:val="333333"/>
                <w:sz w:val="18"/>
                <w:szCs w:val="18"/>
              </w:rPr>
              <w:t>Cash and cash equivalents, end of period</w:t>
            </w:r>
          </w:p>
        </w:tc>
        <w:tc>
          <w:tcPr>
            <w:tcW w:w="0" w:type="auto"/>
            <w:gridSpan w:val="3"/>
            <w:shd w:val="clear" w:color="auto" w:fill="auto"/>
            <w:tcMar>
              <w:left w:w="20" w:type="dxa"/>
              <w:right w:w="20" w:type="dxa"/>
            </w:tcMar>
            <w:vAlign w:val="bottom"/>
          </w:tcPr>
          <w:p w14:paraId="36CA2003" w14:textId="77777777" w:rsidR="00787570" w:rsidRDefault="00787570">
            <w:pPr>
              <w:rPr>
                <w:rFonts w:ascii="宋体"/>
              </w:rPr>
            </w:pPr>
          </w:p>
        </w:tc>
        <w:tc>
          <w:tcPr>
            <w:tcW w:w="0" w:type="auto"/>
            <w:tcBorders>
              <w:top w:val="single" w:sz="8" w:space="0" w:color="333333"/>
            </w:tcBorders>
            <w:shd w:val="clear" w:color="auto" w:fill="auto"/>
            <w:tcMar>
              <w:top w:w="40" w:type="dxa"/>
              <w:left w:w="20" w:type="dxa"/>
              <w:bottom w:w="40" w:type="dxa"/>
            </w:tcMar>
            <w:vAlign w:val="bottom"/>
          </w:tcPr>
          <w:p w14:paraId="36CA2004" w14:textId="77777777" w:rsidR="00787570" w:rsidRDefault="000D56E2">
            <w:pPr>
              <w:textAlignment w:val="bottom"/>
            </w:pPr>
            <w:r>
              <w:rPr>
                <w:rFonts w:ascii="Arial" w:eastAsia="宋体" w:hAnsi="Arial" w:cs="Arial"/>
                <w:b/>
                <w:bCs/>
                <w:color w:val="0071C5"/>
                <w:sz w:val="18"/>
                <w:szCs w:val="18"/>
              </w:rPr>
              <w:t>$</w:t>
            </w:r>
          </w:p>
        </w:tc>
        <w:tc>
          <w:tcPr>
            <w:tcW w:w="0" w:type="auto"/>
            <w:tcBorders>
              <w:top w:val="single" w:sz="8" w:space="0" w:color="333333"/>
            </w:tcBorders>
            <w:shd w:val="clear" w:color="auto" w:fill="auto"/>
            <w:tcMar>
              <w:top w:w="40" w:type="dxa"/>
              <w:bottom w:w="40" w:type="dxa"/>
              <w:right w:w="0" w:type="dxa"/>
            </w:tcMar>
            <w:vAlign w:val="bottom"/>
          </w:tcPr>
          <w:p w14:paraId="36CA2005" w14:textId="77777777" w:rsidR="00787570" w:rsidRDefault="000D56E2">
            <w:pPr>
              <w:jc w:val="right"/>
              <w:textAlignment w:val="bottom"/>
            </w:pPr>
            <w:r>
              <w:rPr>
                <w:rFonts w:ascii="Arial" w:eastAsia="宋体" w:hAnsi="Arial" w:cs="Arial"/>
                <w:b/>
                <w:bCs/>
                <w:color w:val="0071C5"/>
                <w:sz w:val="18"/>
                <w:szCs w:val="18"/>
              </w:rPr>
              <w:t>3,356</w:t>
            </w:r>
            <w:r>
              <w:rPr>
                <w:rFonts w:ascii="Arial" w:eastAsia="宋体" w:hAnsi="Arial" w:cs="Arial"/>
                <w:color w:val="0071C5"/>
                <w:sz w:val="18"/>
                <w:szCs w:val="18"/>
              </w:rPr>
              <w:t> </w:t>
            </w:r>
          </w:p>
        </w:tc>
        <w:tc>
          <w:tcPr>
            <w:tcW w:w="0" w:type="auto"/>
            <w:tcBorders>
              <w:top w:val="single" w:sz="8" w:space="0" w:color="333333"/>
            </w:tcBorders>
            <w:shd w:val="clear" w:color="auto" w:fill="auto"/>
            <w:tcMar>
              <w:top w:w="40" w:type="dxa"/>
              <w:bottom w:w="40" w:type="dxa"/>
              <w:right w:w="20" w:type="dxa"/>
            </w:tcMar>
            <w:vAlign w:val="bottom"/>
          </w:tcPr>
          <w:p w14:paraId="36CA2006"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2007" w14:textId="77777777" w:rsidR="00787570" w:rsidRDefault="00787570">
            <w:pPr>
              <w:rPr>
                <w:rFonts w:ascii="宋体"/>
              </w:rPr>
            </w:pPr>
          </w:p>
        </w:tc>
        <w:tc>
          <w:tcPr>
            <w:tcW w:w="0" w:type="auto"/>
            <w:tcBorders>
              <w:top w:val="single" w:sz="8" w:space="0" w:color="333333"/>
            </w:tcBorders>
            <w:shd w:val="clear" w:color="auto" w:fill="auto"/>
            <w:tcMar>
              <w:top w:w="40" w:type="dxa"/>
              <w:left w:w="20" w:type="dxa"/>
              <w:bottom w:w="40" w:type="dxa"/>
            </w:tcMar>
            <w:vAlign w:val="bottom"/>
          </w:tcPr>
          <w:p w14:paraId="36CA2008" w14:textId="77777777" w:rsidR="00787570" w:rsidRDefault="000D56E2">
            <w:pPr>
              <w:textAlignment w:val="bottom"/>
            </w:pPr>
            <w:r>
              <w:rPr>
                <w:rFonts w:ascii="Arial" w:eastAsia="宋体" w:hAnsi="Arial" w:cs="Arial"/>
                <w:b/>
                <w:bCs/>
                <w:color w:val="333333"/>
                <w:sz w:val="18"/>
                <w:szCs w:val="18"/>
              </w:rPr>
              <w:t>$</w:t>
            </w:r>
          </w:p>
        </w:tc>
        <w:tc>
          <w:tcPr>
            <w:tcW w:w="0" w:type="auto"/>
            <w:tcBorders>
              <w:top w:val="single" w:sz="8" w:space="0" w:color="333333"/>
            </w:tcBorders>
            <w:shd w:val="clear" w:color="auto" w:fill="auto"/>
            <w:tcMar>
              <w:top w:w="40" w:type="dxa"/>
              <w:bottom w:w="40" w:type="dxa"/>
              <w:right w:w="0" w:type="dxa"/>
            </w:tcMar>
            <w:vAlign w:val="bottom"/>
          </w:tcPr>
          <w:p w14:paraId="36CA2009" w14:textId="77777777" w:rsidR="00787570" w:rsidRDefault="000D56E2">
            <w:pPr>
              <w:jc w:val="right"/>
              <w:textAlignment w:val="bottom"/>
            </w:pPr>
            <w:r>
              <w:rPr>
                <w:rFonts w:ascii="Arial" w:eastAsia="宋体" w:hAnsi="Arial" w:cs="Arial"/>
                <w:b/>
                <w:bCs/>
                <w:color w:val="333333"/>
                <w:sz w:val="18"/>
                <w:szCs w:val="18"/>
              </w:rPr>
              <w:t>3,935</w:t>
            </w:r>
            <w:r>
              <w:rPr>
                <w:rFonts w:ascii="Arial" w:eastAsia="宋体" w:hAnsi="Arial" w:cs="Arial"/>
                <w:color w:val="333333"/>
                <w:sz w:val="18"/>
                <w:szCs w:val="18"/>
              </w:rPr>
              <w:t> </w:t>
            </w:r>
          </w:p>
        </w:tc>
        <w:tc>
          <w:tcPr>
            <w:tcW w:w="0" w:type="auto"/>
            <w:tcBorders>
              <w:top w:val="single" w:sz="8" w:space="0" w:color="333333"/>
            </w:tcBorders>
            <w:shd w:val="clear" w:color="auto" w:fill="auto"/>
            <w:tcMar>
              <w:top w:w="40" w:type="dxa"/>
              <w:bottom w:w="40" w:type="dxa"/>
              <w:right w:w="20" w:type="dxa"/>
            </w:tcMar>
            <w:vAlign w:val="bottom"/>
          </w:tcPr>
          <w:p w14:paraId="36CA200A" w14:textId="77777777" w:rsidR="00787570" w:rsidRDefault="00787570">
            <w:pPr>
              <w:jc w:val="right"/>
              <w:rPr>
                <w:rFonts w:ascii="宋体"/>
              </w:rPr>
            </w:pPr>
          </w:p>
        </w:tc>
        <w:tc>
          <w:tcPr>
            <w:tcW w:w="0" w:type="auto"/>
            <w:shd w:val="clear" w:color="auto" w:fill="auto"/>
          </w:tcPr>
          <w:p w14:paraId="36CA200B" w14:textId="77777777" w:rsidR="00787570" w:rsidRDefault="00787570">
            <w:pPr>
              <w:rPr>
                <w:rFonts w:ascii="宋体"/>
              </w:rPr>
            </w:pPr>
          </w:p>
        </w:tc>
        <w:tc>
          <w:tcPr>
            <w:tcW w:w="0" w:type="auto"/>
            <w:shd w:val="clear" w:color="auto" w:fill="auto"/>
          </w:tcPr>
          <w:p w14:paraId="36CA200C" w14:textId="77777777" w:rsidR="00787570" w:rsidRDefault="00787570">
            <w:pPr>
              <w:rPr>
                <w:rFonts w:ascii="宋体"/>
              </w:rPr>
            </w:pPr>
          </w:p>
        </w:tc>
        <w:tc>
          <w:tcPr>
            <w:tcW w:w="0" w:type="auto"/>
            <w:shd w:val="clear" w:color="auto" w:fill="auto"/>
          </w:tcPr>
          <w:p w14:paraId="36CA200D" w14:textId="77777777" w:rsidR="00787570" w:rsidRDefault="00787570">
            <w:pPr>
              <w:rPr>
                <w:rFonts w:ascii="宋体"/>
              </w:rPr>
            </w:pPr>
          </w:p>
        </w:tc>
        <w:tc>
          <w:tcPr>
            <w:tcW w:w="0" w:type="auto"/>
            <w:shd w:val="clear" w:color="auto" w:fill="auto"/>
          </w:tcPr>
          <w:p w14:paraId="36CA200E" w14:textId="77777777" w:rsidR="00787570" w:rsidRDefault="00787570">
            <w:pPr>
              <w:rPr>
                <w:rFonts w:ascii="宋体"/>
              </w:rPr>
            </w:pPr>
          </w:p>
        </w:tc>
        <w:tc>
          <w:tcPr>
            <w:tcW w:w="0" w:type="auto"/>
            <w:shd w:val="clear" w:color="auto" w:fill="auto"/>
          </w:tcPr>
          <w:p w14:paraId="36CA200F" w14:textId="77777777" w:rsidR="00787570" w:rsidRDefault="00787570">
            <w:pPr>
              <w:rPr>
                <w:rFonts w:ascii="宋体"/>
              </w:rPr>
            </w:pPr>
          </w:p>
        </w:tc>
        <w:tc>
          <w:tcPr>
            <w:tcW w:w="0" w:type="auto"/>
            <w:shd w:val="clear" w:color="auto" w:fill="auto"/>
          </w:tcPr>
          <w:p w14:paraId="36CA2010" w14:textId="77777777" w:rsidR="00787570" w:rsidRDefault="00787570">
            <w:pPr>
              <w:rPr>
                <w:rFonts w:ascii="宋体"/>
              </w:rPr>
            </w:pPr>
          </w:p>
        </w:tc>
      </w:tr>
      <w:tr w:rsidR="00787570" w14:paraId="36CA201D" w14:textId="77777777">
        <w:trPr>
          <w:trHeight w:val="180"/>
          <w:jc w:val="center"/>
        </w:trPr>
        <w:tc>
          <w:tcPr>
            <w:tcW w:w="0" w:type="auto"/>
            <w:gridSpan w:val="3"/>
            <w:shd w:val="clear" w:color="auto" w:fill="auto"/>
            <w:tcMar>
              <w:left w:w="20" w:type="dxa"/>
              <w:right w:w="20" w:type="dxa"/>
            </w:tcMar>
            <w:vAlign w:val="bottom"/>
          </w:tcPr>
          <w:p w14:paraId="36CA2012"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2013" w14:textId="77777777" w:rsidR="00787570" w:rsidRDefault="00787570">
            <w:pPr>
              <w:rPr>
                <w:rFonts w:ascii="宋体"/>
              </w:rPr>
            </w:pPr>
          </w:p>
        </w:tc>
        <w:tc>
          <w:tcPr>
            <w:tcW w:w="0" w:type="auto"/>
            <w:gridSpan w:val="3"/>
            <w:tcBorders>
              <w:top w:val="double" w:sz="6" w:space="0" w:color="333333"/>
            </w:tcBorders>
            <w:shd w:val="clear" w:color="auto" w:fill="auto"/>
            <w:tcMar>
              <w:left w:w="20" w:type="dxa"/>
              <w:right w:w="20" w:type="dxa"/>
            </w:tcMar>
            <w:vAlign w:val="bottom"/>
          </w:tcPr>
          <w:p w14:paraId="36CA2014"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2015" w14:textId="77777777" w:rsidR="00787570" w:rsidRDefault="00787570">
            <w:pPr>
              <w:rPr>
                <w:rFonts w:ascii="宋体"/>
              </w:rPr>
            </w:pPr>
          </w:p>
        </w:tc>
        <w:tc>
          <w:tcPr>
            <w:tcW w:w="0" w:type="auto"/>
            <w:gridSpan w:val="3"/>
            <w:tcBorders>
              <w:top w:val="double" w:sz="6" w:space="0" w:color="333333"/>
            </w:tcBorders>
            <w:shd w:val="clear" w:color="auto" w:fill="auto"/>
            <w:tcMar>
              <w:left w:w="20" w:type="dxa"/>
              <w:right w:w="20" w:type="dxa"/>
            </w:tcMar>
            <w:vAlign w:val="bottom"/>
          </w:tcPr>
          <w:p w14:paraId="36CA2016" w14:textId="77777777" w:rsidR="00787570" w:rsidRDefault="00787570">
            <w:pPr>
              <w:rPr>
                <w:rFonts w:ascii="宋体"/>
              </w:rPr>
            </w:pPr>
          </w:p>
        </w:tc>
        <w:tc>
          <w:tcPr>
            <w:tcW w:w="0" w:type="auto"/>
            <w:shd w:val="clear" w:color="auto" w:fill="auto"/>
          </w:tcPr>
          <w:p w14:paraId="36CA2017" w14:textId="77777777" w:rsidR="00787570" w:rsidRDefault="00787570">
            <w:pPr>
              <w:rPr>
                <w:rFonts w:ascii="宋体"/>
              </w:rPr>
            </w:pPr>
          </w:p>
        </w:tc>
        <w:tc>
          <w:tcPr>
            <w:tcW w:w="0" w:type="auto"/>
            <w:shd w:val="clear" w:color="auto" w:fill="auto"/>
          </w:tcPr>
          <w:p w14:paraId="36CA2018" w14:textId="77777777" w:rsidR="00787570" w:rsidRDefault="00787570">
            <w:pPr>
              <w:rPr>
                <w:rFonts w:ascii="宋体"/>
              </w:rPr>
            </w:pPr>
          </w:p>
        </w:tc>
        <w:tc>
          <w:tcPr>
            <w:tcW w:w="0" w:type="auto"/>
            <w:shd w:val="clear" w:color="auto" w:fill="auto"/>
          </w:tcPr>
          <w:p w14:paraId="36CA2019" w14:textId="77777777" w:rsidR="00787570" w:rsidRDefault="00787570">
            <w:pPr>
              <w:rPr>
                <w:rFonts w:ascii="宋体"/>
              </w:rPr>
            </w:pPr>
          </w:p>
        </w:tc>
        <w:tc>
          <w:tcPr>
            <w:tcW w:w="0" w:type="auto"/>
            <w:shd w:val="clear" w:color="auto" w:fill="auto"/>
          </w:tcPr>
          <w:p w14:paraId="36CA201A" w14:textId="77777777" w:rsidR="00787570" w:rsidRDefault="00787570">
            <w:pPr>
              <w:rPr>
                <w:rFonts w:ascii="宋体"/>
              </w:rPr>
            </w:pPr>
          </w:p>
        </w:tc>
        <w:tc>
          <w:tcPr>
            <w:tcW w:w="0" w:type="auto"/>
            <w:shd w:val="clear" w:color="auto" w:fill="auto"/>
          </w:tcPr>
          <w:p w14:paraId="36CA201B" w14:textId="77777777" w:rsidR="00787570" w:rsidRDefault="00787570">
            <w:pPr>
              <w:rPr>
                <w:rFonts w:ascii="宋体"/>
              </w:rPr>
            </w:pPr>
          </w:p>
        </w:tc>
        <w:tc>
          <w:tcPr>
            <w:tcW w:w="0" w:type="auto"/>
            <w:shd w:val="clear" w:color="auto" w:fill="auto"/>
          </w:tcPr>
          <w:p w14:paraId="36CA201C" w14:textId="77777777" w:rsidR="00787570" w:rsidRDefault="00787570">
            <w:pPr>
              <w:rPr>
                <w:rFonts w:ascii="宋体"/>
              </w:rPr>
            </w:pPr>
          </w:p>
        </w:tc>
      </w:tr>
      <w:tr w:rsidR="00787570" w14:paraId="36CA2029" w14:textId="77777777">
        <w:trPr>
          <w:jc w:val="center"/>
        </w:trPr>
        <w:tc>
          <w:tcPr>
            <w:tcW w:w="0" w:type="auto"/>
            <w:gridSpan w:val="3"/>
            <w:shd w:val="clear" w:color="auto" w:fill="auto"/>
            <w:tcMar>
              <w:top w:w="40" w:type="dxa"/>
              <w:left w:w="20" w:type="dxa"/>
              <w:bottom w:w="40" w:type="dxa"/>
              <w:right w:w="20" w:type="dxa"/>
            </w:tcMar>
          </w:tcPr>
          <w:p w14:paraId="36CA201E" w14:textId="77777777" w:rsidR="00787570" w:rsidRDefault="000D56E2">
            <w:pPr>
              <w:textAlignment w:val="top"/>
            </w:pPr>
            <w:r>
              <w:rPr>
                <w:rFonts w:ascii="Arial" w:eastAsia="宋体" w:hAnsi="Arial" w:cs="Arial"/>
                <w:color w:val="333333"/>
                <w:sz w:val="18"/>
                <w:szCs w:val="18"/>
              </w:rPr>
              <w:t xml:space="preserve">Supplemental disclosures of </w:t>
            </w:r>
            <w:r>
              <w:rPr>
                <w:rFonts w:ascii="Arial" w:eastAsia="宋体" w:hAnsi="Arial" w:cs="Arial"/>
                <w:color w:val="333333"/>
                <w:sz w:val="18"/>
                <w:szCs w:val="18"/>
              </w:rPr>
              <w:t>noncash investing activities and cash flow information:</w:t>
            </w:r>
          </w:p>
        </w:tc>
        <w:tc>
          <w:tcPr>
            <w:tcW w:w="0" w:type="auto"/>
            <w:gridSpan w:val="3"/>
            <w:shd w:val="clear" w:color="auto" w:fill="auto"/>
            <w:tcMar>
              <w:left w:w="20" w:type="dxa"/>
              <w:right w:w="20" w:type="dxa"/>
            </w:tcMar>
            <w:vAlign w:val="bottom"/>
          </w:tcPr>
          <w:p w14:paraId="36CA201F"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2020"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2021"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2022" w14:textId="77777777" w:rsidR="00787570" w:rsidRDefault="00787570">
            <w:pPr>
              <w:rPr>
                <w:rFonts w:ascii="宋体"/>
              </w:rPr>
            </w:pPr>
          </w:p>
        </w:tc>
        <w:tc>
          <w:tcPr>
            <w:tcW w:w="0" w:type="auto"/>
            <w:shd w:val="clear" w:color="auto" w:fill="auto"/>
          </w:tcPr>
          <w:p w14:paraId="36CA2023" w14:textId="77777777" w:rsidR="00787570" w:rsidRDefault="00787570">
            <w:pPr>
              <w:rPr>
                <w:rFonts w:ascii="宋体"/>
              </w:rPr>
            </w:pPr>
          </w:p>
        </w:tc>
        <w:tc>
          <w:tcPr>
            <w:tcW w:w="0" w:type="auto"/>
            <w:shd w:val="clear" w:color="auto" w:fill="auto"/>
          </w:tcPr>
          <w:p w14:paraId="36CA2024" w14:textId="77777777" w:rsidR="00787570" w:rsidRDefault="00787570">
            <w:pPr>
              <w:rPr>
                <w:rFonts w:ascii="宋体"/>
              </w:rPr>
            </w:pPr>
          </w:p>
        </w:tc>
        <w:tc>
          <w:tcPr>
            <w:tcW w:w="0" w:type="auto"/>
            <w:shd w:val="clear" w:color="auto" w:fill="auto"/>
          </w:tcPr>
          <w:p w14:paraId="36CA2025" w14:textId="77777777" w:rsidR="00787570" w:rsidRDefault="00787570">
            <w:pPr>
              <w:rPr>
                <w:rFonts w:ascii="宋体"/>
              </w:rPr>
            </w:pPr>
          </w:p>
        </w:tc>
        <w:tc>
          <w:tcPr>
            <w:tcW w:w="0" w:type="auto"/>
            <w:shd w:val="clear" w:color="auto" w:fill="auto"/>
          </w:tcPr>
          <w:p w14:paraId="36CA2026" w14:textId="77777777" w:rsidR="00787570" w:rsidRDefault="00787570">
            <w:pPr>
              <w:rPr>
                <w:rFonts w:ascii="宋体"/>
              </w:rPr>
            </w:pPr>
          </w:p>
        </w:tc>
        <w:tc>
          <w:tcPr>
            <w:tcW w:w="0" w:type="auto"/>
            <w:shd w:val="clear" w:color="auto" w:fill="auto"/>
          </w:tcPr>
          <w:p w14:paraId="36CA2027" w14:textId="77777777" w:rsidR="00787570" w:rsidRDefault="00787570">
            <w:pPr>
              <w:rPr>
                <w:rFonts w:ascii="宋体"/>
              </w:rPr>
            </w:pPr>
          </w:p>
        </w:tc>
        <w:tc>
          <w:tcPr>
            <w:tcW w:w="0" w:type="auto"/>
            <w:shd w:val="clear" w:color="auto" w:fill="auto"/>
          </w:tcPr>
          <w:p w14:paraId="36CA2028" w14:textId="77777777" w:rsidR="00787570" w:rsidRDefault="00787570">
            <w:pPr>
              <w:rPr>
                <w:rFonts w:ascii="宋体"/>
              </w:rPr>
            </w:pPr>
          </w:p>
        </w:tc>
      </w:tr>
      <w:tr w:rsidR="00787570" w14:paraId="36CA2039" w14:textId="77777777">
        <w:trPr>
          <w:jc w:val="center"/>
        </w:trPr>
        <w:tc>
          <w:tcPr>
            <w:tcW w:w="0" w:type="auto"/>
            <w:gridSpan w:val="3"/>
            <w:shd w:val="clear" w:color="auto" w:fill="auto"/>
            <w:tcMar>
              <w:top w:w="40" w:type="dxa"/>
              <w:left w:w="195" w:type="dxa"/>
              <w:bottom w:w="40" w:type="dxa"/>
              <w:right w:w="20" w:type="dxa"/>
            </w:tcMar>
          </w:tcPr>
          <w:p w14:paraId="36CA202A" w14:textId="77777777" w:rsidR="00787570" w:rsidRDefault="000D56E2">
            <w:pPr>
              <w:textAlignment w:val="top"/>
            </w:pPr>
            <w:r>
              <w:rPr>
                <w:rFonts w:ascii="Arial" w:eastAsia="宋体" w:hAnsi="Arial" w:cs="Arial"/>
                <w:color w:val="333333"/>
                <w:sz w:val="18"/>
                <w:szCs w:val="18"/>
              </w:rPr>
              <w:t>Acquisition of property, plant, and equipment included in accounts payable and accrued liabilities</w:t>
            </w:r>
          </w:p>
        </w:tc>
        <w:tc>
          <w:tcPr>
            <w:tcW w:w="0" w:type="auto"/>
            <w:gridSpan w:val="3"/>
            <w:shd w:val="clear" w:color="auto" w:fill="auto"/>
            <w:tcMar>
              <w:left w:w="20" w:type="dxa"/>
              <w:right w:w="20" w:type="dxa"/>
            </w:tcMar>
            <w:vAlign w:val="bottom"/>
          </w:tcPr>
          <w:p w14:paraId="36CA202B" w14:textId="77777777" w:rsidR="00787570" w:rsidRDefault="00787570">
            <w:pPr>
              <w:rPr>
                <w:rFonts w:ascii="宋体"/>
              </w:rPr>
            </w:pPr>
          </w:p>
        </w:tc>
        <w:tc>
          <w:tcPr>
            <w:tcW w:w="0" w:type="auto"/>
            <w:shd w:val="clear" w:color="auto" w:fill="auto"/>
            <w:tcMar>
              <w:top w:w="40" w:type="dxa"/>
              <w:left w:w="20" w:type="dxa"/>
              <w:bottom w:w="40" w:type="dxa"/>
            </w:tcMar>
            <w:vAlign w:val="bottom"/>
          </w:tcPr>
          <w:p w14:paraId="36CA202C" w14:textId="77777777" w:rsidR="00787570" w:rsidRDefault="000D56E2">
            <w:pPr>
              <w:textAlignment w:val="bottom"/>
            </w:pPr>
            <w:r>
              <w:rPr>
                <w:rFonts w:ascii="Arial" w:eastAsia="宋体" w:hAnsi="Arial" w:cs="Arial"/>
                <w:color w:val="0071C5"/>
                <w:sz w:val="18"/>
                <w:szCs w:val="18"/>
              </w:rPr>
              <w:t>$</w:t>
            </w:r>
          </w:p>
        </w:tc>
        <w:tc>
          <w:tcPr>
            <w:tcW w:w="0" w:type="auto"/>
            <w:shd w:val="clear" w:color="auto" w:fill="auto"/>
            <w:tcMar>
              <w:top w:w="40" w:type="dxa"/>
              <w:bottom w:w="40" w:type="dxa"/>
              <w:right w:w="0" w:type="dxa"/>
            </w:tcMar>
            <w:vAlign w:val="bottom"/>
          </w:tcPr>
          <w:p w14:paraId="36CA202D" w14:textId="77777777" w:rsidR="00787570" w:rsidRDefault="000D56E2">
            <w:pPr>
              <w:jc w:val="right"/>
              <w:textAlignment w:val="bottom"/>
            </w:pPr>
            <w:r>
              <w:rPr>
                <w:rFonts w:ascii="Arial" w:eastAsia="宋体" w:hAnsi="Arial" w:cs="Arial"/>
                <w:color w:val="0071C5"/>
                <w:sz w:val="18"/>
                <w:szCs w:val="18"/>
              </w:rPr>
              <w:t>2,752 </w:t>
            </w:r>
          </w:p>
        </w:tc>
        <w:tc>
          <w:tcPr>
            <w:tcW w:w="0" w:type="auto"/>
            <w:shd w:val="clear" w:color="auto" w:fill="auto"/>
            <w:tcMar>
              <w:top w:w="40" w:type="dxa"/>
              <w:bottom w:w="40" w:type="dxa"/>
              <w:right w:w="20" w:type="dxa"/>
            </w:tcMar>
            <w:vAlign w:val="bottom"/>
          </w:tcPr>
          <w:p w14:paraId="36CA202E"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202F" w14:textId="77777777" w:rsidR="00787570" w:rsidRDefault="00787570">
            <w:pPr>
              <w:rPr>
                <w:rFonts w:ascii="宋体"/>
              </w:rPr>
            </w:pPr>
          </w:p>
        </w:tc>
        <w:tc>
          <w:tcPr>
            <w:tcW w:w="0" w:type="auto"/>
            <w:shd w:val="clear" w:color="auto" w:fill="auto"/>
            <w:tcMar>
              <w:top w:w="40" w:type="dxa"/>
              <w:left w:w="20" w:type="dxa"/>
              <w:bottom w:w="40" w:type="dxa"/>
            </w:tcMar>
            <w:vAlign w:val="bottom"/>
          </w:tcPr>
          <w:p w14:paraId="36CA2030" w14:textId="77777777" w:rsidR="00787570" w:rsidRDefault="000D56E2">
            <w:pPr>
              <w:textAlignment w:val="bottom"/>
            </w:pPr>
            <w:r>
              <w:rPr>
                <w:rFonts w:ascii="Arial" w:eastAsia="宋体" w:hAnsi="Arial" w:cs="Arial"/>
                <w:color w:val="333333"/>
                <w:sz w:val="18"/>
                <w:szCs w:val="18"/>
              </w:rPr>
              <w:t>$</w:t>
            </w:r>
          </w:p>
        </w:tc>
        <w:tc>
          <w:tcPr>
            <w:tcW w:w="0" w:type="auto"/>
            <w:shd w:val="clear" w:color="auto" w:fill="auto"/>
            <w:tcMar>
              <w:top w:w="40" w:type="dxa"/>
              <w:bottom w:w="40" w:type="dxa"/>
              <w:right w:w="0" w:type="dxa"/>
            </w:tcMar>
            <w:vAlign w:val="bottom"/>
          </w:tcPr>
          <w:p w14:paraId="36CA2031" w14:textId="77777777" w:rsidR="00787570" w:rsidRDefault="000D56E2">
            <w:pPr>
              <w:jc w:val="right"/>
              <w:textAlignment w:val="bottom"/>
            </w:pPr>
            <w:r>
              <w:rPr>
                <w:rFonts w:ascii="Arial" w:eastAsia="宋体" w:hAnsi="Arial" w:cs="Arial"/>
                <w:color w:val="333333"/>
                <w:sz w:val="18"/>
                <w:szCs w:val="18"/>
              </w:rPr>
              <w:t>2,376 </w:t>
            </w:r>
          </w:p>
        </w:tc>
        <w:tc>
          <w:tcPr>
            <w:tcW w:w="0" w:type="auto"/>
            <w:shd w:val="clear" w:color="auto" w:fill="auto"/>
            <w:tcMar>
              <w:top w:w="40" w:type="dxa"/>
              <w:bottom w:w="40" w:type="dxa"/>
              <w:right w:w="20" w:type="dxa"/>
            </w:tcMar>
            <w:vAlign w:val="bottom"/>
          </w:tcPr>
          <w:p w14:paraId="36CA2032" w14:textId="77777777" w:rsidR="00787570" w:rsidRDefault="00787570">
            <w:pPr>
              <w:jc w:val="right"/>
              <w:rPr>
                <w:rFonts w:ascii="宋体"/>
              </w:rPr>
            </w:pPr>
          </w:p>
        </w:tc>
        <w:tc>
          <w:tcPr>
            <w:tcW w:w="0" w:type="auto"/>
            <w:shd w:val="clear" w:color="auto" w:fill="auto"/>
          </w:tcPr>
          <w:p w14:paraId="36CA2033" w14:textId="77777777" w:rsidR="00787570" w:rsidRDefault="00787570">
            <w:pPr>
              <w:rPr>
                <w:rFonts w:ascii="宋体"/>
              </w:rPr>
            </w:pPr>
          </w:p>
        </w:tc>
        <w:tc>
          <w:tcPr>
            <w:tcW w:w="0" w:type="auto"/>
            <w:shd w:val="clear" w:color="auto" w:fill="auto"/>
          </w:tcPr>
          <w:p w14:paraId="36CA2034" w14:textId="77777777" w:rsidR="00787570" w:rsidRDefault="00787570">
            <w:pPr>
              <w:rPr>
                <w:rFonts w:ascii="宋体"/>
              </w:rPr>
            </w:pPr>
          </w:p>
        </w:tc>
        <w:tc>
          <w:tcPr>
            <w:tcW w:w="0" w:type="auto"/>
            <w:shd w:val="clear" w:color="auto" w:fill="auto"/>
          </w:tcPr>
          <w:p w14:paraId="36CA2035" w14:textId="77777777" w:rsidR="00787570" w:rsidRDefault="00787570">
            <w:pPr>
              <w:rPr>
                <w:rFonts w:ascii="宋体"/>
              </w:rPr>
            </w:pPr>
          </w:p>
        </w:tc>
        <w:tc>
          <w:tcPr>
            <w:tcW w:w="0" w:type="auto"/>
            <w:shd w:val="clear" w:color="auto" w:fill="auto"/>
          </w:tcPr>
          <w:p w14:paraId="36CA2036" w14:textId="77777777" w:rsidR="00787570" w:rsidRDefault="00787570">
            <w:pPr>
              <w:rPr>
                <w:rFonts w:ascii="宋体"/>
              </w:rPr>
            </w:pPr>
          </w:p>
        </w:tc>
        <w:tc>
          <w:tcPr>
            <w:tcW w:w="0" w:type="auto"/>
            <w:shd w:val="clear" w:color="auto" w:fill="auto"/>
          </w:tcPr>
          <w:p w14:paraId="36CA2037" w14:textId="77777777" w:rsidR="00787570" w:rsidRDefault="00787570">
            <w:pPr>
              <w:rPr>
                <w:rFonts w:ascii="宋体"/>
              </w:rPr>
            </w:pPr>
          </w:p>
        </w:tc>
        <w:tc>
          <w:tcPr>
            <w:tcW w:w="0" w:type="auto"/>
            <w:shd w:val="clear" w:color="auto" w:fill="auto"/>
          </w:tcPr>
          <w:p w14:paraId="36CA2038" w14:textId="77777777" w:rsidR="00787570" w:rsidRDefault="00787570">
            <w:pPr>
              <w:rPr>
                <w:rFonts w:ascii="宋体"/>
              </w:rPr>
            </w:pPr>
          </w:p>
        </w:tc>
      </w:tr>
      <w:tr w:rsidR="00787570" w14:paraId="36CA2045" w14:textId="77777777">
        <w:trPr>
          <w:jc w:val="center"/>
          <w:hidden/>
        </w:trPr>
        <w:tc>
          <w:tcPr>
            <w:tcW w:w="0" w:type="auto"/>
            <w:gridSpan w:val="3"/>
            <w:shd w:val="clear" w:color="auto" w:fill="auto"/>
          </w:tcPr>
          <w:p w14:paraId="36CA203A" w14:textId="77777777" w:rsidR="00787570" w:rsidRDefault="00787570">
            <w:pPr>
              <w:rPr>
                <w:rFonts w:ascii="宋体"/>
                <w:vanish/>
              </w:rPr>
            </w:pPr>
          </w:p>
        </w:tc>
        <w:tc>
          <w:tcPr>
            <w:tcW w:w="0" w:type="auto"/>
            <w:gridSpan w:val="3"/>
            <w:shd w:val="clear" w:color="auto" w:fill="auto"/>
          </w:tcPr>
          <w:p w14:paraId="36CA203B" w14:textId="77777777" w:rsidR="00787570" w:rsidRDefault="00787570">
            <w:pPr>
              <w:rPr>
                <w:rFonts w:ascii="宋体"/>
                <w:vanish/>
              </w:rPr>
            </w:pPr>
          </w:p>
        </w:tc>
        <w:tc>
          <w:tcPr>
            <w:tcW w:w="0" w:type="auto"/>
            <w:gridSpan w:val="3"/>
            <w:shd w:val="clear" w:color="auto" w:fill="auto"/>
          </w:tcPr>
          <w:p w14:paraId="36CA203C" w14:textId="77777777" w:rsidR="00787570" w:rsidRDefault="00787570">
            <w:pPr>
              <w:rPr>
                <w:rFonts w:ascii="宋体"/>
                <w:vanish/>
              </w:rPr>
            </w:pPr>
          </w:p>
        </w:tc>
        <w:tc>
          <w:tcPr>
            <w:tcW w:w="0" w:type="auto"/>
            <w:gridSpan w:val="3"/>
            <w:shd w:val="clear" w:color="auto" w:fill="auto"/>
          </w:tcPr>
          <w:p w14:paraId="36CA203D" w14:textId="77777777" w:rsidR="00787570" w:rsidRDefault="00787570">
            <w:pPr>
              <w:rPr>
                <w:rFonts w:ascii="宋体"/>
                <w:vanish/>
              </w:rPr>
            </w:pPr>
          </w:p>
        </w:tc>
        <w:tc>
          <w:tcPr>
            <w:tcW w:w="0" w:type="auto"/>
            <w:gridSpan w:val="3"/>
            <w:shd w:val="clear" w:color="auto" w:fill="auto"/>
          </w:tcPr>
          <w:p w14:paraId="36CA203E" w14:textId="77777777" w:rsidR="00787570" w:rsidRDefault="00787570">
            <w:pPr>
              <w:rPr>
                <w:rFonts w:ascii="宋体"/>
                <w:vanish/>
              </w:rPr>
            </w:pPr>
          </w:p>
        </w:tc>
        <w:tc>
          <w:tcPr>
            <w:tcW w:w="0" w:type="auto"/>
            <w:shd w:val="clear" w:color="auto" w:fill="auto"/>
          </w:tcPr>
          <w:p w14:paraId="36CA203F" w14:textId="77777777" w:rsidR="00787570" w:rsidRDefault="00787570">
            <w:pPr>
              <w:rPr>
                <w:rFonts w:ascii="宋体"/>
              </w:rPr>
            </w:pPr>
          </w:p>
        </w:tc>
        <w:tc>
          <w:tcPr>
            <w:tcW w:w="0" w:type="auto"/>
            <w:shd w:val="clear" w:color="auto" w:fill="auto"/>
          </w:tcPr>
          <w:p w14:paraId="36CA2040" w14:textId="77777777" w:rsidR="00787570" w:rsidRDefault="00787570">
            <w:pPr>
              <w:rPr>
                <w:rFonts w:ascii="宋体"/>
              </w:rPr>
            </w:pPr>
          </w:p>
        </w:tc>
        <w:tc>
          <w:tcPr>
            <w:tcW w:w="0" w:type="auto"/>
            <w:shd w:val="clear" w:color="auto" w:fill="auto"/>
          </w:tcPr>
          <w:p w14:paraId="36CA2041" w14:textId="77777777" w:rsidR="00787570" w:rsidRDefault="00787570">
            <w:pPr>
              <w:rPr>
                <w:rFonts w:ascii="宋体"/>
              </w:rPr>
            </w:pPr>
          </w:p>
        </w:tc>
        <w:tc>
          <w:tcPr>
            <w:tcW w:w="0" w:type="auto"/>
            <w:shd w:val="clear" w:color="auto" w:fill="auto"/>
          </w:tcPr>
          <w:p w14:paraId="36CA2042" w14:textId="77777777" w:rsidR="00787570" w:rsidRDefault="00787570">
            <w:pPr>
              <w:rPr>
                <w:rFonts w:ascii="宋体"/>
              </w:rPr>
            </w:pPr>
          </w:p>
        </w:tc>
        <w:tc>
          <w:tcPr>
            <w:tcW w:w="0" w:type="auto"/>
            <w:shd w:val="clear" w:color="auto" w:fill="auto"/>
          </w:tcPr>
          <w:p w14:paraId="36CA2043" w14:textId="77777777" w:rsidR="00787570" w:rsidRDefault="00787570">
            <w:pPr>
              <w:rPr>
                <w:rFonts w:ascii="宋体"/>
              </w:rPr>
            </w:pPr>
          </w:p>
        </w:tc>
        <w:tc>
          <w:tcPr>
            <w:tcW w:w="0" w:type="auto"/>
            <w:shd w:val="clear" w:color="auto" w:fill="auto"/>
          </w:tcPr>
          <w:p w14:paraId="36CA2044" w14:textId="77777777" w:rsidR="00787570" w:rsidRDefault="00787570">
            <w:pPr>
              <w:rPr>
                <w:rFonts w:ascii="宋体"/>
              </w:rPr>
            </w:pPr>
          </w:p>
        </w:tc>
      </w:tr>
      <w:tr w:rsidR="00787570" w14:paraId="36CA2051" w14:textId="77777777">
        <w:trPr>
          <w:jc w:val="center"/>
          <w:hidden/>
        </w:trPr>
        <w:tc>
          <w:tcPr>
            <w:tcW w:w="0" w:type="auto"/>
            <w:gridSpan w:val="3"/>
            <w:shd w:val="clear" w:color="auto" w:fill="auto"/>
          </w:tcPr>
          <w:p w14:paraId="36CA2046" w14:textId="77777777" w:rsidR="00787570" w:rsidRDefault="00787570">
            <w:pPr>
              <w:rPr>
                <w:rFonts w:ascii="宋体"/>
                <w:vanish/>
              </w:rPr>
            </w:pPr>
          </w:p>
        </w:tc>
        <w:tc>
          <w:tcPr>
            <w:tcW w:w="0" w:type="auto"/>
            <w:gridSpan w:val="3"/>
            <w:shd w:val="clear" w:color="auto" w:fill="auto"/>
          </w:tcPr>
          <w:p w14:paraId="36CA2047" w14:textId="77777777" w:rsidR="00787570" w:rsidRDefault="00787570">
            <w:pPr>
              <w:rPr>
                <w:rFonts w:ascii="宋体"/>
                <w:vanish/>
              </w:rPr>
            </w:pPr>
          </w:p>
        </w:tc>
        <w:tc>
          <w:tcPr>
            <w:tcW w:w="0" w:type="auto"/>
            <w:gridSpan w:val="3"/>
            <w:shd w:val="clear" w:color="auto" w:fill="auto"/>
          </w:tcPr>
          <w:p w14:paraId="36CA2048" w14:textId="77777777" w:rsidR="00787570" w:rsidRDefault="00787570">
            <w:pPr>
              <w:rPr>
                <w:rFonts w:ascii="宋体"/>
                <w:vanish/>
              </w:rPr>
            </w:pPr>
          </w:p>
        </w:tc>
        <w:tc>
          <w:tcPr>
            <w:tcW w:w="0" w:type="auto"/>
            <w:gridSpan w:val="3"/>
            <w:shd w:val="clear" w:color="auto" w:fill="auto"/>
          </w:tcPr>
          <w:p w14:paraId="36CA2049" w14:textId="77777777" w:rsidR="00787570" w:rsidRDefault="00787570">
            <w:pPr>
              <w:rPr>
                <w:rFonts w:ascii="宋体"/>
                <w:vanish/>
              </w:rPr>
            </w:pPr>
          </w:p>
        </w:tc>
        <w:tc>
          <w:tcPr>
            <w:tcW w:w="0" w:type="auto"/>
            <w:gridSpan w:val="3"/>
            <w:shd w:val="clear" w:color="auto" w:fill="auto"/>
          </w:tcPr>
          <w:p w14:paraId="36CA204A" w14:textId="77777777" w:rsidR="00787570" w:rsidRDefault="00787570">
            <w:pPr>
              <w:rPr>
                <w:rFonts w:ascii="宋体"/>
                <w:vanish/>
              </w:rPr>
            </w:pPr>
          </w:p>
        </w:tc>
        <w:tc>
          <w:tcPr>
            <w:tcW w:w="0" w:type="auto"/>
            <w:shd w:val="clear" w:color="auto" w:fill="auto"/>
          </w:tcPr>
          <w:p w14:paraId="36CA204B" w14:textId="77777777" w:rsidR="00787570" w:rsidRDefault="00787570">
            <w:pPr>
              <w:rPr>
                <w:rFonts w:ascii="宋体"/>
              </w:rPr>
            </w:pPr>
          </w:p>
        </w:tc>
        <w:tc>
          <w:tcPr>
            <w:tcW w:w="0" w:type="auto"/>
            <w:shd w:val="clear" w:color="auto" w:fill="auto"/>
          </w:tcPr>
          <w:p w14:paraId="36CA204C" w14:textId="77777777" w:rsidR="00787570" w:rsidRDefault="00787570">
            <w:pPr>
              <w:rPr>
                <w:rFonts w:ascii="宋体"/>
              </w:rPr>
            </w:pPr>
          </w:p>
        </w:tc>
        <w:tc>
          <w:tcPr>
            <w:tcW w:w="0" w:type="auto"/>
            <w:shd w:val="clear" w:color="auto" w:fill="auto"/>
          </w:tcPr>
          <w:p w14:paraId="36CA204D" w14:textId="77777777" w:rsidR="00787570" w:rsidRDefault="00787570">
            <w:pPr>
              <w:rPr>
                <w:rFonts w:ascii="宋体"/>
              </w:rPr>
            </w:pPr>
          </w:p>
        </w:tc>
        <w:tc>
          <w:tcPr>
            <w:tcW w:w="0" w:type="auto"/>
            <w:shd w:val="clear" w:color="auto" w:fill="auto"/>
          </w:tcPr>
          <w:p w14:paraId="36CA204E" w14:textId="77777777" w:rsidR="00787570" w:rsidRDefault="00787570">
            <w:pPr>
              <w:rPr>
                <w:rFonts w:ascii="宋体"/>
              </w:rPr>
            </w:pPr>
          </w:p>
        </w:tc>
        <w:tc>
          <w:tcPr>
            <w:tcW w:w="0" w:type="auto"/>
            <w:shd w:val="clear" w:color="auto" w:fill="auto"/>
          </w:tcPr>
          <w:p w14:paraId="36CA204F" w14:textId="77777777" w:rsidR="00787570" w:rsidRDefault="00787570">
            <w:pPr>
              <w:rPr>
                <w:rFonts w:ascii="宋体"/>
              </w:rPr>
            </w:pPr>
          </w:p>
        </w:tc>
        <w:tc>
          <w:tcPr>
            <w:tcW w:w="0" w:type="auto"/>
            <w:shd w:val="clear" w:color="auto" w:fill="auto"/>
          </w:tcPr>
          <w:p w14:paraId="36CA2050" w14:textId="77777777" w:rsidR="00787570" w:rsidRDefault="00787570">
            <w:pPr>
              <w:rPr>
                <w:rFonts w:ascii="宋体"/>
              </w:rPr>
            </w:pPr>
          </w:p>
        </w:tc>
      </w:tr>
      <w:tr w:rsidR="00787570" w14:paraId="36CA205D" w14:textId="77777777">
        <w:trPr>
          <w:jc w:val="center"/>
        </w:trPr>
        <w:tc>
          <w:tcPr>
            <w:tcW w:w="0" w:type="auto"/>
            <w:gridSpan w:val="3"/>
            <w:shd w:val="clear" w:color="auto" w:fill="auto"/>
            <w:tcMar>
              <w:top w:w="40" w:type="dxa"/>
              <w:left w:w="195" w:type="dxa"/>
              <w:bottom w:w="40" w:type="dxa"/>
              <w:right w:w="20" w:type="dxa"/>
            </w:tcMar>
          </w:tcPr>
          <w:p w14:paraId="36CA2052" w14:textId="77777777" w:rsidR="00787570" w:rsidRDefault="000D56E2">
            <w:pPr>
              <w:textAlignment w:val="top"/>
            </w:pPr>
            <w:r>
              <w:rPr>
                <w:rFonts w:ascii="Arial" w:eastAsia="宋体" w:hAnsi="Arial" w:cs="Arial"/>
                <w:color w:val="333333"/>
                <w:sz w:val="18"/>
                <w:szCs w:val="18"/>
              </w:rPr>
              <w:t>Cash paid during the period for:</w:t>
            </w:r>
          </w:p>
        </w:tc>
        <w:tc>
          <w:tcPr>
            <w:tcW w:w="0" w:type="auto"/>
            <w:gridSpan w:val="3"/>
            <w:shd w:val="clear" w:color="auto" w:fill="auto"/>
            <w:tcMar>
              <w:left w:w="20" w:type="dxa"/>
              <w:right w:w="20" w:type="dxa"/>
            </w:tcMar>
            <w:vAlign w:val="bottom"/>
          </w:tcPr>
          <w:p w14:paraId="36CA2053"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2054"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2055"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2056" w14:textId="77777777" w:rsidR="00787570" w:rsidRDefault="00787570">
            <w:pPr>
              <w:rPr>
                <w:rFonts w:ascii="宋体"/>
              </w:rPr>
            </w:pPr>
          </w:p>
        </w:tc>
        <w:tc>
          <w:tcPr>
            <w:tcW w:w="0" w:type="auto"/>
            <w:shd w:val="clear" w:color="auto" w:fill="auto"/>
          </w:tcPr>
          <w:p w14:paraId="36CA2057" w14:textId="77777777" w:rsidR="00787570" w:rsidRDefault="00787570">
            <w:pPr>
              <w:rPr>
                <w:rFonts w:ascii="宋体"/>
              </w:rPr>
            </w:pPr>
          </w:p>
        </w:tc>
        <w:tc>
          <w:tcPr>
            <w:tcW w:w="0" w:type="auto"/>
            <w:shd w:val="clear" w:color="auto" w:fill="auto"/>
          </w:tcPr>
          <w:p w14:paraId="36CA2058" w14:textId="77777777" w:rsidR="00787570" w:rsidRDefault="00787570">
            <w:pPr>
              <w:rPr>
                <w:rFonts w:ascii="宋体"/>
              </w:rPr>
            </w:pPr>
          </w:p>
        </w:tc>
        <w:tc>
          <w:tcPr>
            <w:tcW w:w="0" w:type="auto"/>
            <w:shd w:val="clear" w:color="auto" w:fill="auto"/>
          </w:tcPr>
          <w:p w14:paraId="36CA2059" w14:textId="77777777" w:rsidR="00787570" w:rsidRDefault="00787570">
            <w:pPr>
              <w:rPr>
                <w:rFonts w:ascii="宋体"/>
              </w:rPr>
            </w:pPr>
          </w:p>
        </w:tc>
        <w:tc>
          <w:tcPr>
            <w:tcW w:w="0" w:type="auto"/>
            <w:shd w:val="clear" w:color="auto" w:fill="auto"/>
          </w:tcPr>
          <w:p w14:paraId="36CA205A" w14:textId="77777777" w:rsidR="00787570" w:rsidRDefault="00787570">
            <w:pPr>
              <w:rPr>
                <w:rFonts w:ascii="宋体"/>
              </w:rPr>
            </w:pPr>
          </w:p>
        </w:tc>
        <w:tc>
          <w:tcPr>
            <w:tcW w:w="0" w:type="auto"/>
            <w:shd w:val="clear" w:color="auto" w:fill="auto"/>
          </w:tcPr>
          <w:p w14:paraId="36CA205B" w14:textId="77777777" w:rsidR="00787570" w:rsidRDefault="00787570">
            <w:pPr>
              <w:rPr>
                <w:rFonts w:ascii="宋体"/>
              </w:rPr>
            </w:pPr>
          </w:p>
        </w:tc>
        <w:tc>
          <w:tcPr>
            <w:tcW w:w="0" w:type="auto"/>
            <w:shd w:val="clear" w:color="auto" w:fill="auto"/>
          </w:tcPr>
          <w:p w14:paraId="36CA205C" w14:textId="77777777" w:rsidR="00787570" w:rsidRDefault="00787570">
            <w:pPr>
              <w:rPr>
                <w:rFonts w:ascii="宋体"/>
              </w:rPr>
            </w:pPr>
          </w:p>
        </w:tc>
      </w:tr>
      <w:tr w:rsidR="00787570" w14:paraId="36CA206D" w14:textId="77777777">
        <w:trPr>
          <w:jc w:val="center"/>
        </w:trPr>
        <w:tc>
          <w:tcPr>
            <w:tcW w:w="0" w:type="auto"/>
            <w:gridSpan w:val="3"/>
            <w:shd w:val="clear" w:color="auto" w:fill="auto"/>
            <w:tcMar>
              <w:top w:w="40" w:type="dxa"/>
              <w:left w:w="420" w:type="dxa"/>
              <w:bottom w:w="40" w:type="dxa"/>
              <w:right w:w="20" w:type="dxa"/>
            </w:tcMar>
          </w:tcPr>
          <w:p w14:paraId="36CA205E" w14:textId="77777777" w:rsidR="00787570" w:rsidRDefault="000D56E2">
            <w:pPr>
              <w:textAlignment w:val="top"/>
            </w:pPr>
            <w:r>
              <w:rPr>
                <w:rFonts w:ascii="Arial" w:eastAsia="宋体" w:hAnsi="Arial" w:cs="Arial"/>
                <w:color w:val="333333"/>
                <w:sz w:val="18"/>
                <w:szCs w:val="18"/>
              </w:rPr>
              <w:t>Interest, net of capitalized interest</w:t>
            </w:r>
          </w:p>
        </w:tc>
        <w:tc>
          <w:tcPr>
            <w:tcW w:w="0" w:type="auto"/>
            <w:gridSpan w:val="3"/>
            <w:shd w:val="clear" w:color="auto" w:fill="auto"/>
            <w:tcMar>
              <w:left w:w="20" w:type="dxa"/>
              <w:right w:w="20" w:type="dxa"/>
            </w:tcMar>
            <w:vAlign w:val="bottom"/>
          </w:tcPr>
          <w:p w14:paraId="36CA205F" w14:textId="77777777" w:rsidR="00787570" w:rsidRDefault="00787570">
            <w:pPr>
              <w:rPr>
                <w:rFonts w:ascii="宋体"/>
              </w:rPr>
            </w:pPr>
          </w:p>
        </w:tc>
        <w:tc>
          <w:tcPr>
            <w:tcW w:w="0" w:type="auto"/>
            <w:shd w:val="clear" w:color="auto" w:fill="auto"/>
            <w:tcMar>
              <w:top w:w="40" w:type="dxa"/>
              <w:left w:w="20" w:type="dxa"/>
              <w:bottom w:w="40" w:type="dxa"/>
            </w:tcMar>
            <w:vAlign w:val="bottom"/>
          </w:tcPr>
          <w:p w14:paraId="36CA2060" w14:textId="77777777" w:rsidR="00787570" w:rsidRDefault="000D56E2">
            <w:pPr>
              <w:textAlignment w:val="bottom"/>
            </w:pPr>
            <w:r>
              <w:rPr>
                <w:rFonts w:ascii="Arial" w:eastAsia="宋体" w:hAnsi="Arial" w:cs="Arial"/>
                <w:color w:val="0071C5"/>
                <w:sz w:val="18"/>
                <w:szCs w:val="18"/>
              </w:rPr>
              <w:t>$</w:t>
            </w:r>
          </w:p>
        </w:tc>
        <w:tc>
          <w:tcPr>
            <w:tcW w:w="0" w:type="auto"/>
            <w:shd w:val="clear" w:color="auto" w:fill="auto"/>
            <w:tcMar>
              <w:top w:w="40" w:type="dxa"/>
              <w:bottom w:w="40" w:type="dxa"/>
              <w:right w:w="0" w:type="dxa"/>
            </w:tcMar>
            <w:vAlign w:val="bottom"/>
          </w:tcPr>
          <w:p w14:paraId="36CA2061" w14:textId="77777777" w:rsidR="00787570" w:rsidRDefault="000D56E2">
            <w:pPr>
              <w:jc w:val="right"/>
              <w:textAlignment w:val="bottom"/>
            </w:pPr>
            <w:r>
              <w:rPr>
                <w:rFonts w:ascii="Arial" w:eastAsia="宋体" w:hAnsi="Arial" w:cs="Arial"/>
                <w:color w:val="0071C5"/>
                <w:sz w:val="18"/>
                <w:szCs w:val="18"/>
              </w:rPr>
              <w:t>459 </w:t>
            </w:r>
          </w:p>
        </w:tc>
        <w:tc>
          <w:tcPr>
            <w:tcW w:w="0" w:type="auto"/>
            <w:shd w:val="clear" w:color="auto" w:fill="auto"/>
            <w:tcMar>
              <w:top w:w="40" w:type="dxa"/>
              <w:bottom w:w="40" w:type="dxa"/>
              <w:right w:w="20" w:type="dxa"/>
            </w:tcMar>
            <w:vAlign w:val="bottom"/>
          </w:tcPr>
          <w:p w14:paraId="36CA2062"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2063" w14:textId="77777777" w:rsidR="00787570" w:rsidRDefault="00787570">
            <w:pPr>
              <w:rPr>
                <w:rFonts w:ascii="宋体"/>
              </w:rPr>
            </w:pPr>
          </w:p>
        </w:tc>
        <w:tc>
          <w:tcPr>
            <w:tcW w:w="0" w:type="auto"/>
            <w:shd w:val="clear" w:color="auto" w:fill="auto"/>
            <w:tcMar>
              <w:top w:w="40" w:type="dxa"/>
              <w:left w:w="20" w:type="dxa"/>
              <w:bottom w:w="40" w:type="dxa"/>
            </w:tcMar>
            <w:vAlign w:val="bottom"/>
          </w:tcPr>
          <w:p w14:paraId="36CA2064" w14:textId="77777777" w:rsidR="00787570" w:rsidRDefault="000D56E2">
            <w:pPr>
              <w:textAlignment w:val="bottom"/>
            </w:pPr>
            <w:r>
              <w:rPr>
                <w:rFonts w:ascii="Arial" w:eastAsia="宋体" w:hAnsi="Arial" w:cs="Arial"/>
                <w:color w:val="333333"/>
                <w:sz w:val="18"/>
                <w:szCs w:val="18"/>
              </w:rPr>
              <w:t>$</w:t>
            </w:r>
          </w:p>
        </w:tc>
        <w:tc>
          <w:tcPr>
            <w:tcW w:w="0" w:type="auto"/>
            <w:shd w:val="clear" w:color="auto" w:fill="auto"/>
            <w:tcMar>
              <w:top w:w="40" w:type="dxa"/>
              <w:bottom w:w="40" w:type="dxa"/>
              <w:right w:w="0" w:type="dxa"/>
            </w:tcMar>
            <w:vAlign w:val="bottom"/>
          </w:tcPr>
          <w:p w14:paraId="36CA2065" w14:textId="77777777" w:rsidR="00787570" w:rsidRDefault="000D56E2">
            <w:pPr>
              <w:jc w:val="right"/>
              <w:textAlignment w:val="bottom"/>
            </w:pPr>
            <w:r>
              <w:rPr>
                <w:rFonts w:ascii="Arial" w:eastAsia="宋体" w:hAnsi="Arial" w:cs="Arial"/>
                <w:color w:val="333333"/>
                <w:sz w:val="18"/>
                <w:szCs w:val="18"/>
              </w:rPr>
              <w:t>312 </w:t>
            </w:r>
          </w:p>
        </w:tc>
        <w:tc>
          <w:tcPr>
            <w:tcW w:w="0" w:type="auto"/>
            <w:shd w:val="clear" w:color="auto" w:fill="auto"/>
            <w:tcMar>
              <w:top w:w="40" w:type="dxa"/>
              <w:bottom w:w="40" w:type="dxa"/>
              <w:right w:w="20" w:type="dxa"/>
            </w:tcMar>
            <w:vAlign w:val="bottom"/>
          </w:tcPr>
          <w:p w14:paraId="36CA2066" w14:textId="77777777" w:rsidR="00787570" w:rsidRDefault="00787570">
            <w:pPr>
              <w:jc w:val="right"/>
              <w:rPr>
                <w:rFonts w:ascii="宋体"/>
              </w:rPr>
            </w:pPr>
          </w:p>
        </w:tc>
        <w:tc>
          <w:tcPr>
            <w:tcW w:w="0" w:type="auto"/>
            <w:shd w:val="clear" w:color="auto" w:fill="auto"/>
          </w:tcPr>
          <w:p w14:paraId="36CA2067" w14:textId="77777777" w:rsidR="00787570" w:rsidRDefault="00787570">
            <w:pPr>
              <w:rPr>
                <w:rFonts w:ascii="宋体"/>
              </w:rPr>
            </w:pPr>
          </w:p>
        </w:tc>
        <w:tc>
          <w:tcPr>
            <w:tcW w:w="0" w:type="auto"/>
            <w:shd w:val="clear" w:color="auto" w:fill="auto"/>
          </w:tcPr>
          <w:p w14:paraId="36CA2068" w14:textId="77777777" w:rsidR="00787570" w:rsidRDefault="00787570">
            <w:pPr>
              <w:rPr>
                <w:rFonts w:ascii="宋体"/>
              </w:rPr>
            </w:pPr>
          </w:p>
        </w:tc>
        <w:tc>
          <w:tcPr>
            <w:tcW w:w="0" w:type="auto"/>
            <w:shd w:val="clear" w:color="auto" w:fill="auto"/>
          </w:tcPr>
          <w:p w14:paraId="36CA2069" w14:textId="77777777" w:rsidR="00787570" w:rsidRDefault="00787570">
            <w:pPr>
              <w:rPr>
                <w:rFonts w:ascii="宋体"/>
              </w:rPr>
            </w:pPr>
          </w:p>
        </w:tc>
        <w:tc>
          <w:tcPr>
            <w:tcW w:w="0" w:type="auto"/>
            <w:shd w:val="clear" w:color="auto" w:fill="auto"/>
          </w:tcPr>
          <w:p w14:paraId="36CA206A" w14:textId="77777777" w:rsidR="00787570" w:rsidRDefault="00787570">
            <w:pPr>
              <w:rPr>
                <w:rFonts w:ascii="宋体"/>
              </w:rPr>
            </w:pPr>
          </w:p>
        </w:tc>
        <w:tc>
          <w:tcPr>
            <w:tcW w:w="0" w:type="auto"/>
            <w:shd w:val="clear" w:color="auto" w:fill="auto"/>
          </w:tcPr>
          <w:p w14:paraId="36CA206B" w14:textId="77777777" w:rsidR="00787570" w:rsidRDefault="00787570">
            <w:pPr>
              <w:rPr>
                <w:rFonts w:ascii="宋体"/>
              </w:rPr>
            </w:pPr>
          </w:p>
        </w:tc>
        <w:tc>
          <w:tcPr>
            <w:tcW w:w="0" w:type="auto"/>
            <w:shd w:val="clear" w:color="auto" w:fill="auto"/>
          </w:tcPr>
          <w:p w14:paraId="36CA206C" w14:textId="77777777" w:rsidR="00787570" w:rsidRDefault="00787570">
            <w:pPr>
              <w:rPr>
                <w:rFonts w:ascii="宋体"/>
              </w:rPr>
            </w:pPr>
          </w:p>
        </w:tc>
      </w:tr>
      <w:tr w:rsidR="00787570" w14:paraId="36CA207D" w14:textId="77777777">
        <w:trPr>
          <w:jc w:val="center"/>
        </w:trPr>
        <w:tc>
          <w:tcPr>
            <w:tcW w:w="0" w:type="auto"/>
            <w:gridSpan w:val="3"/>
            <w:shd w:val="clear" w:color="auto" w:fill="auto"/>
            <w:tcMar>
              <w:top w:w="40" w:type="dxa"/>
              <w:left w:w="420" w:type="dxa"/>
              <w:bottom w:w="40" w:type="dxa"/>
              <w:right w:w="20" w:type="dxa"/>
            </w:tcMar>
          </w:tcPr>
          <w:p w14:paraId="36CA206E" w14:textId="77777777" w:rsidR="00787570" w:rsidRDefault="000D56E2">
            <w:pPr>
              <w:textAlignment w:val="top"/>
            </w:pPr>
            <w:r>
              <w:rPr>
                <w:rFonts w:ascii="Arial" w:eastAsia="宋体" w:hAnsi="Arial" w:cs="Arial"/>
                <w:color w:val="333333"/>
                <w:sz w:val="18"/>
                <w:szCs w:val="18"/>
              </w:rPr>
              <w:t>Income taxes, net of refunds</w:t>
            </w:r>
          </w:p>
        </w:tc>
        <w:tc>
          <w:tcPr>
            <w:tcW w:w="0" w:type="auto"/>
            <w:gridSpan w:val="3"/>
            <w:shd w:val="clear" w:color="auto" w:fill="auto"/>
            <w:tcMar>
              <w:left w:w="20" w:type="dxa"/>
              <w:right w:w="20" w:type="dxa"/>
            </w:tcMar>
            <w:vAlign w:val="bottom"/>
          </w:tcPr>
          <w:p w14:paraId="36CA206F" w14:textId="77777777" w:rsidR="00787570" w:rsidRDefault="00787570">
            <w:pPr>
              <w:rPr>
                <w:rFonts w:ascii="宋体"/>
              </w:rPr>
            </w:pPr>
          </w:p>
        </w:tc>
        <w:tc>
          <w:tcPr>
            <w:tcW w:w="0" w:type="auto"/>
            <w:shd w:val="clear" w:color="auto" w:fill="auto"/>
            <w:tcMar>
              <w:top w:w="40" w:type="dxa"/>
              <w:left w:w="20" w:type="dxa"/>
              <w:bottom w:w="40" w:type="dxa"/>
            </w:tcMar>
            <w:vAlign w:val="bottom"/>
          </w:tcPr>
          <w:p w14:paraId="36CA2070" w14:textId="77777777" w:rsidR="00787570" w:rsidRDefault="000D56E2">
            <w:pPr>
              <w:textAlignment w:val="bottom"/>
            </w:pPr>
            <w:r>
              <w:rPr>
                <w:rFonts w:ascii="Arial" w:eastAsia="宋体" w:hAnsi="Arial" w:cs="Arial"/>
                <w:color w:val="0071C5"/>
                <w:sz w:val="18"/>
                <w:szCs w:val="18"/>
              </w:rPr>
              <w:t>$</w:t>
            </w:r>
          </w:p>
        </w:tc>
        <w:tc>
          <w:tcPr>
            <w:tcW w:w="0" w:type="auto"/>
            <w:shd w:val="clear" w:color="auto" w:fill="auto"/>
            <w:tcMar>
              <w:top w:w="40" w:type="dxa"/>
              <w:bottom w:w="40" w:type="dxa"/>
              <w:right w:w="0" w:type="dxa"/>
            </w:tcMar>
            <w:vAlign w:val="bottom"/>
          </w:tcPr>
          <w:p w14:paraId="36CA2071" w14:textId="77777777" w:rsidR="00787570" w:rsidRDefault="000D56E2">
            <w:pPr>
              <w:jc w:val="right"/>
              <w:textAlignment w:val="bottom"/>
            </w:pPr>
            <w:r>
              <w:rPr>
                <w:rFonts w:ascii="Arial" w:eastAsia="宋体" w:hAnsi="Arial" w:cs="Arial"/>
                <w:color w:val="0071C5"/>
                <w:sz w:val="18"/>
                <w:szCs w:val="18"/>
              </w:rPr>
              <w:t>1,986 </w:t>
            </w:r>
          </w:p>
        </w:tc>
        <w:tc>
          <w:tcPr>
            <w:tcW w:w="0" w:type="auto"/>
            <w:shd w:val="clear" w:color="auto" w:fill="auto"/>
            <w:tcMar>
              <w:top w:w="40" w:type="dxa"/>
              <w:bottom w:w="40" w:type="dxa"/>
              <w:right w:w="20" w:type="dxa"/>
            </w:tcMar>
            <w:vAlign w:val="bottom"/>
          </w:tcPr>
          <w:p w14:paraId="36CA2072"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2073" w14:textId="77777777" w:rsidR="00787570" w:rsidRDefault="00787570">
            <w:pPr>
              <w:rPr>
                <w:rFonts w:ascii="宋体"/>
              </w:rPr>
            </w:pPr>
          </w:p>
        </w:tc>
        <w:tc>
          <w:tcPr>
            <w:tcW w:w="0" w:type="auto"/>
            <w:shd w:val="clear" w:color="auto" w:fill="auto"/>
            <w:tcMar>
              <w:top w:w="40" w:type="dxa"/>
              <w:left w:w="20" w:type="dxa"/>
              <w:bottom w:w="40" w:type="dxa"/>
            </w:tcMar>
            <w:vAlign w:val="bottom"/>
          </w:tcPr>
          <w:p w14:paraId="36CA2074" w14:textId="77777777" w:rsidR="00787570" w:rsidRDefault="000D56E2">
            <w:pPr>
              <w:textAlignment w:val="bottom"/>
            </w:pPr>
            <w:r>
              <w:rPr>
                <w:rFonts w:ascii="Arial" w:eastAsia="宋体" w:hAnsi="Arial" w:cs="Arial"/>
                <w:color w:val="333333"/>
                <w:sz w:val="18"/>
                <w:szCs w:val="18"/>
              </w:rPr>
              <w:t>$</w:t>
            </w:r>
          </w:p>
        </w:tc>
        <w:tc>
          <w:tcPr>
            <w:tcW w:w="0" w:type="auto"/>
            <w:shd w:val="clear" w:color="auto" w:fill="auto"/>
            <w:tcMar>
              <w:top w:w="40" w:type="dxa"/>
              <w:bottom w:w="40" w:type="dxa"/>
              <w:right w:w="0" w:type="dxa"/>
            </w:tcMar>
            <w:vAlign w:val="bottom"/>
          </w:tcPr>
          <w:p w14:paraId="36CA2075" w14:textId="77777777" w:rsidR="00787570" w:rsidRDefault="000D56E2">
            <w:pPr>
              <w:jc w:val="right"/>
              <w:textAlignment w:val="bottom"/>
            </w:pPr>
            <w:r>
              <w:rPr>
                <w:rFonts w:ascii="Arial" w:eastAsia="宋体" w:hAnsi="Arial" w:cs="Arial"/>
                <w:color w:val="333333"/>
                <w:sz w:val="18"/>
                <w:szCs w:val="18"/>
              </w:rPr>
              <w:t>1,334 </w:t>
            </w:r>
          </w:p>
        </w:tc>
        <w:tc>
          <w:tcPr>
            <w:tcW w:w="0" w:type="auto"/>
            <w:shd w:val="clear" w:color="auto" w:fill="auto"/>
            <w:tcMar>
              <w:top w:w="40" w:type="dxa"/>
              <w:bottom w:w="40" w:type="dxa"/>
              <w:right w:w="20" w:type="dxa"/>
            </w:tcMar>
            <w:vAlign w:val="bottom"/>
          </w:tcPr>
          <w:p w14:paraId="36CA2076" w14:textId="77777777" w:rsidR="00787570" w:rsidRDefault="00787570">
            <w:pPr>
              <w:jc w:val="right"/>
              <w:rPr>
                <w:rFonts w:ascii="宋体"/>
              </w:rPr>
            </w:pPr>
          </w:p>
        </w:tc>
        <w:tc>
          <w:tcPr>
            <w:tcW w:w="0" w:type="auto"/>
            <w:shd w:val="clear" w:color="auto" w:fill="auto"/>
          </w:tcPr>
          <w:p w14:paraId="36CA2077" w14:textId="77777777" w:rsidR="00787570" w:rsidRDefault="00787570">
            <w:pPr>
              <w:rPr>
                <w:rFonts w:ascii="宋体"/>
              </w:rPr>
            </w:pPr>
          </w:p>
        </w:tc>
        <w:tc>
          <w:tcPr>
            <w:tcW w:w="0" w:type="auto"/>
            <w:shd w:val="clear" w:color="auto" w:fill="auto"/>
          </w:tcPr>
          <w:p w14:paraId="36CA2078" w14:textId="77777777" w:rsidR="00787570" w:rsidRDefault="00787570">
            <w:pPr>
              <w:rPr>
                <w:rFonts w:ascii="宋体"/>
              </w:rPr>
            </w:pPr>
          </w:p>
        </w:tc>
        <w:tc>
          <w:tcPr>
            <w:tcW w:w="0" w:type="auto"/>
            <w:shd w:val="clear" w:color="auto" w:fill="auto"/>
          </w:tcPr>
          <w:p w14:paraId="36CA2079" w14:textId="77777777" w:rsidR="00787570" w:rsidRDefault="00787570">
            <w:pPr>
              <w:rPr>
                <w:rFonts w:ascii="宋体"/>
              </w:rPr>
            </w:pPr>
          </w:p>
        </w:tc>
        <w:tc>
          <w:tcPr>
            <w:tcW w:w="0" w:type="auto"/>
            <w:shd w:val="clear" w:color="auto" w:fill="auto"/>
          </w:tcPr>
          <w:p w14:paraId="36CA207A" w14:textId="77777777" w:rsidR="00787570" w:rsidRDefault="00787570">
            <w:pPr>
              <w:rPr>
                <w:rFonts w:ascii="宋体"/>
              </w:rPr>
            </w:pPr>
          </w:p>
        </w:tc>
        <w:tc>
          <w:tcPr>
            <w:tcW w:w="0" w:type="auto"/>
            <w:shd w:val="clear" w:color="auto" w:fill="auto"/>
          </w:tcPr>
          <w:p w14:paraId="36CA207B" w14:textId="77777777" w:rsidR="00787570" w:rsidRDefault="00787570">
            <w:pPr>
              <w:rPr>
                <w:rFonts w:ascii="宋体"/>
              </w:rPr>
            </w:pPr>
          </w:p>
        </w:tc>
        <w:tc>
          <w:tcPr>
            <w:tcW w:w="0" w:type="auto"/>
            <w:shd w:val="clear" w:color="auto" w:fill="auto"/>
          </w:tcPr>
          <w:p w14:paraId="36CA207C" w14:textId="77777777" w:rsidR="00787570" w:rsidRDefault="00787570">
            <w:pPr>
              <w:rPr>
                <w:rFonts w:ascii="宋体"/>
              </w:rPr>
            </w:pPr>
          </w:p>
        </w:tc>
      </w:tr>
    </w:tbl>
    <w:p w14:paraId="36CA207E" w14:textId="77777777" w:rsidR="00787570" w:rsidRDefault="000D56E2">
      <w:pPr>
        <w:spacing w:before="60" w:after="180"/>
      </w:pPr>
      <w:r>
        <w:rPr>
          <w:rFonts w:ascii="Arial" w:eastAsia="宋体" w:hAnsi="Arial" w:cs="Arial"/>
          <w:i/>
          <w:iCs/>
          <w:color w:val="333333"/>
          <w:sz w:val="16"/>
          <w:szCs w:val="16"/>
        </w:rPr>
        <w:t>See accompanying notes.</w:t>
      </w:r>
    </w:p>
    <w:tbl>
      <w:tblPr>
        <w:tblW w:w="5000" w:type="pct"/>
        <w:tblCellMar>
          <w:top w:w="15" w:type="dxa"/>
          <w:left w:w="15" w:type="dxa"/>
          <w:bottom w:w="15" w:type="dxa"/>
          <w:right w:w="15" w:type="dxa"/>
        </w:tblCellMar>
        <w:tblLook w:val="04A0" w:firstRow="1" w:lastRow="0" w:firstColumn="1" w:lastColumn="0" w:noHBand="0" w:noVBand="1"/>
      </w:tblPr>
      <w:tblGrid>
        <w:gridCol w:w="86"/>
        <w:gridCol w:w="426"/>
        <w:gridCol w:w="36"/>
        <w:gridCol w:w="62"/>
        <w:gridCol w:w="1676"/>
        <w:gridCol w:w="36"/>
        <w:gridCol w:w="62"/>
        <w:gridCol w:w="3655"/>
        <w:gridCol w:w="36"/>
        <w:gridCol w:w="63"/>
        <w:gridCol w:w="2162"/>
        <w:gridCol w:w="36"/>
      </w:tblGrid>
      <w:tr w:rsidR="00787570" w14:paraId="36CA208B" w14:textId="77777777">
        <w:tc>
          <w:tcPr>
            <w:tcW w:w="50" w:type="pct"/>
            <w:shd w:val="clear" w:color="auto" w:fill="auto"/>
            <w:vAlign w:val="bottom"/>
          </w:tcPr>
          <w:p w14:paraId="36CA207F" w14:textId="77777777" w:rsidR="00787570" w:rsidRDefault="00787570">
            <w:pPr>
              <w:rPr>
                <w:rFonts w:ascii="宋体"/>
              </w:rPr>
            </w:pPr>
          </w:p>
        </w:tc>
        <w:tc>
          <w:tcPr>
            <w:tcW w:w="248" w:type="pct"/>
            <w:shd w:val="clear" w:color="auto" w:fill="auto"/>
            <w:vAlign w:val="bottom"/>
          </w:tcPr>
          <w:p w14:paraId="36CA2080" w14:textId="77777777" w:rsidR="00787570" w:rsidRDefault="00787570">
            <w:pPr>
              <w:rPr>
                <w:rFonts w:ascii="宋体"/>
              </w:rPr>
            </w:pPr>
          </w:p>
        </w:tc>
        <w:tc>
          <w:tcPr>
            <w:tcW w:w="5" w:type="pct"/>
            <w:shd w:val="clear" w:color="auto" w:fill="auto"/>
            <w:vAlign w:val="bottom"/>
          </w:tcPr>
          <w:p w14:paraId="36CA2081" w14:textId="77777777" w:rsidR="00787570" w:rsidRDefault="00787570">
            <w:pPr>
              <w:rPr>
                <w:rFonts w:ascii="宋体"/>
              </w:rPr>
            </w:pPr>
          </w:p>
        </w:tc>
        <w:tc>
          <w:tcPr>
            <w:tcW w:w="50" w:type="pct"/>
            <w:shd w:val="clear" w:color="auto" w:fill="auto"/>
            <w:vAlign w:val="bottom"/>
          </w:tcPr>
          <w:p w14:paraId="36CA2082" w14:textId="77777777" w:rsidR="00787570" w:rsidRDefault="00787570">
            <w:pPr>
              <w:rPr>
                <w:rFonts w:ascii="宋体"/>
              </w:rPr>
            </w:pPr>
          </w:p>
        </w:tc>
        <w:tc>
          <w:tcPr>
            <w:tcW w:w="1018" w:type="pct"/>
            <w:shd w:val="clear" w:color="auto" w:fill="auto"/>
            <w:vAlign w:val="bottom"/>
          </w:tcPr>
          <w:p w14:paraId="36CA2083" w14:textId="77777777" w:rsidR="00787570" w:rsidRDefault="00787570">
            <w:pPr>
              <w:rPr>
                <w:rFonts w:ascii="宋体"/>
              </w:rPr>
            </w:pPr>
          </w:p>
        </w:tc>
        <w:tc>
          <w:tcPr>
            <w:tcW w:w="5" w:type="pct"/>
            <w:shd w:val="clear" w:color="auto" w:fill="auto"/>
            <w:vAlign w:val="bottom"/>
          </w:tcPr>
          <w:p w14:paraId="36CA2084" w14:textId="77777777" w:rsidR="00787570" w:rsidRDefault="00787570">
            <w:pPr>
              <w:rPr>
                <w:rFonts w:ascii="宋体"/>
              </w:rPr>
            </w:pPr>
          </w:p>
        </w:tc>
        <w:tc>
          <w:tcPr>
            <w:tcW w:w="50" w:type="pct"/>
            <w:shd w:val="clear" w:color="auto" w:fill="auto"/>
            <w:vAlign w:val="bottom"/>
          </w:tcPr>
          <w:p w14:paraId="36CA2085" w14:textId="77777777" w:rsidR="00787570" w:rsidRDefault="00787570">
            <w:pPr>
              <w:rPr>
                <w:rFonts w:ascii="宋体"/>
              </w:rPr>
            </w:pPr>
          </w:p>
        </w:tc>
        <w:tc>
          <w:tcPr>
            <w:tcW w:w="2204" w:type="pct"/>
            <w:shd w:val="clear" w:color="auto" w:fill="auto"/>
            <w:vAlign w:val="bottom"/>
          </w:tcPr>
          <w:p w14:paraId="36CA2086" w14:textId="77777777" w:rsidR="00787570" w:rsidRDefault="00787570">
            <w:pPr>
              <w:rPr>
                <w:rFonts w:ascii="宋体"/>
              </w:rPr>
            </w:pPr>
          </w:p>
        </w:tc>
        <w:tc>
          <w:tcPr>
            <w:tcW w:w="5" w:type="pct"/>
            <w:shd w:val="clear" w:color="auto" w:fill="auto"/>
            <w:vAlign w:val="bottom"/>
          </w:tcPr>
          <w:p w14:paraId="36CA2087" w14:textId="77777777" w:rsidR="00787570" w:rsidRDefault="00787570">
            <w:pPr>
              <w:rPr>
                <w:rFonts w:ascii="宋体"/>
              </w:rPr>
            </w:pPr>
          </w:p>
        </w:tc>
        <w:tc>
          <w:tcPr>
            <w:tcW w:w="50" w:type="pct"/>
            <w:shd w:val="clear" w:color="auto" w:fill="auto"/>
            <w:vAlign w:val="bottom"/>
          </w:tcPr>
          <w:p w14:paraId="36CA2088" w14:textId="77777777" w:rsidR="00787570" w:rsidRDefault="00787570">
            <w:pPr>
              <w:rPr>
                <w:rFonts w:ascii="宋体"/>
              </w:rPr>
            </w:pPr>
          </w:p>
        </w:tc>
        <w:tc>
          <w:tcPr>
            <w:tcW w:w="1308" w:type="pct"/>
            <w:shd w:val="clear" w:color="auto" w:fill="auto"/>
            <w:vAlign w:val="bottom"/>
          </w:tcPr>
          <w:p w14:paraId="36CA2089" w14:textId="77777777" w:rsidR="00787570" w:rsidRDefault="00787570">
            <w:pPr>
              <w:rPr>
                <w:rFonts w:ascii="宋体"/>
              </w:rPr>
            </w:pPr>
          </w:p>
        </w:tc>
        <w:tc>
          <w:tcPr>
            <w:tcW w:w="5" w:type="pct"/>
            <w:shd w:val="clear" w:color="auto" w:fill="auto"/>
            <w:vAlign w:val="bottom"/>
          </w:tcPr>
          <w:p w14:paraId="36CA208A" w14:textId="77777777" w:rsidR="00787570" w:rsidRDefault="00787570">
            <w:pPr>
              <w:rPr>
                <w:rFonts w:ascii="宋体"/>
              </w:rPr>
            </w:pPr>
          </w:p>
        </w:tc>
      </w:tr>
      <w:tr w:rsidR="00787570" w14:paraId="36CA2090" w14:textId="77777777">
        <w:tc>
          <w:tcPr>
            <w:tcW w:w="0" w:type="auto"/>
            <w:gridSpan w:val="3"/>
            <w:tcBorders>
              <w:top w:val="single" w:sz="8" w:space="0" w:color="0071C5"/>
            </w:tcBorders>
            <w:shd w:val="clear" w:color="auto" w:fill="auto"/>
            <w:tcMar>
              <w:left w:w="20" w:type="dxa"/>
              <w:right w:w="20" w:type="dxa"/>
            </w:tcMar>
            <w:vAlign w:val="center"/>
          </w:tcPr>
          <w:p w14:paraId="36CA208C" w14:textId="77777777" w:rsidR="00787570" w:rsidRDefault="000D56E2">
            <w:pPr>
              <w:textAlignment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Viewer9_files/intc-20200926_g2.jpg"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36CA5BFD" wp14:editId="36CA5BFE">
                  <wp:extent cx="304800" cy="304800"/>
                  <wp:effectExtent l="0" t="0" r="0" b="0"/>
                  <wp:docPr id="19" name="图片 55" descr="IMG_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55" descr="IMG_329"/>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8" w:space="0" w:color="0071C5"/>
            </w:tcBorders>
            <w:shd w:val="clear" w:color="auto" w:fill="auto"/>
            <w:tcMar>
              <w:top w:w="40" w:type="dxa"/>
              <w:left w:w="20" w:type="dxa"/>
              <w:bottom w:w="40" w:type="dxa"/>
              <w:right w:w="20" w:type="dxa"/>
            </w:tcMar>
            <w:vAlign w:val="center"/>
          </w:tcPr>
          <w:p w14:paraId="36CA208D" w14:textId="77777777" w:rsidR="00787570" w:rsidRDefault="000D56E2">
            <w:pPr>
              <w:textAlignment w:val="center"/>
            </w:pPr>
            <w:r>
              <w:rPr>
                <w:rFonts w:ascii="Arial" w:eastAsia="宋体" w:hAnsi="Arial" w:cs="Arial"/>
                <w:color w:val="333333"/>
                <w:sz w:val="16"/>
                <w:szCs w:val="16"/>
              </w:rPr>
              <w:t> FINANCIAL STATEMENTS</w:t>
            </w:r>
          </w:p>
        </w:tc>
        <w:tc>
          <w:tcPr>
            <w:tcW w:w="0" w:type="auto"/>
            <w:gridSpan w:val="3"/>
            <w:tcBorders>
              <w:top w:val="single" w:sz="8" w:space="0" w:color="0071C5"/>
              <w:left w:val="single" w:sz="24" w:space="0" w:color="0071C5"/>
            </w:tcBorders>
            <w:shd w:val="clear" w:color="auto" w:fill="auto"/>
            <w:tcMar>
              <w:top w:w="40" w:type="dxa"/>
              <w:left w:w="20" w:type="dxa"/>
              <w:bottom w:w="40" w:type="dxa"/>
              <w:right w:w="20" w:type="dxa"/>
            </w:tcMar>
            <w:vAlign w:val="center"/>
          </w:tcPr>
          <w:p w14:paraId="36CA208E" w14:textId="77777777" w:rsidR="00787570" w:rsidRDefault="000D56E2">
            <w:pPr>
              <w:textAlignment w:val="center"/>
            </w:pPr>
            <w:r>
              <w:rPr>
                <w:rFonts w:ascii="Arial" w:eastAsia="宋体" w:hAnsi="Arial" w:cs="Arial"/>
                <w:color w:val="333333"/>
                <w:sz w:val="16"/>
                <w:szCs w:val="16"/>
              </w:rPr>
              <w:t>  Consolidated Condensed Statements of Cash Flows</w:t>
            </w:r>
          </w:p>
        </w:tc>
        <w:tc>
          <w:tcPr>
            <w:tcW w:w="0" w:type="auto"/>
            <w:gridSpan w:val="3"/>
            <w:tcBorders>
              <w:top w:val="single" w:sz="8" w:space="0" w:color="0071C5"/>
            </w:tcBorders>
            <w:shd w:val="clear" w:color="auto" w:fill="auto"/>
            <w:tcMar>
              <w:top w:w="40" w:type="dxa"/>
              <w:left w:w="20" w:type="dxa"/>
              <w:bottom w:w="40" w:type="dxa"/>
              <w:right w:w="20" w:type="dxa"/>
            </w:tcMar>
            <w:vAlign w:val="center"/>
          </w:tcPr>
          <w:p w14:paraId="36CA208F" w14:textId="77777777" w:rsidR="00787570" w:rsidRDefault="000D56E2">
            <w:pPr>
              <w:jc w:val="right"/>
              <w:textAlignment w:val="center"/>
            </w:pPr>
            <w:r>
              <w:rPr>
                <w:rFonts w:ascii="Arial" w:eastAsia="宋体" w:hAnsi="Arial" w:cs="Arial"/>
                <w:color w:val="333333"/>
                <w:sz w:val="16"/>
                <w:szCs w:val="16"/>
              </w:rPr>
              <w:t>8</w:t>
            </w:r>
          </w:p>
        </w:tc>
      </w:tr>
    </w:tbl>
    <w:p w14:paraId="36CA2091" w14:textId="77777777" w:rsidR="00787570" w:rsidRDefault="000D56E2">
      <w:r>
        <w:pict w14:anchorId="36CA5BFF">
          <v:rect id="_x0000_i1034" style="width:415.3pt;height:1.5pt" o:hralign="center" o:hrstd="t" o:hr="t" fillcolor="#a0a0a0" stroked="f"/>
        </w:pict>
      </w:r>
    </w:p>
    <w:p w14:paraId="36CA2092" w14:textId="77777777" w:rsidR="00787570" w:rsidRDefault="000D56E2">
      <w:pPr>
        <w:spacing w:after="180"/>
        <w:jc w:val="right"/>
      </w:pPr>
      <w:hyperlink r:id="rId36" w:anchor="i32771df14e9449d2bec5be911426bf04_7" w:history="1">
        <w:r>
          <w:rPr>
            <w:rStyle w:val="a5"/>
            <w:rFonts w:ascii="Arial" w:eastAsia="宋体" w:hAnsi="Arial" w:cs="Arial"/>
            <w:b/>
            <w:bCs/>
            <w:sz w:val="16"/>
            <w:szCs w:val="16"/>
          </w:rPr>
          <w:t>Table of Contents</w:t>
        </w:r>
      </w:hyperlink>
    </w:p>
    <w:p w14:paraId="36CA2093" w14:textId="77777777" w:rsidR="00787570" w:rsidRDefault="00787570">
      <w:pPr>
        <w:spacing w:after="180"/>
        <w:jc w:val="right"/>
      </w:pPr>
    </w:p>
    <w:tbl>
      <w:tblPr>
        <w:tblW w:w="5000" w:type="pct"/>
        <w:tblCellMar>
          <w:top w:w="15" w:type="dxa"/>
          <w:left w:w="15" w:type="dxa"/>
          <w:bottom w:w="15" w:type="dxa"/>
          <w:right w:w="15" w:type="dxa"/>
        </w:tblCellMar>
        <w:tblLook w:val="04A0" w:firstRow="1" w:lastRow="0" w:firstColumn="1" w:lastColumn="0" w:noHBand="0" w:noVBand="1"/>
      </w:tblPr>
      <w:tblGrid>
        <w:gridCol w:w="69"/>
        <w:gridCol w:w="8231"/>
        <w:gridCol w:w="36"/>
      </w:tblGrid>
      <w:tr w:rsidR="00787570" w14:paraId="36CA2097" w14:textId="77777777">
        <w:tc>
          <w:tcPr>
            <w:tcW w:w="50" w:type="pct"/>
            <w:shd w:val="clear" w:color="auto" w:fill="auto"/>
          </w:tcPr>
          <w:p w14:paraId="36CA2094" w14:textId="77777777" w:rsidR="00787570" w:rsidRDefault="00787570">
            <w:pPr>
              <w:rPr>
                <w:rFonts w:ascii="宋体"/>
              </w:rPr>
            </w:pPr>
          </w:p>
        </w:tc>
        <w:tc>
          <w:tcPr>
            <w:tcW w:w="4945" w:type="pct"/>
            <w:shd w:val="clear" w:color="auto" w:fill="auto"/>
          </w:tcPr>
          <w:p w14:paraId="36CA2095" w14:textId="77777777" w:rsidR="00787570" w:rsidRDefault="00787570">
            <w:pPr>
              <w:rPr>
                <w:rFonts w:ascii="宋体"/>
              </w:rPr>
            </w:pPr>
          </w:p>
        </w:tc>
        <w:tc>
          <w:tcPr>
            <w:tcW w:w="5" w:type="pct"/>
            <w:shd w:val="clear" w:color="auto" w:fill="auto"/>
          </w:tcPr>
          <w:p w14:paraId="36CA2096" w14:textId="77777777" w:rsidR="00787570" w:rsidRDefault="00787570">
            <w:pPr>
              <w:rPr>
                <w:rFonts w:ascii="宋体"/>
              </w:rPr>
            </w:pPr>
          </w:p>
        </w:tc>
      </w:tr>
      <w:tr w:rsidR="00787570" w14:paraId="36CA2099" w14:textId="77777777">
        <w:tc>
          <w:tcPr>
            <w:tcW w:w="0" w:type="auto"/>
            <w:gridSpan w:val="3"/>
            <w:shd w:val="clear" w:color="auto" w:fill="0071C5"/>
            <w:tcMar>
              <w:top w:w="40" w:type="dxa"/>
              <w:left w:w="20" w:type="dxa"/>
              <w:bottom w:w="40" w:type="dxa"/>
              <w:right w:w="20" w:type="dxa"/>
            </w:tcMar>
            <w:vAlign w:val="center"/>
          </w:tcPr>
          <w:p w14:paraId="36CA2098" w14:textId="77777777" w:rsidR="00787570" w:rsidRDefault="000D56E2">
            <w:pPr>
              <w:textAlignment w:val="center"/>
            </w:pPr>
            <w:r>
              <w:rPr>
                <w:rFonts w:ascii="Arial" w:eastAsia="宋体" w:hAnsi="Arial" w:cs="Arial"/>
                <w:b/>
                <w:bCs/>
                <w:color w:val="FFFFFF"/>
                <w:sz w:val="28"/>
                <w:szCs w:val="28"/>
              </w:rPr>
              <w:t>CONSOLIDATED CONDENSED STATEMENTS OF STOCKHOLDERS' EQUITY</w:t>
            </w:r>
          </w:p>
        </w:tc>
      </w:tr>
    </w:tbl>
    <w:p w14:paraId="36CA209A" w14:textId="77777777" w:rsidR="00787570" w:rsidRDefault="00787570">
      <w:pPr>
        <w:rPr>
          <w:vanish/>
        </w:rPr>
      </w:pPr>
    </w:p>
    <w:tbl>
      <w:tblPr>
        <w:tblW w:w="4986" w:type="pct"/>
        <w:tblCellMar>
          <w:top w:w="15" w:type="dxa"/>
          <w:left w:w="15" w:type="dxa"/>
          <w:bottom w:w="15" w:type="dxa"/>
          <w:right w:w="15" w:type="dxa"/>
        </w:tblCellMar>
        <w:tblLook w:val="04A0" w:firstRow="1" w:lastRow="0" w:firstColumn="1" w:lastColumn="0" w:noHBand="0" w:noVBand="1"/>
      </w:tblPr>
      <w:tblGrid>
        <w:gridCol w:w="38"/>
        <w:gridCol w:w="2441"/>
        <w:gridCol w:w="37"/>
        <w:gridCol w:w="36"/>
        <w:gridCol w:w="36"/>
        <w:gridCol w:w="36"/>
        <w:gridCol w:w="59"/>
        <w:gridCol w:w="577"/>
        <w:gridCol w:w="41"/>
        <w:gridCol w:w="36"/>
        <w:gridCol w:w="36"/>
        <w:gridCol w:w="36"/>
        <w:gridCol w:w="136"/>
        <w:gridCol w:w="616"/>
        <w:gridCol w:w="41"/>
        <w:gridCol w:w="36"/>
        <w:gridCol w:w="36"/>
        <w:gridCol w:w="36"/>
        <w:gridCol w:w="136"/>
        <w:gridCol w:w="586"/>
        <w:gridCol w:w="41"/>
        <w:gridCol w:w="36"/>
        <w:gridCol w:w="36"/>
        <w:gridCol w:w="36"/>
        <w:gridCol w:w="137"/>
        <w:gridCol w:w="1251"/>
        <w:gridCol w:w="41"/>
        <w:gridCol w:w="36"/>
        <w:gridCol w:w="36"/>
        <w:gridCol w:w="36"/>
        <w:gridCol w:w="137"/>
        <w:gridCol w:w="730"/>
        <w:gridCol w:w="41"/>
        <w:gridCol w:w="36"/>
        <w:gridCol w:w="36"/>
        <w:gridCol w:w="36"/>
        <w:gridCol w:w="157"/>
        <w:gridCol w:w="157"/>
        <w:gridCol w:w="157"/>
        <w:gridCol w:w="36"/>
        <w:gridCol w:w="36"/>
        <w:gridCol w:w="36"/>
      </w:tblGrid>
      <w:tr w:rsidR="00787570" w14:paraId="36CA20BC" w14:textId="77777777">
        <w:trPr>
          <w:gridAfter w:val="9"/>
        </w:trPr>
        <w:tc>
          <w:tcPr>
            <w:tcW w:w="50" w:type="pct"/>
            <w:shd w:val="clear" w:color="auto" w:fill="auto"/>
          </w:tcPr>
          <w:p w14:paraId="36CA209B" w14:textId="77777777" w:rsidR="00787570" w:rsidRDefault="00787570">
            <w:pPr>
              <w:rPr>
                <w:rFonts w:ascii="宋体"/>
              </w:rPr>
            </w:pPr>
          </w:p>
        </w:tc>
        <w:tc>
          <w:tcPr>
            <w:tcW w:w="1897" w:type="pct"/>
            <w:shd w:val="clear" w:color="auto" w:fill="auto"/>
          </w:tcPr>
          <w:p w14:paraId="36CA209C" w14:textId="77777777" w:rsidR="00787570" w:rsidRDefault="00787570">
            <w:pPr>
              <w:rPr>
                <w:rFonts w:ascii="宋体"/>
              </w:rPr>
            </w:pPr>
          </w:p>
        </w:tc>
        <w:tc>
          <w:tcPr>
            <w:tcW w:w="5" w:type="pct"/>
            <w:shd w:val="clear" w:color="auto" w:fill="auto"/>
          </w:tcPr>
          <w:p w14:paraId="36CA209D" w14:textId="77777777" w:rsidR="00787570" w:rsidRDefault="00787570">
            <w:pPr>
              <w:rPr>
                <w:rFonts w:ascii="宋体"/>
              </w:rPr>
            </w:pPr>
          </w:p>
        </w:tc>
        <w:tc>
          <w:tcPr>
            <w:tcW w:w="5" w:type="pct"/>
            <w:shd w:val="clear" w:color="auto" w:fill="auto"/>
          </w:tcPr>
          <w:p w14:paraId="36CA209E" w14:textId="77777777" w:rsidR="00787570" w:rsidRDefault="00787570">
            <w:pPr>
              <w:rPr>
                <w:rFonts w:ascii="宋体"/>
              </w:rPr>
            </w:pPr>
          </w:p>
        </w:tc>
        <w:tc>
          <w:tcPr>
            <w:tcW w:w="24" w:type="pct"/>
            <w:shd w:val="clear" w:color="auto" w:fill="auto"/>
          </w:tcPr>
          <w:p w14:paraId="36CA209F" w14:textId="77777777" w:rsidR="00787570" w:rsidRDefault="00787570">
            <w:pPr>
              <w:rPr>
                <w:rFonts w:ascii="宋体"/>
              </w:rPr>
            </w:pPr>
          </w:p>
        </w:tc>
        <w:tc>
          <w:tcPr>
            <w:tcW w:w="5" w:type="pct"/>
            <w:shd w:val="clear" w:color="auto" w:fill="auto"/>
          </w:tcPr>
          <w:p w14:paraId="36CA20A0" w14:textId="77777777" w:rsidR="00787570" w:rsidRDefault="00787570">
            <w:pPr>
              <w:rPr>
                <w:rFonts w:ascii="宋体"/>
              </w:rPr>
            </w:pPr>
          </w:p>
        </w:tc>
        <w:tc>
          <w:tcPr>
            <w:tcW w:w="50" w:type="pct"/>
            <w:shd w:val="clear" w:color="auto" w:fill="auto"/>
          </w:tcPr>
          <w:p w14:paraId="36CA20A1" w14:textId="77777777" w:rsidR="00787570" w:rsidRDefault="00787570">
            <w:pPr>
              <w:rPr>
                <w:rFonts w:ascii="宋体"/>
              </w:rPr>
            </w:pPr>
          </w:p>
        </w:tc>
        <w:tc>
          <w:tcPr>
            <w:tcW w:w="492" w:type="pct"/>
            <w:shd w:val="clear" w:color="auto" w:fill="auto"/>
          </w:tcPr>
          <w:p w14:paraId="36CA20A2" w14:textId="77777777" w:rsidR="00787570" w:rsidRDefault="00787570">
            <w:pPr>
              <w:rPr>
                <w:rFonts w:ascii="宋体"/>
              </w:rPr>
            </w:pPr>
          </w:p>
        </w:tc>
        <w:tc>
          <w:tcPr>
            <w:tcW w:w="5" w:type="pct"/>
            <w:shd w:val="clear" w:color="auto" w:fill="auto"/>
          </w:tcPr>
          <w:p w14:paraId="36CA20A3" w14:textId="77777777" w:rsidR="00787570" w:rsidRDefault="00787570">
            <w:pPr>
              <w:rPr>
                <w:rFonts w:ascii="宋体"/>
              </w:rPr>
            </w:pPr>
          </w:p>
        </w:tc>
        <w:tc>
          <w:tcPr>
            <w:tcW w:w="5" w:type="pct"/>
            <w:shd w:val="clear" w:color="auto" w:fill="auto"/>
          </w:tcPr>
          <w:p w14:paraId="36CA20A4" w14:textId="77777777" w:rsidR="00787570" w:rsidRDefault="00787570">
            <w:pPr>
              <w:rPr>
                <w:rFonts w:ascii="宋体"/>
              </w:rPr>
            </w:pPr>
          </w:p>
        </w:tc>
        <w:tc>
          <w:tcPr>
            <w:tcW w:w="24" w:type="pct"/>
            <w:shd w:val="clear" w:color="auto" w:fill="auto"/>
          </w:tcPr>
          <w:p w14:paraId="36CA20A5" w14:textId="77777777" w:rsidR="00787570" w:rsidRDefault="00787570">
            <w:pPr>
              <w:rPr>
                <w:rFonts w:ascii="宋体"/>
              </w:rPr>
            </w:pPr>
          </w:p>
        </w:tc>
        <w:tc>
          <w:tcPr>
            <w:tcW w:w="5" w:type="pct"/>
            <w:shd w:val="clear" w:color="auto" w:fill="auto"/>
          </w:tcPr>
          <w:p w14:paraId="36CA20A6" w14:textId="77777777" w:rsidR="00787570" w:rsidRDefault="00787570">
            <w:pPr>
              <w:rPr>
                <w:rFonts w:ascii="宋体"/>
              </w:rPr>
            </w:pPr>
          </w:p>
        </w:tc>
        <w:tc>
          <w:tcPr>
            <w:tcW w:w="50" w:type="pct"/>
            <w:shd w:val="clear" w:color="auto" w:fill="auto"/>
          </w:tcPr>
          <w:p w14:paraId="36CA20A7" w14:textId="77777777" w:rsidR="00787570" w:rsidRDefault="00787570">
            <w:pPr>
              <w:rPr>
                <w:rFonts w:ascii="宋体"/>
              </w:rPr>
            </w:pPr>
          </w:p>
        </w:tc>
        <w:tc>
          <w:tcPr>
            <w:tcW w:w="492" w:type="pct"/>
            <w:shd w:val="clear" w:color="auto" w:fill="auto"/>
          </w:tcPr>
          <w:p w14:paraId="36CA20A8" w14:textId="77777777" w:rsidR="00787570" w:rsidRDefault="00787570">
            <w:pPr>
              <w:rPr>
                <w:rFonts w:ascii="宋体"/>
              </w:rPr>
            </w:pPr>
          </w:p>
        </w:tc>
        <w:tc>
          <w:tcPr>
            <w:tcW w:w="5" w:type="pct"/>
            <w:shd w:val="clear" w:color="auto" w:fill="auto"/>
          </w:tcPr>
          <w:p w14:paraId="36CA20A9" w14:textId="77777777" w:rsidR="00787570" w:rsidRDefault="00787570">
            <w:pPr>
              <w:rPr>
                <w:rFonts w:ascii="宋体"/>
              </w:rPr>
            </w:pPr>
          </w:p>
        </w:tc>
        <w:tc>
          <w:tcPr>
            <w:tcW w:w="5" w:type="pct"/>
            <w:shd w:val="clear" w:color="auto" w:fill="auto"/>
          </w:tcPr>
          <w:p w14:paraId="36CA20AA" w14:textId="77777777" w:rsidR="00787570" w:rsidRDefault="00787570">
            <w:pPr>
              <w:rPr>
                <w:rFonts w:ascii="宋体"/>
              </w:rPr>
            </w:pPr>
          </w:p>
        </w:tc>
        <w:tc>
          <w:tcPr>
            <w:tcW w:w="24" w:type="pct"/>
            <w:shd w:val="clear" w:color="auto" w:fill="auto"/>
          </w:tcPr>
          <w:p w14:paraId="36CA20AB" w14:textId="77777777" w:rsidR="00787570" w:rsidRDefault="00787570">
            <w:pPr>
              <w:rPr>
                <w:rFonts w:ascii="宋体"/>
              </w:rPr>
            </w:pPr>
          </w:p>
        </w:tc>
        <w:tc>
          <w:tcPr>
            <w:tcW w:w="5" w:type="pct"/>
            <w:shd w:val="clear" w:color="auto" w:fill="auto"/>
          </w:tcPr>
          <w:p w14:paraId="36CA20AC" w14:textId="77777777" w:rsidR="00787570" w:rsidRDefault="00787570">
            <w:pPr>
              <w:rPr>
                <w:rFonts w:ascii="宋体"/>
              </w:rPr>
            </w:pPr>
          </w:p>
        </w:tc>
        <w:tc>
          <w:tcPr>
            <w:tcW w:w="50" w:type="pct"/>
            <w:shd w:val="clear" w:color="auto" w:fill="auto"/>
          </w:tcPr>
          <w:p w14:paraId="36CA20AD" w14:textId="77777777" w:rsidR="00787570" w:rsidRDefault="00787570">
            <w:pPr>
              <w:rPr>
                <w:rFonts w:ascii="宋体"/>
              </w:rPr>
            </w:pPr>
          </w:p>
        </w:tc>
        <w:tc>
          <w:tcPr>
            <w:tcW w:w="629" w:type="pct"/>
            <w:shd w:val="clear" w:color="auto" w:fill="auto"/>
          </w:tcPr>
          <w:p w14:paraId="36CA20AE" w14:textId="77777777" w:rsidR="00787570" w:rsidRDefault="00787570">
            <w:pPr>
              <w:rPr>
                <w:rFonts w:ascii="宋体"/>
              </w:rPr>
            </w:pPr>
          </w:p>
        </w:tc>
        <w:tc>
          <w:tcPr>
            <w:tcW w:w="5" w:type="pct"/>
            <w:shd w:val="clear" w:color="auto" w:fill="auto"/>
          </w:tcPr>
          <w:p w14:paraId="36CA20AF" w14:textId="77777777" w:rsidR="00787570" w:rsidRDefault="00787570">
            <w:pPr>
              <w:rPr>
                <w:rFonts w:ascii="宋体"/>
              </w:rPr>
            </w:pPr>
          </w:p>
        </w:tc>
        <w:tc>
          <w:tcPr>
            <w:tcW w:w="5" w:type="pct"/>
            <w:shd w:val="clear" w:color="auto" w:fill="auto"/>
          </w:tcPr>
          <w:p w14:paraId="36CA20B0" w14:textId="77777777" w:rsidR="00787570" w:rsidRDefault="00787570">
            <w:pPr>
              <w:rPr>
                <w:rFonts w:ascii="宋体"/>
              </w:rPr>
            </w:pPr>
          </w:p>
        </w:tc>
        <w:tc>
          <w:tcPr>
            <w:tcW w:w="24" w:type="pct"/>
            <w:shd w:val="clear" w:color="auto" w:fill="auto"/>
          </w:tcPr>
          <w:p w14:paraId="36CA20B1" w14:textId="77777777" w:rsidR="00787570" w:rsidRDefault="00787570">
            <w:pPr>
              <w:rPr>
                <w:rFonts w:ascii="宋体"/>
              </w:rPr>
            </w:pPr>
          </w:p>
        </w:tc>
        <w:tc>
          <w:tcPr>
            <w:tcW w:w="5" w:type="pct"/>
            <w:shd w:val="clear" w:color="auto" w:fill="auto"/>
          </w:tcPr>
          <w:p w14:paraId="36CA20B2" w14:textId="77777777" w:rsidR="00787570" w:rsidRDefault="00787570">
            <w:pPr>
              <w:rPr>
                <w:rFonts w:ascii="宋体"/>
              </w:rPr>
            </w:pPr>
          </w:p>
        </w:tc>
        <w:tc>
          <w:tcPr>
            <w:tcW w:w="50" w:type="pct"/>
            <w:shd w:val="clear" w:color="auto" w:fill="auto"/>
          </w:tcPr>
          <w:p w14:paraId="36CA20B3" w14:textId="77777777" w:rsidR="00787570" w:rsidRDefault="00787570">
            <w:pPr>
              <w:rPr>
                <w:rFonts w:ascii="宋体"/>
              </w:rPr>
            </w:pPr>
          </w:p>
        </w:tc>
        <w:tc>
          <w:tcPr>
            <w:tcW w:w="492" w:type="pct"/>
            <w:shd w:val="clear" w:color="auto" w:fill="auto"/>
          </w:tcPr>
          <w:p w14:paraId="36CA20B4" w14:textId="77777777" w:rsidR="00787570" w:rsidRDefault="00787570">
            <w:pPr>
              <w:rPr>
                <w:rFonts w:ascii="宋体"/>
              </w:rPr>
            </w:pPr>
          </w:p>
        </w:tc>
        <w:tc>
          <w:tcPr>
            <w:tcW w:w="5" w:type="pct"/>
            <w:shd w:val="clear" w:color="auto" w:fill="auto"/>
          </w:tcPr>
          <w:p w14:paraId="36CA20B5" w14:textId="77777777" w:rsidR="00787570" w:rsidRDefault="00787570">
            <w:pPr>
              <w:rPr>
                <w:rFonts w:ascii="宋体"/>
              </w:rPr>
            </w:pPr>
          </w:p>
        </w:tc>
        <w:tc>
          <w:tcPr>
            <w:tcW w:w="5" w:type="pct"/>
            <w:shd w:val="clear" w:color="auto" w:fill="auto"/>
          </w:tcPr>
          <w:p w14:paraId="36CA20B6" w14:textId="77777777" w:rsidR="00787570" w:rsidRDefault="00787570">
            <w:pPr>
              <w:rPr>
                <w:rFonts w:ascii="宋体"/>
              </w:rPr>
            </w:pPr>
          </w:p>
        </w:tc>
        <w:tc>
          <w:tcPr>
            <w:tcW w:w="24" w:type="pct"/>
            <w:shd w:val="clear" w:color="auto" w:fill="auto"/>
          </w:tcPr>
          <w:p w14:paraId="36CA20B7" w14:textId="77777777" w:rsidR="00787570" w:rsidRDefault="00787570">
            <w:pPr>
              <w:rPr>
                <w:rFonts w:ascii="宋体"/>
              </w:rPr>
            </w:pPr>
          </w:p>
        </w:tc>
        <w:tc>
          <w:tcPr>
            <w:tcW w:w="5" w:type="pct"/>
            <w:shd w:val="clear" w:color="auto" w:fill="auto"/>
          </w:tcPr>
          <w:p w14:paraId="36CA20B8" w14:textId="77777777" w:rsidR="00787570" w:rsidRDefault="00787570">
            <w:pPr>
              <w:rPr>
                <w:rFonts w:ascii="宋体"/>
              </w:rPr>
            </w:pPr>
          </w:p>
        </w:tc>
        <w:tc>
          <w:tcPr>
            <w:tcW w:w="50" w:type="pct"/>
            <w:shd w:val="clear" w:color="auto" w:fill="auto"/>
          </w:tcPr>
          <w:p w14:paraId="36CA20B9" w14:textId="77777777" w:rsidR="00787570" w:rsidRDefault="00787570">
            <w:pPr>
              <w:rPr>
                <w:rFonts w:ascii="宋体"/>
              </w:rPr>
            </w:pPr>
          </w:p>
        </w:tc>
        <w:tc>
          <w:tcPr>
            <w:tcW w:w="493" w:type="pct"/>
            <w:shd w:val="clear" w:color="auto" w:fill="auto"/>
          </w:tcPr>
          <w:p w14:paraId="36CA20BA" w14:textId="77777777" w:rsidR="00787570" w:rsidRDefault="00787570">
            <w:pPr>
              <w:rPr>
                <w:rFonts w:ascii="宋体"/>
              </w:rPr>
            </w:pPr>
          </w:p>
        </w:tc>
        <w:tc>
          <w:tcPr>
            <w:tcW w:w="5" w:type="pct"/>
            <w:shd w:val="clear" w:color="auto" w:fill="auto"/>
          </w:tcPr>
          <w:p w14:paraId="36CA20BB" w14:textId="77777777" w:rsidR="00787570" w:rsidRDefault="00787570">
            <w:pPr>
              <w:rPr>
                <w:rFonts w:ascii="宋体"/>
              </w:rPr>
            </w:pPr>
          </w:p>
        </w:tc>
      </w:tr>
      <w:tr w:rsidR="00787570" w14:paraId="36CA20C8" w14:textId="77777777">
        <w:trPr>
          <w:gridAfter w:val="3"/>
        </w:trPr>
        <w:tc>
          <w:tcPr>
            <w:tcW w:w="0" w:type="auto"/>
            <w:gridSpan w:val="3"/>
            <w:shd w:val="clear" w:color="auto" w:fill="auto"/>
            <w:tcMar>
              <w:left w:w="20" w:type="dxa"/>
              <w:right w:w="20" w:type="dxa"/>
            </w:tcMar>
            <w:vAlign w:val="bottom"/>
          </w:tcPr>
          <w:p w14:paraId="36CA20BD"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20BE" w14:textId="77777777" w:rsidR="00787570" w:rsidRDefault="00787570">
            <w:pPr>
              <w:rPr>
                <w:rFonts w:ascii="宋体"/>
              </w:rPr>
            </w:pPr>
          </w:p>
        </w:tc>
        <w:tc>
          <w:tcPr>
            <w:tcW w:w="0" w:type="auto"/>
            <w:gridSpan w:val="9"/>
            <w:shd w:val="clear" w:color="auto" w:fill="auto"/>
            <w:tcMar>
              <w:top w:w="40" w:type="dxa"/>
              <w:left w:w="20" w:type="dxa"/>
              <w:bottom w:w="40" w:type="dxa"/>
              <w:right w:w="20" w:type="dxa"/>
            </w:tcMar>
            <w:vAlign w:val="bottom"/>
          </w:tcPr>
          <w:p w14:paraId="36CA20BF" w14:textId="77777777" w:rsidR="00787570" w:rsidRDefault="000D56E2">
            <w:pPr>
              <w:jc w:val="center"/>
              <w:textAlignment w:val="bottom"/>
            </w:pPr>
            <w:r>
              <w:rPr>
                <w:rFonts w:ascii="Arial" w:eastAsia="宋体" w:hAnsi="Arial" w:cs="Arial"/>
                <w:b/>
                <w:bCs/>
                <w:color w:val="333333"/>
                <w:sz w:val="18"/>
                <w:szCs w:val="18"/>
              </w:rPr>
              <w:t>Common Stock and Capital in Excess of Par Value</w:t>
            </w:r>
          </w:p>
        </w:tc>
        <w:tc>
          <w:tcPr>
            <w:tcW w:w="0" w:type="auto"/>
            <w:gridSpan w:val="3"/>
            <w:shd w:val="clear" w:color="auto" w:fill="auto"/>
          </w:tcPr>
          <w:p w14:paraId="36CA20C0" w14:textId="77777777" w:rsidR="00787570" w:rsidRDefault="00787570">
            <w:pPr>
              <w:rPr>
                <w:rFonts w:ascii="宋体"/>
                <w:vanish/>
              </w:rPr>
            </w:pPr>
          </w:p>
        </w:tc>
        <w:tc>
          <w:tcPr>
            <w:tcW w:w="0" w:type="auto"/>
            <w:gridSpan w:val="3"/>
            <w:shd w:val="clear" w:color="auto" w:fill="auto"/>
          </w:tcPr>
          <w:p w14:paraId="36CA20C1" w14:textId="77777777" w:rsidR="00787570" w:rsidRDefault="00787570">
            <w:pPr>
              <w:rPr>
                <w:rFonts w:ascii="宋体"/>
                <w:vanish/>
              </w:rPr>
            </w:pPr>
          </w:p>
        </w:tc>
        <w:tc>
          <w:tcPr>
            <w:tcW w:w="0" w:type="auto"/>
            <w:gridSpan w:val="3"/>
            <w:shd w:val="clear" w:color="auto" w:fill="auto"/>
            <w:tcMar>
              <w:left w:w="20" w:type="dxa"/>
              <w:right w:w="20" w:type="dxa"/>
            </w:tcMar>
            <w:vAlign w:val="bottom"/>
          </w:tcPr>
          <w:p w14:paraId="36CA20C2" w14:textId="77777777" w:rsidR="00787570" w:rsidRDefault="00787570">
            <w:pPr>
              <w:rPr>
                <w:rFonts w:ascii="宋体"/>
              </w:rPr>
            </w:pPr>
          </w:p>
        </w:tc>
        <w:tc>
          <w:tcPr>
            <w:tcW w:w="0" w:type="auto"/>
            <w:gridSpan w:val="3"/>
            <w:vMerge w:val="restart"/>
            <w:shd w:val="clear" w:color="auto" w:fill="auto"/>
            <w:tcMar>
              <w:top w:w="40" w:type="dxa"/>
              <w:left w:w="20" w:type="dxa"/>
              <w:bottom w:w="40" w:type="dxa"/>
              <w:right w:w="20" w:type="dxa"/>
            </w:tcMar>
            <w:vAlign w:val="bottom"/>
          </w:tcPr>
          <w:p w14:paraId="36CA20C3" w14:textId="77777777" w:rsidR="00787570" w:rsidRDefault="000D56E2">
            <w:pPr>
              <w:jc w:val="center"/>
              <w:textAlignment w:val="bottom"/>
            </w:pPr>
            <w:r>
              <w:rPr>
                <w:rFonts w:ascii="Arial" w:eastAsia="宋体" w:hAnsi="Arial" w:cs="Arial"/>
                <w:b/>
                <w:bCs/>
                <w:color w:val="333333"/>
                <w:sz w:val="18"/>
                <w:szCs w:val="18"/>
              </w:rPr>
              <w:t>Accumulated Other Comprehensive Income (Loss)</w:t>
            </w:r>
          </w:p>
        </w:tc>
        <w:tc>
          <w:tcPr>
            <w:tcW w:w="0" w:type="auto"/>
            <w:gridSpan w:val="3"/>
            <w:shd w:val="clear" w:color="auto" w:fill="auto"/>
            <w:tcMar>
              <w:left w:w="20" w:type="dxa"/>
              <w:right w:w="20" w:type="dxa"/>
            </w:tcMar>
            <w:vAlign w:val="bottom"/>
          </w:tcPr>
          <w:p w14:paraId="36CA20C4" w14:textId="77777777" w:rsidR="00787570" w:rsidRDefault="00787570">
            <w:pPr>
              <w:rPr>
                <w:rFonts w:ascii="宋体"/>
              </w:rPr>
            </w:pPr>
          </w:p>
        </w:tc>
        <w:tc>
          <w:tcPr>
            <w:tcW w:w="0" w:type="auto"/>
            <w:gridSpan w:val="3"/>
            <w:vMerge w:val="restart"/>
            <w:shd w:val="clear" w:color="auto" w:fill="auto"/>
            <w:tcMar>
              <w:top w:w="40" w:type="dxa"/>
              <w:left w:w="20" w:type="dxa"/>
              <w:bottom w:w="40" w:type="dxa"/>
              <w:right w:w="20" w:type="dxa"/>
            </w:tcMar>
            <w:vAlign w:val="bottom"/>
          </w:tcPr>
          <w:p w14:paraId="36CA20C5" w14:textId="77777777" w:rsidR="00787570" w:rsidRDefault="000D56E2">
            <w:pPr>
              <w:jc w:val="center"/>
              <w:textAlignment w:val="bottom"/>
            </w:pPr>
            <w:r>
              <w:rPr>
                <w:rFonts w:ascii="Arial" w:eastAsia="宋体" w:hAnsi="Arial" w:cs="Arial"/>
                <w:b/>
                <w:bCs/>
                <w:color w:val="333333"/>
                <w:sz w:val="18"/>
                <w:szCs w:val="18"/>
              </w:rPr>
              <w:t>Retained Earnings</w:t>
            </w:r>
          </w:p>
        </w:tc>
        <w:tc>
          <w:tcPr>
            <w:tcW w:w="0" w:type="auto"/>
            <w:gridSpan w:val="3"/>
            <w:shd w:val="clear" w:color="auto" w:fill="auto"/>
            <w:tcMar>
              <w:left w:w="20" w:type="dxa"/>
              <w:right w:w="20" w:type="dxa"/>
            </w:tcMar>
            <w:vAlign w:val="bottom"/>
          </w:tcPr>
          <w:p w14:paraId="36CA20C6" w14:textId="77777777" w:rsidR="00787570" w:rsidRDefault="00787570">
            <w:pPr>
              <w:rPr>
                <w:rFonts w:ascii="宋体"/>
              </w:rPr>
            </w:pPr>
          </w:p>
        </w:tc>
        <w:tc>
          <w:tcPr>
            <w:tcW w:w="0" w:type="auto"/>
            <w:gridSpan w:val="3"/>
            <w:vMerge w:val="restart"/>
            <w:shd w:val="clear" w:color="auto" w:fill="auto"/>
            <w:tcMar>
              <w:top w:w="40" w:type="dxa"/>
              <w:left w:w="20" w:type="dxa"/>
              <w:bottom w:w="40" w:type="dxa"/>
              <w:right w:w="20" w:type="dxa"/>
            </w:tcMar>
            <w:vAlign w:val="bottom"/>
          </w:tcPr>
          <w:p w14:paraId="36CA20C7" w14:textId="77777777" w:rsidR="00787570" w:rsidRDefault="000D56E2">
            <w:pPr>
              <w:jc w:val="center"/>
              <w:textAlignment w:val="bottom"/>
            </w:pPr>
            <w:r>
              <w:rPr>
                <w:rFonts w:ascii="Arial" w:eastAsia="宋体" w:hAnsi="Arial" w:cs="Arial"/>
                <w:b/>
                <w:bCs/>
                <w:color w:val="333333"/>
                <w:sz w:val="18"/>
                <w:szCs w:val="18"/>
              </w:rPr>
              <w:t>Total</w:t>
            </w:r>
          </w:p>
        </w:tc>
      </w:tr>
      <w:tr w:rsidR="00787570" w14:paraId="36CA20D7" w14:textId="77777777">
        <w:tc>
          <w:tcPr>
            <w:tcW w:w="0" w:type="auto"/>
            <w:gridSpan w:val="3"/>
            <w:shd w:val="clear" w:color="auto" w:fill="auto"/>
            <w:tcMar>
              <w:top w:w="40" w:type="dxa"/>
              <w:left w:w="20" w:type="dxa"/>
              <w:bottom w:w="40" w:type="dxa"/>
              <w:right w:w="20" w:type="dxa"/>
            </w:tcMar>
            <w:vAlign w:val="bottom"/>
          </w:tcPr>
          <w:p w14:paraId="36CA20C9" w14:textId="77777777" w:rsidR="00787570" w:rsidRDefault="000D56E2">
            <w:pPr>
              <w:textAlignment w:val="bottom"/>
            </w:pPr>
            <w:r>
              <w:rPr>
                <w:rFonts w:ascii="Arial" w:eastAsia="宋体" w:hAnsi="Arial" w:cs="Arial"/>
                <w:b/>
                <w:bCs/>
                <w:color w:val="333333"/>
                <w:sz w:val="18"/>
                <w:szCs w:val="18"/>
              </w:rPr>
              <w:t>(In Millions, Except Per Share Amounts; Unaudited)</w:t>
            </w:r>
          </w:p>
        </w:tc>
        <w:tc>
          <w:tcPr>
            <w:tcW w:w="0" w:type="auto"/>
            <w:gridSpan w:val="3"/>
            <w:shd w:val="clear" w:color="auto" w:fill="auto"/>
            <w:tcMar>
              <w:left w:w="20" w:type="dxa"/>
              <w:right w:w="20" w:type="dxa"/>
            </w:tcMar>
            <w:vAlign w:val="bottom"/>
          </w:tcPr>
          <w:p w14:paraId="36CA20CA" w14:textId="77777777" w:rsidR="00787570" w:rsidRDefault="00787570">
            <w:pPr>
              <w:rPr>
                <w:rFonts w:ascii="宋体"/>
              </w:rPr>
            </w:pPr>
          </w:p>
        </w:tc>
        <w:tc>
          <w:tcPr>
            <w:tcW w:w="0" w:type="auto"/>
            <w:gridSpan w:val="3"/>
            <w:tcBorders>
              <w:top w:val="single" w:sz="8" w:space="0" w:color="0071C5"/>
            </w:tcBorders>
            <w:shd w:val="clear" w:color="auto" w:fill="auto"/>
            <w:tcMar>
              <w:top w:w="40" w:type="dxa"/>
              <w:left w:w="20" w:type="dxa"/>
              <w:bottom w:w="40" w:type="dxa"/>
              <w:right w:w="20" w:type="dxa"/>
            </w:tcMar>
            <w:vAlign w:val="bottom"/>
          </w:tcPr>
          <w:p w14:paraId="36CA20CB" w14:textId="77777777" w:rsidR="00787570" w:rsidRDefault="000D56E2">
            <w:pPr>
              <w:jc w:val="center"/>
              <w:textAlignment w:val="bottom"/>
            </w:pPr>
            <w:r>
              <w:rPr>
                <w:rFonts w:ascii="Arial" w:eastAsia="宋体" w:hAnsi="Arial" w:cs="Arial"/>
                <w:b/>
                <w:bCs/>
                <w:color w:val="333333"/>
                <w:sz w:val="18"/>
                <w:szCs w:val="18"/>
              </w:rPr>
              <w:t>Shares</w:t>
            </w:r>
          </w:p>
        </w:tc>
        <w:tc>
          <w:tcPr>
            <w:tcW w:w="0" w:type="auto"/>
            <w:gridSpan w:val="3"/>
            <w:tcBorders>
              <w:top w:val="single" w:sz="8" w:space="0" w:color="0071C5"/>
            </w:tcBorders>
            <w:shd w:val="clear" w:color="auto" w:fill="auto"/>
            <w:tcMar>
              <w:left w:w="20" w:type="dxa"/>
              <w:right w:w="20" w:type="dxa"/>
            </w:tcMar>
            <w:vAlign w:val="bottom"/>
          </w:tcPr>
          <w:p w14:paraId="36CA20CC" w14:textId="77777777" w:rsidR="00787570" w:rsidRDefault="00787570">
            <w:pPr>
              <w:rPr>
                <w:rFonts w:ascii="宋体"/>
              </w:rPr>
            </w:pPr>
          </w:p>
        </w:tc>
        <w:tc>
          <w:tcPr>
            <w:tcW w:w="0" w:type="auto"/>
            <w:gridSpan w:val="3"/>
            <w:tcBorders>
              <w:top w:val="single" w:sz="8" w:space="0" w:color="0071C5"/>
            </w:tcBorders>
            <w:shd w:val="clear" w:color="auto" w:fill="auto"/>
            <w:tcMar>
              <w:top w:w="40" w:type="dxa"/>
              <w:left w:w="20" w:type="dxa"/>
              <w:bottom w:w="40" w:type="dxa"/>
              <w:right w:w="20" w:type="dxa"/>
            </w:tcMar>
            <w:vAlign w:val="bottom"/>
          </w:tcPr>
          <w:p w14:paraId="36CA20CD" w14:textId="77777777" w:rsidR="00787570" w:rsidRDefault="000D56E2">
            <w:pPr>
              <w:jc w:val="center"/>
              <w:textAlignment w:val="bottom"/>
            </w:pPr>
            <w:r>
              <w:rPr>
                <w:rFonts w:ascii="Arial" w:eastAsia="宋体" w:hAnsi="Arial" w:cs="Arial"/>
                <w:b/>
                <w:bCs/>
                <w:color w:val="333333"/>
                <w:sz w:val="18"/>
                <w:szCs w:val="18"/>
              </w:rPr>
              <w:t>Amount</w:t>
            </w:r>
          </w:p>
        </w:tc>
        <w:tc>
          <w:tcPr>
            <w:tcW w:w="0" w:type="auto"/>
            <w:gridSpan w:val="3"/>
            <w:shd w:val="clear" w:color="auto" w:fill="auto"/>
            <w:tcMar>
              <w:left w:w="20" w:type="dxa"/>
              <w:right w:w="20" w:type="dxa"/>
            </w:tcMar>
            <w:vAlign w:val="bottom"/>
          </w:tcPr>
          <w:p w14:paraId="36CA20CE" w14:textId="77777777" w:rsidR="00787570" w:rsidRDefault="00787570">
            <w:pPr>
              <w:rPr>
                <w:rFonts w:ascii="宋体"/>
              </w:rPr>
            </w:pPr>
          </w:p>
        </w:tc>
        <w:tc>
          <w:tcPr>
            <w:tcW w:w="0" w:type="auto"/>
            <w:gridSpan w:val="3"/>
            <w:shd w:val="clear" w:color="auto" w:fill="auto"/>
          </w:tcPr>
          <w:p w14:paraId="36CA20CF" w14:textId="77777777" w:rsidR="00787570" w:rsidRDefault="00787570">
            <w:pPr>
              <w:rPr>
                <w:rFonts w:ascii="宋体"/>
                <w:vanish/>
              </w:rPr>
            </w:pPr>
          </w:p>
        </w:tc>
        <w:tc>
          <w:tcPr>
            <w:tcW w:w="0" w:type="auto"/>
            <w:gridSpan w:val="3"/>
            <w:shd w:val="clear" w:color="auto" w:fill="auto"/>
            <w:tcMar>
              <w:left w:w="20" w:type="dxa"/>
              <w:right w:w="20" w:type="dxa"/>
            </w:tcMar>
            <w:vAlign w:val="bottom"/>
          </w:tcPr>
          <w:p w14:paraId="36CA20D0" w14:textId="77777777" w:rsidR="00787570" w:rsidRDefault="00787570">
            <w:pPr>
              <w:rPr>
                <w:rFonts w:ascii="宋体"/>
              </w:rPr>
            </w:pPr>
          </w:p>
        </w:tc>
        <w:tc>
          <w:tcPr>
            <w:tcW w:w="0" w:type="auto"/>
            <w:gridSpan w:val="3"/>
            <w:vMerge/>
            <w:shd w:val="clear" w:color="auto" w:fill="auto"/>
            <w:tcMar>
              <w:top w:w="40" w:type="dxa"/>
              <w:left w:w="20" w:type="dxa"/>
              <w:bottom w:w="40" w:type="dxa"/>
              <w:right w:w="20" w:type="dxa"/>
            </w:tcMar>
            <w:vAlign w:val="bottom"/>
          </w:tcPr>
          <w:p w14:paraId="36CA20D1" w14:textId="77777777" w:rsidR="00787570" w:rsidRDefault="00787570">
            <w:pPr>
              <w:jc w:val="center"/>
              <w:rPr>
                <w:rFonts w:ascii="宋体"/>
              </w:rPr>
            </w:pPr>
          </w:p>
        </w:tc>
        <w:tc>
          <w:tcPr>
            <w:tcW w:w="0" w:type="auto"/>
            <w:gridSpan w:val="3"/>
            <w:shd w:val="clear" w:color="auto" w:fill="auto"/>
          </w:tcPr>
          <w:p w14:paraId="36CA20D2" w14:textId="77777777" w:rsidR="00787570" w:rsidRDefault="00787570">
            <w:pPr>
              <w:rPr>
                <w:rFonts w:ascii="宋体"/>
                <w:vanish/>
              </w:rPr>
            </w:pPr>
          </w:p>
        </w:tc>
        <w:tc>
          <w:tcPr>
            <w:tcW w:w="0" w:type="auto"/>
            <w:gridSpan w:val="3"/>
            <w:vMerge/>
            <w:shd w:val="clear" w:color="auto" w:fill="auto"/>
            <w:tcMar>
              <w:top w:w="40" w:type="dxa"/>
              <w:left w:w="20" w:type="dxa"/>
              <w:bottom w:w="40" w:type="dxa"/>
              <w:right w:w="20" w:type="dxa"/>
            </w:tcMar>
            <w:vAlign w:val="bottom"/>
          </w:tcPr>
          <w:p w14:paraId="36CA20D3" w14:textId="77777777" w:rsidR="00787570" w:rsidRDefault="00787570">
            <w:pPr>
              <w:jc w:val="center"/>
              <w:rPr>
                <w:rFonts w:ascii="宋体"/>
              </w:rPr>
            </w:pPr>
          </w:p>
        </w:tc>
        <w:tc>
          <w:tcPr>
            <w:tcW w:w="0" w:type="auto"/>
            <w:gridSpan w:val="3"/>
            <w:shd w:val="clear" w:color="auto" w:fill="auto"/>
            <w:tcMar>
              <w:left w:w="20" w:type="dxa"/>
              <w:right w:w="20" w:type="dxa"/>
            </w:tcMar>
            <w:vAlign w:val="bottom"/>
          </w:tcPr>
          <w:p w14:paraId="36CA20D4" w14:textId="77777777" w:rsidR="00787570" w:rsidRDefault="00787570">
            <w:pPr>
              <w:rPr>
                <w:rFonts w:ascii="宋体"/>
              </w:rPr>
            </w:pPr>
          </w:p>
        </w:tc>
        <w:tc>
          <w:tcPr>
            <w:tcW w:w="0" w:type="auto"/>
            <w:gridSpan w:val="3"/>
            <w:vMerge/>
            <w:shd w:val="clear" w:color="auto" w:fill="auto"/>
            <w:tcMar>
              <w:top w:w="40" w:type="dxa"/>
              <w:left w:w="20" w:type="dxa"/>
              <w:bottom w:w="40" w:type="dxa"/>
              <w:right w:w="20" w:type="dxa"/>
            </w:tcMar>
            <w:vAlign w:val="bottom"/>
          </w:tcPr>
          <w:p w14:paraId="36CA20D5" w14:textId="77777777" w:rsidR="00787570" w:rsidRDefault="00787570">
            <w:pPr>
              <w:jc w:val="center"/>
              <w:rPr>
                <w:rFonts w:ascii="宋体"/>
              </w:rPr>
            </w:pPr>
          </w:p>
        </w:tc>
        <w:tc>
          <w:tcPr>
            <w:tcW w:w="0" w:type="auto"/>
            <w:gridSpan w:val="3"/>
            <w:shd w:val="clear" w:color="auto" w:fill="auto"/>
          </w:tcPr>
          <w:p w14:paraId="36CA20D6" w14:textId="77777777" w:rsidR="00787570" w:rsidRDefault="00787570">
            <w:pPr>
              <w:rPr>
                <w:rFonts w:ascii="宋体"/>
                <w:vanish/>
              </w:rPr>
            </w:pPr>
          </w:p>
        </w:tc>
      </w:tr>
      <w:tr w:rsidR="00787570" w14:paraId="36CA20EC" w14:textId="77777777">
        <w:tc>
          <w:tcPr>
            <w:tcW w:w="0" w:type="auto"/>
            <w:gridSpan w:val="3"/>
            <w:tcBorders>
              <w:top w:val="single" w:sz="8" w:space="0" w:color="0071C5"/>
            </w:tcBorders>
            <w:shd w:val="clear" w:color="auto" w:fill="auto"/>
            <w:tcMar>
              <w:top w:w="40" w:type="dxa"/>
              <w:left w:w="20" w:type="dxa"/>
              <w:bottom w:w="40" w:type="dxa"/>
              <w:right w:w="20" w:type="dxa"/>
            </w:tcMar>
            <w:vAlign w:val="bottom"/>
          </w:tcPr>
          <w:p w14:paraId="36CA20D8" w14:textId="77777777" w:rsidR="00787570" w:rsidRDefault="000D56E2">
            <w:pPr>
              <w:textAlignment w:val="bottom"/>
            </w:pPr>
            <w:r>
              <w:rPr>
                <w:rFonts w:ascii="Arial" w:eastAsia="宋体" w:hAnsi="Arial" w:cs="Arial"/>
                <w:b/>
                <w:bCs/>
                <w:color w:val="333333"/>
                <w:sz w:val="18"/>
                <w:szCs w:val="18"/>
              </w:rPr>
              <w:t>Three Mo</w:t>
            </w:r>
            <w:r>
              <w:rPr>
                <w:rFonts w:ascii="Arial" w:eastAsia="宋体" w:hAnsi="Arial" w:cs="Arial"/>
                <w:b/>
                <w:bCs/>
                <w:color w:val="333333"/>
                <w:sz w:val="18"/>
                <w:szCs w:val="18"/>
              </w:rPr>
              <w:t>nths Ended</w:t>
            </w:r>
          </w:p>
        </w:tc>
        <w:tc>
          <w:tcPr>
            <w:tcW w:w="0" w:type="auto"/>
            <w:gridSpan w:val="3"/>
            <w:tcBorders>
              <w:top w:val="single" w:sz="8" w:space="0" w:color="0071C5"/>
            </w:tcBorders>
            <w:shd w:val="clear" w:color="auto" w:fill="auto"/>
            <w:tcMar>
              <w:left w:w="20" w:type="dxa"/>
              <w:right w:w="20" w:type="dxa"/>
            </w:tcMar>
            <w:vAlign w:val="bottom"/>
          </w:tcPr>
          <w:p w14:paraId="36CA20D9" w14:textId="77777777" w:rsidR="00787570" w:rsidRDefault="00787570">
            <w:pPr>
              <w:rPr>
                <w:rFonts w:ascii="宋体"/>
              </w:rPr>
            </w:pPr>
          </w:p>
        </w:tc>
        <w:tc>
          <w:tcPr>
            <w:tcW w:w="0" w:type="auto"/>
            <w:gridSpan w:val="3"/>
            <w:tcBorders>
              <w:top w:val="single" w:sz="8" w:space="0" w:color="0071C5"/>
            </w:tcBorders>
            <w:shd w:val="clear" w:color="auto" w:fill="auto"/>
            <w:tcMar>
              <w:left w:w="20" w:type="dxa"/>
              <w:right w:w="20" w:type="dxa"/>
            </w:tcMar>
            <w:vAlign w:val="bottom"/>
          </w:tcPr>
          <w:p w14:paraId="36CA20DA" w14:textId="77777777" w:rsidR="00787570" w:rsidRDefault="00787570">
            <w:pPr>
              <w:rPr>
                <w:rFonts w:ascii="宋体"/>
              </w:rPr>
            </w:pPr>
          </w:p>
        </w:tc>
        <w:tc>
          <w:tcPr>
            <w:tcW w:w="0" w:type="auto"/>
            <w:gridSpan w:val="3"/>
            <w:tcBorders>
              <w:top w:val="single" w:sz="8" w:space="0" w:color="0071C5"/>
            </w:tcBorders>
            <w:shd w:val="clear" w:color="auto" w:fill="auto"/>
            <w:tcMar>
              <w:left w:w="20" w:type="dxa"/>
              <w:right w:w="20" w:type="dxa"/>
            </w:tcMar>
            <w:vAlign w:val="bottom"/>
          </w:tcPr>
          <w:p w14:paraId="36CA20DB" w14:textId="77777777" w:rsidR="00787570" w:rsidRDefault="00787570">
            <w:pPr>
              <w:rPr>
                <w:rFonts w:ascii="宋体"/>
              </w:rPr>
            </w:pPr>
          </w:p>
        </w:tc>
        <w:tc>
          <w:tcPr>
            <w:tcW w:w="0" w:type="auto"/>
            <w:gridSpan w:val="3"/>
            <w:tcBorders>
              <w:top w:val="single" w:sz="8" w:space="0" w:color="0071C5"/>
            </w:tcBorders>
            <w:shd w:val="clear" w:color="auto" w:fill="auto"/>
            <w:tcMar>
              <w:left w:w="20" w:type="dxa"/>
              <w:right w:w="20" w:type="dxa"/>
            </w:tcMar>
            <w:vAlign w:val="bottom"/>
          </w:tcPr>
          <w:p w14:paraId="36CA20DC" w14:textId="77777777" w:rsidR="00787570" w:rsidRDefault="00787570">
            <w:pPr>
              <w:rPr>
                <w:rFonts w:ascii="宋体"/>
              </w:rPr>
            </w:pPr>
          </w:p>
        </w:tc>
        <w:tc>
          <w:tcPr>
            <w:tcW w:w="0" w:type="auto"/>
            <w:gridSpan w:val="3"/>
            <w:tcBorders>
              <w:top w:val="single" w:sz="8" w:space="0" w:color="0071C5"/>
            </w:tcBorders>
            <w:shd w:val="clear" w:color="auto" w:fill="auto"/>
            <w:tcMar>
              <w:left w:w="20" w:type="dxa"/>
              <w:right w:w="20" w:type="dxa"/>
            </w:tcMar>
            <w:vAlign w:val="bottom"/>
          </w:tcPr>
          <w:p w14:paraId="36CA20DD" w14:textId="77777777" w:rsidR="00787570" w:rsidRDefault="00787570">
            <w:pPr>
              <w:rPr>
                <w:rFonts w:ascii="宋体"/>
              </w:rPr>
            </w:pPr>
          </w:p>
        </w:tc>
        <w:tc>
          <w:tcPr>
            <w:tcW w:w="0" w:type="auto"/>
            <w:gridSpan w:val="3"/>
            <w:tcBorders>
              <w:top w:val="single" w:sz="8" w:space="0" w:color="0071C5"/>
            </w:tcBorders>
            <w:shd w:val="clear" w:color="auto" w:fill="auto"/>
            <w:tcMar>
              <w:left w:w="20" w:type="dxa"/>
              <w:right w:w="20" w:type="dxa"/>
            </w:tcMar>
            <w:vAlign w:val="bottom"/>
          </w:tcPr>
          <w:p w14:paraId="36CA20DE" w14:textId="77777777" w:rsidR="00787570" w:rsidRDefault="00787570">
            <w:pPr>
              <w:rPr>
                <w:rFonts w:ascii="宋体"/>
              </w:rPr>
            </w:pPr>
          </w:p>
        </w:tc>
        <w:tc>
          <w:tcPr>
            <w:tcW w:w="0" w:type="auto"/>
            <w:gridSpan w:val="3"/>
            <w:tcBorders>
              <w:top w:val="single" w:sz="8" w:space="0" w:color="0071C5"/>
            </w:tcBorders>
            <w:shd w:val="clear" w:color="auto" w:fill="auto"/>
            <w:tcMar>
              <w:left w:w="20" w:type="dxa"/>
              <w:right w:w="20" w:type="dxa"/>
            </w:tcMar>
            <w:vAlign w:val="bottom"/>
          </w:tcPr>
          <w:p w14:paraId="36CA20DF" w14:textId="77777777" w:rsidR="00787570" w:rsidRDefault="00787570">
            <w:pPr>
              <w:rPr>
                <w:rFonts w:ascii="宋体"/>
              </w:rPr>
            </w:pPr>
          </w:p>
        </w:tc>
        <w:tc>
          <w:tcPr>
            <w:tcW w:w="0" w:type="auto"/>
            <w:gridSpan w:val="3"/>
            <w:tcBorders>
              <w:top w:val="single" w:sz="8" w:space="0" w:color="0071C5"/>
            </w:tcBorders>
            <w:shd w:val="clear" w:color="auto" w:fill="auto"/>
            <w:tcMar>
              <w:left w:w="20" w:type="dxa"/>
              <w:right w:w="20" w:type="dxa"/>
            </w:tcMar>
            <w:vAlign w:val="bottom"/>
          </w:tcPr>
          <w:p w14:paraId="36CA20E0" w14:textId="77777777" w:rsidR="00787570" w:rsidRDefault="00787570">
            <w:pPr>
              <w:rPr>
                <w:rFonts w:ascii="宋体"/>
              </w:rPr>
            </w:pPr>
          </w:p>
        </w:tc>
        <w:tc>
          <w:tcPr>
            <w:tcW w:w="0" w:type="auto"/>
            <w:gridSpan w:val="3"/>
            <w:tcBorders>
              <w:top w:val="single" w:sz="8" w:space="0" w:color="0071C5"/>
            </w:tcBorders>
            <w:shd w:val="clear" w:color="auto" w:fill="auto"/>
            <w:tcMar>
              <w:left w:w="20" w:type="dxa"/>
              <w:right w:w="20" w:type="dxa"/>
            </w:tcMar>
            <w:vAlign w:val="bottom"/>
          </w:tcPr>
          <w:p w14:paraId="36CA20E1" w14:textId="77777777" w:rsidR="00787570" w:rsidRDefault="00787570">
            <w:pPr>
              <w:rPr>
                <w:rFonts w:ascii="宋体"/>
              </w:rPr>
            </w:pPr>
          </w:p>
        </w:tc>
        <w:tc>
          <w:tcPr>
            <w:tcW w:w="0" w:type="auto"/>
            <w:gridSpan w:val="3"/>
            <w:tcBorders>
              <w:top w:val="single" w:sz="8" w:space="0" w:color="0071C5"/>
            </w:tcBorders>
            <w:shd w:val="clear" w:color="auto" w:fill="auto"/>
            <w:tcMar>
              <w:left w:w="20" w:type="dxa"/>
              <w:right w:w="20" w:type="dxa"/>
            </w:tcMar>
            <w:vAlign w:val="bottom"/>
          </w:tcPr>
          <w:p w14:paraId="36CA20E2" w14:textId="77777777" w:rsidR="00787570" w:rsidRDefault="00787570">
            <w:pPr>
              <w:rPr>
                <w:rFonts w:ascii="宋体"/>
              </w:rPr>
            </w:pPr>
          </w:p>
        </w:tc>
        <w:tc>
          <w:tcPr>
            <w:tcW w:w="0" w:type="auto"/>
            <w:shd w:val="clear" w:color="auto" w:fill="auto"/>
          </w:tcPr>
          <w:p w14:paraId="36CA20E3" w14:textId="77777777" w:rsidR="00787570" w:rsidRDefault="00787570">
            <w:pPr>
              <w:rPr>
                <w:rFonts w:ascii="宋体"/>
              </w:rPr>
            </w:pPr>
          </w:p>
        </w:tc>
        <w:tc>
          <w:tcPr>
            <w:tcW w:w="0" w:type="auto"/>
            <w:shd w:val="clear" w:color="auto" w:fill="auto"/>
          </w:tcPr>
          <w:p w14:paraId="36CA20E4" w14:textId="77777777" w:rsidR="00787570" w:rsidRDefault="00787570">
            <w:pPr>
              <w:rPr>
                <w:rFonts w:ascii="宋体"/>
              </w:rPr>
            </w:pPr>
          </w:p>
        </w:tc>
        <w:tc>
          <w:tcPr>
            <w:tcW w:w="0" w:type="auto"/>
            <w:shd w:val="clear" w:color="auto" w:fill="auto"/>
          </w:tcPr>
          <w:p w14:paraId="36CA20E5" w14:textId="77777777" w:rsidR="00787570" w:rsidRDefault="00787570">
            <w:pPr>
              <w:rPr>
                <w:rFonts w:ascii="宋体"/>
              </w:rPr>
            </w:pPr>
          </w:p>
        </w:tc>
        <w:tc>
          <w:tcPr>
            <w:tcW w:w="0" w:type="auto"/>
            <w:shd w:val="clear" w:color="auto" w:fill="auto"/>
          </w:tcPr>
          <w:p w14:paraId="36CA20E6" w14:textId="77777777" w:rsidR="00787570" w:rsidRDefault="00787570">
            <w:pPr>
              <w:rPr>
                <w:rFonts w:ascii="宋体"/>
              </w:rPr>
            </w:pPr>
          </w:p>
        </w:tc>
        <w:tc>
          <w:tcPr>
            <w:tcW w:w="0" w:type="auto"/>
            <w:shd w:val="clear" w:color="auto" w:fill="auto"/>
          </w:tcPr>
          <w:p w14:paraId="36CA20E7" w14:textId="77777777" w:rsidR="00787570" w:rsidRDefault="00787570">
            <w:pPr>
              <w:rPr>
                <w:rFonts w:ascii="宋体"/>
              </w:rPr>
            </w:pPr>
          </w:p>
        </w:tc>
        <w:tc>
          <w:tcPr>
            <w:tcW w:w="0" w:type="auto"/>
            <w:shd w:val="clear" w:color="auto" w:fill="auto"/>
          </w:tcPr>
          <w:p w14:paraId="36CA20E8" w14:textId="77777777" w:rsidR="00787570" w:rsidRDefault="00787570">
            <w:pPr>
              <w:rPr>
                <w:rFonts w:ascii="宋体"/>
              </w:rPr>
            </w:pPr>
          </w:p>
        </w:tc>
        <w:tc>
          <w:tcPr>
            <w:tcW w:w="0" w:type="auto"/>
            <w:shd w:val="clear" w:color="auto" w:fill="auto"/>
          </w:tcPr>
          <w:p w14:paraId="36CA20E9" w14:textId="77777777" w:rsidR="00787570" w:rsidRDefault="00787570">
            <w:pPr>
              <w:rPr>
                <w:rFonts w:ascii="宋体"/>
              </w:rPr>
            </w:pPr>
          </w:p>
        </w:tc>
        <w:tc>
          <w:tcPr>
            <w:tcW w:w="0" w:type="auto"/>
            <w:shd w:val="clear" w:color="auto" w:fill="auto"/>
          </w:tcPr>
          <w:p w14:paraId="36CA20EA" w14:textId="77777777" w:rsidR="00787570" w:rsidRDefault="00787570">
            <w:pPr>
              <w:rPr>
                <w:rFonts w:ascii="宋体"/>
              </w:rPr>
            </w:pPr>
          </w:p>
        </w:tc>
        <w:tc>
          <w:tcPr>
            <w:tcW w:w="0" w:type="auto"/>
            <w:shd w:val="clear" w:color="auto" w:fill="auto"/>
          </w:tcPr>
          <w:p w14:paraId="36CA20EB" w14:textId="77777777" w:rsidR="00787570" w:rsidRDefault="00787570">
            <w:pPr>
              <w:rPr>
                <w:rFonts w:ascii="宋体"/>
              </w:rPr>
            </w:pPr>
          </w:p>
        </w:tc>
      </w:tr>
      <w:tr w:rsidR="00787570" w14:paraId="36CA2101" w14:textId="77777777">
        <w:trPr>
          <w:trHeight w:val="60"/>
        </w:trPr>
        <w:tc>
          <w:tcPr>
            <w:tcW w:w="0" w:type="auto"/>
            <w:gridSpan w:val="3"/>
            <w:tcBorders>
              <w:top w:val="single" w:sz="8" w:space="0" w:color="0071C5"/>
            </w:tcBorders>
            <w:shd w:val="clear" w:color="auto" w:fill="auto"/>
            <w:tcMar>
              <w:left w:w="20" w:type="dxa"/>
              <w:right w:w="20" w:type="dxa"/>
            </w:tcMar>
            <w:vAlign w:val="bottom"/>
          </w:tcPr>
          <w:p w14:paraId="36CA20ED" w14:textId="77777777" w:rsidR="00787570" w:rsidRDefault="00787570">
            <w:pPr>
              <w:rPr>
                <w:rFonts w:ascii="宋体"/>
              </w:rPr>
            </w:pPr>
          </w:p>
        </w:tc>
        <w:tc>
          <w:tcPr>
            <w:tcW w:w="0" w:type="auto"/>
            <w:gridSpan w:val="3"/>
            <w:tcBorders>
              <w:top w:val="single" w:sz="8" w:space="0" w:color="0071C5"/>
            </w:tcBorders>
            <w:shd w:val="clear" w:color="auto" w:fill="auto"/>
            <w:tcMar>
              <w:left w:w="20" w:type="dxa"/>
              <w:right w:w="20" w:type="dxa"/>
            </w:tcMar>
            <w:vAlign w:val="bottom"/>
          </w:tcPr>
          <w:p w14:paraId="36CA20EE" w14:textId="77777777" w:rsidR="00787570" w:rsidRDefault="00787570">
            <w:pPr>
              <w:rPr>
                <w:rFonts w:ascii="宋体"/>
              </w:rPr>
            </w:pPr>
          </w:p>
        </w:tc>
        <w:tc>
          <w:tcPr>
            <w:tcW w:w="0" w:type="auto"/>
            <w:gridSpan w:val="3"/>
            <w:tcBorders>
              <w:top w:val="single" w:sz="8" w:space="0" w:color="0071C5"/>
            </w:tcBorders>
            <w:shd w:val="clear" w:color="auto" w:fill="auto"/>
            <w:tcMar>
              <w:left w:w="20" w:type="dxa"/>
              <w:right w:w="20" w:type="dxa"/>
            </w:tcMar>
            <w:vAlign w:val="bottom"/>
          </w:tcPr>
          <w:p w14:paraId="36CA20EF" w14:textId="77777777" w:rsidR="00787570" w:rsidRDefault="00787570">
            <w:pPr>
              <w:rPr>
                <w:rFonts w:ascii="宋体"/>
              </w:rPr>
            </w:pPr>
          </w:p>
        </w:tc>
        <w:tc>
          <w:tcPr>
            <w:tcW w:w="0" w:type="auto"/>
            <w:gridSpan w:val="3"/>
            <w:tcBorders>
              <w:top w:val="single" w:sz="8" w:space="0" w:color="0071C5"/>
            </w:tcBorders>
            <w:shd w:val="clear" w:color="auto" w:fill="auto"/>
            <w:tcMar>
              <w:left w:w="20" w:type="dxa"/>
              <w:right w:w="20" w:type="dxa"/>
            </w:tcMar>
            <w:vAlign w:val="bottom"/>
          </w:tcPr>
          <w:p w14:paraId="36CA20F0" w14:textId="77777777" w:rsidR="00787570" w:rsidRDefault="00787570">
            <w:pPr>
              <w:rPr>
                <w:rFonts w:ascii="宋体"/>
              </w:rPr>
            </w:pPr>
          </w:p>
        </w:tc>
        <w:tc>
          <w:tcPr>
            <w:tcW w:w="0" w:type="auto"/>
            <w:gridSpan w:val="3"/>
            <w:tcBorders>
              <w:top w:val="single" w:sz="8" w:space="0" w:color="0071C5"/>
            </w:tcBorders>
            <w:shd w:val="clear" w:color="auto" w:fill="auto"/>
            <w:tcMar>
              <w:left w:w="20" w:type="dxa"/>
              <w:right w:w="20" w:type="dxa"/>
            </w:tcMar>
            <w:vAlign w:val="bottom"/>
          </w:tcPr>
          <w:p w14:paraId="36CA20F1" w14:textId="77777777" w:rsidR="00787570" w:rsidRDefault="00787570">
            <w:pPr>
              <w:rPr>
                <w:rFonts w:ascii="宋体"/>
              </w:rPr>
            </w:pPr>
          </w:p>
        </w:tc>
        <w:tc>
          <w:tcPr>
            <w:tcW w:w="0" w:type="auto"/>
            <w:gridSpan w:val="3"/>
            <w:tcBorders>
              <w:top w:val="single" w:sz="8" w:space="0" w:color="0071C5"/>
            </w:tcBorders>
            <w:shd w:val="clear" w:color="auto" w:fill="auto"/>
            <w:tcMar>
              <w:left w:w="20" w:type="dxa"/>
              <w:right w:w="20" w:type="dxa"/>
            </w:tcMar>
            <w:vAlign w:val="bottom"/>
          </w:tcPr>
          <w:p w14:paraId="36CA20F2" w14:textId="77777777" w:rsidR="00787570" w:rsidRDefault="00787570">
            <w:pPr>
              <w:rPr>
                <w:rFonts w:ascii="宋体"/>
              </w:rPr>
            </w:pPr>
          </w:p>
        </w:tc>
        <w:tc>
          <w:tcPr>
            <w:tcW w:w="0" w:type="auto"/>
            <w:gridSpan w:val="3"/>
            <w:tcBorders>
              <w:top w:val="single" w:sz="8" w:space="0" w:color="0071C5"/>
            </w:tcBorders>
            <w:shd w:val="clear" w:color="auto" w:fill="auto"/>
            <w:tcMar>
              <w:left w:w="20" w:type="dxa"/>
              <w:right w:w="20" w:type="dxa"/>
            </w:tcMar>
            <w:vAlign w:val="bottom"/>
          </w:tcPr>
          <w:p w14:paraId="36CA20F3" w14:textId="77777777" w:rsidR="00787570" w:rsidRDefault="00787570">
            <w:pPr>
              <w:rPr>
                <w:rFonts w:ascii="宋体"/>
              </w:rPr>
            </w:pPr>
          </w:p>
        </w:tc>
        <w:tc>
          <w:tcPr>
            <w:tcW w:w="0" w:type="auto"/>
            <w:gridSpan w:val="3"/>
            <w:tcBorders>
              <w:top w:val="single" w:sz="8" w:space="0" w:color="0071C5"/>
            </w:tcBorders>
            <w:shd w:val="clear" w:color="auto" w:fill="auto"/>
            <w:tcMar>
              <w:left w:w="20" w:type="dxa"/>
              <w:right w:w="20" w:type="dxa"/>
            </w:tcMar>
            <w:vAlign w:val="bottom"/>
          </w:tcPr>
          <w:p w14:paraId="36CA20F4" w14:textId="77777777" w:rsidR="00787570" w:rsidRDefault="00787570">
            <w:pPr>
              <w:rPr>
                <w:rFonts w:ascii="宋体"/>
              </w:rPr>
            </w:pPr>
          </w:p>
        </w:tc>
        <w:tc>
          <w:tcPr>
            <w:tcW w:w="0" w:type="auto"/>
            <w:gridSpan w:val="3"/>
            <w:tcBorders>
              <w:top w:val="single" w:sz="8" w:space="0" w:color="0071C5"/>
            </w:tcBorders>
            <w:shd w:val="clear" w:color="auto" w:fill="auto"/>
            <w:tcMar>
              <w:left w:w="20" w:type="dxa"/>
              <w:right w:w="20" w:type="dxa"/>
            </w:tcMar>
            <w:vAlign w:val="bottom"/>
          </w:tcPr>
          <w:p w14:paraId="36CA20F5" w14:textId="77777777" w:rsidR="00787570" w:rsidRDefault="00787570">
            <w:pPr>
              <w:rPr>
                <w:rFonts w:ascii="宋体"/>
              </w:rPr>
            </w:pPr>
          </w:p>
        </w:tc>
        <w:tc>
          <w:tcPr>
            <w:tcW w:w="0" w:type="auto"/>
            <w:gridSpan w:val="3"/>
            <w:tcBorders>
              <w:top w:val="single" w:sz="8" w:space="0" w:color="0071C5"/>
            </w:tcBorders>
            <w:shd w:val="clear" w:color="auto" w:fill="auto"/>
            <w:tcMar>
              <w:left w:w="20" w:type="dxa"/>
              <w:right w:w="20" w:type="dxa"/>
            </w:tcMar>
            <w:vAlign w:val="bottom"/>
          </w:tcPr>
          <w:p w14:paraId="36CA20F6" w14:textId="77777777" w:rsidR="00787570" w:rsidRDefault="00787570">
            <w:pPr>
              <w:rPr>
                <w:rFonts w:ascii="宋体"/>
              </w:rPr>
            </w:pPr>
          </w:p>
        </w:tc>
        <w:tc>
          <w:tcPr>
            <w:tcW w:w="0" w:type="auto"/>
            <w:gridSpan w:val="3"/>
            <w:tcBorders>
              <w:top w:val="single" w:sz="8" w:space="0" w:color="0071C5"/>
            </w:tcBorders>
            <w:shd w:val="clear" w:color="auto" w:fill="auto"/>
            <w:tcMar>
              <w:left w:w="20" w:type="dxa"/>
              <w:right w:w="20" w:type="dxa"/>
            </w:tcMar>
            <w:vAlign w:val="bottom"/>
          </w:tcPr>
          <w:p w14:paraId="36CA20F7" w14:textId="77777777" w:rsidR="00787570" w:rsidRDefault="00787570">
            <w:pPr>
              <w:rPr>
                <w:rFonts w:ascii="宋体"/>
              </w:rPr>
            </w:pPr>
          </w:p>
        </w:tc>
        <w:tc>
          <w:tcPr>
            <w:tcW w:w="0" w:type="auto"/>
            <w:shd w:val="clear" w:color="auto" w:fill="auto"/>
          </w:tcPr>
          <w:p w14:paraId="36CA20F8" w14:textId="77777777" w:rsidR="00787570" w:rsidRDefault="00787570">
            <w:pPr>
              <w:rPr>
                <w:rFonts w:ascii="宋体"/>
              </w:rPr>
            </w:pPr>
          </w:p>
        </w:tc>
        <w:tc>
          <w:tcPr>
            <w:tcW w:w="0" w:type="auto"/>
            <w:shd w:val="clear" w:color="auto" w:fill="auto"/>
          </w:tcPr>
          <w:p w14:paraId="36CA20F9" w14:textId="77777777" w:rsidR="00787570" w:rsidRDefault="00787570">
            <w:pPr>
              <w:rPr>
                <w:rFonts w:ascii="宋体"/>
              </w:rPr>
            </w:pPr>
          </w:p>
        </w:tc>
        <w:tc>
          <w:tcPr>
            <w:tcW w:w="0" w:type="auto"/>
            <w:shd w:val="clear" w:color="auto" w:fill="auto"/>
          </w:tcPr>
          <w:p w14:paraId="36CA20FA" w14:textId="77777777" w:rsidR="00787570" w:rsidRDefault="00787570">
            <w:pPr>
              <w:rPr>
                <w:rFonts w:ascii="宋体"/>
              </w:rPr>
            </w:pPr>
          </w:p>
        </w:tc>
        <w:tc>
          <w:tcPr>
            <w:tcW w:w="0" w:type="auto"/>
            <w:shd w:val="clear" w:color="auto" w:fill="auto"/>
          </w:tcPr>
          <w:p w14:paraId="36CA20FB" w14:textId="77777777" w:rsidR="00787570" w:rsidRDefault="00787570">
            <w:pPr>
              <w:rPr>
                <w:rFonts w:ascii="宋体"/>
              </w:rPr>
            </w:pPr>
          </w:p>
        </w:tc>
        <w:tc>
          <w:tcPr>
            <w:tcW w:w="0" w:type="auto"/>
            <w:shd w:val="clear" w:color="auto" w:fill="auto"/>
          </w:tcPr>
          <w:p w14:paraId="36CA20FC" w14:textId="77777777" w:rsidR="00787570" w:rsidRDefault="00787570">
            <w:pPr>
              <w:rPr>
                <w:rFonts w:ascii="宋体"/>
              </w:rPr>
            </w:pPr>
          </w:p>
        </w:tc>
        <w:tc>
          <w:tcPr>
            <w:tcW w:w="0" w:type="auto"/>
            <w:shd w:val="clear" w:color="auto" w:fill="auto"/>
          </w:tcPr>
          <w:p w14:paraId="36CA20FD" w14:textId="77777777" w:rsidR="00787570" w:rsidRDefault="00787570">
            <w:pPr>
              <w:rPr>
                <w:rFonts w:ascii="宋体"/>
              </w:rPr>
            </w:pPr>
          </w:p>
        </w:tc>
        <w:tc>
          <w:tcPr>
            <w:tcW w:w="0" w:type="auto"/>
            <w:shd w:val="clear" w:color="auto" w:fill="auto"/>
          </w:tcPr>
          <w:p w14:paraId="36CA20FE" w14:textId="77777777" w:rsidR="00787570" w:rsidRDefault="00787570">
            <w:pPr>
              <w:rPr>
                <w:rFonts w:ascii="宋体"/>
              </w:rPr>
            </w:pPr>
          </w:p>
        </w:tc>
        <w:tc>
          <w:tcPr>
            <w:tcW w:w="0" w:type="auto"/>
            <w:shd w:val="clear" w:color="auto" w:fill="auto"/>
          </w:tcPr>
          <w:p w14:paraId="36CA20FF" w14:textId="77777777" w:rsidR="00787570" w:rsidRDefault="00787570">
            <w:pPr>
              <w:rPr>
                <w:rFonts w:ascii="宋体"/>
              </w:rPr>
            </w:pPr>
          </w:p>
        </w:tc>
        <w:tc>
          <w:tcPr>
            <w:tcW w:w="0" w:type="auto"/>
            <w:shd w:val="clear" w:color="auto" w:fill="auto"/>
          </w:tcPr>
          <w:p w14:paraId="36CA2100" w14:textId="77777777" w:rsidR="00787570" w:rsidRDefault="00787570">
            <w:pPr>
              <w:rPr>
                <w:rFonts w:ascii="宋体"/>
              </w:rPr>
            </w:pPr>
          </w:p>
        </w:tc>
      </w:tr>
      <w:tr w:rsidR="00787570" w14:paraId="36CA211F" w14:textId="77777777">
        <w:tc>
          <w:tcPr>
            <w:tcW w:w="0" w:type="auto"/>
            <w:gridSpan w:val="3"/>
            <w:shd w:val="clear" w:color="auto" w:fill="auto"/>
            <w:tcMar>
              <w:top w:w="40" w:type="dxa"/>
              <w:left w:w="20" w:type="dxa"/>
              <w:bottom w:w="40" w:type="dxa"/>
              <w:right w:w="20" w:type="dxa"/>
            </w:tcMar>
            <w:vAlign w:val="bottom"/>
          </w:tcPr>
          <w:p w14:paraId="36CA2102" w14:textId="77777777" w:rsidR="00787570" w:rsidRDefault="000D56E2">
            <w:pPr>
              <w:textAlignment w:val="bottom"/>
            </w:pPr>
            <w:r>
              <w:rPr>
                <w:rFonts w:ascii="Arial" w:eastAsia="宋体" w:hAnsi="Arial" w:cs="Arial"/>
                <w:b/>
                <w:bCs/>
                <w:color w:val="333333"/>
                <w:sz w:val="18"/>
                <w:szCs w:val="18"/>
              </w:rPr>
              <w:t>Balance as of June 27, 2020</w:t>
            </w:r>
          </w:p>
        </w:tc>
        <w:tc>
          <w:tcPr>
            <w:tcW w:w="0" w:type="auto"/>
            <w:gridSpan w:val="3"/>
            <w:shd w:val="clear" w:color="auto" w:fill="auto"/>
            <w:tcMar>
              <w:left w:w="20" w:type="dxa"/>
              <w:right w:w="20" w:type="dxa"/>
            </w:tcMar>
            <w:vAlign w:val="bottom"/>
          </w:tcPr>
          <w:p w14:paraId="36CA2103"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2104" w14:textId="77777777" w:rsidR="00787570" w:rsidRDefault="000D56E2">
            <w:pPr>
              <w:jc w:val="right"/>
              <w:textAlignment w:val="bottom"/>
            </w:pPr>
            <w:r>
              <w:rPr>
                <w:rFonts w:ascii="Arial" w:eastAsia="宋体" w:hAnsi="Arial" w:cs="Arial"/>
                <w:b/>
                <w:bCs/>
                <w:color w:val="333333"/>
                <w:sz w:val="18"/>
                <w:szCs w:val="18"/>
              </w:rPr>
              <w:t>4,253</w:t>
            </w:r>
            <w:r>
              <w:rPr>
                <w:rFonts w:ascii="Arial" w:eastAsia="宋体" w:hAnsi="Arial" w:cs="Arial"/>
                <w:color w:val="333333"/>
                <w:sz w:val="18"/>
                <w:szCs w:val="18"/>
              </w:rPr>
              <w:t> </w:t>
            </w:r>
          </w:p>
        </w:tc>
        <w:tc>
          <w:tcPr>
            <w:tcW w:w="0" w:type="auto"/>
            <w:shd w:val="clear" w:color="auto" w:fill="auto"/>
            <w:tcMar>
              <w:top w:w="40" w:type="dxa"/>
              <w:bottom w:w="40" w:type="dxa"/>
              <w:right w:w="20" w:type="dxa"/>
            </w:tcMar>
            <w:vAlign w:val="bottom"/>
          </w:tcPr>
          <w:p w14:paraId="36CA2105"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2106" w14:textId="77777777" w:rsidR="00787570" w:rsidRDefault="00787570">
            <w:pPr>
              <w:rPr>
                <w:rFonts w:ascii="宋体"/>
              </w:rPr>
            </w:pPr>
          </w:p>
        </w:tc>
        <w:tc>
          <w:tcPr>
            <w:tcW w:w="0" w:type="auto"/>
            <w:shd w:val="clear" w:color="auto" w:fill="auto"/>
            <w:tcMar>
              <w:top w:w="40" w:type="dxa"/>
              <w:left w:w="20" w:type="dxa"/>
              <w:bottom w:w="40" w:type="dxa"/>
            </w:tcMar>
            <w:vAlign w:val="bottom"/>
          </w:tcPr>
          <w:p w14:paraId="36CA2107" w14:textId="77777777" w:rsidR="00787570" w:rsidRDefault="000D56E2">
            <w:pPr>
              <w:textAlignment w:val="bottom"/>
            </w:pPr>
            <w:r>
              <w:rPr>
                <w:rFonts w:ascii="Arial" w:eastAsia="宋体" w:hAnsi="Arial" w:cs="Arial"/>
                <w:b/>
                <w:bCs/>
                <w:color w:val="333333"/>
                <w:sz w:val="18"/>
                <w:szCs w:val="18"/>
              </w:rPr>
              <w:t>$</w:t>
            </w:r>
          </w:p>
        </w:tc>
        <w:tc>
          <w:tcPr>
            <w:tcW w:w="0" w:type="auto"/>
            <w:shd w:val="clear" w:color="auto" w:fill="auto"/>
            <w:tcMar>
              <w:top w:w="40" w:type="dxa"/>
              <w:bottom w:w="40" w:type="dxa"/>
              <w:right w:w="0" w:type="dxa"/>
            </w:tcMar>
            <w:vAlign w:val="bottom"/>
          </w:tcPr>
          <w:p w14:paraId="36CA2108" w14:textId="77777777" w:rsidR="00787570" w:rsidRDefault="000D56E2">
            <w:pPr>
              <w:jc w:val="right"/>
              <w:textAlignment w:val="bottom"/>
            </w:pPr>
            <w:r>
              <w:rPr>
                <w:rFonts w:ascii="Arial" w:eastAsia="宋体" w:hAnsi="Arial" w:cs="Arial"/>
                <w:b/>
                <w:bCs/>
                <w:color w:val="333333"/>
                <w:sz w:val="18"/>
                <w:szCs w:val="18"/>
              </w:rPr>
              <w:t>25,516</w:t>
            </w:r>
            <w:r>
              <w:rPr>
                <w:rFonts w:ascii="Arial" w:eastAsia="宋体" w:hAnsi="Arial" w:cs="Arial"/>
                <w:color w:val="333333"/>
                <w:sz w:val="18"/>
                <w:szCs w:val="18"/>
              </w:rPr>
              <w:t> </w:t>
            </w:r>
          </w:p>
        </w:tc>
        <w:tc>
          <w:tcPr>
            <w:tcW w:w="0" w:type="auto"/>
            <w:shd w:val="clear" w:color="auto" w:fill="auto"/>
            <w:tcMar>
              <w:top w:w="40" w:type="dxa"/>
              <w:bottom w:w="40" w:type="dxa"/>
              <w:right w:w="20" w:type="dxa"/>
            </w:tcMar>
            <w:vAlign w:val="bottom"/>
          </w:tcPr>
          <w:p w14:paraId="36CA2109"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210A" w14:textId="77777777" w:rsidR="00787570" w:rsidRDefault="00787570">
            <w:pPr>
              <w:rPr>
                <w:rFonts w:ascii="宋体"/>
              </w:rPr>
            </w:pPr>
          </w:p>
        </w:tc>
        <w:tc>
          <w:tcPr>
            <w:tcW w:w="0" w:type="auto"/>
            <w:shd w:val="clear" w:color="auto" w:fill="auto"/>
            <w:tcMar>
              <w:top w:w="40" w:type="dxa"/>
              <w:left w:w="20" w:type="dxa"/>
              <w:bottom w:w="40" w:type="dxa"/>
            </w:tcMar>
            <w:vAlign w:val="bottom"/>
          </w:tcPr>
          <w:p w14:paraId="36CA210B" w14:textId="77777777" w:rsidR="00787570" w:rsidRDefault="000D56E2">
            <w:pPr>
              <w:textAlignment w:val="bottom"/>
            </w:pPr>
            <w:r>
              <w:rPr>
                <w:rFonts w:ascii="Arial" w:eastAsia="宋体" w:hAnsi="Arial" w:cs="Arial"/>
                <w:b/>
                <w:bCs/>
                <w:color w:val="333333"/>
                <w:sz w:val="18"/>
                <w:szCs w:val="18"/>
              </w:rPr>
              <w:t>$</w:t>
            </w:r>
          </w:p>
        </w:tc>
        <w:tc>
          <w:tcPr>
            <w:tcW w:w="0" w:type="auto"/>
            <w:shd w:val="clear" w:color="auto" w:fill="auto"/>
            <w:tcMar>
              <w:top w:w="40" w:type="dxa"/>
              <w:bottom w:w="40" w:type="dxa"/>
              <w:right w:w="0" w:type="dxa"/>
            </w:tcMar>
            <w:vAlign w:val="bottom"/>
          </w:tcPr>
          <w:p w14:paraId="36CA210C" w14:textId="77777777" w:rsidR="00787570" w:rsidRDefault="000D56E2">
            <w:pPr>
              <w:jc w:val="right"/>
              <w:textAlignment w:val="bottom"/>
            </w:pPr>
            <w:r>
              <w:rPr>
                <w:rFonts w:ascii="Arial" w:eastAsia="宋体" w:hAnsi="Arial" w:cs="Arial"/>
                <w:b/>
                <w:bCs/>
                <w:color w:val="333333"/>
                <w:sz w:val="18"/>
                <w:szCs w:val="18"/>
              </w:rPr>
              <w:t>(1,152)</w:t>
            </w:r>
          </w:p>
        </w:tc>
        <w:tc>
          <w:tcPr>
            <w:tcW w:w="0" w:type="auto"/>
            <w:shd w:val="clear" w:color="auto" w:fill="auto"/>
            <w:tcMar>
              <w:top w:w="40" w:type="dxa"/>
              <w:bottom w:w="40" w:type="dxa"/>
              <w:right w:w="20" w:type="dxa"/>
            </w:tcMar>
            <w:vAlign w:val="bottom"/>
          </w:tcPr>
          <w:p w14:paraId="36CA210D"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210E" w14:textId="77777777" w:rsidR="00787570" w:rsidRDefault="00787570">
            <w:pPr>
              <w:rPr>
                <w:rFonts w:ascii="宋体"/>
              </w:rPr>
            </w:pPr>
          </w:p>
        </w:tc>
        <w:tc>
          <w:tcPr>
            <w:tcW w:w="0" w:type="auto"/>
            <w:shd w:val="clear" w:color="auto" w:fill="auto"/>
            <w:tcMar>
              <w:top w:w="40" w:type="dxa"/>
              <w:left w:w="20" w:type="dxa"/>
              <w:bottom w:w="40" w:type="dxa"/>
            </w:tcMar>
            <w:vAlign w:val="bottom"/>
          </w:tcPr>
          <w:p w14:paraId="36CA210F" w14:textId="77777777" w:rsidR="00787570" w:rsidRDefault="000D56E2">
            <w:pPr>
              <w:textAlignment w:val="bottom"/>
            </w:pPr>
            <w:r>
              <w:rPr>
                <w:rFonts w:ascii="Arial" w:eastAsia="宋体" w:hAnsi="Arial" w:cs="Arial"/>
                <w:b/>
                <w:bCs/>
                <w:color w:val="333333"/>
                <w:sz w:val="18"/>
                <w:szCs w:val="18"/>
              </w:rPr>
              <w:t>$</w:t>
            </w:r>
          </w:p>
        </w:tc>
        <w:tc>
          <w:tcPr>
            <w:tcW w:w="0" w:type="auto"/>
            <w:shd w:val="clear" w:color="auto" w:fill="auto"/>
            <w:tcMar>
              <w:top w:w="40" w:type="dxa"/>
              <w:bottom w:w="40" w:type="dxa"/>
              <w:right w:w="0" w:type="dxa"/>
            </w:tcMar>
            <w:vAlign w:val="bottom"/>
          </w:tcPr>
          <w:p w14:paraId="36CA2110" w14:textId="77777777" w:rsidR="00787570" w:rsidRDefault="000D56E2">
            <w:pPr>
              <w:jc w:val="right"/>
              <w:textAlignment w:val="bottom"/>
            </w:pPr>
            <w:r>
              <w:rPr>
                <w:rFonts w:ascii="Arial" w:eastAsia="宋体" w:hAnsi="Arial" w:cs="Arial"/>
                <w:b/>
                <w:bCs/>
                <w:color w:val="333333"/>
                <w:sz w:val="18"/>
                <w:szCs w:val="18"/>
              </w:rPr>
              <w:t>57,646</w:t>
            </w:r>
            <w:r>
              <w:rPr>
                <w:rFonts w:ascii="Arial" w:eastAsia="宋体" w:hAnsi="Arial" w:cs="Arial"/>
                <w:color w:val="333333"/>
                <w:sz w:val="18"/>
                <w:szCs w:val="18"/>
              </w:rPr>
              <w:t> </w:t>
            </w:r>
          </w:p>
        </w:tc>
        <w:tc>
          <w:tcPr>
            <w:tcW w:w="0" w:type="auto"/>
            <w:shd w:val="clear" w:color="auto" w:fill="auto"/>
            <w:tcMar>
              <w:top w:w="40" w:type="dxa"/>
              <w:bottom w:w="40" w:type="dxa"/>
              <w:right w:w="20" w:type="dxa"/>
            </w:tcMar>
            <w:vAlign w:val="bottom"/>
          </w:tcPr>
          <w:p w14:paraId="36CA2111"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2112" w14:textId="77777777" w:rsidR="00787570" w:rsidRDefault="00787570">
            <w:pPr>
              <w:rPr>
                <w:rFonts w:ascii="宋体"/>
              </w:rPr>
            </w:pPr>
          </w:p>
        </w:tc>
        <w:tc>
          <w:tcPr>
            <w:tcW w:w="0" w:type="auto"/>
            <w:shd w:val="clear" w:color="auto" w:fill="auto"/>
            <w:tcMar>
              <w:top w:w="40" w:type="dxa"/>
              <w:left w:w="20" w:type="dxa"/>
              <w:bottom w:w="40" w:type="dxa"/>
            </w:tcMar>
            <w:vAlign w:val="bottom"/>
          </w:tcPr>
          <w:p w14:paraId="36CA2113" w14:textId="77777777" w:rsidR="00787570" w:rsidRDefault="000D56E2">
            <w:pPr>
              <w:textAlignment w:val="bottom"/>
            </w:pPr>
            <w:r>
              <w:rPr>
                <w:rFonts w:ascii="Arial" w:eastAsia="宋体" w:hAnsi="Arial" w:cs="Arial"/>
                <w:b/>
                <w:bCs/>
                <w:color w:val="333333"/>
                <w:sz w:val="18"/>
                <w:szCs w:val="18"/>
              </w:rPr>
              <w:t>$</w:t>
            </w:r>
          </w:p>
        </w:tc>
        <w:tc>
          <w:tcPr>
            <w:tcW w:w="0" w:type="auto"/>
            <w:shd w:val="clear" w:color="auto" w:fill="auto"/>
            <w:tcMar>
              <w:top w:w="40" w:type="dxa"/>
              <w:bottom w:w="40" w:type="dxa"/>
              <w:right w:w="0" w:type="dxa"/>
            </w:tcMar>
            <w:vAlign w:val="bottom"/>
          </w:tcPr>
          <w:p w14:paraId="36CA2114" w14:textId="77777777" w:rsidR="00787570" w:rsidRDefault="000D56E2">
            <w:pPr>
              <w:jc w:val="right"/>
              <w:textAlignment w:val="bottom"/>
            </w:pPr>
            <w:r>
              <w:rPr>
                <w:rFonts w:ascii="Arial" w:eastAsia="宋体" w:hAnsi="Arial" w:cs="Arial"/>
                <w:b/>
                <w:bCs/>
                <w:color w:val="333333"/>
                <w:sz w:val="18"/>
                <w:szCs w:val="18"/>
              </w:rPr>
              <w:t>82,010</w:t>
            </w:r>
            <w:r>
              <w:rPr>
                <w:rFonts w:ascii="Arial" w:eastAsia="宋体" w:hAnsi="Arial" w:cs="Arial"/>
                <w:color w:val="333333"/>
                <w:sz w:val="18"/>
                <w:szCs w:val="18"/>
              </w:rPr>
              <w:t> </w:t>
            </w:r>
          </w:p>
        </w:tc>
        <w:tc>
          <w:tcPr>
            <w:tcW w:w="0" w:type="auto"/>
            <w:shd w:val="clear" w:color="auto" w:fill="auto"/>
            <w:tcMar>
              <w:top w:w="40" w:type="dxa"/>
              <w:bottom w:w="40" w:type="dxa"/>
              <w:right w:w="20" w:type="dxa"/>
            </w:tcMar>
            <w:vAlign w:val="bottom"/>
          </w:tcPr>
          <w:p w14:paraId="36CA2115" w14:textId="77777777" w:rsidR="00787570" w:rsidRDefault="00787570">
            <w:pPr>
              <w:jc w:val="right"/>
              <w:rPr>
                <w:rFonts w:ascii="宋体"/>
              </w:rPr>
            </w:pPr>
          </w:p>
        </w:tc>
        <w:tc>
          <w:tcPr>
            <w:tcW w:w="0" w:type="auto"/>
            <w:shd w:val="clear" w:color="auto" w:fill="auto"/>
          </w:tcPr>
          <w:p w14:paraId="36CA2116" w14:textId="77777777" w:rsidR="00787570" w:rsidRDefault="00787570">
            <w:pPr>
              <w:rPr>
                <w:rFonts w:ascii="宋体"/>
              </w:rPr>
            </w:pPr>
          </w:p>
        </w:tc>
        <w:tc>
          <w:tcPr>
            <w:tcW w:w="0" w:type="auto"/>
            <w:shd w:val="clear" w:color="auto" w:fill="auto"/>
          </w:tcPr>
          <w:p w14:paraId="36CA2117" w14:textId="77777777" w:rsidR="00787570" w:rsidRDefault="00787570">
            <w:pPr>
              <w:rPr>
                <w:rFonts w:ascii="宋体"/>
              </w:rPr>
            </w:pPr>
          </w:p>
        </w:tc>
        <w:tc>
          <w:tcPr>
            <w:tcW w:w="0" w:type="auto"/>
            <w:shd w:val="clear" w:color="auto" w:fill="auto"/>
          </w:tcPr>
          <w:p w14:paraId="36CA2118" w14:textId="77777777" w:rsidR="00787570" w:rsidRDefault="00787570">
            <w:pPr>
              <w:rPr>
                <w:rFonts w:ascii="宋体"/>
              </w:rPr>
            </w:pPr>
          </w:p>
        </w:tc>
        <w:tc>
          <w:tcPr>
            <w:tcW w:w="0" w:type="auto"/>
            <w:shd w:val="clear" w:color="auto" w:fill="auto"/>
          </w:tcPr>
          <w:p w14:paraId="36CA2119" w14:textId="77777777" w:rsidR="00787570" w:rsidRDefault="00787570">
            <w:pPr>
              <w:rPr>
                <w:rFonts w:ascii="宋体"/>
              </w:rPr>
            </w:pPr>
          </w:p>
        </w:tc>
        <w:tc>
          <w:tcPr>
            <w:tcW w:w="0" w:type="auto"/>
            <w:shd w:val="clear" w:color="auto" w:fill="auto"/>
          </w:tcPr>
          <w:p w14:paraId="36CA211A" w14:textId="77777777" w:rsidR="00787570" w:rsidRDefault="00787570">
            <w:pPr>
              <w:rPr>
                <w:rFonts w:ascii="宋体"/>
              </w:rPr>
            </w:pPr>
          </w:p>
        </w:tc>
        <w:tc>
          <w:tcPr>
            <w:tcW w:w="0" w:type="auto"/>
            <w:shd w:val="clear" w:color="auto" w:fill="auto"/>
          </w:tcPr>
          <w:p w14:paraId="36CA211B" w14:textId="77777777" w:rsidR="00787570" w:rsidRDefault="00787570">
            <w:pPr>
              <w:rPr>
                <w:rFonts w:ascii="宋体"/>
              </w:rPr>
            </w:pPr>
          </w:p>
        </w:tc>
        <w:tc>
          <w:tcPr>
            <w:tcW w:w="0" w:type="auto"/>
            <w:shd w:val="clear" w:color="auto" w:fill="auto"/>
          </w:tcPr>
          <w:p w14:paraId="36CA211C" w14:textId="77777777" w:rsidR="00787570" w:rsidRDefault="00787570">
            <w:pPr>
              <w:rPr>
                <w:rFonts w:ascii="宋体"/>
              </w:rPr>
            </w:pPr>
          </w:p>
        </w:tc>
        <w:tc>
          <w:tcPr>
            <w:tcW w:w="0" w:type="auto"/>
            <w:shd w:val="clear" w:color="auto" w:fill="auto"/>
          </w:tcPr>
          <w:p w14:paraId="36CA211D" w14:textId="77777777" w:rsidR="00787570" w:rsidRDefault="00787570">
            <w:pPr>
              <w:rPr>
                <w:rFonts w:ascii="宋体"/>
              </w:rPr>
            </w:pPr>
          </w:p>
        </w:tc>
        <w:tc>
          <w:tcPr>
            <w:tcW w:w="0" w:type="auto"/>
            <w:shd w:val="clear" w:color="auto" w:fill="auto"/>
          </w:tcPr>
          <w:p w14:paraId="36CA211E" w14:textId="77777777" w:rsidR="00787570" w:rsidRDefault="00787570">
            <w:pPr>
              <w:rPr>
                <w:rFonts w:ascii="宋体"/>
              </w:rPr>
            </w:pPr>
          </w:p>
        </w:tc>
      </w:tr>
      <w:tr w:rsidR="00787570" w14:paraId="36CA2139" w14:textId="77777777">
        <w:tc>
          <w:tcPr>
            <w:tcW w:w="0" w:type="auto"/>
            <w:gridSpan w:val="3"/>
            <w:shd w:val="clear" w:color="auto" w:fill="auto"/>
            <w:tcMar>
              <w:top w:w="40" w:type="dxa"/>
              <w:left w:w="20" w:type="dxa"/>
              <w:bottom w:w="40" w:type="dxa"/>
              <w:right w:w="20" w:type="dxa"/>
            </w:tcMar>
            <w:vAlign w:val="bottom"/>
          </w:tcPr>
          <w:p w14:paraId="36CA2120" w14:textId="77777777" w:rsidR="00787570" w:rsidRDefault="000D56E2">
            <w:pPr>
              <w:textAlignment w:val="bottom"/>
            </w:pPr>
            <w:r>
              <w:rPr>
                <w:rFonts w:ascii="Arial" w:eastAsia="宋体" w:hAnsi="Arial" w:cs="Arial"/>
                <w:color w:val="333333"/>
                <w:sz w:val="18"/>
                <w:szCs w:val="18"/>
              </w:rPr>
              <w:t>Net income</w:t>
            </w:r>
          </w:p>
        </w:tc>
        <w:tc>
          <w:tcPr>
            <w:tcW w:w="0" w:type="auto"/>
            <w:gridSpan w:val="3"/>
            <w:shd w:val="clear" w:color="auto" w:fill="auto"/>
            <w:tcMar>
              <w:left w:w="20" w:type="dxa"/>
              <w:right w:w="20" w:type="dxa"/>
            </w:tcMar>
            <w:vAlign w:val="bottom"/>
          </w:tcPr>
          <w:p w14:paraId="36CA2121"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2122" w14:textId="77777777" w:rsidR="00787570" w:rsidRDefault="000D56E2">
            <w:pPr>
              <w:jc w:val="right"/>
              <w:textAlignment w:val="bottom"/>
            </w:pPr>
            <w:r>
              <w:rPr>
                <w:rFonts w:ascii="Arial" w:eastAsia="宋体" w:hAnsi="Arial" w:cs="Arial"/>
                <w:color w:val="0071C5"/>
                <w:sz w:val="18"/>
                <w:szCs w:val="18"/>
              </w:rPr>
              <w:t>— </w:t>
            </w:r>
          </w:p>
        </w:tc>
        <w:tc>
          <w:tcPr>
            <w:tcW w:w="0" w:type="auto"/>
            <w:shd w:val="clear" w:color="auto" w:fill="auto"/>
            <w:tcMar>
              <w:top w:w="40" w:type="dxa"/>
              <w:bottom w:w="40" w:type="dxa"/>
              <w:right w:w="20" w:type="dxa"/>
            </w:tcMar>
            <w:vAlign w:val="bottom"/>
          </w:tcPr>
          <w:p w14:paraId="36CA2123"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2124"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2125" w14:textId="77777777" w:rsidR="00787570" w:rsidRDefault="000D56E2">
            <w:pPr>
              <w:jc w:val="right"/>
              <w:textAlignment w:val="bottom"/>
            </w:pPr>
            <w:r>
              <w:rPr>
                <w:rFonts w:ascii="Arial" w:eastAsia="宋体" w:hAnsi="Arial" w:cs="Arial"/>
                <w:color w:val="0071C5"/>
                <w:sz w:val="18"/>
                <w:szCs w:val="18"/>
              </w:rPr>
              <w:t>— </w:t>
            </w:r>
          </w:p>
        </w:tc>
        <w:tc>
          <w:tcPr>
            <w:tcW w:w="0" w:type="auto"/>
            <w:shd w:val="clear" w:color="auto" w:fill="auto"/>
            <w:tcMar>
              <w:top w:w="40" w:type="dxa"/>
              <w:bottom w:w="40" w:type="dxa"/>
              <w:right w:w="20" w:type="dxa"/>
            </w:tcMar>
            <w:vAlign w:val="bottom"/>
          </w:tcPr>
          <w:p w14:paraId="36CA2126"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2127"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2128" w14:textId="77777777" w:rsidR="00787570" w:rsidRDefault="000D56E2">
            <w:pPr>
              <w:jc w:val="right"/>
              <w:textAlignment w:val="bottom"/>
            </w:pPr>
            <w:r>
              <w:rPr>
                <w:rFonts w:ascii="Arial" w:eastAsia="宋体" w:hAnsi="Arial" w:cs="Arial"/>
                <w:color w:val="0071C5"/>
                <w:sz w:val="18"/>
                <w:szCs w:val="18"/>
              </w:rPr>
              <w:t>— </w:t>
            </w:r>
          </w:p>
        </w:tc>
        <w:tc>
          <w:tcPr>
            <w:tcW w:w="0" w:type="auto"/>
            <w:shd w:val="clear" w:color="auto" w:fill="auto"/>
            <w:tcMar>
              <w:top w:w="40" w:type="dxa"/>
              <w:bottom w:w="40" w:type="dxa"/>
              <w:right w:w="20" w:type="dxa"/>
            </w:tcMar>
            <w:vAlign w:val="bottom"/>
          </w:tcPr>
          <w:p w14:paraId="36CA2129"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212A"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212B" w14:textId="77777777" w:rsidR="00787570" w:rsidRDefault="000D56E2">
            <w:pPr>
              <w:jc w:val="right"/>
              <w:textAlignment w:val="bottom"/>
            </w:pPr>
            <w:r>
              <w:rPr>
                <w:rFonts w:ascii="Arial" w:eastAsia="宋体" w:hAnsi="Arial" w:cs="Arial"/>
                <w:color w:val="0071C5"/>
                <w:sz w:val="18"/>
                <w:szCs w:val="18"/>
              </w:rPr>
              <w:t>4,276 </w:t>
            </w:r>
          </w:p>
        </w:tc>
        <w:tc>
          <w:tcPr>
            <w:tcW w:w="0" w:type="auto"/>
            <w:shd w:val="clear" w:color="auto" w:fill="auto"/>
            <w:tcMar>
              <w:top w:w="40" w:type="dxa"/>
              <w:bottom w:w="40" w:type="dxa"/>
              <w:right w:w="20" w:type="dxa"/>
            </w:tcMar>
            <w:vAlign w:val="bottom"/>
          </w:tcPr>
          <w:p w14:paraId="36CA212C"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212D"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212E" w14:textId="77777777" w:rsidR="00787570" w:rsidRDefault="000D56E2">
            <w:pPr>
              <w:jc w:val="right"/>
              <w:textAlignment w:val="bottom"/>
            </w:pPr>
            <w:r>
              <w:rPr>
                <w:rFonts w:ascii="Arial" w:eastAsia="宋体" w:hAnsi="Arial" w:cs="Arial"/>
                <w:color w:val="0071C5"/>
                <w:sz w:val="18"/>
                <w:szCs w:val="18"/>
              </w:rPr>
              <w:t>4,276 </w:t>
            </w:r>
          </w:p>
        </w:tc>
        <w:tc>
          <w:tcPr>
            <w:tcW w:w="0" w:type="auto"/>
            <w:shd w:val="clear" w:color="auto" w:fill="auto"/>
            <w:tcMar>
              <w:top w:w="40" w:type="dxa"/>
              <w:bottom w:w="40" w:type="dxa"/>
              <w:right w:w="20" w:type="dxa"/>
            </w:tcMar>
            <w:vAlign w:val="bottom"/>
          </w:tcPr>
          <w:p w14:paraId="36CA212F" w14:textId="77777777" w:rsidR="00787570" w:rsidRDefault="00787570">
            <w:pPr>
              <w:jc w:val="right"/>
              <w:rPr>
                <w:rFonts w:ascii="宋体"/>
              </w:rPr>
            </w:pPr>
          </w:p>
        </w:tc>
        <w:tc>
          <w:tcPr>
            <w:tcW w:w="0" w:type="auto"/>
            <w:shd w:val="clear" w:color="auto" w:fill="auto"/>
          </w:tcPr>
          <w:p w14:paraId="36CA2130" w14:textId="77777777" w:rsidR="00787570" w:rsidRDefault="00787570">
            <w:pPr>
              <w:rPr>
                <w:rFonts w:ascii="宋体"/>
              </w:rPr>
            </w:pPr>
          </w:p>
        </w:tc>
        <w:tc>
          <w:tcPr>
            <w:tcW w:w="0" w:type="auto"/>
            <w:shd w:val="clear" w:color="auto" w:fill="auto"/>
          </w:tcPr>
          <w:p w14:paraId="36CA2131" w14:textId="77777777" w:rsidR="00787570" w:rsidRDefault="00787570">
            <w:pPr>
              <w:rPr>
                <w:rFonts w:ascii="宋体"/>
              </w:rPr>
            </w:pPr>
          </w:p>
        </w:tc>
        <w:tc>
          <w:tcPr>
            <w:tcW w:w="0" w:type="auto"/>
            <w:shd w:val="clear" w:color="auto" w:fill="auto"/>
          </w:tcPr>
          <w:p w14:paraId="36CA2132" w14:textId="77777777" w:rsidR="00787570" w:rsidRDefault="00787570">
            <w:pPr>
              <w:rPr>
                <w:rFonts w:ascii="宋体"/>
              </w:rPr>
            </w:pPr>
          </w:p>
        </w:tc>
        <w:tc>
          <w:tcPr>
            <w:tcW w:w="0" w:type="auto"/>
            <w:shd w:val="clear" w:color="auto" w:fill="auto"/>
          </w:tcPr>
          <w:p w14:paraId="36CA2133" w14:textId="77777777" w:rsidR="00787570" w:rsidRDefault="00787570">
            <w:pPr>
              <w:rPr>
                <w:rFonts w:ascii="宋体"/>
              </w:rPr>
            </w:pPr>
          </w:p>
        </w:tc>
        <w:tc>
          <w:tcPr>
            <w:tcW w:w="0" w:type="auto"/>
            <w:shd w:val="clear" w:color="auto" w:fill="auto"/>
          </w:tcPr>
          <w:p w14:paraId="36CA2134" w14:textId="77777777" w:rsidR="00787570" w:rsidRDefault="00787570">
            <w:pPr>
              <w:rPr>
                <w:rFonts w:ascii="宋体"/>
              </w:rPr>
            </w:pPr>
          </w:p>
        </w:tc>
        <w:tc>
          <w:tcPr>
            <w:tcW w:w="0" w:type="auto"/>
            <w:shd w:val="clear" w:color="auto" w:fill="auto"/>
          </w:tcPr>
          <w:p w14:paraId="36CA2135" w14:textId="77777777" w:rsidR="00787570" w:rsidRDefault="00787570">
            <w:pPr>
              <w:rPr>
                <w:rFonts w:ascii="宋体"/>
              </w:rPr>
            </w:pPr>
          </w:p>
        </w:tc>
        <w:tc>
          <w:tcPr>
            <w:tcW w:w="0" w:type="auto"/>
            <w:shd w:val="clear" w:color="auto" w:fill="auto"/>
          </w:tcPr>
          <w:p w14:paraId="36CA2136" w14:textId="77777777" w:rsidR="00787570" w:rsidRDefault="00787570">
            <w:pPr>
              <w:rPr>
                <w:rFonts w:ascii="宋体"/>
              </w:rPr>
            </w:pPr>
          </w:p>
        </w:tc>
        <w:tc>
          <w:tcPr>
            <w:tcW w:w="0" w:type="auto"/>
            <w:shd w:val="clear" w:color="auto" w:fill="auto"/>
          </w:tcPr>
          <w:p w14:paraId="36CA2137" w14:textId="77777777" w:rsidR="00787570" w:rsidRDefault="00787570">
            <w:pPr>
              <w:rPr>
                <w:rFonts w:ascii="宋体"/>
              </w:rPr>
            </w:pPr>
          </w:p>
        </w:tc>
        <w:tc>
          <w:tcPr>
            <w:tcW w:w="0" w:type="auto"/>
            <w:shd w:val="clear" w:color="auto" w:fill="auto"/>
          </w:tcPr>
          <w:p w14:paraId="36CA2138" w14:textId="77777777" w:rsidR="00787570" w:rsidRDefault="00787570">
            <w:pPr>
              <w:rPr>
                <w:rFonts w:ascii="宋体"/>
              </w:rPr>
            </w:pPr>
          </w:p>
        </w:tc>
      </w:tr>
      <w:tr w:rsidR="00787570" w14:paraId="36CA2153" w14:textId="77777777">
        <w:tc>
          <w:tcPr>
            <w:tcW w:w="0" w:type="auto"/>
            <w:gridSpan w:val="3"/>
            <w:shd w:val="clear" w:color="auto" w:fill="auto"/>
            <w:tcMar>
              <w:top w:w="40" w:type="dxa"/>
              <w:left w:w="20" w:type="dxa"/>
              <w:bottom w:w="40" w:type="dxa"/>
              <w:right w:w="20" w:type="dxa"/>
            </w:tcMar>
            <w:vAlign w:val="bottom"/>
          </w:tcPr>
          <w:p w14:paraId="36CA213A" w14:textId="77777777" w:rsidR="00787570" w:rsidRDefault="000D56E2">
            <w:pPr>
              <w:textAlignment w:val="bottom"/>
            </w:pPr>
            <w:r>
              <w:rPr>
                <w:rFonts w:ascii="Arial" w:eastAsia="宋体" w:hAnsi="Arial" w:cs="Arial"/>
                <w:color w:val="333333"/>
                <w:sz w:val="18"/>
                <w:szCs w:val="18"/>
              </w:rPr>
              <w:t>Other comprehensive income (loss)</w:t>
            </w:r>
          </w:p>
        </w:tc>
        <w:tc>
          <w:tcPr>
            <w:tcW w:w="0" w:type="auto"/>
            <w:gridSpan w:val="3"/>
            <w:shd w:val="clear" w:color="auto" w:fill="auto"/>
            <w:tcMar>
              <w:left w:w="20" w:type="dxa"/>
              <w:right w:w="20" w:type="dxa"/>
            </w:tcMar>
            <w:vAlign w:val="bottom"/>
          </w:tcPr>
          <w:p w14:paraId="36CA213B"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213C" w14:textId="77777777" w:rsidR="00787570" w:rsidRDefault="000D56E2">
            <w:pPr>
              <w:jc w:val="right"/>
              <w:textAlignment w:val="bottom"/>
            </w:pPr>
            <w:r>
              <w:rPr>
                <w:rFonts w:ascii="Arial" w:eastAsia="宋体" w:hAnsi="Arial" w:cs="Arial"/>
                <w:color w:val="0071C5"/>
                <w:sz w:val="18"/>
                <w:szCs w:val="18"/>
              </w:rPr>
              <w:t>— </w:t>
            </w:r>
          </w:p>
        </w:tc>
        <w:tc>
          <w:tcPr>
            <w:tcW w:w="0" w:type="auto"/>
            <w:shd w:val="clear" w:color="auto" w:fill="auto"/>
            <w:tcMar>
              <w:top w:w="40" w:type="dxa"/>
              <w:bottom w:w="40" w:type="dxa"/>
              <w:right w:w="20" w:type="dxa"/>
            </w:tcMar>
            <w:vAlign w:val="bottom"/>
          </w:tcPr>
          <w:p w14:paraId="36CA213D"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213E"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213F" w14:textId="77777777" w:rsidR="00787570" w:rsidRDefault="000D56E2">
            <w:pPr>
              <w:jc w:val="right"/>
              <w:textAlignment w:val="bottom"/>
            </w:pPr>
            <w:r>
              <w:rPr>
                <w:rFonts w:ascii="Arial" w:eastAsia="宋体" w:hAnsi="Arial" w:cs="Arial"/>
                <w:color w:val="0071C5"/>
                <w:sz w:val="18"/>
                <w:szCs w:val="18"/>
              </w:rPr>
              <w:t>— </w:t>
            </w:r>
          </w:p>
        </w:tc>
        <w:tc>
          <w:tcPr>
            <w:tcW w:w="0" w:type="auto"/>
            <w:shd w:val="clear" w:color="auto" w:fill="auto"/>
            <w:tcMar>
              <w:top w:w="40" w:type="dxa"/>
              <w:bottom w:w="40" w:type="dxa"/>
              <w:right w:w="20" w:type="dxa"/>
            </w:tcMar>
            <w:vAlign w:val="bottom"/>
          </w:tcPr>
          <w:p w14:paraId="36CA2140"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2141"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2142" w14:textId="77777777" w:rsidR="00787570" w:rsidRDefault="000D56E2">
            <w:pPr>
              <w:jc w:val="right"/>
              <w:textAlignment w:val="bottom"/>
            </w:pPr>
            <w:r>
              <w:rPr>
                <w:rFonts w:ascii="Arial" w:eastAsia="宋体" w:hAnsi="Arial" w:cs="Arial"/>
                <w:color w:val="0071C5"/>
                <w:sz w:val="18"/>
                <w:szCs w:val="18"/>
              </w:rPr>
              <w:t>212 </w:t>
            </w:r>
          </w:p>
        </w:tc>
        <w:tc>
          <w:tcPr>
            <w:tcW w:w="0" w:type="auto"/>
            <w:shd w:val="clear" w:color="auto" w:fill="auto"/>
            <w:tcMar>
              <w:top w:w="40" w:type="dxa"/>
              <w:bottom w:w="40" w:type="dxa"/>
              <w:right w:w="20" w:type="dxa"/>
            </w:tcMar>
            <w:vAlign w:val="bottom"/>
          </w:tcPr>
          <w:p w14:paraId="36CA2143"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2144"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2145" w14:textId="77777777" w:rsidR="00787570" w:rsidRDefault="000D56E2">
            <w:pPr>
              <w:jc w:val="right"/>
              <w:textAlignment w:val="bottom"/>
            </w:pPr>
            <w:r>
              <w:rPr>
                <w:rFonts w:ascii="Arial" w:eastAsia="宋体" w:hAnsi="Arial" w:cs="Arial"/>
                <w:color w:val="0071C5"/>
                <w:sz w:val="18"/>
                <w:szCs w:val="18"/>
              </w:rPr>
              <w:t>— </w:t>
            </w:r>
          </w:p>
        </w:tc>
        <w:tc>
          <w:tcPr>
            <w:tcW w:w="0" w:type="auto"/>
            <w:shd w:val="clear" w:color="auto" w:fill="auto"/>
            <w:tcMar>
              <w:top w:w="40" w:type="dxa"/>
              <w:bottom w:w="40" w:type="dxa"/>
              <w:right w:w="20" w:type="dxa"/>
            </w:tcMar>
            <w:vAlign w:val="bottom"/>
          </w:tcPr>
          <w:p w14:paraId="36CA2146"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2147"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2148" w14:textId="77777777" w:rsidR="00787570" w:rsidRDefault="000D56E2">
            <w:pPr>
              <w:jc w:val="right"/>
              <w:textAlignment w:val="bottom"/>
            </w:pPr>
            <w:r>
              <w:rPr>
                <w:rFonts w:ascii="Arial" w:eastAsia="宋体" w:hAnsi="Arial" w:cs="Arial"/>
                <w:color w:val="0071C5"/>
                <w:sz w:val="18"/>
                <w:szCs w:val="18"/>
              </w:rPr>
              <w:t>212 </w:t>
            </w:r>
          </w:p>
        </w:tc>
        <w:tc>
          <w:tcPr>
            <w:tcW w:w="0" w:type="auto"/>
            <w:shd w:val="clear" w:color="auto" w:fill="auto"/>
            <w:tcMar>
              <w:top w:w="40" w:type="dxa"/>
              <w:bottom w:w="40" w:type="dxa"/>
              <w:right w:w="20" w:type="dxa"/>
            </w:tcMar>
            <w:vAlign w:val="bottom"/>
          </w:tcPr>
          <w:p w14:paraId="36CA2149" w14:textId="77777777" w:rsidR="00787570" w:rsidRDefault="00787570">
            <w:pPr>
              <w:jc w:val="right"/>
              <w:rPr>
                <w:rFonts w:ascii="宋体"/>
              </w:rPr>
            </w:pPr>
          </w:p>
        </w:tc>
        <w:tc>
          <w:tcPr>
            <w:tcW w:w="0" w:type="auto"/>
            <w:shd w:val="clear" w:color="auto" w:fill="auto"/>
          </w:tcPr>
          <w:p w14:paraId="36CA214A" w14:textId="77777777" w:rsidR="00787570" w:rsidRDefault="00787570">
            <w:pPr>
              <w:rPr>
                <w:rFonts w:ascii="宋体"/>
              </w:rPr>
            </w:pPr>
          </w:p>
        </w:tc>
        <w:tc>
          <w:tcPr>
            <w:tcW w:w="0" w:type="auto"/>
            <w:shd w:val="clear" w:color="auto" w:fill="auto"/>
          </w:tcPr>
          <w:p w14:paraId="36CA214B" w14:textId="77777777" w:rsidR="00787570" w:rsidRDefault="00787570">
            <w:pPr>
              <w:rPr>
                <w:rFonts w:ascii="宋体"/>
              </w:rPr>
            </w:pPr>
          </w:p>
        </w:tc>
        <w:tc>
          <w:tcPr>
            <w:tcW w:w="0" w:type="auto"/>
            <w:shd w:val="clear" w:color="auto" w:fill="auto"/>
          </w:tcPr>
          <w:p w14:paraId="36CA214C" w14:textId="77777777" w:rsidR="00787570" w:rsidRDefault="00787570">
            <w:pPr>
              <w:rPr>
                <w:rFonts w:ascii="宋体"/>
              </w:rPr>
            </w:pPr>
          </w:p>
        </w:tc>
        <w:tc>
          <w:tcPr>
            <w:tcW w:w="0" w:type="auto"/>
            <w:shd w:val="clear" w:color="auto" w:fill="auto"/>
          </w:tcPr>
          <w:p w14:paraId="36CA214D" w14:textId="77777777" w:rsidR="00787570" w:rsidRDefault="00787570">
            <w:pPr>
              <w:rPr>
                <w:rFonts w:ascii="宋体"/>
              </w:rPr>
            </w:pPr>
          </w:p>
        </w:tc>
        <w:tc>
          <w:tcPr>
            <w:tcW w:w="0" w:type="auto"/>
            <w:shd w:val="clear" w:color="auto" w:fill="auto"/>
          </w:tcPr>
          <w:p w14:paraId="36CA214E" w14:textId="77777777" w:rsidR="00787570" w:rsidRDefault="00787570">
            <w:pPr>
              <w:rPr>
                <w:rFonts w:ascii="宋体"/>
              </w:rPr>
            </w:pPr>
          </w:p>
        </w:tc>
        <w:tc>
          <w:tcPr>
            <w:tcW w:w="0" w:type="auto"/>
            <w:shd w:val="clear" w:color="auto" w:fill="auto"/>
          </w:tcPr>
          <w:p w14:paraId="36CA214F" w14:textId="77777777" w:rsidR="00787570" w:rsidRDefault="00787570">
            <w:pPr>
              <w:rPr>
                <w:rFonts w:ascii="宋体"/>
              </w:rPr>
            </w:pPr>
          </w:p>
        </w:tc>
        <w:tc>
          <w:tcPr>
            <w:tcW w:w="0" w:type="auto"/>
            <w:shd w:val="clear" w:color="auto" w:fill="auto"/>
          </w:tcPr>
          <w:p w14:paraId="36CA2150" w14:textId="77777777" w:rsidR="00787570" w:rsidRDefault="00787570">
            <w:pPr>
              <w:rPr>
                <w:rFonts w:ascii="宋体"/>
              </w:rPr>
            </w:pPr>
          </w:p>
        </w:tc>
        <w:tc>
          <w:tcPr>
            <w:tcW w:w="0" w:type="auto"/>
            <w:shd w:val="clear" w:color="auto" w:fill="auto"/>
          </w:tcPr>
          <w:p w14:paraId="36CA2151" w14:textId="77777777" w:rsidR="00787570" w:rsidRDefault="00787570">
            <w:pPr>
              <w:rPr>
                <w:rFonts w:ascii="宋体"/>
              </w:rPr>
            </w:pPr>
          </w:p>
        </w:tc>
        <w:tc>
          <w:tcPr>
            <w:tcW w:w="0" w:type="auto"/>
            <w:shd w:val="clear" w:color="auto" w:fill="auto"/>
          </w:tcPr>
          <w:p w14:paraId="36CA2152" w14:textId="77777777" w:rsidR="00787570" w:rsidRDefault="00787570">
            <w:pPr>
              <w:rPr>
                <w:rFonts w:ascii="宋体"/>
              </w:rPr>
            </w:pPr>
          </w:p>
        </w:tc>
      </w:tr>
      <w:tr w:rsidR="00787570" w14:paraId="36CA216D" w14:textId="77777777">
        <w:tc>
          <w:tcPr>
            <w:tcW w:w="0" w:type="auto"/>
            <w:gridSpan w:val="3"/>
            <w:shd w:val="clear" w:color="auto" w:fill="auto"/>
            <w:tcMar>
              <w:top w:w="40" w:type="dxa"/>
              <w:left w:w="20" w:type="dxa"/>
              <w:bottom w:w="40" w:type="dxa"/>
              <w:right w:w="20" w:type="dxa"/>
            </w:tcMar>
            <w:vAlign w:val="bottom"/>
          </w:tcPr>
          <w:p w14:paraId="36CA2154" w14:textId="77777777" w:rsidR="00787570" w:rsidRDefault="000D56E2">
            <w:pPr>
              <w:textAlignment w:val="bottom"/>
            </w:pPr>
            <w:r>
              <w:rPr>
                <w:rFonts w:ascii="Arial" w:eastAsia="宋体" w:hAnsi="Arial" w:cs="Arial"/>
                <w:color w:val="333333"/>
                <w:sz w:val="18"/>
                <w:szCs w:val="18"/>
              </w:rPr>
              <w:t>Employee equity incentive plans and other</w:t>
            </w:r>
          </w:p>
        </w:tc>
        <w:tc>
          <w:tcPr>
            <w:tcW w:w="0" w:type="auto"/>
            <w:gridSpan w:val="3"/>
            <w:shd w:val="clear" w:color="auto" w:fill="auto"/>
            <w:tcMar>
              <w:left w:w="20" w:type="dxa"/>
              <w:right w:w="20" w:type="dxa"/>
            </w:tcMar>
            <w:vAlign w:val="bottom"/>
          </w:tcPr>
          <w:p w14:paraId="36CA2155"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2156" w14:textId="77777777" w:rsidR="00787570" w:rsidRDefault="000D56E2">
            <w:pPr>
              <w:jc w:val="right"/>
              <w:textAlignment w:val="bottom"/>
            </w:pPr>
            <w:r>
              <w:rPr>
                <w:rFonts w:ascii="Arial" w:eastAsia="宋体" w:hAnsi="Arial" w:cs="Arial"/>
                <w:color w:val="0071C5"/>
                <w:sz w:val="18"/>
                <w:szCs w:val="18"/>
              </w:rPr>
              <w:t>12 </w:t>
            </w:r>
          </w:p>
        </w:tc>
        <w:tc>
          <w:tcPr>
            <w:tcW w:w="0" w:type="auto"/>
            <w:shd w:val="clear" w:color="auto" w:fill="auto"/>
            <w:tcMar>
              <w:top w:w="40" w:type="dxa"/>
              <w:bottom w:w="40" w:type="dxa"/>
              <w:right w:w="20" w:type="dxa"/>
            </w:tcMar>
            <w:vAlign w:val="bottom"/>
          </w:tcPr>
          <w:p w14:paraId="36CA2157"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2158"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2159" w14:textId="77777777" w:rsidR="00787570" w:rsidRDefault="000D56E2">
            <w:pPr>
              <w:jc w:val="right"/>
              <w:textAlignment w:val="bottom"/>
            </w:pPr>
            <w:r>
              <w:rPr>
                <w:rFonts w:ascii="Arial" w:eastAsia="宋体" w:hAnsi="Arial" w:cs="Arial"/>
                <w:color w:val="0071C5"/>
                <w:sz w:val="18"/>
                <w:szCs w:val="18"/>
              </w:rPr>
              <w:t>385 </w:t>
            </w:r>
          </w:p>
        </w:tc>
        <w:tc>
          <w:tcPr>
            <w:tcW w:w="0" w:type="auto"/>
            <w:shd w:val="clear" w:color="auto" w:fill="auto"/>
            <w:tcMar>
              <w:top w:w="40" w:type="dxa"/>
              <w:bottom w:w="40" w:type="dxa"/>
              <w:right w:w="20" w:type="dxa"/>
            </w:tcMar>
            <w:vAlign w:val="bottom"/>
          </w:tcPr>
          <w:p w14:paraId="36CA215A"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215B"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215C" w14:textId="77777777" w:rsidR="00787570" w:rsidRDefault="000D56E2">
            <w:pPr>
              <w:jc w:val="right"/>
              <w:textAlignment w:val="bottom"/>
            </w:pPr>
            <w:r>
              <w:rPr>
                <w:rFonts w:ascii="Arial" w:eastAsia="宋体" w:hAnsi="Arial" w:cs="Arial"/>
                <w:color w:val="0071C5"/>
                <w:sz w:val="18"/>
                <w:szCs w:val="18"/>
              </w:rPr>
              <w:t>— </w:t>
            </w:r>
          </w:p>
        </w:tc>
        <w:tc>
          <w:tcPr>
            <w:tcW w:w="0" w:type="auto"/>
            <w:shd w:val="clear" w:color="auto" w:fill="auto"/>
            <w:tcMar>
              <w:top w:w="40" w:type="dxa"/>
              <w:bottom w:w="40" w:type="dxa"/>
              <w:right w:w="20" w:type="dxa"/>
            </w:tcMar>
            <w:vAlign w:val="bottom"/>
          </w:tcPr>
          <w:p w14:paraId="36CA215D"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215E"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215F" w14:textId="77777777" w:rsidR="00787570" w:rsidRDefault="000D56E2">
            <w:pPr>
              <w:jc w:val="right"/>
              <w:textAlignment w:val="bottom"/>
            </w:pPr>
            <w:r>
              <w:rPr>
                <w:rFonts w:ascii="Arial" w:eastAsia="宋体" w:hAnsi="Arial" w:cs="Arial"/>
                <w:color w:val="0071C5"/>
                <w:sz w:val="18"/>
                <w:szCs w:val="18"/>
              </w:rPr>
              <w:t>— </w:t>
            </w:r>
          </w:p>
        </w:tc>
        <w:tc>
          <w:tcPr>
            <w:tcW w:w="0" w:type="auto"/>
            <w:shd w:val="clear" w:color="auto" w:fill="auto"/>
            <w:tcMar>
              <w:top w:w="40" w:type="dxa"/>
              <w:bottom w:w="40" w:type="dxa"/>
              <w:right w:w="20" w:type="dxa"/>
            </w:tcMar>
            <w:vAlign w:val="bottom"/>
          </w:tcPr>
          <w:p w14:paraId="36CA2160"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2161"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2162" w14:textId="77777777" w:rsidR="00787570" w:rsidRDefault="000D56E2">
            <w:pPr>
              <w:jc w:val="right"/>
              <w:textAlignment w:val="bottom"/>
            </w:pPr>
            <w:r>
              <w:rPr>
                <w:rFonts w:ascii="Arial" w:eastAsia="宋体" w:hAnsi="Arial" w:cs="Arial"/>
                <w:color w:val="0071C5"/>
                <w:sz w:val="18"/>
                <w:szCs w:val="18"/>
              </w:rPr>
              <w:t>385 </w:t>
            </w:r>
          </w:p>
        </w:tc>
        <w:tc>
          <w:tcPr>
            <w:tcW w:w="0" w:type="auto"/>
            <w:shd w:val="clear" w:color="auto" w:fill="auto"/>
            <w:tcMar>
              <w:top w:w="40" w:type="dxa"/>
              <w:bottom w:w="40" w:type="dxa"/>
              <w:right w:w="20" w:type="dxa"/>
            </w:tcMar>
            <w:vAlign w:val="bottom"/>
          </w:tcPr>
          <w:p w14:paraId="36CA2163" w14:textId="77777777" w:rsidR="00787570" w:rsidRDefault="00787570">
            <w:pPr>
              <w:jc w:val="right"/>
              <w:rPr>
                <w:rFonts w:ascii="宋体"/>
              </w:rPr>
            </w:pPr>
          </w:p>
        </w:tc>
        <w:tc>
          <w:tcPr>
            <w:tcW w:w="0" w:type="auto"/>
            <w:shd w:val="clear" w:color="auto" w:fill="auto"/>
          </w:tcPr>
          <w:p w14:paraId="36CA2164" w14:textId="77777777" w:rsidR="00787570" w:rsidRDefault="00787570">
            <w:pPr>
              <w:rPr>
                <w:rFonts w:ascii="宋体"/>
              </w:rPr>
            </w:pPr>
          </w:p>
        </w:tc>
        <w:tc>
          <w:tcPr>
            <w:tcW w:w="0" w:type="auto"/>
            <w:shd w:val="clear" w:color="auto" w:fill="auto"/>
          </w:tcPr>
          <w:p w14:paraId="36CA2165" w14:textId="77777777" w:rsidR="00787570" w:rsidRDefault="00787570">
            <w:pPr>
              <w:rPr>
                <w:rFonts w:ascii="宋体"/>
              </w:rPr>
            </w:pPr>
          </w:p>
        </w:tc>
        <w:tc>
          <w:tcPr>
            <w:tcW w:w="0" w:type="auto"/>
            <w:shd w:val="clear" w:color="auto" w:fill="auto"/>
          </w:tcPr>
          <w:p w14:paraId="36CA2166" w14:textId="77777777" w:rsidR="00787570" w:rsidRDefault="00787570">
            <w:pPr>
              <w:rPr>
                <w:rFonts w:ascii="宋体"/>
              </w:rPr>
            </w:pPr>
          </w:p>
        </w:tc>
        <w:tc>
          <w:tcPr>
            <w:tcW w:w="0" w:type="auto"/>
            <w:shd w:val="clear" w:color="auto" w:fill="auto"/>
          </w:tcPr>
          <w:p w14:paraId="36CA2167" w14:textId="77777777" w:rsidR="00787570" w:rsidRDefault="00787570">
            <w:pPr>
              <w:rPr>
                <w:rFonts w:ascii="宋体"/>
              </w:rPr>
            </w:pPr>
          </w:p>
        </w:tc>
        <w:tc>
          <w:tcPr>
            <w:tcW w:w="0" w:type="auto"/>
            <w:shd w:val="clear" w:color="auto" w:fill="auto"/>
          </w:tcPr>
          <w:p w14:paraId="36CA2168" w14:textId="77777777" w:rsidR="00787570" w:rsidRDefault="00787570">
            <w:pPr>
              <w:rPr>
                <w:rFonts w:ascii="宋体"/>
              </w:rPr>
            </w:pPr>
          </w:p>
        </w:tc>
        <w:tc>
          <w:tcPr>
            <w:tcW w:w="0" w:type="auto"/>
            <w:shd w:val="clear" w:color="auto" w:fill="auto"/>
          </w:tcPr>
          <w:p w14:paraId="36CA2169" w14:textId="77777777" w:rsidR="00787570" w:rsidRDefault="00787570">
            <w:pPr>
              <w:rPr>
                <w:rFonts w:ascii="宋体"/>
              </w:rPr>
            </w:pPr>
          </w:p>
        </w:tc>
        <w:tc>
          <w:tcPr>
            <w:tcW w:w="0" w:type="auto"/>
            <w:shd w:val="clear" w:color="auto" w:fill="auto"/>
          </w:tcPr>
          <w:p w14:paraId="36CA216A" w14:textId="77777777" w:rsidR="00787570" w:rsidRDefault="00787570">
            <w:pPr>
              <w:rPr>
                <w:rFonts w:ascii="宋体"/>
              </w:rPr>
            </w:pPr>
          </w:p>
        </w:tc>
        <w:tc>
          <w:tcPr>
            <w:tcW w:w="0" w:type="auto"/>
            <w:shd w:val="clear" w:color="auto" w:fill="auto"/>
          </w:tcPr>
          <w:p w14:paraId="36CA216B" w14:textId="77777777" w:rsidR="00787570" w:rsidRDefault="00787570">
            <w:pPr>
              <w:rPr>
                <w:rFonts w:ascii="宋体"/>
              </w:rPr>
            </w:pPr>
          </w:p>
        </w:tc>
        <w:tc>
          <w:tcPr>
            <w:tcW w:w="0" w:type="auto"/>
            <w:shd w:val="clear" w:color="auto" w:fill="auto"/>
          </w:tcPr>
          <w:p w14:paraId="36CA216C" w14:textId="77777777" w:rsidR="00787570" w:rsidRDefault="00787570">
            <w:pPr>
              <w:rPr>
                <w:rFonts w:ascii="宋体"/>
              </w:rPr>
            </w:pPr>
          </w:p>
        </w:tc>
      </w:tr>
      <w:tr w:rsidR="00787570" w14:paraId="36CA2187" w14:textId="77777777">
        <w:tc>
          <w:tcPr>
            <w:tcW w:w="0" w:type="auto"/>
            <w:gridSpan w:val="3"/>
            <w:shd w:val="clear" w:color="auto" w:fill="auto"/>
            <w:tcMar>
              <w:top w:w="40" w:type="dxa"/>
              <w:left w:w="20" w:type="dxa"/>
              <w:bottom w:w="40" w:type="dxa"/>
              <w:right w:w="20" w:type="dxa"/>
            </w:tcMar>
            <w:vAlign w:val="bottom"/>
          </w:tcPr>
          <w:p w14:paraId="36CA216E" w14:textId="77777777" w:rsidR="00787570" w:rsidRDefault="000D56E2">
            <w:pPr>
              <w:textAlignment w:val="bottom"/>
            </w:pPr>
            <w:r>
              <w:rPr>
                <w:rFonts w:ascii="Arial" w:eastAsia="宋体" w:hAnsi="Arial" w:cs="Arial"/>
                <w:color w:val="333333"/>
                <w:sz w:val="18"/>
                <w:szCs w:val="18"/>
              </w:rPr>
              <w:t>Share-based compensation</w:t>
            </w:r>
          </w:p>
        </w:tc>
        <w:tc>
          <w:tcPr>
            <w:tcW w:w="0" w:type="auto"/>
            <w:gridSpan w:val="3"/>
            <w:shd w:val="clear" w:color="auto" w:fill="auto"/>
            <w:tcMar>
              <w:left w:w="20" w:type="dxa"/>
              <w:right w:w="20" w:type="dxa"/>
            </w:tcMar>
            <w:vAlign w:val="bottom"/>
          </w:tcPr>
          <w:p w14:paraId="36CA216F"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2170" w14:textId="77777777" w:rsidR="00787570" w:rsidRDefault="000D56E2">
            <w:pPr>
              <w:jc w:val="right"/>
              <w:textAlignment w:val="bottom"/>
            </w:pPr>
            <w:r>
              <w:rPr>
                <w:rFonts w:ascii="Arial" w:eastAsia="宋体" w:hAnsi="Arial" w:cs="Arial"/>
                <w:color w:val="0071C5"/>
                <w:sz w:val="18"/>
                <w:szCs w:val="18"/>
              </w:rPr>
              <w:t>— </w:t>
            </w:r>
          </w:p>
        </w:tc>
        <w:tc>
          <w:tcPr>
            <w:tcW w:w="0" w:type="auto"/>
            <w:shd w:val="clear" w:color="auto" w:fill="auto"/>
            <w:tcMar>
              <w:top w:w="40" w:type="dxa"/>
              <w:bottom w:w="40" w:type="dxa"/>
              <w:right w:w="20" w:type="dxa"/>
            </w:tcMar>
            <w:vAlign w:val="bottom"/>
          </w:tcPr>
          <w:p w14:paraId="36CA2171"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2172"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2173" w14:textId="77777777" w:rsidR="00787570" w:rsidRDefault="000D56E2">
            <w:pPr>
              <w:jc w:val="right"/>
              <w:textAlignment w:val="bottom"/>
            </w:pPr>
            <w:r>
              <w:rPr>
                <w:rFonts w:ascii="Arial" w:eastAsia="宋体" w:hAnsi="Arial" w:cs="Arial"/>
                <w:color w:val="0071C5"/>
                <w:sz w:val="18"/>
                <w:szCs w:val="18"/>
              </w:rPr>
              <w:t>452 </w:t>
            </w:r>
          </w:p>
        </w:tc>
        <w:tc>
          <w:tcPr>
            <w:tcW w:w="0" w:type="auto"/>
            <w:shd w:val="clear" w:color="auto" w:fill="auto"/>
            <w:tcMar>
              <w:top w:w="40" w:type="dxa"/>
              <w:bottom w:w="40" w:type="dxa"/>
              <w:right w:w="20" w:type="dxa"/>
            </w:tcMar>
            <w:vAlign w:val="bottom"/>
          </w:tcPr>
          <w:p w14:paraId="36CA2174"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2175"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2176" w14:textId="77777777" w:rsidR="00787570" w:rsidRDefault="000D56E2">
            <w:pPr>
              <w:jc w:val="right"/>
              <w:textAlignment w:val="bottom"/>
            </w:pPr>
            <w:r>
              <w:rPr>
                <w:rFonts w:ascii="Arial" w:eastAsia="宋体" w:hAnsi="Arial" w:cs="Arial"/>
                <w:color w:val="0071C5"/>
                <w:sz w:val="18"/>
                <w:szCs w:val="18"/>
              </w:rPr>
              <w:t>— </w:t>
            </w:r>
          </w:p>
        </w:tc>
        <w:tc>
          <w:tcPr>
            <w:tcW w:w="0" w:type="auto"/>
            <w:shd w:val="clear" w:color="auto" w:fill="auto"/>
            <w:tcMar>
              <w:top w:w="40" w:type="dxa"/>
              <w:bottom w:w="40" w:type="dxa"/>
              <w:right w:w="20" w:type="dxa"/>
            </w:tcMar>
            <w:vAlign w:val="bottom"/>
          </w:tcPr>
          <w:p w14:paraId="36CA2177"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2178"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2179" w14:textId="77777777" w:rsidR="00787570" w:rsidRDefault="000D56E2">
            <w:pPr>
              <w:jc w:val="right"/>
              <w:textAlignment w:val="bottom"/>
            </w:pPr>
            <w:r>
              <w:rPr>
                <w:rFonts w:ascii="Arial" w:eastAsia="宋体" w:hAnsi="Arial" w:cs="Arial"/>
                <w:color w:val="0071C5"/>
                <w:sz w:val="18"/>
                <w:szCs w:val="18"/>
              </w:rPr>
              <w:t>— </w:t>
            </w:r>
          </w:p>
        </w:tc>
        <w:tc>
          <w:tcPr>
            <w:tcW w:w="0" w:type="auto"/>
            <w:shd w:val="clear" w:color="auto" w:fill="auto"/>
            <w:tcMar>
              <w:top w:w="40" w:type="dxa"/>
              <w:bottom w:w="40" w:type="dxa"/>
              <w:right w:w="20" w:type="dxa"/>
            </w:tcMar>
            <w:vAlign w:val="bottom"/>
          </w:tcPr>
          <w:p w14:paraId="36CA217A"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217B"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217C" w14:textId="77777777" w:rsidR="00787570" w:rsidRDefault="000D56E2">
            <w:pPr>
              <w:jc w:val="right"/>
              <w:textAlignment w:val="bottom"/>
            </w:pPr>
            <w:r>
              <w:rPr>
                <w:rFonts w:ascii="Arial" w:eastAsia="宋体" w:hAnsi="Arial" w:cs="Arial"/>
                <w:color w:val="0071C5"/>
                <w:sz w:val="18"/>
                <w:szCs w:val="18"/>
              </w:rPr>
              <w:t>452 </w:t>
            </w:r>
          </w:p>
        </w:tc>
        <w:tc>
          <w:tcPr>
            <w:tcW w:w="0" w:type="auto"/>
            <w:shd w:val="clear" w:color="auto" w:fill="auto"/>
            <w:tcMar>
              <w:top w:w="40" w:type="dxa"/>
              <w:bottom w:w="40" w:type="dxa"/>
              <w:right w:w="20" w:type="dxa"/>
            </w:tcMar>
            <w:vAlign w:val="bottom"/>
          </w:tcPr>
          <w:p w14:paraId="36CA217D" w14:textId="77777777" w:rsidR="00787570" w:rsidRDefault="00787570">
            <w:pPr>
              <w:jc w:val="right"/>
              <w:rPr>
                <w:rFonts w:ascii="宋体"/>
              </w:rPr>
            </w:pPr>
          </w:p>
        </w:tc>
        <w:tc>
          <w:tcPr>
            <w:tcW w:w="0" w:type="auto"/>
            <w:shd w:val="clear" w:color="auto" w:fill="auto"/>
          </w:tcPr>
          <w:p w14:paraId="36CA217E" w14:textId="77777777" w:rsidR="00787570" w:rsidRDefault="00787570">
            <w:pPr>
              <w:rPr>
                <w:rFonts w:ascii="宋体"/>
              </w:rPr>
            </w:pPr>
          </w:p>
        </w:tc>
        <w:tc>
          <w:tcPr>
            <w:tcW w:w="0" w:type="auto"/>
            <w:shd w:val="clear" w:color="auto" w:fill="auto"/>
          </w:tcPr>
          <w:p w14:paraId="36CA217F" w14:textId="77777777" w:rsidR="00787570" w:rsidRDefault="00787570">
            <w:pPr>
              <w:rPr>
                <w:rFonts w:ascii="宋体"/>
              </w:rPr>
            </w:pPr>
          </w:p>
        </w:tc>
        <w:tc>
          <w:tcPr>
            <w:tcW w:w="0" w:type="auto"/>
            <w:shd w:val="clear" w:color="auto" w:fill="auto"/>
          </w:tcPr>
          <w:p w14:paraId="36CA2180" w14:textId="77777777" w:rsidR="00787570" w:rsidRDefault="00787570">
            <w:pPr>
              <w:rPr>
                <w:rFonts w:ascii="宋体"/>
              </w:rPr>
            </w:pPr>
          </w:p>
        </w:tc>
        <w:tc>
          <w:tcPr>
            <w:tcW w:w="0" w:type="auto"/>
            <w:shd w:val="clear" w:color="auto" w:fill="auto"/>
          </w:tcPr>
          <w:p w14:paraId="36CA2181" w14:textId="77777777" w:rsidR="00787570" w:rsidRDefault="00787570">
            <w:pPr>
              <w:rPr>
                <w:rFonts w:ascii="宋体"/>
              </w:rPr>
            </w:pPr>
          </w:p>
        </w:tc>
        <w:tc>
          <w:tcPr>
            <w:tcW w:w="0" w:type="auto"/>
            <w:shd w:val="clear" w:color="auto" w:fill="auto"/>
          </w:tcPr>
          <w:p w14:paraId="36CA2182" w14:textId="77777777" w:rsidR="00787570" w:rsidRDefault="00787570">
            <w:pPr>
              <w:rPr>
                <w:rFonts w:ascii="宋体"/>
              </w:rPr>
            </w:pPr>
          </w:p>
        </w:tc>
        <w:tc>
          <w:tcPr>
            <w:tcW w:w="0" w:type="auto"/>
            <w:shd w:val="clear" w:color="auto" w:fill="auto"/>
          </w:tcPr>
          <w:p w14:paraId="36CA2183" w14:textId="77777777" w:rsidR="00787570" w:rsidRDefault="00787570">
            <w:pPr>
              <w:rPr>
                <w:rFonts w:ascii="宋体"/>
              </w:rPr>
            </w:pPr>
          </w:p>
        </w:tc>
        <w:tc>
          <w:tcPr>
            <w:tcW w:w="0" w:type="auto"/>
            <w:shd w:val="clear" w:color="auto" w:fill="auto"/>
          </w:tcPr>
          <w:p w14:paraId="36CA2184" w14:textId="77777777" w:rsidR="00787570" w:rsidRDefault="00787570">
            <w:pPr>
              <w:rPr>
                <w:rFonts w:ascii="宋体"/>
              </w:rPr>
            </w:pPr>
          </w:p>
        </w:tc>
        <w:tc>
          <w:tcPr>
            <w:tcW w:w="0" w:type="auto"/>
            <w:shd w:val="clear" w:color="auto" w:fill="auto"/>
          </w:tcPr>
          <w:p w14:paraId="36CA2185" w14:textId="77777777" w:rsidR="00787570" w:rsidRDefault="00787570">
            <w:pPr>
              <w:rPr>
                <w:rFonts w:ascii="宋体"/>
              </w:rPr>
            </w:pPr>
          </w:p>
        </w:tc>
        <w:tc>
          <w:tcPr>
            <w:tcW w:w="0" w:type="auto"/>
            <w:shd w:val="clear" w:color="auto" w:fill="auto"/>
          </w:tcPr>
          <w:p w14:paraId="36CA2186" w14:textId="77777777" w:rsidR="00787570" w:rsidRDefault="00787570">
            <w:pPr>
              <w:rPr>
                <w:rFonts w:ascii="宋体"/>
              </w:rPr>
            </w:pPr>
          </w:p>
        </w:tc>
      </w:tr>
      <w:tr w:rsidR="00787570" w14:paraId="36CA21A1" w14:textId="77777777">
        <w:tc>
          <w:tcPr>
            <w:tcW w:w="0" w:type="auto"/>
            <w:gridSpan w:val="3"/>
            <w:shd w:val="clear" w:color="auto" w:fill="auto"/>
            <w:tcMar>
              <w:top w:w="40" w:type="dxa"/>
              <w:left w:w="20" w:type="dxa"/>
              <w:bottom w:w="40" w:type="dxa"/>
              <w:right w:w="20" w:type="dxa"/>
            </w:tcMar>
            <w:vAlign w:val="bottom"/>
          </w:tcPr>
          <w:p w14:paraId="36CA2188" w14:textId="77777777" w:rsidR="00787570" w:rsidRDefault="000D56E2">
            <w:pPr>
              <w:textAlignment w:val="bottom"/>
            </w:pPr>
            <w:r>
              <w:rPr>
                <w:rFonts w:ascii="Arial" w:eastAsia="宋体" w:hAnsi="Arial" w:cs="Arial"/>
                <w:color w:val="333333"/>
                <w:sz w:val="18"/>
                <w:szCs w:val="18"/>
              </w:rPr>
              <w:t>Temporary equity reduction</w:t>
            </w:r>
          </w:p>
        </w:tc>
        <w:tc>
          <w:tcPr>
            <w:tcW w:w="0" w:type="auto"/>
            <w:gridSpan w:val="3"/>
            <w:shd w:val="clear" w:color="auto" w:fill="auto"/>
            <w:tcMar>
              <w:left w:w="20" w:type="dxa"/>
              <w:right w:w="20" w:type="dxa"/>
            </w:tcMar>
            <w:vAlign w:val="bottom"/>
          </w:tcPr>
          <w:p w14:paraId="36CA2189"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218A" w14:textId="77777777" w:rsidR="00787570" w:rsidRDefault="000D56E2">
            <w:pPr>
              <w:jc w:val="right"/>
              <w:textAlignment w:val="bottom"/>
            </w:pPr>
            <w:r>
              <w:rPr>
                <w:rFonts w:ascii="Arial" w:eastAsia="宋体" w:hAnsi="Arial" w:cs="Arial"/>
                <w:color w:val="0071C5"/>
                <w:sz w:val="18"/>
                <w:szCs w:val="18"/>
              </w:rPr>
              <w:t>— </w:t>
            </w:r>
          </w:p>
        </w:tc>
        <w:tc>
          <w:tcPr>
            <w:tcW w:w="0" w:type="auto"/>
            <w:shd w:val="clear" w:color="auto" w:fill="auto"/>
            <w:tcMar>
              <w:top w:w="40" w:type="dxa"/>
              <w:bottom w:w="40" w:type="dxa"/>
              <w:right w:w="20" w:type="dxa"/>
            </w:tcMar>
            <w:vAlign w:val="bottom"/>
          </w:tcPr>
          <w:p w14:paraId="36CA218B"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218C"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218D" w14:textId="77777777" w:rsidR="00787570" w:rsidRDefault="000D56E2">
            <w:pPr>
              <w:jc w:val="right"/>
              <w:textAlignment w:val="bottom"/>
            </w:pPr>
            <w:r>
              <w:rPr>
                <w:rFonts w:ascii="Arial" w:eastAsia="宋体" w:hAnsi="Arial" w:cs="Arial"/>
                <w:color w:val="0071C5"/>
                <w:sz w:val="18"/>
                <w:szCs w:val="18"/>
              </w:rPr>
              <w:t>— </w:t>
            </w:r>
          </w:p>
        </w:tc>
        <w:tc>
          <w:tcPr>
            <w:tcW w:w="0" w:type="auto"/>
            <w:shd w:val="clear" w:color="auto" w:fill="auto"/>
            <w:tcMar>
              <w:top w:w="40" w:type="dxa"/>
              <w:bottom w:w="40" w:type="dxa"/>
              <w:right w:w="20" w:type="dxa"/>
            </w:tcMar>
            <w:vAlign w:val="bottom"/>
          </w:tcPr>
          <w:p w14:paraId="36CA218E"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218F"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2190" w14:textId="77777777" w:rsidR="00787570" w:rsidRDefault="000D56E2">
            <w:pPr>
              <w:jc w:val="right"/>
              <w:textAlignment w:val="bottom"/>
            </w:pPr>
            <w:r>
              <w:rPr>
                <w:rFonts w:ascii="Arial" w:eastAsia="宋体" w:hAnsi="Arial" w:cs="Arial"/>
                <w:color w:val="0071C5"/>
                <w:sz w:val="18"/>
                <w:szCs w:val="18"/>
              </w:rPr>
              <w:t>— </w:t>
            </w:r>
          </w:p>
        </w:tc>
        <w:tc>
          <w:tcPr>
            <w:tcW w:w="0" w:type="auto"/>
            <w:shd w:val="clear" w:color="auto" w:fill="auto"/>
            <w:tcMar>
              <w:top w:w="40" w:type="dxa"/>
              <w:bottom w:w="40" w:type="dxa"/>
              <w:right w:w="20" w:type="dxa"/>
            </w:tcMar>
            <w:vAlign w:val="bottom"/>
          </w:tcPr>
          <w:p w14:paraId="36CA2191"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2192"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2193" w14:textId="77777777" w:rsidR="00787570" w:rsidRDefault="000D56E2">
            <w:pPr>
              <w:jc w:val="right"/>
              <w:textAlignment w:val="bottom"/>
            </w:pPr>
            <w:r>
              <w:rPr>
                <w:rFonts w:ascii="Arial" w:eastAsia="宋体" w:hAnsi="Arial" w:cs="Arial"/>
                <w:color w:val="0071C5"/>
                <w:sz w:val="18"/>
                <w:szCs w:val="18"/>
              </w:rPr>
              <w:t>— </w:t>
            </w:r>
          </w:p>
        </w:tc>
        <w:tc>
          <w:tcPr>
            <w:tcW w:w="0" w:type="auto"/>
            <w:shd w:val="clear" w:color="auto" w:fill="auto"/>
            <w:tcMar>
              <w:top w:w="40" w:type="dxa"/>
              <w:bottom w:w="40" w:type="dxa"/>
              <w:right w:w="20" w:type="dxa"/>
            </w:tcMar>
            <w:vAlign w:val="bottom"/>
          </w:tcPr>
          <w:p w14:paraId="36CA2194"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2195"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2196" w14:textId="77777777" w:rsidR="00787570" w:rsidRDefault="000D56E2">
            <w:pPr>
              <w:jc w:val="right"/>
              <w:textAlignment w:val="bottom"/>
            </w:pPr>
            <w:r>
              <w:rPr>
                <w:rFonts w:ascii="Arial" w:eastAsia="宋体" w:hAnsi="Arial" w:cs="Arial"/>
                <w:color w:val="0071C5"/>
                <w:sz w:val="18"/>
                <w:szCs w:val="18"/>
              </w:rPr>
              <w:t>— </w:t>
            </w:r>
          </w:p>
        </w:tc>
        <w:tc>
          <w:tcPr>
            <w:tcW w:w="0" w:type="auto"/>
            <w:shd w:val="clear" w:color="auto" w:fill="auto"/>
            <w:tcMar>
              <w:top w:w="40" w:type="dxa"/>
              <w:bottom w:w="40" w:type="dxa"/>
              <w:right w:w="20" w:type="dxa"/>
            </w:tcMar>
            <w:vAlign w:val="bottom"/>
          </w:tcPr>
          <w:p w14:paraId="36CA2197" w14:textId="77777777" w:rsidR="00787570" w:rsidRDefault="00787570">
            <w:pPr>
              <w:jc w:val="right"/>
              <w:rPr>
                <w:rFonts w:ascii="宋体"/>
              </w:rPr>
            </w:pPr>
          </w:p>
        </w:tc>
        <w:tc>
          <w:tcPr>
            <w:tcW w:w="0" w:type="auto"/>
            <w:shd w:val="clear" w:color="auto" w:fill="auto"/>
          </w:tcPr>
          <w:p w14:paraId="36CA2198" w14:textId="77777777" w:rsidR="00787570" w:rsidRDefault="00787570">
            <w:pPr>
              <w:rPr>
                <w:rFonts w:ascii="宋体"/>
              </w:rPr>
            </w:pPr>
          </w:p>
        </w:tc>
        <w:tc>
          <w:tcPr>
            <w:tcW w:w="0" w:type="auto"/>
            <w:shd w:val="clear" w:color="auto" w:fill="auto"/>
          </w:tcPr>
          <w:p w14:paraId="36CA2199" w14:textId="77777777" w:rsidR="00787570" w:rsidRDefault="00787570">
            <w:pPr>
              <w:rPr>
                <w:rFonts w:ascii="宋体"/>
              </w:rPr>
            </w:pPr>
          </w:p>
        </w:tc>
        <w:tc>
          <w:tcPr>
            <w:tcW w:w="0" w:type="auto"/>
            <w:shd w:val="clear" w:color="auto" w:fill="auto"/>
          </w:tcPr>
          <w:p w14:paraId="36CA219A" w14:textId="77777777" w:rsidR="00787570" w:rsidRDefault="00787570">
            <w:pPr>
              <w:rPr>
                <w:rFonts w:ascii="宋体"/>
              </w:rPr>
            </w:pPr>
          </w:p>
        </w:tc>
        <w:tc>
          <w:tcPr>
            <w:tcW w:w="0" w:type="auto"/>
            <w:shd w:val="clear" w:color="auto" w:fill="auto"/>
          </w:tcPr>
          <w:p w14:paraId="36CA219B" w14:textId="77777777" w:rsidR="00787570" w:rsidRDefault="00787570">
            <w:pPr>
              <w:rPr>
                <w:rFonts w:ascii="宋体"/>
              </w:rPr>
            </w:pPr>
          </w:p>
        </w:tc>
        <w:tc>
          <w:tcPr>
            <w:tcW w:w="0" w:type="auto"/>
            <w:shd w:val="clear" w:color="auto" w:fill="auto"/>
          </w:tcPr>
          <w:p w14:paraId="36CA219C" w14:textId="77777777" w:rsidR="00787570" w:rsidRDefault="00787570">
            <w:pPr>
              <w:rPr>
                <w:rFonts w:ascii="宋体"/>
              </w:rPr>
            </w:pPr>
          </w:p>
        </w:tc>
        <w:tc>
          <w:tcPr>
            <w:tcW w:w="0" w:type="auto"/>
            <w:shd w:val="clear" w:color="auto" w:fill="auto"/>
          </w:tcPr>
          <w:p w14:paraId="36CA219D" w14:textId="77777777" w:rsidR="00787570" w:rsidRDefault="00787570">
            <w:pPr>
              <w:rPr>
                <w:rFonts w:ascii="宋体"/>
              </w:rPr>
            </w:pPr>
          </w:p>
        </w:tc>
        <w:tc>
          <w:tcPr>
            <w:tcW w:w="0" w:type="auto"/>
            <w:shd w:val="clear" w:color="auto" w:fill="auto"/>
          </w:tcPr>
          <w:p w14:paraId="36CA219E" w14:textId="77777777" w:rsidR="00787570" w:rsidRDefault="00787570">
            <w:pPr>
              <w:rPr>
                <w:rFonts w:ascii="宋体"/>
              </w:rPr>
            </w:pPr>
          </w:p>
        </w:tc>
        <w:tc>
          <w:tcPr>
            <w:tcW w:w="0" w:type="auto"/>
            <w:shd w:val="clear" w:color="auto" w:fill="auto"/>
          </w:tcPr>
          <w:p w14:paraId="36CA219F" w14:textId="77777777" w:rsidR="00787570" w:rsidRDefault="00787570">
            <w:pPr>
              <w:rPr>
                <w:rFonts w:ascii="宋体"/>
              </w:rPr>
            </w:pPr>
          </w:p>
        </w:tc>
        <w:tc>
          <w:tcPr>
            <w:tcW w:w="0" w:type="auto"/>
            <w:shd w:val="clear" w:color="auto" w:fill="auto"/>
          </w:tcPr>
          <w:p w14:paraId="36CA21A0" w14:textId="77777777" w:rsidR="00787570" w:rsidRDefault="00787570">
            <w:pPr>
              <w:rPr>
                <w:rFonts w:ascii="宋体"/>
              </w:rPr>
            </w:pPr>
          </w:p>
        </w:tc>
      </w:tr>
      <w:tr w:rsidR="00787570" w14:paraId="36CA21BB" w14:textId="77777777">
        <w:tc>
          <w:tcPr>
            <w:tcW w:w="0" w:type="auto"/>
            <w:gridSpan w:val="3"/>
            <w:shd w:val="clear" w:color="auto" w:fill="auto"/>
            <w:tcMar>
              <w:top w:w="40" w:type="dxa"/>
              <w:left w:w="20" w:type="dxa"/>
              <w:bottom w:w="40" w:type="dxa"/>
              <w:right w:w="20" w:type="dxa"/>
            </w:tcMar>
            <w:vAlign w:val="bottom"/>
          </w:tcPr>
          <w:p w14:paraId="36CA21A2" w14:textId="77777777" w:rsidR="00787570" w:rsidRDefault="000D56E2">
            <w:pPr>
              <w:textAlignment w:val="bottom"/>
            </w:pPr>
            <w:r>
              <w:rPr>
                <w:rFonts w:ascii="Arial" w:eastAsia="宋体" w:hAnsi="Arial" w:cs="Arial"/>
                <w:color w:val="333333"/>
                <w:sz w:val="18"/>
                <w:szCs w:val="18"/>
              </w:rPr>
              <w:t>Convertible debt</w:t>
            </w:r>
          </w:p>
        </w:tc>
        <w:tc>
          <w:tcPr>
            <w:tcW w:w="0" w:type="auto"/>
            <w:gridSpan w:val="3"/>
            <w:shd w:val="clear" w:color="auto" w:fill="auto"/>
            <w:tcMar>
              <w:left w:w="20" w:type="dxa"/>
              <w:right w:w="20" w:type="dxa"/>
            </w:tcMar>
            <w:vAlign w:val="bottom"/>
          </w:tcPr>
          <w:p w14:paraId="36CA21A3"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21A4" w14:textId="77777777" w:rsidR="00787570" w:rsidRDefault="000D56E2">
            <w:pPr>
              <w:jc w:val="right"/>
              <w:textAlignment w:val="bottom"/>
            </w:pPr>
            <w:r>
              <w:rPr>
                <w:rFonts w:ascii="Arial" w:eastAsia="宋体" w:hAnsi="Arial" w:cs="Arial"/>
                <w:color w:val="0071C5"/>
                <w:sz w:val="18"/>
                <w:szCs w:val="18"/>
              </w:rPr>
              <w:t>— </w:t>
            </w:r>
          </w:p>
        </w:tc>
        <w:tc>
          <w:tcPr>
            <w:tcW w:w="0" w:type="auto"/>
            <w:shd w:val="clear" w:color="auto" w:fill="auto"/>
            <w:tcMar>
              <w:top w:w="40" w:type="dxa"/>
              <w:bottom w:w="40" w:type="dxa"/>
              <w:right w:w="20" w:type="dxa"/>
            </w:tcMar>
            <w:vAlign w:val="bottom"/>
          </w:tcPr>
          <w:p w14:paraId="36CA21A5"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21A6"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21A7" w14:textId="77777777" w:rsidR="00787570" w:rsidRDefault="000D56E2">
            <w:pPr>
              <w:jc w:val="right"/>
              <w:textAlignment w:val="bottom"/>
            </w:pPr>
            <w:r>
              <w:rPr>
                <w:rFonts w:ascii="Arial" w:eastAsia="宋体" w:hAnsi="Arial" w:cs="Arial"/>
                <w:color w:val="0071C5"/>
                <w:sz w:val="18"/>
                <w:szCs w:val="18"/>
              </w:rPr>
              <w:t>— </w:t>
            </w:r>
          </w:p>
        </w:tc>
        <w:tc>
          <w:tcPr>
            <w:tcW w:w="0" w:type="auto"/>
            <w:shd w:val="clear" w:color="auto" w:fill="auto"/>
            <w:tcMar>
              <w:top w:w="40" w:type="dxa"/>
              <w:bottom w:w="40" w:type="dxa"/>
              <w:right w:w="20" w:type="dxa"/>
            </w:tcMar>
            <w:vAlign w:val="bottom"/>
          </w:tcPr>
          <w:p w14:paraId="36CA21A8"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21A9"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21AA" w14:textId="77777777" w:rsidR="00787570" w:rsidRDefault="000D56E2">
            <w:pPr>
              <w:jc w:val="right"/>
              <w:textAlignment w:val="bottom"/>
            </w:pPr>
            <w:r>
              <w:rPr>
                <w:rFonts w:ascii="Arial" w:eastAsia="宋体" w:hAnsi="Arial" w:cs="Arial"/>
                <w:color w:val="0071C5"/>
                <w:sz w:val="18"/>
                <w:szCs w:val="18"/>
              </w:rPr>
              <w:t>— </w:t>
            </w:r>
          </w:p>
        </w:tc>
        <w:tc>
          <w:tcPr>
            <w:tcW w:w="0" w:type="auto"/>
            <w:shd w:val="clear" w:color="auto" w:fill="auto"/>
            <w:tcMar>
              <w:top w:w="40" w:type="dxa"/>
              <w:bottom w:w="40" w:type="dxa"/>
              <w:right w:w="20" w:type="dxa"/>
            </w:tcMar>
            <w:vAlign w:val="bottom"/>
          </w:tcPr>
          <w:p w14:paraId="36CA21AB"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21AC"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21AD" w14:textId="77777777" w:rsidR="00787570" w:rsidRDefault="000D56E2">
            <w:pPr>
              <w:jc w:val="right"/>
              <w:textAlignment w:val="bottom"/>
            </w:pPr>
            <w:r>
              <w:rPr>
                <w:rFonts w:ascii="Arial" w:eastAsia="宋体" w:hAnsi="Arial" w:cs="Arial"/>
                <w:color w:val="0071C5"/>
                <w:sz w:val="18"/>
                <w:szCs w:val="18"/>
              </w:rPr>
              <w:t>— </w:t>
            </w:r>
          </w:p>
        </w:tc>
        <w:tc>
          <w:tcPr>
            <w:tcW w:w="0" w:type="auto"/>
            <w:shd w:val="clear" w:color="auto" w:fill="auto"/>
            <w:tcMar>
              <w:top w:w="40" w:type="dxa"/>
              <w:bottom w:w="40" w:type="dxa"/>
              <w:right w:w="20" w:type="dxa"/>
            </w:tcMar>
            <w:vAlign w:val="bottom"/>
          </w:tcPr>
          <w:p w14:paraId="36CA21AE" w14:textId="77777777" w:rsidR="00787570" w:rsidRDefault="00787570">
            <w:pPr>
              <w:jc w:val="right"/>
              <w:rPr>
                <w:rFonts w:ascii="宋体"/>
              </w:rPr>
            </w:pPr>
          </w:p>
        </w:tc>
        <w:tc>
          <w:tcPr>
            <w:tcW w:w="0" w:type="auto"/>
            <w:gridSpan w:val="3"/>
            <w:shd w:val="clear" w:color="auto" w:fill="auto"/>
            <w:tcMar>
              <w:top w:w="40" w:type="dxa"/>
              <w:left w:w="20" w:type="dxa"/>
              <w:bottom w:w="40" w:type="dxa"/>
              <w:right w:w="20" w:type="dxa"/>
            </w:tcMar>
            <w:vAlign w:val="bottom"/>
          </w:tcPr>
          <w:p w14:paraId="36CA21AF" w14:textId="77777777" w:rsidR="00787570" w:rsidRDefault="000D56E2">
            <w:pPr>
              <w:textAlignment w:val="bottom"/>
            </w:pPr>
            <w:r>
              <w:rPr>
                <w:rFonts w:ascii="Arial" w:eastAsia="宋体" w:hAnsi="Arial" w:cs="Arial"/>
                <w:color w:val="333333"/>
                <w:sz w:val="18"/>
                <w:szCs w:val="18"/>
              </w:rPr>
              <w:t> </w:t>
            </w:r>
          </w:p>
        </w:tc>
        <w:tc>
          <w:tcPr>
            <w:tcW w:w="0" w:type="auto"/>
            <w:gridSpan w:val="2"/>
            <w:shd w:val="clear" w:color="auto" w:fill="auto"/>
            <w:tcMar>
              <w:top w:w="40" w:type="dxa"/>
              <w:left w:w="20" w:type="dxa"/>
              <w:bottom w:w="40" w:type="dxa"/>
              <w:right w:w="0" w:type="dxa"/>
            </w:tcMar>
            <w:vAlign w:val="bottom"/>
          </w:tcPr>
          <w:p w14:paraId="36CA21B0" w14:textId="77777777" w:rsidR="00787570" w:rsidRDefault="000D56E2">
            <w:pPr>
              <w:jc w:val="right"/>
              <w:textAlignment w:val="bottom"/>
            </w:pPr>
            <w:r>
              <w:rPr>
                <w:rFonts w:ascii="Arial" w:eastAsia="宋体" w:hAnsi="Arial" w:cs="Arial"/>
                <w:color w:val="0071C5"/>
                <w:sz w:val="18"/>
                <w:szCs w:val="18"/>
              </w:rPr>
              <w:t>— </w:t>
            </w:r>
          </w:p>
        </w:tc>
        <w:tc>
          <w:tcPr>
            <w:tcW w:w="0" w:type="auto"/>
            <w:shd w:val="clear" w:color="auto" w:fill="auto"/>
            <w:tcMar>
              <w:top w:w="40" w:type="dxa"/>
              <w:bottom w:w="40" w:type="dxa"/>
              <w:right w:w="20" w:type="dxa"/>
            </w:tcMar>
            <w:vAlign w:val="bottom"/>
          </w:tcPr>
          <w:p w14:paraId="36CA21B1" w14:textId="77777777" w:rsidR="00787570" w:rsidRDefault="00787570">
            <w:pPr>
              <w:jc w:val="right"/>
              <w:rPr>
                <w:rFonts w:ascii="宋体"/>
              </w:rPr>
            </w:pPr>
          </w:p>
        </w:tc>
        <w:tc>
          <w:tcPr>
            <w:tcW w:w="0" w:type="auto"/>
            <w:shd w:val="clear" w:color="auto" w:fill="auto"/>
          </w:tcPr>
          <w:p w14:paraId="36CA21B2" w14:textId="77777777" w:rsidR="00787570" w:rsidRDefault="00787570">
            <w:pPr>
              <w:rPr>
                <w:rFonts w:ascii="宋体"/>
              </w:rPr>
            </w:pPr>
          </w:p>
        </w:tc>
        <w:tc>
          <w:tcPr>
            <w:tcW w:w="0" w:type="auto"/>
            <w:shd w:val="clear" w:color="auto" w:fill="auto"/>
          </w:tcPr>
          <w:p w14:paraId="36CA21B3" w14:textId="77777777" w:rsidR="00787570" w:rsidRDefault="00787570">
            <w:pPr>
              <w:rPr>
                <w:rFonts w:ascii="宋体"/>
              </w:rPr>
            </w:pPr>
          </w:p>
        </w:tc>
        <w:tc>
          <w:tcPr>
            <w:tcW w:w="0" w:type="auto"/>
            <w:shd w:val="clear" w:color="auto" w:fill="auto"/>
          </w:tcPr>
          <w:p w14:paraId="36CA21B4" w14:textId="77777777" w:rsidR="00787570" w:rsidRDefault="00787570">
            <w:pPr>
              <w:rPr>
                <w:rFonts w:ascii="宋体"/>
              </w:rPr>
            </w:pPr>
          </w:p>
        </w:tc>
        <w:tc>
          <w:tcPr>
            <w:tcW w:w="0" w:type="auto"/>
            <w:shd w:val="clear" w:color="auto" w:fill="auto"/>
          </w:tcPr>
          <w:p w14:paraId="36CA21B5" w14:textId="77777777" w:rsidR="00787570" w:rsidRDefault="00787570">
            <w:pPr>
              <w:rPr>
                <w:rFonts w:ascii="宋体"/>
              </w:rPr>
            </w:pPr>
          </w:p>
        </w:tc>
        <w:tc>
          <w:tcPr>
            <w:tcW w:w="0" w:type="auto"/>
            <w:shd w:val="clear" w:color="auto" w:fill="auto"/>
          </w:tcPr>
          <w:p w14:paraId="36CA21B6" w14:textId="77777777" w:rsidR="00787570" w:rsidRDefault="00787570">
            <w:pPr>
              <w:rPr>
                <w:rFonts w:ascii="宋体"/>
              </w:rPr>
            </w:pPr>
          </w:p>
        </w:tc>
        <w:tc>
          <w:tcPr>
            <w:tcW w:w="0" w:type="auto"/>
            <w:shd w:val="clear" w:color="auto" w:fill="auto"/>
          </w:tcPr>
          <w:p w14:paraId="36CA21B7" w14:textId="77777777" w:rsidR="00787570" w:rsidRDefault="00787570">
            <w:pPr>
              <w:rPr>
                <w:rFonts w:ascii="宋体"/>
              </w:rPr>
            </w:pPr>
          </w:p>
        </w:tc>
        <w:tc>
          <w:tcPr>
            <w:tcW w:w="0" w:type="auto"/>
            <w:shd w:val="clear" w:color="auto" w:fill="auto"/>
          </w:tcPr>
          <w:p w14:paraId="36CA21B8" w14:textId="77777777" w:rsidR="00787570" w:rsidRDefault="00787570">
            <w:pPr>
              <w:rPr>
                <w:rFonts w:ascii="宋体"/>
              </w:rPr>
            </w:pPr>
          </w:p>
        </w:tc>
        <w:tc>
          <w:tcPr>
            <w:tcW w:w="0" w:type="auto"/>
            <w:shd w:val="clear" w:color="auto" w:fill="auto"/>
          </w:tcPr>
          <w:p w14:paraId="36CA21B9" w14:textId="77777777" w:rsidR="00787570" w:rsidRDefault="00787570">
            <w:pPr>
              <w:rPr>
                <w:rFonts w:ascii="宋体"/>
              </w:rPr>
            </w:pPr>
          </w:p>
        </w:tc>
        <w:tc>
          <w:tcPr>
            <w:tcW w:w="0" w:type="auto"/>
            <w:shd w:val="clear" w:color="auto" w:fill="auto"/>
          </w:tcPr>
          <w:p w14:paraId="36CA21BA" w14:textId="77777777" w:rsidR="00787570" w:rsidRDefault="00787570">
            <w:pPr>
              <w:rPr>
                <w:rFonts w:ascii="宋体"/>
              </w:rPr>
            </w:pPr>
          </w:p>
        </w:tc>
      </w:tr>
      <w:tr w:rsidR="00787570" w14:paraId="36CA21D0" w14:textId="77777777">
        <w:trPr>
          <w:hidden/>
        </w:trPr>
        <w:tc>
          <w:tcPr>
            <w:tcW w:w="0" w:type="auto"/>
            <w:gridSpan w:val="3"/>
            <w:shd w:val="clear" w:color="auto" w:fill="auto"/>
          </w:tcPr>
          <w:p w14:paraId="36CA21BC" w14:textId="77777777" w:rsidR="00787570" w:rsidRDefault="00787570">
            <w:pPr>
              <w:rPr>
                <w:rFonts w:ascii="宋体"/>
                <w:vanish/>
              </w:rPr>
            </w:pPr>
          </w:p>
        </w:tc>
        <w:tc>
          <w:tcPr>
            <w:tcW w:w="0" w:type="auto"/>
            <w:gridSpan w:val="3"/>
            <w:shd w:val="clear" w:color="auto" w:fill="auto"/>
          </w:tcPr>
          <w:p w14:paraId="36CA21BD" w14:textId="77777777" w:rsidR="00787570" w:rsidRDefault="00787570">
            <w:pPr>
              <w:rPr>
                <w:rFonts w:ascii="宋体"/>
                <w:vanish/>
              </w:rPr>
            </w:pPr>
          </w:p>
        </w:tc>
        <w:tc>
          <w:tcPr>
            <w:tcW w:w="0" w:type="auto"/>
            <w:gridSpan w:val="3"/>
            <w:shd w:val="clear" w:color="auto" w:fill="auto"/>
          </w:tcPr>
          <w:p w14:paraId="36CA21BE" w14:textId="77777777" w:rsidR="00787570" w:rsidRDefault="00787570">
            <w:pPr>
              <w:rPr>
                <w:rFonts w:ascii="宋体"/>
                <w:vanish/>
              </w:rPr>
            </w:pPr>
          </w:p>
        </w:tc>
        <w:tc>
          <w:tcPr>
            <w:tcW w:w="0" w:type="auto"/>
            <w:gridSpan w:val="3"/>
            <w:shd w:val="clear" w:color="auto" w:fill="auto"/>
          </w:tcPr>
          <w:p w14:paraId="36CA21BF" w14:textId="77777777" w:rsidR="00787570" w:rsidRDefault="00787570">
            <w:pPr>
              <w:rPr>
                <w:rFonts w:ascii="宋体"/>
                <w:vanish/>
              </w:rPr>
            </w:pPr>
          </w:p>
        </w:tc>
        <w:tc>
          <w:tcPr>
            <w:tcW w:w="0" w:type="auto"/>
            <w:gridSpan w:val="3"/>
            <w:shd w:val="clear" w:color="auto" w:fill="auto"/>
          </w:tcPr>
          <w:p w14:paraId="36CA21C0" w14:textId="77777777" w:rsidR="00787570" w:rsidRDefault="00787570">
            <w:pPr>
              <w:rPr>
                <w:rFonts w:ascii="宋体"/>
                <w:vanish/>
              </w:rPr>
            </w:pPr>
          </w:p>
        </w:tc>
        <w:tc>
          <w:tcPr>
            <w:tcW w:w="0" w:type="auto"/>
            <w:gridSpan w:val="3"/>
            <w:shd w:val="clear" w:color="auto" w:fill="auto"/>
          </w:tcPr>
          <w:p w14:paraId="36CA21C1" w14:textId="77777777" w:rsidR="00787570" w:rsidRDefault="00787570">
            <w:pPr>
              <w:rPr>
                <w:rFonts w:ascii="宋体"/>
                <w:vanish/>
              </w:rPr>
            </w:pPr>
          </w:p>
        </w:tc>
        <w:tc>
          <w:tcPr>
            <w:tcW w:w="0" w:type="auto"/>
            <w:gridSpan w:val="3"/>
            <w:shd w:val="clear" w:color="auto" w:fill="auto"/>
          </w:tcPr>
          <w:p w14:paraId="36CA21C2" w14:textId="77777777" w:rsidR="00787570" w:rsidRDefault="00787570">
            <w:pPr>
              <w:rPr>
                <w:rFonts w:ascii="宋体"/>
                <w:vanish/>
              </w:rPr>
            </w:pPr>
          </w:p>
        </w:tc>
        <w:tc>
          <w:tcPr>
            <w:tcW w:w="0" w:type="auto"/>
            <w:gridSpan w:val="3"/>
            <w:shd w:val="clear" w:color="auto" w:fill="auto"/>
          </w:tcPr>
          <w:p w14:paraId="36CA21C3" w14:textId="77777777" w:rsidR="00787570" w:rsidRDefault="00787570">
            <w:pPr>
              <w:rPr>
                <w:rFonts w:ascii="宋体"/>
                <w:vanish/>
              </w:rPr>
            </w:pPr>
          </w:p>
        </w:tc>
        <w:tc>
          <w:tcPr>
            <w:tcW w:w="0" w:type="auto"/>
            <w:gridSpan w:val="3"/>
            <w:shd w:val="clear" w:color="auto" w:fill="auto"/>
          </w:tcPr>
          <w:p w14:paraId="36CA21C4" w14:textId="77777777" w:rsidR="00787570" w:rsidRDefault="00787570">
            <w:pPr>
              <w:rPr>
                <w:rFonts w:ascii="宋体"/>
                <w:vanish/>
              </w:rPr>
            </w:pPr>
          </w:p>
        </w:tc>
        <w:tc>
          <w:tcPr>
            <w:tcW w:w="0" w:type="auto"/>
            <w:gridSpan w:val="3"/>
            <w:shd w:val="clear" w:color="auto" w:fill="auto"/>
          </w:tcPr>
          <w:p w14:paraId="36CA21C5" w14:textId="77777777" w:rsidR="00787570" w:rsidRDefault="00787570">
            <w:pPr>
              <w:rPr>
                <w:rFonts w:ascii="宋体"/>
                <w:vanish/>
              </w:rPr>
            </w:pPr>
          </w:p>
        </w:tc>
        <w:tc>
          <w:tcPr>
            <w:tcW w:w="0" w:type="auto"/>
            <w:gridSpan w:val="3"/>
            <w:shd w:val="clear" w:color="auto" w:fill="auto"/>
          </w:tcPr>
          <w:p w14:paraId="36CA21C6" w14:textId="77777777" w:rsidR="00787570" w:rsidRDefault="00787570">
            <w:pPr>
              <w:rPr>
                <w:rFonts w:ascii="宋体"/>
                <w:vanish/>
              </w:rPr>
            </w:pPr>
          </w:p>
        </w:tc>
        <w:tc>
          <w:tcPr>
            <w:tcW w:w="0" w:type="auto"/>
            <w:shd w:val="clear" w:color="auto" w:fill="auto"/>
          </w:tcPr>
          <w:p w14:paraId="36CA21C7" w14:textId="77777777" w:rsidR="00787570" w:rsidRDefault="00787570">
            <w:pPr>
              <w:rPr>
                <w:rFonts w:ascii="宋体"/>
              </w:rPr>
            </w:pPr>
          </w:p>
        </w:tc>
        <w:tc>
          <w:tcPr>
            <w:tcW w:w="0" w:type="auto"/>
            <w:shd w:val="clear" w:color="auto" w:fill="auto"/>
          </w:tcPr>
          <w:p w14:paraId="36CA21C8" w14:textId="77777777" w:rsidR="00787570" w:rsidRDefault="00787570">
            <w:pPr>
              <w:rPr>
                <w:rFonts w:ascii="宋体"/>
              </w:rPr>
            </w:pPr>
          </w:p>
        </w:tc>
        <w:tc>
          <w:tcPr>
            <w:tcW w:w="0" w:type="auto"/>
            <w:shd w:val="clear" w:color="auto" w:fill="auto"/>
          </w:tcPr>
          <w:p w14:paraId="36CA21C9" w14:textId="77777777" w:rsidR="00787570" w:rsidRDefault="00787570">
            <w:pPr>
              <w:rPr>
                <w:rFonts w:ascii="宋体"/>
              </w:rPr>
            </w:pPr>
          </w:p>
        </w:tc>
        <w:tc>
          <w:tcPr>
            <w:tcW w:w="0" w:type="auto"/>
            <w:shd w:val="clear" w:color="auto" w:fill="auto"/>
          </w:tcPr>
          <w:p w14:paraId="36CA21CA" w14:textId="77777777" w:rsidR="00787570" w:rsidRDefault="00787570">
            <w:pPr>
              <w:rPr>
                <w:rFonts w:ascii="宋体"/>
              </w:rPr>
            </w:pPr>
          </w:p>
        </w:tc>
        <w:tc>
          <w:tcPr>
            <w:tcW w:w="0" w:type="auto"/>
            <w:shd w:val="clear" w:color="auto" w:fill="auto"/>
          </w:tcPr>
          <w:p w14:paraId="36CA21CB" w14:textId="77777777" w:rsidR="00787570" w:rsidRDefault="00787570">
            <w:pPr>
              <w:rPr>
                <w:rFonts w:ascii="宋体"/>
              </w:rPr>
            </w:pPr>
          </w:p>
        </w:tc>
        <w:tc>
          <w:tcPr>
            <w:tcW w:w="0" w:type="auto"/>
            <w:shd w:val="clear" w:color="auto" w:fill="auto"/>
          </w:tcPr>
          <w:p w14:paraId="36CA21CC" w14:textId="77777777" w:rsidR="00787570" w:rsidRDefault="00787570">
            <w:pPr>
              <w:rPr>
                <w:rFonts w:ascii="宋体"/>
              </w:rPr>
            </w:pPr>
          </w:p>
        </w:tc>
        <w:tc>
          <w:tcPr>
            <w:tcW w:w="0" w:type="auto"/>
            <w:shd w:val="clear" w:color="auto" w:fill="auto"/>
          </w:tcPr>
          <w:p w14:paraId="36CA21CD" w14:textId="77777777" w:rsidR="00787570" w:rsidRDefault="00787570">
            <w:pPr>
              <w:rPr>
                <w:rFonts w:ascii="宋体"/>
              </w:rPr>
            </w:pPr>
          </w:p>
        </w:tc>
        <w:tc>
          <w:tcPr>
            <w:tcW w:w="0" w:type="auto"/>
            <w:shd w:val="clear" w:color="auto" w:fill="auto"/>
          </w:tcPr>
          <w:p w14:paraId="36CA21CE" w14:textId="77777777" w:rsidR="00787570" w:rsidRDefault="00787570">
            <w:pPr>
              <w:rPr>
                <w:rFonts w:ascii="宋体"/>
              </w:rPr>
            </w:pPr>
          </w:p>
        </w:tc>
        <w:tc>
          <w:tcPr>
            <w:tcW w:w="0" w:type="auto"/>
            <w:shd w:val="clear" w:color="auto" w:fill="auto"/>
          </w:tcPr>
          <w:p w14:paraId="36CA21CF" w14:textId="77777777" w:rsidR="00787570" w:rsidRDefault="00787570">
            <w:pPr>
              <w:rPr>
                <w:rFonts w:ascii="宋体"/>
              </w:rPr>
            </w:pPr>
          </w:p>
        </w:tc>
      </w:tr>
      <w:tr w:rsidR="00787570" w14:paraId="36CA21EA" w14:textId="77777777">
        <w:tc>
          <w:tcPr>
            <w:tcW w:w="0" w:type="auto"/>
            <w:gridSpan w:val="3"/>
            <w:shd w:val="clear" w:color="auto" w:fill="auto"/>
            <w:tcMar>
              <w:top w:w="40" w:type="dxa"/>
              <w:left w:w="20" w:type="dxa"/>
              <w:bottom w:w="40" w:type="dxa"/>
              <w:right w:w="20" w:type="dxa"/>
            </w:tcMar>
            <w:vAlign w:val="bottom"/>
          </w:tcPr>
          <w:p w14:paraId="36CA21D1" w14:textId="77777777" w:rsidR="00787570" w:rsidRDefault="000D56E2">
            <w:pPr>
              <w:textAlignment w:val="bottom"/>
            </w:pPr>
            <w:r>
              <w:rPr>
                <w:rFonts w:ascii="Arial" w:eastAsia="宋体" w:hAnsi="Arial" w:cs="Arial"/>
                <w:color w:val="333333"/>
                <w:sz w:val="18"/>
                <w:szCs w:val="18"/>
              </w:rPr>
              <w:t>Repurchase of common stock</w:t>
            </w:r>
          </w:p>
        </w:tc>
        <w:tc>
          <w:tcPr>
            <w:tcW w:w="0" w:type="auto"/>
            <w:gridSpan w:val="3"/>
            <w:shd w:val="clear" w:color="auto" w:fill="auto"/>
            <w:tcMar>
              <w:left w:w="20" w:type="dxa"/>
              <w:right w:w="20" w:type="dxa"/>
            </w:tcMar>
            <w:vAlign w:val="bottom"/>
          </w:tcPr>
          <w:p w14:paraId="36CA21D2"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21D3" w14:textId="77777777" w:rsidR="00787570" w:rsidRDefault="000D56E2">
            <w:pPr>
              <w:jc w:val="right"/>
              <w:textAlignment w:val="bottom"/>
            </w:pPr>
            <w:r>
              <w:rPr>
                <w:rFonts w:ascii="Arial" w:eastAsia="宋体" w:hAnsi="Arial" w:cs="Arial"/>
                <w:color w:val="0071C5"/>
                <w:sz w:val="18"/>
                <w:szCs w:val="18"/>
              </w:rPr>
              <w:t>(166)</w:t>
            </w:r>
          </w:p>
        </w:tc>
        <w:tc>
          <w:tcPr>
            <w:tcW w:w="0" w:type="auto"/>
            <w:shd w:val="clear" w:color="auto" w:fill="auto"/>
            <w:tcMar>
              <w:top w:w="40" w:type="dxa"/>
              <w:bottom w:w="40" w:type="dxa"/>
              <w:right w:w="20" w:type="dxa"/>
            </w:tcMar>
            <w:vAlign w:val="bottom"/>
          </w:tcPr>
          <w:p w14:paraId="36CA21D4"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21D5"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21D6" w14:textId="77777777" w:rsidR="00787570" w:rsidRDefault="000D56E2">
            <w:pPr>
              <w:jc w:val="right"/>
              <w:textAlignment w:val="bottom"/>
            </w:pPr>
            <w:r>
              <w:rPr>
                <w:rFonts w:ascii="Arial" w:eastAsia="宋体" w:hAnsi="Arial" w:cs="Arial"/>
                <w:color w:val="0071C5"/>
                <w:sz w:val="18"/>
                <w:szCs w:val="18"/>
              </w:rPr>
              <w:t>(993)</w:t>
            </w:r>
          </w:p>
        </w:tc>
        <w:tc>
          <w:tcPr>
            <w:tcW w:w="0" w:type="auto"/>
            <w:shd w:val="clear" w:color="auto" w:fill="auto"/>
            <w:tcMar>
              <w:top w:w="40" w:type="dxa"/>
              <w:bottom w:w="40" w:type="dxa"/>
              <w:right w:w="20" w:type="dxa"/>
            </w:tcMar>
            <w:vAlign w:val="bottom"/>
          </w:tcPr>
          <w:p w14:paraId="36CA21D7"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21D8"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21D9" w14:textId="77777777" w:rsidR="00787570" w:rsidRDefault="000D56E2">
            <w:pPr>
              <w:jc w:val="right"/>
              <w:textAlignment w:val="bottom"/>
            </w:pPr>
            <w:r>
              <w:rPr>
                <w:rFonts w:ascii="Arial" w:eastAsia="宋体" w:hAnsi="Arial" w:cs="Arial"/>
                <w:color w:val="0071C5"/>
                <w:sz w:val="18"/>
                <w:szCs w:val="18"/>
              </w:rPr>
              <w:t>— </w:t>
            </w:r>
          </w:p>
        </w:tc>
        <w:tc>
          <w:tcPr>
            <w:tcW w:w="0" w:type="auto"/>
            <w:shd w:val="clear" w:color="auto" w:fill="auto"/>
            <w:tcMar>
              <w:top w:w="40" w:type="dxa"/>
              <w:bottom w:w="40" w:type="dxa"/>
              <w:right w:w="20" w:type="dxa"/>
            </w:tcMar>
            <w:vAlign w:val="bottom"/>
          </w:tcPr>
          <w:p w14:paraId="36CA21DA"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21DB"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21DC" w14:textId="77777777" w:rsidR="00787570" w:rsidRDefault="000D56E2">
            <w:pPr>
              <w:jc w:val="right"/>
              <w:textAlignment w:val="bottom"/>
            </w:pPr>
            <w:r>
              <w:rPr>
                <w:rFonts w:ascii="Arial" w:eastAsia="宋体" w:hAnsi="Arial" w:cs="Arial"/>
                <w:color w:val="0071C5"/>
                <w:sz w:val="18"/>
                <w:szCs w:val="18"/>
              </w:rPr>
              <w:t>(7,007)</w:t>
            </w:r>
          </w:p>
        </w:tc>
        <w:tc>
          <w:tcPr>
            <w:tcW w:w="0" w:type="auto"/>
            <w:shd w:val="clear" w:color="auto" w:fill="auto"/>
            <w:tcMar>
              <w:top w:w="40" w:type="dxa"/>
              <w:bottom w:w="40" w:type="dxa"/>
              <w:right w:w="20" w:type="dxa"/>
            </w:tcMar>
            <w:vAlign w:val="bottom"/>
          </w:tcPr>
          <w:p w14:paraId="36CA21DD"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21DE"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21DF" w14:textId="77777777" w:rsidR="00787570" w:rsidRDefault="000D56E2">
            <w:pPr>
              <w:jc w:val="right"/>
              <w:textAlignment w:val="bottom"/>
            </w:pPr>
            <w:r>
              <w:rPr>
                <w:rFonts w:ascii="Arial" w:eastAsia="宋体" w:hAnsi="Arial" w:cs="Arial"/>
                <w:color w:val="0071C5"/>
                <w:sz w:val="18"/>
                <w:szCs w:val="18"/>
              </w:rPr>
              <w:t>(8,000)</w:t>
            </w:r>
          </w:p>
        </w:tc>
        <w:tc>
          <w:tcPr>
            <w:tcW w:w="0" w:type="auto"/>
            <w:shd w:val="clear" w:color="auto" w:fill="auto"/>
            <w:tcMar>
              <w:top w:w="40" w:type="dxa"/>
              <w:bottom w:w="40" w:type="dxa"/>
              <w:right w:w="20" w:type="dxa"/>
            </w:tcMar>
            <w:vAlign w:val="bottom"/>
          </w:tcPr>
          <w:p w14:paraId="36CA21E0" w14:textId="77777777" w:rsidR="00787570" w:rsidRDefault="00787570">
            <w:pPr>
              <w:jc w:val="right"/>
              <w:rPr>
                <w:rFonts w:ascii="宋体"/>
              </w:rPr>
            </w:pPr>
          </w:p>
        </w:tc>
        <w:tc>
          <w:tcPr>
            <w:tcW w:w="0" w:type="auto"/>
            <w:shd w:val="clear" w:color="auto" w:fill="auto"/>
          </w:tcPr>
          <w:p w14:paraId="36CA21E1" w14:textId="77777777" w:rsidR="00787570" w:rsidRDefault="00787570">
            <w:pPr>
              <w:rPr>
                <w:rFonts w:ascii="宋体"/>
              </w:rPr>
            </w:pPr>
          </w:p>
        </w:tc>
        <w:tc>
          <w:tcPr>
            <w:tcW w:w="0" w:type="auto"/>
            <w:shd w:val="clear" w:color="auto" w:fill="auto"/>
          </w:tcPr>
          <w:p w14:paraId="36CA21E2" w14:textId="77777777" w:rsidR="00787570" w:rsidRDefault="00787570">
            <w:pPr>
              <w:rPr>
                <w:rFonts w:ascii="宋体"/>
              </w:rPr>
            </w:pPr>
          </w:p>
        </w:tc>
        <w:tc>
          <w:tcPr>
            <w:tcW w:w="0" w:type="auto"/>
            <w:shd w:val="clear" w:color="auto" w:fill="auto"/>
          </w:tcPr>
          <w:p w14:paraId="36CA21E3" w14:textId="77777777" w:rsidR="00787570" w:rsidRDefault="00787570">
            <w:pPr>
              <w:rPr>
                <w:rFonts w:ascii="宋体"/>
              </w:rPr>
            </w:pPr>
          </w:p>
        </w:tc>
        <w:tc>
          <w:tcPr>
            <w:tcW w:w="0" w:type="auto"/>
            <w:shd w:val="clear" w:color="auto" w:fill="auto"/>
          </w:tcPr>
          <w:p w14:paraId="36CA21E4" w14:textId="77777777" w:rsidR="00787570" w:rsidRDefault="00787570">
            <w:pPr>
              <w:rPr>
                <w:rFonts w:ascii="宋体"/>
              </w:rPr>
            </w:pPr>
          </w:p>
        </w:tc>
        <w:tc>
          <w:tcPr>
            <w:tcW w:w="0" w:type="auto"/>
            <w:shd w:val="clear" w:color="auto" w:fill="auto"/>
          </w:tcPr>
          <w:p w14:paraId="36CA21E5" w14:textId="77777777" w:rsidR="00787570" w:rsidRDefault="00787570">
            <w:pPr>
              <w:rPr>
                <w:rFonts w:ascii="宋体"/>
              </w:rPr>
            </w:pPr>
          </w:p>
        </w:tc>
        <w:tc>
          <w:tcPr>
            <w:tcW w:w="0" w:type="auto"/>
            <w:shd w:val="clear" w:color="auto" w:fill="auto"/>
          </w:tcPr>
          <w:p w14:paraId="36CA21E6" w14:textId="77777777" w:rsidR="00787570" w:rsidRDefault="00787570">
            <w:pPr>
              <w:rPr>
                <w:rFonts w:ascii="宋体"/>
              </w:rPr>
            </w:pPr>
          </w:p>
        </w:tc>
        <w:tc>
          <w:tcPr>
            <w:tcW w:w="0" w:type="auto"/>
            <w:shd w:val="clear" w:color="auto" w:fill="auto"/>
          </w:tcPr>
          <w:p w14:paraId="36CA21E7" w14:textId="77777777" w:rsidR="00787570" w:rsidRDefault="00787570">
            <w:pPr>
              <w:rPr>
                <w:rFonts w:ascii="宋体"/>
              </w:rPr>
            </w:pPr>
          </w:p>
        </w:tc>
        <w:tc>
          <w:tcPr>
            <w:tcW w:w="0" w:type="auto"/>
            <w:shd w:val="clear" w:color="auto" w:fill="auto"/>
          </w:tcPr>
          <w:p w14:paraId="36CA21E8" w14:textId="77777777" w:rsidR="00787570" w:rsidRDefault="00787570">
            <w:pPr>
              <w:rPr>
                <w:rFonts w:ascii="宋体"/>
              </w:rPr>
            </w:pPr>
          </w:p>
        </w:tc>
        <w:tc>
          <w:tcPr>
            <w:tcW w:w="0" w:type="auto"/>
            <w:shd w:val="clear" w:color="auto" w:fill="auto"/>
          </w:tcPr>
          <w:p w14:paraId="36CA21E9" w14:textId="77777777" w:rsidR="00787570" w:rsidRDefault="00787570">
            <w:pPr>
              <w:rPr>
                <w:rFonts w:ascii="宋体"/>
              </w:rPr>
            </w:pPr>
          </w:p>
        </w:tc>
      </w:tr>
      <w:tr w:rsidR="00787570" w14:paraId="36CA2204" w14:textId="77777777">
        <w:tc>
          <w:tcPr>
            <w:tcW w:w="0" w:type="auto"/>
            <w:gridSpan w:val="3"/>
            <w:shd w:val="clear" w:color="auto" w:fill="auto"/>
            <w:tcMar>
              <w:top w:w="40" w:type="dxa"/>
              <w:left w:w="20" w:type="dxa"/>
              <w:bottom w:w="40" w:type="dxa"/>
              <w:right w:w="20" w:type="dxa"/>
            </w:tcMar>
            <w:vAlign w:val="bottom"/>
          </w:tcPr>
          <w:p w14:paraId="36CA21EB" w14:textId="77777777" w:rsidR="00787570" w:rsidRDefault="000D56E2">
            <w:pPr>
              <w:textAlignment w:val="bottom"/>
            </w:pPr>
            <w:r>
              <w:rPr>
                <w:rFonts w:ascii="Arial" w:eastAsia="宋体" w:hAnsi="Arial" w:cs="Arial"/>
                <w:color w:val="333333"/>
                <w:sz w:val="18"/>
                <w:szCs w:val="18"/>
              </w:rPr>
              <w:t>Accelerated share repurchase forward agreements</w:t>
            </w:r>
          </w:p>
        </w:tc>
        <w:tc>
          <w:tcPr>
            <w:tcW w:w="0" w:type="auto"/>
            <w:gridSpan w:val="3"/>
            <w:shd w:val="clear" w:color="auto" w:fill="auto"/>
            <w:tcMar>
              <w:left w:w="20" w:type="dxa"/>
              <w:right w:w="20" w:type="dxa"/>
            </w:tcMar>
            <w:vAlign w:val="bottom"/>
          </w:tcPr>
          <w:p w14:paraId="36CA21EC"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21ED" w14:textId="77777777" w:rsidR="00787570" w:rsidRDefault="000D56E2">
            <w:pPr>
              <w:jc w:val="right"/>
              <w:textAlignment w:val="bottom"/>
            </w:pPr>
            <w:r>
              <w:rPr>
                <w:rFonts w:ascii="Arial" w:eastAsia="宋体" w:hAnsi="Arial" w:cs="Arial"/>
                <w:color w:val="0071C5"/>
                <w:sz w:val="18"/>
                <w:szCs w:val="18"/>
              </w:rPr>
              <w:t>— </w:t>
            </w:r>
          </w:p>
        </w:tc>
        <w:tc>
          <w:tcPr>
            <w:tcW w:w="0" w:type="auto"/>
            <w:shd w:val="clear" w:color="auto" w:fill="auto"/>
            <w:tcMar>
              <w:top w:w="40" w:type="dxa"/>
              <w:bottom w:w="40" w:type="dxa"/>
              <w:right w:w="20" w:type="dxa"/>
            </w:tcMar>
            <w:vAlign w:val="bottom"/>
          </w:tcPr>
          <w:p w14:paraId="36CA21EE"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21EF" w14:textId="77777777" w:rsidR="00787570" w:rsidRDefault="00787570">
            <w:pPr>
              <w:jc w:val="right"/>
              <w:rPr>
                <w:rFonts w:ascii="宋体"/>
              </w:rPr>
            </w:pPr>
          </w:p>
        </w:tc>
        <w:tc>
          <w:tcPr>
            <w:tcW w:w="0" w:type="auto"/>
            <w:gridSpan w:val="2"/>
            <w:shd w:val="clear" w:color="auto" w:fill="auto"/>
            <w:tcMar>
              <w:top w:w="40" w:type="dxa"/>
              <w:left w:w="20" w:type="dxa"/>
              <w:bottom w:w="40" w:type="dxa"/>
              <w:right w:w="0" w:type="dxa"/>
            </w:tcMar>
            <w:vAlign w:val="bottom"/>
          </w:tcPr>
          <w:p w14:paraId="36CA21F0" w14:textId="77777777" w:rsidR="00787570" w:rsidRDefault="000D56E2">
            <w:pPr>
              <w:jc w:val="right"/>
              <w:textAlignment w:val="bottom"/>
            </w:pPr>
            <w:r>
              <w:rPr>
                <w:rFonts w:ascii="Arial" w:eastAsia="宋体" w:hAnsi="Arial" w:cs="Arial"/>
                <w:color w:val="0071C5"/>
                <w:sz w:val="18"/>
                <w:szCs w:val="18"/>
              </w:rPr>
              <w:t>(2,000)</w:t>
            </w:r>
          </w:p>
        </w:tc>
        <w:tc>
          <w:tcPr>
            <w:tcW w:w="0" w:type="auto"/>
            <w:shd w:val="clear" w:color="auto" w:fill="auto"/>
            <w:tcMar>
              <w:top w:w="40" w:type="dxa"/>
              <w:bottom w:w="40" w:type="dxa"/>
              <w:right w:w="20" w:type="dxa"/>
            </w:tcMar>
            <w:vAlign w:val="bottom"/>
          </w:tcPr>
          <w:p w14:paraId="36CA21F1"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21F2" w14:textId="77777777" w:rsidR="00787570" w:rsidRDefault="00787570">
            <w:pPr>
              <w:jc w:val="right"/>
              <w:rPr>
                <w:rFonts w:ascii="宋体"/>
              </w:rPr>
            </w:pPr>
          </w:p>
        </w:tc>
        <w:tc>
          <w:tcPr>
            <w:tcW w:w="0" w:type="auto"/>
            <w:gridSpan w:val="2"/>
            <w:shd w:val="clear" w:color="auto" w:fill="auto"/>
            <w:tcMar>
              <w:top w:w="40" w:type="dxa"/>
              <w:left w:w="20" w:type="dxa"/>
              <w:bottom w:w="40" w:type="dxa"/>
              <w:right w:w="0" w:type="dxa"/>
            </w:tcMar>
            <w:vAlign w:val="bottom"/>
          </w:tcPr>
          <w:p w14:paraId="36CA21F3" w14:textId="77777777" w:rsidR="00787570" w:rsidRDefault="000D56E2">
            <w:pPr>
              <w:jc w:val="right"/>
              <w:textAlignment w:val="bottom"/>
            </w:pPr>
            <w:r>
              <w:rPr>
                <w:rFonts w:ascii="Arial" w:eastAsia="宋体" w:hAnsi="Arial" w:cs="Arial"/>
                <w:color w:val="0071C5"/>
                <w:sz w:val="18"/>
                <w:szCs w:val="18"/>
              </w:rPr>
              <w:t>— </w:t>
            </w:r>
          </w:p>
        </w:tc>
        <w:tc>
          <w:tcPr>
            <w:tcW w:w="0" w:type="auto"/>
            <w:shd w:val="clear" w:color="auto" w:fill="auto"/>
            <w:tcMar>
              <w:top w:w="40" w:type="dxa"/>
              <w:bottom w:w="40" w:type="dxa"/>
              <w:right w:w="20" w:type="dxa"/>
            </w:tcMar>
            <w:vAlign w:val="bottom"/>
          </w:tcPr>
          <w:p w14:paraId="36CA21F4"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21F5" w14:textId="77777777" w:rsidR="00787570" w:rsidRDefault="00787570">
            <w:pPr>
              <w:jc w:val="right"/>
              <w:rPr>
                <w:rFonts w:ascii="宋体"/>
              </w:rPr>
            </w:pPr>
          </w:p>
        </w:tc>
        <w:tc>
          <w:tcPr>
            <w:tcW w:w="0" w:type="auto"/>
            <w:gridSpan w:val="2"/>
            <w:shd w:val="clear" w:color="auto" w:fill="auto"/>
            <w:tcMar>
              <w:top w:w="40" w:type="dxa"/>
              <w:left w:w="20" w:type="dxa"/>
              <w:bottom w:w="40" w:type="dxa"/>
              <w:right w:w="0" w:type="dxa"/>
            </w:tcMar>
            <w:vAlign w:val="bottom"/>
          </w:tcPr>
          <w:p w14:paraId="36CA21F6" w14:textId="77777777" w:rsidR="00787570" w:rsidRDefault="000D56E2">
            <w:pPr>
              <w:jc w:val="right"/>
              <w:textAlignment w:val="bottom"/>
            </w:pPr>
            <w:r>
              <w:rPr>
                <w:rFonts w:ascii="Arial" w:eastAsia="宋体" w:hAnsi="Arial" w:cs="Arial"/>
                <w:color w:val="0071C5"/>
                <w:sz w:val="18"/>
                <w:szCs w:val="18"/>
              </w:rPr>
              <w:t>— </w:t>
            </w:r>
          </w:p>
        </w:tc>
        <w:tc>
          <w:tcPr>
            <w:tcW w:w="0" w:type="auto"/>
            <w:shd w:val="clear" w:color="auto" w:fill="auto"/>
            <w:tcMar>
              <w:top w:w="40" w:type="dxa"/>
              <w:bottom w:w="40" w:type="dxa"/>
              <w:right w:w="20" w:type="dxa"/>
            </w:tcMar>
            <w:vAlign w:val="bottom"/>
          </w:tcPr>
          <w:p w14:paraId="36CA21F7"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21F8" w14:textId="77777777" w:rsidR="00787570" w:rsidRDefault="00787570">
            <w:pPr>
              <w:jc w:val="right"/>
              <w:rPr>
                <w:rFonts w:ascii="宋体"/>
              </w:rPr>
            </w:pPr>
          </w:p>
        </w:tc>
        <w:tc>
          <w:tcPr>
            <w:tcW w:w="0" w:type="auto"/>
            <w:gridSpan w:val="2"/>
            <w:shd w:val="clear" w:color="auto" w:fill="auto"/>
            <w:tcMar>
              <w:top w:w="40" w:type="dxa"/>
              <w:left w:w="20" w:type="dxa"/>
              <w:bottom w:w="40" w:type="dxa"/>
              <w:right w:w="0" w:type="dxa"/>
            </w:tcMar>
            <w:vAlign w:val="bottom"/>
          </w:tcPr>
          <w:p w14:paraId="36CA21F9" w14:textId="77777777" w:rsidR="00787570" w:rsidRDefault="000D56E2">
            <w:pPr>
              <w:jc w:val="right"/>
              <w:textAlignment w:val="bottom"/>
            </w:pPr>
            <w:r>
              <w:rPr>
                <w:rFonts w:ascii="Arial" w:eastAsia="宋体" w:hAnsi="Arial" w:cs="Arial"/>
                <w:color w:val="0071C5"/>
                <w:sz w:val="18"/>
                <w:szCs w:val="18"/>
              </w:rPr>
              <w:t>(2,000)</w:t>
            </w:r>
          </w:p>
        </w:tc>
        <w:tc>
          <w:tcPr>
            <w:tcW w:w="0" w:type="auto"/>
            <w:shd w:val="clear" w:color="auto" w:fill="auto"/>
            <w:tcMar>
              <w:top w:w="40" w:type="dxa"/>
              <w:bottom w:w="40" w:type="dxa"/>
              <w:right w:w="20" w:type="dxa"/>
            </w:tcMar>
            <w:vAlign w:val="bottom"/>
          </w:tcPr>
          <w:p w14:paraId="36CA21FA" w14:textId="77777777" w:rsidR="00787570" w:rsidRDefault="00787570">
            <w:pPr>
              <w:jc w:val="right"/>
              <w:rPr>
                <w:rFonts w:ascii="宋体"/>
              </w:rPr>
            </w:pPr>
          </w:p>
        </w:tc>
        <w:tc>
          <w:tcPr>
            <w:tcW w:w="0" w:type="auto"/>
            <w:shd w:val="clear" w:color="auto" w:fill="auto"/>
          </w:tcPr>
          <w:p w14:paraId="36CA21FB" w14:textId="77777777" w:rsidR="00787570" w:rsidRDefault="00787570">
            <w:pPr>
              <w:rPr>
                <w:rFonts w:ascii="宋体"/>
              </w:rPr>
            </w:pPr>
          </w:p>
        </w:tc>
        <w:tc>
          <w:tcPr>
            <w:tcW w:w="0" w:type="auto"/>
            <w:shd w:val="clear" w:color="auto" w:fill="auto"/>
          </w:tcPr>
          <w:p w14:paraId="36CA21FC" w14:textId="77777777" w:rsidR="00787570" w:rsidRDefault="00787570">
            <w:pPr>
              <w:rPr>
                <w:rFonts w:ascii="宋体"/>
              </w:rPr>
            </w:pPr>
          </w:p>
        </w:tc>
        <w:tc>
          <w:tcPr>
            <w:tcW w:w="0" w:type="auto"/>
            <w:shd w:val="clear" w:color="auto" w:fill="auto"/>
          </w:tcPr>
          <w:p w14:paraId="36CA21FD" w14:textId="77777777" w:rsidR="00787570" w:rsidRDefault="00787570">
            <w:pPr>
              <w:rPr>
                <w:rFonts w:ascii="宋体"/>
              </w:rPr>
            </w:pPr>
          </w:p>
        </w:tc>
        <w:tc>
          <w:tcPr>
            <w:tcW w:w="0" w:type="auto"/>
            <w:shd w:val="clear" w:color="auto" w:fill="auto"/>
          </w:tcPr>
          <w:p w14:paraId="36CA21FE" w14:textId="77777777" w:rsidR="00787570" w:rsidRDefault="00787570">
            <w:pPr>
              <w:rPr>
                <w:rFonts w:ascii="宋体"/>
              </w:rPr>
            </w:pPr>
          </w:p>
        </w:tc>
        <w:tc>
          <w:tcPr>
            <w:tcW w:w="0" w:type="auto"/>
            <w:shd w:val="clear" w:color="auto" w:fill="auto"/>
          </w:tcPr>
          <w:p w14:paraId="36CA21FF" w14:textId="77777777" w:rsidR="00787570" w:rsidRDefault="00787570">
            <w:pPr>
              <w:rPr>
                <w:rFonts w:ascii="宋体"/>
              </w:rPr>
            </w:pPr>
          </w:p>
        </w:tc>
        <w:tc>
          <w:tcPr>
            <w:tcW w:w="0" w:type="auto"/>
            <w:shd w:val="clear" w:color="auto" w:fill="auto"/>
          </w:tcPr>
          <w:p w14:paraId="36CA2200" w14:textId="77777777" w:rsidR="00787570" w:rsidRDefault="00787570">
            <w:pPr>
              <w:rPr>
                <w:rFonts w:ascii="宋体"/>
              </w:rPr>
            </w:pPr>
          </w:p>
        </w:tc>
        <w:tc>
          <w:tcPr>
            <w:tcW w:w="0" w:type="auto"/>
            <w:shd w:val="clear" w:color="auto" w:fill="auto"/>
          </w:tcPr>
          <w:p w14:paraId="36CA2201" w14:textId="77777777" w:rsidR="00787570" w:rsidRDefault="00787570">
            <w:pPr>
              <w:rPr>
                <w:rFonts w:ascii="宋体"/>
              </w:rPr>
            </w:pPr>
          </w:p>
        </w:tc>
        <w:tc>
          <w:tcPr>
            <w:tcW w:w="0" w:type="auto"/>
            <w:shd w:val="clear" w:color="auto" w:fill="auto"/>
          </w:tcPr>
          <w:p w14:paraId="36CA2202" w14:textId="77777777" w:rsidR="00787570" w:rsidRDefault="00787570">
            <w:pPr>
              <w:rPr>
                <w:rFonts w:ascii="宋体"/>
              </w:rPr>
            </w:pPr>
          </w:p>
        </w:tc>
        <w:tc>
          <w:tcPr>
            <w:tcW w:w="0" w:type="auto"/>
            <w:shd w:val="clear" w:color="auto" w:fill="auto"/>
          </w:tcPr>
          <w:p w14:paraId="36CA2203" w14:textId="77777777" w:rsidR="00787570" w:rsidRDefault="00787570">
            <w:pPr>
              <w:rPr>
                <w:rFonts w:ascii="宋体"/>
              </w:rPr>
            </w:pPr>
          </w:p>
        </w:tc>
      </w:tr>
      <w:tr w:rsidR="00787570" w14:paraId="36CA221E" w14:textId="77777777">
        <w:tc>
          <w:tcPr>
            <w:tcW w:w="0" w:type="auto"/>
            <w:gridSpan w:val="3"/>
            <w:shd w:val="clear" w:color="auto" w:fill="auto"/>
            <w:tcMar>
              <w:top w:w="40" w:type="dxa"/>
              <w:left w:w="20" w:type="dxa"/>
              <w:bottom w:w="40" w:type="dxa"/>
              <w:right w:w="20" w:type="dxa"/>
            </w:tcMar>
            <w:vAlign w:val="bottom"/>
          </w:tcPr>
          <w:p w14:paraId="36CA2205" w14:textId="77777777" w:rsidR="00787570" w:rsidRDefault="000D56E2">
            <w:pPr>
              <w:textAlignment w:val="bottom"/>
            </w:pPr>
            <w:r>
              <w:rPr>
                <w:rFonts w:ascii="Arial" w:eastAsia="宋体" w:hAnsi="Arial" w:cs="Arial"/>
                <w:color w:val="333333"/>
                <w:sz w:val="18"/>
                <w:szCs w:val="18"/>
              </w:rPr>
              <w:t>Restricted stock unit withholdings</w:t>
            </w:r>
          </w:p>
        </w:tc>
        <w:tc>
          <w:tcPr>
            <w:tcW w:w="0" w:type="auto"/>
            <w:gridSpan w:val="3"/>
            <w:shd w:val="clear" w:color="auto" w:fill="auto"/>
            <w:tcMar>
              <w:left w:w="20" w:type="dxa"/>
              <w:right w:w="20" w:type="dxa"/>
            </w:tcMar>
            <w:vAlign w:val="bottom"/>
          </w:tcPr>
          <w:p w14:paraId="36CA2206"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2207" w14:textId="77777777" w:rsidR="00787570" w:rsidRDefault="000D56E2">
            <w:pPr>
              <w:jc w:val="right"/>
              <w:textAlignment w:val="bottom"/>
            </w:pPr>
            <w:r>
              <w:rPr>
                <w:rFonts w:ascii="Arial" w:eastAsia="宋体" w:hAnsi="Arial" w:cs="Arial"/>
                <w:color w:val="0071C5"/>
                <w:sz w:val="18"/>
                <w:szCs w:val="18"/>
              </w:rPr>
              <w:t>(1)</w:t>
            </w:r>
          </w:p>
        </w:tc>
        <w:tc>
          <w:tcPr>
            <w:tcW w:w="0" w:type="auto"/>
            <w:shd w:val="clear" w:color="auto" w:fill="auto"/>
            <w:tcMar>
              <w:top w:w="40" w:type="dxa"/>
              <w:bottom w:w="40" w:type="dxa"/>
              <w:right w:w="20" w:type="dxa"/>
            </w:tcMar>
            <w:vAlign w:val="bottom"/>
          </w:tcPr>
          <w:p w14:paraId="36CA2208"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2209"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220A" w14:textId="77777777" w:rsidR="00787570" w:rsidRDefault="000D56E2">
            <w:pPr>
              <w:jc w:val="right"/>
              <w:textAlignment w:val="bottom"/>
            </w:pPr>
            <w:r>
              <w:rPr>
                <w:rFonts w:ascii="Arial" w:eastAsia="宋体" w:hAnsi="Arial" w:cs="Arial"/>
                <w:color w:val="0071C5"/>
                <w:sz w:val="18"/>
                <w:szCs w:val="18"/>
              </w:rPr>
              <w:t>(25)</w:t>
            </w:r>
          </w:p>
        </w:tc>
        <w:tc>
          <w:tcPr>
            <w:tcW w:w="0" w:type="auto"/>
            <w:shd w:val="clear" w:color="auto" w:fill="auto"/>
            <w:tcMar>
              <w:top w:w="40" w:type="dxa"/>
              <w:bottom w:w="40" w:type="dxa"/>
              <w:right w:w="20" w:type="dxa"/>
            </w:tcMar>
            <w:vAlign w:val="bottom"/>
          </w:tcPr>
          <w:p w14:paraId="36CA220B"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220C"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220D" w14:textId="77777777" w:rsidR="00787570" w:rsidRDefault="000D56E2">
            <w:pPr>
              <w:jc w:val="right"/>
              <w:textAlignment w:val="bottom"/>
            </w:pPr>
            <w:r>
              <w:rPr>
                <w:rFonts w:ascii="Arial" w:eastAsia="宋体" w:hAnsi="Arial" w:cs="Arial"/>
                <w:color w:val="0071C5"/>
                <w:sz w:val="18"/>
                <w:szCs w:val="18"/>
              </w:rPr>
              <w:t>— </w:t>
            </w:r>
          </w:p>
        </w:tc>
        <w:tc>
          <w:tcPr>
            <w:tcW w:w="0" w:type="auto"/>
            <w:shd w:val="clear" w:color="auto" w:fill="auto"/>
            <w:tcMar>
              <w:top w:w="40" w:type="dxa"/>
              <w:bottom w:w="40" w:type="dxa"/>
              <w:right w:w="20" w:type="dxa"/>
            </w:tcMar>
            <w:vAlign w:val="bottom"/>
          </w:tcPr>
          <w:p w14:paraId="36CA220E"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220F"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2210" w14:textId="77777777" w:rsidR="00787570" w:rsidRDefault="000D56E2">
            <w:pPr>
              <w:jc w:val="right"/>
              <w:textAlignment w:val="bottom"/>
            </w:pPr>
            <w:r>
              <w:rPr>
                <w:rFonts w:ascii="Arial" w:eastAsia="宋体" w:hAnsi="Arial" w:cs="Arial"/>
                <w:color w:val="0071C5"/>
                <w:sz w:val="18"/>
                <w:szCs w:val="18"/>
              </w:rPr>
              <w:t>— </w:t>
            </w:r>
          </w:p>
        </w:tc>
        <w:tc>
          <w:tcPr>
            <w:tcW w:w="0" w:type="auto"/>
            <w:shd w:val="clear" w:color="auto" w:fill="auto"/>
            <w:tcMar>
              <w:top w:w="40" w:type="dxa"/>
              <w:bottom w:w="40" w:type="dxa"/>
              <w:right w:w="20" w:type="dxa"/>
            </w:tcMar>
            <w:vAlign w:val="bottom"/>
          </w:tcPr>
          <w:p w14:paraId="36CA2211"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2212"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2213" w14:textId="77777777" w:rsidR="00787570" w:rsidRDefault="000D56E2">
            <w:pPr>
              <w:jc w:val="right"/>
              <w:textAlignment w:val="bottom"/>
            </w:pPr>
            <w:r>
              <w:rPr>
                <w:rFonts w:ascii="Arial" w:eastAsia="宋体" w:hAnsi="Arial" w:cs="Arial"/>
                <w:color w:val="0071C5"/>
                <w:sz w:val="18"/>
                <w:szCs w:val="18"/>
              </w:rPr>
              <w:t>(25)</w:t>
            </w:r>
          </w:p>
        </w:tc>
        <w:tc>
          <w:tcPr>
            <w:tcW w:w="0" w:type="auto"/>
            <w:shd w:val="clear" w:color="auto" w:fill="auto"/>
            <w:tcMar>
              <w:top w:w="40" w:type="dxa"/>
              <w:bottom w:w="40" w:type="dxa"/>
              <w:right w:w="20" w:type="dxa"/>
            </w:tcMar>
            <w:vAlign w:val="bottom"/>
          </w:tcPr>
          <w:p w14:paraId="36CA2214" w14:textId="77777777" w:rsidR="00787570" w:rsidRDefault="00787570">
            <w:pPr>
              <w:jc w:val="right"/>
              <w:rPr>
                <w:rFonts w:ascii="宋体"/>
              </w:rPr>
            </w:pPr>
          </w:p>
        </w:tc>
        <w:tc>
          <w:tcPr>
            <w:tcW w:w="0" w:type="auto"/>
            <w:shd w:val="clear" w:color="auto" w:fill="auto"/>
          </w:tcPr>
          <w:p w14:paraId="36CA2215" w14:textId="77777777" w:rsidR="00787570" w:rsidRDefault="00787570">
            <w:pPr>
              <w:rPr>
                <w:rFonts w:ascii="宋体"/>
              </w:rPr>
            </w:pPr>
          </w:p>
        </w:tc>
        <w:tc>
          <w:tcPr>
            <w:tcW w:w="0" w:type="auto"/>
            <w:shd w:val="clear" w:color="auto" w:fill="auto"/>
          </w:tcPr>
          <w:p w14:paraId="36CA2216" w14:textId="77777777" w:rsidR="00787570" w:rsidRDefault="00787570">
            <w:pPr>
              <w:rPr>
                <w:rFonts w:ascii="宋体"/>
              </w:rPr>
            </w:pPr>
          </w:p>
        </w:tc>
        <w:tc>
          <w:tcPr>
            <w:tcW w:w="0" w:type="auto"/>
            <w:shd w:val="clear" w:color="auto" w:fill="auto"/>
          </w:tcPr>
          <w:p w14:paraId="36CA2217" w14:textId="77777777" w:rsidR="00787570" w:rsidRDefault="00787570">
            <w:pPr>
              <w:rPr>
                <w:rFonts w:ascii="宋体"/>
              </w:rPr>
            </w:pPr>
          </w:p>
        </w:tc>
        <w:tc>
          <w:tcPr>
            <w:tcW w:w="0" w:type="auto"/>
            <w:shd w:val="clear" w:color="auto" w:fill="auto"/>
          </w:tcPr>
          <w:p w14:paraId="36CA2218" w14:textId="77777777" w:rsidR="00787570" w:rsidRDefault="00787570">
            <w:pPr>
              <w:rPr>
                <w:rFonts w:ascii="宋体"/>
              </w:rPr>
            </w:pPr>
          </w:p>
        </w:tc>
        <w:tc>
          <w:tcPr>
            <w:tcW w:w="0" w:type="auto"/>
            <w:shd w:val="clear" w:color="auto" w:fill="auto"/>
          </w:tcPr>
          <w:p w14:paraId="36CA2219" w14:textId="77777777" w:rsidR="00787570" w:rsidRDefault="00787570">
            <w:pPr>
              <w:rPr>
                <w:rFonts w:ascii="宋体"/>
              </w:rPr>
            </w:pPr>
          </w:p>
        </w:tc>
        <w:tc>
          <w:tcPr>
            <w:tcW w:w="0" w:type="auto"/>
            <w:shd w:val="clear" w:color="auto" w:fill="auto"/>
          </w:tcPr>
          <w:p w14:paraId="36CA221A" w14:textId="77777777" w:rsidR="00787570" w:rsidRDefault="00787570">
            <w:pPr>
              <w:rPr>
                <w:rFonts w:ascii="宋体"/>
              </w:rPr>
            </w:pPr>
          </w:p>
        </w:tc>
        <w:tc>
          <w:tcPr>
            <w:tcW w:w="0" w:type="auto"/>
            <w:shd w:val="clear" w:color="auto" w:fill="auto"/>
          </w:tcPr>
          <w:p w14:paraId="36CA221B" w14:textId="77777777" w:rsidR="00787570" w:rsidRDefault="00787570">
            <w:pPr>
              <w:rPr>
                <w:rFonts w:ascii="宋体"/>
              </w:rPr>
            </w:pPr>
          </w:p>
        </w:tc>
        <w:tc>
          <w:tcPr>
            <w:tcW w:w="0" w:type="auto"/>
            <w:shd w:val="clear" w:color="auto" w:fill="auto"/>
          </w:tcPr>
          <w:p w14:paraId="36CA221C" w14:textId="77777777" w:rsidR="00787570" w:rsidRDefault="00787570">
            <w:pPr>
              <w:rPr>
                <w:rFonts w:ascii="宋体"/>
              </w:rPr>
            </w:pPr>
          </w:p>
        </w:tc>
        <w:tc>
          <w:tcPr>
            <w:tcW w:w="0" w:type="auto"/>
            <w:shd w:val="clear" w:color="auto" w:fill="auto"/>
          </w:tcPr>
          <w:p w14:paraId="36CA221D" w14:textId="77777777" w:rsidR="00787570" w:rsidRDefault="00787570">
            <w:pPr>
              <w:rPr>
                <w:rFonts w:ascii="宋体"/>
              </w:rPr>
            </w:pPr>
          </w:p>
        </w:tc>
      </w:tr>
      <w:tr w:rsidR="00787570" w14:paraId="36CA2238" w14:textId="77777777">
        <w:tc>
          <w:tcPr>
            <w:tcW w:w="0" w:type="auto"/>
            <w:gridSpan w:val="3"/>
            <w:shd w:val="clear" w:color="auto" w:fill="auto"/>
            <w:tcMar>
              <w:top w:w="40" w:type="dxa"/>
              <w:left w:w="20" w:type="dxa"/>
              <w:bottom w:w="40" w:type="dxa"/>
              <w:right w:w="20" w:type="dxa"/>
            </w:tcMar>
            <w:vAlign w:val="bottom"/>
          </w:tcPr>
          <w:p w14:paraId="36CA221F" w14:textId="77777777" w:rsidR="00787570" w:rsidRDefault="000D56E2">
            <w:pPr>
              <w:textAlignment w:val="bottom"/>
            </w:pPr>
            <w:r>
              <w:rPr>
                <w:rFonts w:ascii="Arial" w:eastAsia="宋体" w:hAnsi="Arial" w:cs="Arial"/>
                <w:color w:val="333333"/>
                <w:sz w:val="18"/>
                <w:szCs w:val="18"/>
              </w:rPr>
              <w:t>Cash dividends declared ($0.66 per share)</w:t>
            </w:r>
          </w:p>
        </w:tc>
        <w:tc>
          <w:tcPr>
            <w:tcW w:w="0" w:type="auto"/>
            <w:gridSpan w:val="3"/>
            <w:shd w:val="clear" w:color="auto" w:fill="auto"/>
            <w:tcMar>
              <w:left w:w="20" w:type="dxa"/>
              <w:right w:w="20" w:type="dxa"/>
            </w:tcMar>
            <w:vAlign w:val="bottom"/>
          </w:tcPr>
          <w:p w14:paraId="36CA2220"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2221" w14:textId="77777777" w:rsidR="00787570" w:rsidRDefault="000D56E2">
            <w:pPr>
              <w:jc w:val="right"/>
              <w:textAlignment w:val="bottom"/>
            </w:pPr>
            <w:r>
              <w:rPr>
                <w:rFonts w:ascii="Arial" w:eastAsia="宋体" w:hAnsi="Arial" w:cs="Arial"/>
                <w:color w:val="0071C5"/>
                <w:sz w:val="18"/>
                <w:szCs w:val="18"/>
              </w:rPr>
              <w:t>— </w:t>
            </w:r>
          </w:p>
        </w:tc>
        <w:tc>
          <w:tcPr>
            <w:tcW w:w="0" w:type="auto"/>
            <w:shd w:val="clear" w:color="auto" w:fill="auto"/>
            <w:tcMar>
              <w:top w:w="40" w:type="dxa"/>
              <w:bottom w:w="40" w:type="dxa"/>
              <w:right w:w="20" w:type="dxa"/>
            </w:tcMar>
            <w:vAlign w:val="bottom"/>
          </w:tcPr>
          <w:p w14:paraId="36CA2222"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2223"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2224" w14:textId="77777777" w:rsidR="00787570" w:rsidRDefault="000D56E2">
            <w:pPr>
              <w:jc w:val="right"/>
              <w:textAlignment w:val="bottom"/>
            </w:pPr>
            <w:r>
              <w:rPr>
                <w:rFonts w:ascii="Arial" w:eastAsia="宋体" w:hAnsi="Arial" w:cs="Arial"/>
                <w:color w:val="0071C5"/>
                <w:sz w:val="18"/>
                <w:szCs w:val="18"/>
              </w:rPr>
              <w:t>— </w:t>
            </w:r>
          </w:p>
        </w:tc>
        <w:tc>
          <w:tcPr>
            <w:tcW w:w="0" w:type="auto"/>
            <w:shd w:val="clear" w:color="auto" w:fill="auto"/>
            <w:tcMar>
              <w:top w:w="40" w:type="dxa"/>
              <w:bottom w:w="40" w:type="dxa"/>
              <w:right w:w="20" w:type="dxa"/>
            </w:tcMar>
            <w:vAlign w:val="bottom"/>
          </w:tcPr>
          <w:p w14:paraId="36CA2225"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2226"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2227" w14:textId="77777777" w:rsidR="00787570" w:rsidRDefault="000D56E2">
            <w:pPr>
              <w:jc w:val="right"/>
              <w:textAlignment w:val="bottom"/>
            </w:pPr>
            <w:r>
              <w:rPr>
                <w:rFonts w:ascii="Arial" w:eastAsia="宋体" w:hAnsi="Arial" w:cs="Arial"/>
                <w:color w:val="0071C5"/>
                <w:sz w:val="18"/>
                <w:szCs w:val="18"/>
              </w:rPr>
              <w:t>— </w:t>
            </w:r>
          </w:p>
        </w:tc>
        <w:tc>
          <w:tcPr>
            <w:tcW w:w="0" w:type="auto"/>
            <w:shd w:val="clear" w:color="auto" w:fill="auto"/>
            <w:tcMar>
              <w:top w:w="40" w:type="dxa"/>
              <w:bottom w:w="40" w:type="dxa"/>
              <w:right w:w="20" w:type="dxa"/>
            </w:tcMar>
            <w:vAlign w:val="bottom"/>
          </w:tcPr>
          <w:p w14:paraId="36CA2228"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2229"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222A" w14:textId="77777777" w:rsidR="00787570" w:rsidRDefault="000D56E2">
            <w:pPr>
              <w:jc w:val="right"/>
              <w:textAlignment w:val="bottom"/>
            </w:pPr>
            <w:r>
              <w:rPr>
                <w:rFonts w:ascii="Arial" w:eastAsia="宋体" w:hAnsi="Arial" w:cs="Arial"/>
                <w:color w:val="0071C5"/>
                <w:sz w:val="18"/>
                <w:szCs w:val="18"/>
              </w:rPr>
              <w:t>(2,756)</w:t>
            </w:r>
          </w:p>
        </w:tc>
        <w:tc>
          <w:tcPr>
            <w:tcW w:w="0" w:type="auto"/>
            <w:shd w:val="clear" w:color="auto" w:fill="auto"/>
            <w:tcMar>
              <w:top w:w="40" w:type="dxa"/>
              <w:bottom w:w="40" w:type="dxa"/>
              <w:right w:w="20" w:type="dxa"/>
            </w:tcMar>
            <w:vAlign w:val="bottom"/>
          </w:tcPr>
          <w:p w14:paraId="36CA222B" w14:textId="77777777" w:rsidR="00787570" w:rsidRDefault="00787570">
            <w:pPr>
              <w:jc w:val="right"/>
              <w:rPr>
                <w:rFonts w:ascii="宋体"/>
              </w:rPr>
            </w:pPr>
          </w:p>
        </w:tc>
        <w:tc>
          <w:tcPr>
            <w:tcW w:w="0" w:type="auto"/>
            <w:gridSpan w:val="3"/>
            <w:shd w:val="clear" w:color="auto" w:fill="auto"/>
            <w:tcMar>
              <w:top w:w="40" w:type="dxa"/>
              <w:left w:w="20" w:type="dxa"/>
              <w:bottom w:w="40" w:type="dxa"/>
              <w:right w:w="20" w:type="dxa"/>
            </w:tcMar>
            <w:vAlign w:val="bottom"/>
          </w:tcPr>
          <w:p w14:paraId="36CA222C" w14:textId="77777777" w:rsidR="00787570" w:rsidRDefault="000D56E2">
            <w:pPr>
              <w:textAlignment w:val="bottom"/>
            </w:pPr>
            <w:r>
              <w:rPr>
                <w:rFonts w:ascii="Arial" w:eastAsia="宋体" w:hAnsi="Arial" w:cs="Arial"/>
                <w:color w:val="333333"/>
                <w:sz w:val="18"/>
                <w:szCs w:val="18"/>
              </w:rPr>
              <w:t> </w:t>
            </w:r>
          </w:p>
        </w:tc>
        <w:tc>
          <w:tcPr>
            <w:tcW w:w="0" w:type="auto"/>
            <w:gridSpan w:val="2"/>
            <w:shd w:val="clear" w:color="auto" w:fill="auto"/>
            <w:tcMar>
              <w:top w:w="40" w:type="dxa"/>
              <w:left w:w="20" w:type="dxa"/>
              <w:bottom w:w="40" w:type="dxa"/>
              <w:right w:w="0" w:type="dxa"/>
            </w:tcMar>
            <w:vAlign w:val="bottom"/>
          </w:tcPr>
          <w:p w14:paraId="36CA222D" w14:textId="77777777" w:rsidR="00787570" w:rsidRDefault="000D56E2">
            <w:pPr>
              <w:jc w:val="right"/>
              <w:textAlignment w:val="bottom"/>
            </w:pPr>
            <w:r>
              <w:rPr>
                <w:rFonts w:ascii="Arial" w:eastAsia="宋体" w:hAnsi="Arial" w:cs="Arial"/>
                <w:color w:val="0071C5"/>
                <w:sz w:val="18"/>
                <w:szCs w:val="18"/>
              </w:rPr>
              <w:t>(2,756)</w:t>
            </w:r>
          </w:p>
        </w:tc>
        <w:tc>
          <w:tcPr>
            <w:tcW w:w="0" w:type="auto"/>
            <w:shd w:val="clear" w:color="auto" w:fill="auto"/>
            <w:tcMar>
              <w:top w:w="40" w:type="dxa"/>
              <w:bottom w:w="40" w:type="dxa"/>
              <w:right w:w="20" w:type="dxa"/>
            </w:tcMar>
            <w:vAlign w:val="bottom"/>
          </w:tcPr>
          <w:p w14:paraId="36CA222E" w14:textId="77777777" w:rsidR="00787570" w:rsidRDefault="00787570">
            <w:pPr>
              <w:jc w:val="right"/>
              <w:rPr>
                <w:rFonts w:ascii="宋体"/>
              </w:rPr>
            </w:pPr>
          </w:p>
        </w:tc>
        <w:tc>
          <w:tcPr>
            <w:tcW w:w="0" w:type="auto"/>
            <w:shd w:val="clear" w:color="auto" w:fill="auto"/>
          </w:tcPr>
          <w:p w14:paraId="36CA222F" w14:textId="77777777" w:rsidR="00787570" w:rsidRDefault="00787570">
            <w:pPr>
              <w:rPr>
                <w:rFonts w:ascii="宋体"/>
              </w:rPr>
            </w:pPr>
          </w:p>
        </w:tc>
        <w:tc>
          <w:tcPr>
            <w:tcW w:w="0" w:type="auto"/>
            <w:shd w:val="clear" w:color="auto" w:fill="auto"/>
          </w:tcPr>
          <w:p w14:paraId="36CA2230" w14:textId="77777777" w:rsidR="00787570" w:rsidRDefault="00787570">
            <w:pPr>
              <w:rPr>
                <w:rFonts w:ascii="宋体"/>
              </w:rPr>
            </w:pPr>
          </w:p>
        </w:tc>
        <w:tc>
          <w:tcPr>
            <w:tcW w:w="0" w:type="auto"/>
            <w:shd w:val="clear" w:color="auto" w:fill="auto"/>
          </w:tcPr>
          <w:p w14:paraId="36CA2231" w14:textId="77777777" w:rsidR="00787570" w:rsidRDefault="00787570">
            <w:pPr>
              <w:rPr>
                <w:rFonts w:ascii="宋体"/>
              </w:rPr>
            </w:pPr>
          </w:p>
        </w:tc>
        <w:tc>
          <w:tcPr>
            <w:tcW w:w="0" w:type="auto"/>
            <w:shd w:val="clear" w:color="auto" w:fill="auto"/>
          </w:tcPr>
          <w:p w14:paraId="36CA2232" w14:textId="77777777" w:rsidR="00787570" w:rsidRDefault="00787570">
            <w:pPr>
              <w:rPr>
                <w:rFonts w:ascii="宋体"/>
              </w:rPr>
            </w:pPr>
          </w:p>
        </w:tc>
        <w:tc>
          <w:tcPr>
            <w:tcW w:w="0" w:type="auto"/>
            <w:shd w:val="clear" w:color="auto" w:fill="auto"/>
          </w:tcPr>
          <w:p w14:paraId="36CA2233" w14:textId="77777777" w:rsidR="00787570" w:rsidRDefault="00787570">
            <w:pPr>
              <w:rPr>
                <w:rFonts w:ascii="宋体"/>
              </w:rPr>
            </w:pPr>
          </w:p>
        </w:tc>
        <w:tc>
          <w:tcPr>
            <w:tcW w:w="0" w:type="auto"/>
            <w:shd w:val="clear" w:color="auto" w:fill="auto"/>
          </w:tcPr>
          <w:p w14:paraId="36CA2234" w14:textId="77777777" w:rsidR="00787570" w:rsidRDefault="00787570">
            <w:pPr>
              <w:rPr>
                <w:rFonts w:ascii="宋体"/>
              </w:rPr>
            </w:pPr>
          </w:p>
        </w:tc>
        <w:tc>
          <w:tcPr>
            <w:tcW w:w="0" w:type="auto"/>
            <w:shd w:val="clear" w:color="auto" w:fill="auto"/>
          </w:tcPr>
          <w:p w14:paraId="36CA2235" w14:textId="77777777" w:rsidR="00787570" w:rsidRDefault="00787570">
            <w:pPr>
              <w:rPr>
                <w:rFonts w:ascii="宋体"/>
              </w:rPr>
            </w:pPr>
          </w:p>
        </w:tc>
        <w:tc>
          <w:tcPr>
            <w:tcW w:w="0" w:type="auto"/>
            <w:shd w:val="clear" w:color="auto" w:fill="auto"/>
          </w:tcPr>
          <w:p w14:paraId="36CA2236" w14:textId="77777777" w:rsidR="00787570" w:rsidRDefault="00787570">
            <w:pPr>
              <w:rPr>
                <w:rFonts w:ascii="宋体"/>
              </w:rPr>
            </w:pPr>
          </w:p>
        </w:tc>
        <w:tc>
          <w:tcPr>
            <w:tcW w:w="0" w:type="auto"/>
            <w:shd w:val="clear" w:color="auto" w:fill="auto"/>
          </w:tcPr>
          <w:p w14:paraId="36CA2237" w14:textId="77777777" w:rsidR="00787570" w:rsidRDefault="00787570">
            <w:pPr>
              <w:rPr>
                <w:rFonts w:ascii="宋体"/>
              </w:rPr>
            </w:pPr>
          </w:p>
        </w:tc>
      </w:tr>
      <w:tr w:rsidR="00787570" w14:paraId="36CA2256" w14:textId="77777777">
        <w:tc>
          <w:tcPr>
            <w:tcW w:w="0" w:type="auto"/>
            <w:gridSpan w:val="3"/>
            <w:shd w:val="clear" w:color="auto" w:fill="auto"/>
            <w:tcMar>
              <w:top w:w="40" w:type="dxa"/>
              <w:left w:w="20" w:type="dxa"/>
              <w:bottom w:w="40" w:type="dxa"/>
              <w:right w:w="20" w:type="dxa"/>
            </w:tcMar>
            <w:vAlign w:val="bottom"/>
          </w:tcPr>
          <w:p w14:paraId="36CA2239" w14:textId="77777777" w:rsidR="00787570" w:rsidRDefault="000D56E2">
            <w:pPr>
              <w:textAlignment w:val="bottom"/>
            </w:pPr>
            <w:r>
              <w:rPr>
                <w:rFonts w:ascii="Arial" w:eastAsia="宋体" w:hAnsi="Arial" w:cs="Arial"/>
                <w:b/>
                <w:bCs/>
                <w:color w:val="333333"/>
                <w:sz w:val="18"/>
                <w:szCs w:val="18"/>
              </w:rPr>
              <w:t>Balance as of September 26, 2020</w:t>
            </w:r>
          </w:p>
        </w:tc>
        <w:tc>
          <w:tcPr>
            <w:tcW w:w="0" w:type="auto"/>
            <w:gridSpan w:val="3"/>
            <w:shd w:val="clear" w:color="auto" w:fill="auto"/>
            <w:tcMar>
              <w:left w:w="20" w:type="dxa"/>
              <w:right w:w="20" w:type="dxa"/>
            </w:tcMar>
            <w:vAlign w:val="bottom"/>
          </w:tcPr>
          <w:p w14:paraId="36CA223A" w14:textId="77777777" w:rsidR="00787570" w:rsidRDefault="00787570">
            <w:pPr>
              <w:rPr>
                <w:rFonts w:ascii="宋体"/>
              </w:rPr>
            </w:pPr>
          </w:p>
        </w:tc>
        <w:tc>
          <w:tcPr>
            <w:tcW w:w="0" w:type="auto"/>
            <w:gridSpan w:val="2"/>
            <w:tcBorders>
              <w:top w:val="single" w:sz="8" w:space="0" w:color="333333"/>
            </w:tcBorders>
            <w:shd w:val="clear" w:color="auto" w:fill="auto"/>
            <w:tcMar>
              <w:top w:w="40" w:type="dxa"/>
              <w:left w:w="20" w:type="dxa"/>
              <w:bottom w:w="40" w:type="dxa"/>
              <w:right w:w="0" w:type="dxa"/>
            </w:tcMar>
            <w:vAlign w:val="bottom"/>
          </w:tcPr>
          <w:p w14:paraId="36CA223B" w14:textId="77777777" w:rsidR="00787570" w:rsidRDefault="000D56E2">
            <w:pPr>
              <w:jc w:val="right"/>
              <w:textAlignment w:val="bottom"/>
            </w:pPr>
            <w:r>
              <w:rPr>
                <w:rFonts w:ascii="Arial" w:eastAsia="宋体" w:hAnsi="Arial" w:cs="Arial"/>
                <w:b/>
                <w:bCs/>
                <w:color w:val="0071C5"/>
                <w:sz w:val="18"/>
                <w:szCs w:val="18"/>
              </w:rPr>
              <w:t>4,098</w:t>
            </w:r>
            <w:r>
              <w:rPr>
                <w:rFonts w:ascii="Arial" w:eastAsia="宋体" w:hAnsi="Arial" w:cs="Arial"/>
                <w:color w:val="0071C5"/>
                <w:sz w:val="18"/>
                <w:szCs w:val="18"/>
              </w:rPr>
              <w:t> </w:t>
            </w:r>
          </w:p>
        </w:tc>
        <w:tc>
          <w:tcPr>
            <w:tcW w:w="0" w:type="auto"/>
            <w:tcBorders>
              <w:top w:val="single" w:sz="8" w:space="0" w:color="333333"/>
            </w:tcBorders>
            <w:shd w:val="clear" w:color="auto" w:fill="auto"/>
            <w:tcMar>
              <w:top w:w="40" w:type="dxa"/>
              <w:bottom w:w="40" w:type="dxa"/>
              <w:right w:w="20" w:type="dxa"/>
            </w:tcMar>
            <w:vAlign w:val="bottom"/>
          </w:tcPr>
          <w:p w14:paraId="36CA223C"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223D" w14:textId="77777777" w:rsidR="00787570" w:rsidRDefault="00787570">
            <w:pPr>
              <w:rPr>
                <w:rFonts w:ascii="宋体"/>
              </w:rPr>
            </w:pPr>
          </w:p>
        </w:tc>
        <w:tc>
          <w:tcPr>
            <w:tcW w:w="0" w:type="auto"/>
            <w:tcBorders>
              <w:top w:val="single" w:sz="8" w:space="0" w:color="333333"/>
            </w:tcBorders>
            <w:shd w:val="clear" w:color="auto" w:fill="auto"/>
            <w:tcMar>
              <w:top w:w="40" w:type="dxa"/>
              <w:left w:w="20" w:type="dxa"/>
              <w:bottom w:w="40" w:type="dxa"/>
            </w:tcMar>
            <w:vAlign w:val="bottom"/>
          </w:tcPr>
          <w:p w14:paraId="36CA223E" w14:textId="77777777" w:rsidR="00787570" w:rsidRDefault="000D56E2">
            <w:pPr>
              <w:textAlignment w:val="bottom"/>
            </w:pPr>
            <w:r>
              <w:rPr>
                <w:rFonts w:ascii="Arial" w:eastAsia="宋体" w:hAnsi="Arial" w:cs="Arial"/>
                <w:b/>
                <w:bCs/>
                <w:color w:val="0071C5"/>
                <w:sz w:val="18"/>
                <w:szCs w:val="18"/>
              </w:rPr>
              <w:t>$</w:t>
            </w:r>
          </w:p>
        </w:tc>
        <w:tc>
          <w:tcPr>
            <w:tcW w:w="0" w:type="auto"/>
            <w:tcBorders>
              <w:top w:val="single" w:sz="8" w:space="0" w:color="333333"/>
            </w:tcBorders>
            <w:shd w:val="clear" w:color="auto" w:fill="auto"/>
            <w:tcMar>
              <w:top w:w="40" w:type="dxa"/>
              <w:bottom w:w="40" w:type="dxa"/>
              <w:right w:w="0" w:type="dxa"/>
            </w:tcMar>
            <w:vAlign w:val="bottom"/>
          </w:tcPr>
          <w:p w14:paraId="36CA223F" w14:textId="77777777" w:rsidR="00787570" w:rsidRDefault="000D56E2">
            <w:pPr>
              <w:jc w:val="right"/>
              <w:textAlignment w:val="bottom"/>
            </w:pPr>
            <w:r>
              <w:rPr>
                <w:rFonts w:ascii="Arial" w:eastAsia="宋体" w:hAnsi="Arial" w:cs="Arial"/>
                <w:b/>
                <w:bCs/>
                <w:color w:val="0071C5"/>
                <w:sz w:val="18"/>
                <w:szCs w:val="18"/>
              </w:rPr>
              <w:t>23,335</w:t>
            </w:r>
            <w:r>
              <w:rPr>
                <w:rFonts w:ascii="Arial" w:eastAsia="宋体" w:hAnsi="Arial" w:cs="Arial"/>
                <w:color w:val="0071C5"/>
                <w:sz w:val="18"/>
                <w:szCs w:val="18"/>
              </w:rPr>
              <w:t> </w:t>
            </w:r>
          </w:p>
        </w:tc>
        <w:tc>
          <w:tcPr>
            <w:tcW w:w="0" w:type="auto"/>
            <w:tcBorders>
              <w:top w:val="single" w:sz="8" w:space="0" w:color="333333"/>
            </w:tcBorders>
            <w:shd w:val="clear" w:color="auto" w:fill="auto"/>
            <w:tcMar>
              <w:top w:w="40" w:type="dxa"/>
              <w:bottom w:w="40" w:type="dxa"/>
              <w:right w:w="20" w:type="dxa"/>
            </w:tcMar>
            <w:vAlign w:val="bottom"/>
          </w:tcPr>
          <w:p w14:paraId="36CA2240"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2241" w14:textId="77777777" w:rsidR="00787570" w:rsidRDefault="00787570">
            <w:pPr>
              <w:rPr>
                <w:rFonts w:ascii="宋体"/>
              </w:rPr>
            </w:pPr>
          </w:p>
        </w:tc>
        <w:tc>
          <w:tcPr>
            <w:tcW w:w="0" w:type="auto"/>
            <w:tcBorders>
              <w:top w:val="single" w:sz="8" w:space="0" w:color="333333"/>
            </w:tcBorders>
            <w:shd w:val="clear" w:color="auto" w:fill="auto"/>
            <w:tcMar>
              <w:top w:w="40" w:type="dxa"/>
              <w:left w:w="20" w:type="dxa"/>
              <w:bottom w:w="40" w:type="dxa"/>
            </w:tcMar>
            <w:vAlign w:val="bottom"/>
          </w:tcPr>
          <w:p w14:paraId="36CA2242" w14:textId="77777777" w:rsidR="00787570" w:rsidRDefault="000D56E2">
            <w:pPr>
              <w:textAlignment w:val="bottom"/>
            </w:pPr>
            <w:r>
              <w:rPr>
                <w:rFonts w:ascii="Arial" w:eastAsia="宋体" w:hAnsi="Arial" w:cs="Arial"/>
                <w:b/>
                <w:bCs/>
                <w:color w:val="0071C5"/>
                <w:sz w:val="18"/>
                <w:szCs w:val="18"/>
              </w:rPr>
              <w:t>$</w:t>
            </w:r>
          </w:p>
        </w:tc>
        <w:tc>
          <w:tcPr>
            <w:tcW w:w="0" w:type="auto"/>
            <w:tcBorders>
              <w:top w:val="single" w:sz="8" w:space="0" w:color="333333"/>
            </w:tcBorders>
            <w:shd w:val="clear" w:color="auto" w:fill="auto"/>
            <w:tcMar>
              <w:top w:w="40" w:type="dxa"/>
              <w:bottom w:w="40" w:type="dxa"/>
              <w:right w:w="0" w:type="dxa"/>
            </w:tcMar>
            <w:vAlign w:val="bottom"/>
          </w:tcPr>
          <w:p w14:paraId="36CA2243" w14:textId="77777777" w:rsidR="00787570" w:rsidRDefault="000D56E2">
            <w:pPr>
              <w:jc w:val="right"/>
              <w:textAlignment w:val="bottom"/>
            </w:pPr>
            <w:r>
              <w:rPr>
                <w:rFonts w:ascii="Arial" w:eastAsia="宋体" w:hAnsi="Arial" w:cs="Arial"/>
                <w:b/>
                <w:bCs/>
                <w:color w:val="0071C5"/>
                <w:sz w:val="18"/>
                <w:szCs w:val="18"/>
              </w:rPr>
              <w:t>(940)</w:t>
            </w:r>
          </w:p>
        </w:tc>
        <w:tc>
          <w:tcPr>
            <w:tcW w:w="0" w:type="auto"/>
            <w:tcBorders>
              <w:top w:val="single" w:sz="8" w:space="0" w:color="333333"/>
            </w:tcBorders>
            <w:shd w:val="clear" w:color="auto" w:fill="auto"/>
            <w:tcMar>
              <w:top w:w="40" w:type="dxa"/>
              <w:bottom w:w="40" w:type="dxa"/>
              <w:right w:w="20" w:type="dxa"/>
            </w:tcMar>
            <w:vAlign w:val="bottom"/>
          </w:tcPr>
          <w:p w14:paraId="36CA2244"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2245" w14:textId="77777777" w:rsidR="00787570" w:rsidRDefault="00787570">
            <w:pPr>
              <w:rPr>
                <w:rFonts w:ascii="宋体"/>
              </w:rPr>
            </w:pPr>
          </w:p>
        </w:tc>
        <w:tc>
          <w:tcPr>
            <w:tcW w:w="0" w:type="auto"/>
            <w:tcBorders>
              <w:top w:val="single" w:sz="8" w:space="0" w:color="333333"/>
            </w:tcBorders>
            <w:shd w:val="clear" w:color="auto" w:fill="auto"/>
            <w:tcMar>
              <w:top w:w="40" w:type="dxa"/>
              <w:left w:w="20" w:type="dxa"/>
              <w:bottom w:w="40" w:type="dxa"/>
            </w:tcMar>
            <w:vAlign w:val="bottom"/>
          </w:tcPr>
          <w:p w14:paraId="36CA2246" w14:textId="77777777" w:rsidR="00787570" w:rsidRDefault="000D56E2">
            <w:pPr>
              <w:textAlignment w:val="bottom"/>
            </w:pPr>
            <w:r>
              <w:rPr>
                <w:rFonts w:ascii="Arial" w:eastAsia="宋体" w:hAnsi="Arial" w:cs="Arial"/>
                <w:b/>
                <w:bCs/>
                <w:color w:val="0071C5"/>
                <w:sz w:val="18"/>
                <w:szCs w:val="18"/>
              </w:rPr>
              <w:t>$</w:t>
            </w:r>
          </w:p>
        </w:tc>
        <w:tc>
          <w:tcPr>
            <w:tcW w:w="0" w:type="auto"/>
            <w:tcBorders>
              <w:top w:val="single" w:sz="8" w:space="0" w:color="333333"/>
            </w:tcBorders>
            <w:shd w:val="clear" w:color="auto" w:fill="auto"/>
            <w:tcMar>
              <w:top w:w="40" w:type="dxa"/>
              <w:bottom w:w="40" w:type="dxa"/>
              <w:right w:w="0" w:type="dxa"/>
            </w:tcMar>
            <w:vAlign w:val="bottom"/>
          </w:tcPr>
          <w:p w14:paraId="36CA2247" w14:textId="77777777" w:rsidR="00787570" w:rsidRDefault="000D56E2">
            <w:pPr>
              <w:jc w:val="right"/>
              <w:textAlignment w:val="bottom"/>
            </w:pPr>
            <w:r>
              <w:rPr>
                <w:rFonts w:ascii="Arial" w:eastAsia="宋体" w:hAnsi="Arial" w:cs="Arial"/>
                <w:b/>
                <w:bCs/>
                <w:color w:val="0071C5"/>
                <w:sz w:val="18"/>
                <w:szCs w:val="18"/>
              </w:rPr>
              <w:t>52,159</w:t>
            </w:r>
            <w:r>
              <w:rPr>
                <w:rFonts w:ascii="Arial" w:eastAsia="宋体" w:hAnsi="Arial" w:cs="Arial"/>
                <w:color w:val="0071C5"/>
                <w:sz w:val="18"/>
                <w:szCs w:val="18"/>
              </w:rPr>
              <w:t> </w:t>
            </w:r>
          </w:p>
        </w:tc>
        <w:tc>
          <w:tcPr>
            <w:tcW w:w="0" w:type="auto"/>
            <w:tcBorders>
              <w:top w:val="single" w:sz="8" w:space="0" w:color="333333"/>
            </w:tcBorders>
            <w:shd w:val="clear" w:color="auto" w:fill="auto"/>
            <w:tcMar>
              <w:top w:w="40" w:type="dxa"/>
              <w:bottom w:w="40" w:type="dxa"/>
              <w:right w:w="20" w:type="dxa"/>
            </w:tcMar>
            <w:vAlign w:val="bottom"/>
          </w:tcPr>
          <w:p w14:paraId="36CA2248"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2249" w14:textId="77777777" w:rsidR="00787570" w:rsidRDefault="00787570">
            <w:pPr>
              <w:rPr>
                <w:rFonts w:ascii="宋体"/>
              </w:rPr>
            </w:pPr>
          </w:p>
        </w:tc>
        <w:tc>
          <w:tcPr>
            <w:tcW w:w="0" w:type="auto"/>
            <w:tcBorders>
              <w:top w:val="single" w:sz="8" w:space="0" w:color="333333"/>
            </w:tcBorders>
            <w:shd w:val="clear" w:color="auto" w:fill="auto"/>
            <w:tcMar>
              <w:top w:w="40" w:type="dxa"/>
              <w:left w:w="20" w:type="dxa"/>
              <w:bottom w:w="40" w:type="dxa"/>
            </w:tcMar>
            <w:vAlign w:val="bottom"/>
          </w:tcPr>
          <w:p w14:paraId="36CA224A" w14:textId="77777777" w:rsidR="00787570" w:rsidRDefault="000D56E2">
            <w:pPr>
              <w:textAlignment w:val="bottom"/>
            </w:pPr>
            <w:r>
              <w:rPr>
                <w:rFonts w:ascii="Arial" w:eastAsia="宋体" w:hAnsi="Arial" w:cs="Arial"/>
                <w:b/>
                <w:bCs/>
                <w:color w:val="0071C5"/>
                <w:sz w:val="18"/>
                <w:szCs w:val="18"/>
              </w:rPr>
              <w:t>$</w:t>
            </w:r>
          </w:p>
        </w:tc>
        <w:tc>
          <w:tcPr>
            <w:tcW w:w="0" w:type="auto"/>
            <w:tcBorders>
              <w:top w:val="single" w:sz="8" w:space="0" w:color="333333"/>
            </w:tcBorders>
            <w:shd w:val="clear" w:color="auto" w:fill="auto"/>
            <w:tcMar>
              <w:top w:w="40" w:type="dxa"/>
              <w:bottom w:w="40" w:type="dxa"/>
              <w:right w:w="0" w:type="dxa"/>
            </w:tcMar>
            <w:vAlign w:val="bottom"/>
          </w:tcPr>
          <w:p w14:paraId="36CA224B" w14:textId="77777777" w:rsidR="00787570" w:rsidRDefault="000D56E2">
            <w:pPr>
              <w:jc w:val="right"/>
              <w:textAlignment w:val="bottom"/>
            </w:pPr>
            <w:r>
              <w:rPr>
                <w:rFonts w:ascii="Arial" w:eastAsia="宋体" w:hAnsi="Arial" w:cs="Arial"/>
                <w:b/>
                <w:bCs/>
                <w:color w:val="0071C5"/>
                <w:sz w:val="18"/>
                <w:szCs w:val="18"/>
              </w:rPr>
              <w:t>74,554</w:t>
            </w:r>
            <w:r>
              <w:rPr>
                <w:rFonts w:ascii="Arial" w:eastAsia="宋体" w:hAnsi="Arial" w:cs="Arial"/>
                <w:color w:val="0071C5"/>
                <w:sz w:val="18"/>
                <w:szCs w:val="18"/>
              </w:rPr>
              <w:t> </w:t>
            </w:r>
          </w:p>
        </w:tc>
        <w:tc>
          <w:tcPr>
            <w:tcW w:w="0" w:type="auto"/>
            <w:tcBorders>
              <w:top w:val="single" w:sz="8" w:space="0" w:color="333333"/>
            </w:tcBorders>
            <w:shd w:val="clear" w:color="auto" w:fill="auto"/>
            <w:tcMar>
              <w:top w:w="40" w:type="dxa"/>
              <w:bottom w:w="40" w:type="dxa"/>
              <w:right w:w="20" w:type="dxa"/>
            </w:tcMar>
            <w:vAlign w:val="bottom"/>
          </w:tcPr>
          <w:p w14:paraId="36CA224C" w14:textId="77777777" w:rsidR="00787570" w:rsidRDefault="00787570">
            <w:pPr>
              <w:jc w:val="right"/>
              <w:rPr>
                <w:rFonts w:ascii="宋体"/>
              </w:rPr>
            </w:pPr>
          </w:p>
        </w:tc>
        <w:tc>
          <w:tcPr>
            <w:tcW w:w="0" w:type="auto"/>
            <w:shd w:val="clear" w:color="auto" w:fill="auto"/>
          </w:tcPr>
          <w:p w14:paraId="36CA224D" w14:textId="77777777" w:rsidR="00787570" w:rsidRDefault="00787570">
            <w:pPr>
              <w:rPr>
                <w:rFonts w:ascii="宋体"/>
              </w:rPr>
            </w:pPr>
          </w:p>
        </w:tc>
        <w:tc>
          <w:tcPr>
            <w:tcW w:w="0" w:type="auto"/>
            <w:shd w:val="clear" w:color="auto" w:fill="auto"/>
          </w:tcPr>
          <w:p w14:paraId="36CA224E" w14:textId="77777777" w:rsidR="00787570" w:rsidRDefault="00787570">
            <w:pPr>
              <w:rPr>
                <w:rFonts w:ascii="宋体"/>
              </w:rPr>
            </w:pPr>
          </w:p>
        </w:tc>
        <w:tc>
          <w:tcPr>
            <w:tcW w:w="0" w:type="auto"/>
            <w:shd w:val="clear" w:color="auto" w:fill="auto"/>
          </w:tcPr>
          <w:p w14:paraId="36CA224F" w14:textId="77777777" w:rsidR="00787570" w:rsidRDefault="00787570">
            <w:pPr>
              <w:rPr>
                <w:rFonts w:ascii="宋体"/>
              </w:rPr>
            </w:pPr>
          </w:p>
        </w:tc>
        <w:tc>
          <w:tcPr>
            <w:tcW w:w="0" w:type="auto"/>
            <w:shd w:val="clear" w:color="auto" w:fill="auto"/>
          </w:tcPr>
          <w:p w14:paraId="36CA2250" w14:textId="77777777" w:rsidR="00787570" w:rsidRDefault="00787570">
            <w:pPr>
              <w:rPr>
                <w:rFonts w:ascii="宋体"/>
              </w:rPr>
            </w:pPr>
          </w:p>
        </w:tc>
        <w:tc>
          <w:tcPr>
            <w:tcW w:w="0" w:type="auto"/>
            <w:shd w:val="clear" w:color="auto" w:fill="auto"/>
          </w:tcPr>
          <w:p w14:paraId="36CA2251" w14:textId="77777777" w:rsidR="00787570" w:rsidRDefault="00787570">
            <w:pPr>
              <w:rPr>
                <w:rFonts w:ascii="宋体"/>
              </w:rPr>
            </w:pPr>
          </w:p>
        </w:tc>
        <w:tc>
          <w:tcPr>
            <w:tcW w:w="0" w:type="auto"/>
            <w:shd w:val="clear" w:color="auto" w:fill="auto"/>
          </w:tcPr>
          <w:p w14:paraId="36CA2252" w14:textId="77777777" w:rsidR="00787570" w:rsidRDefault="00787570">
            <w:pPr>
              <w:rPr>
                <w:rFonts w:ascii="宋体"/>
              </w:rPr>
            </w:pPr>
          </w:p>
        </w:tc>
        <w:tc>
          <w:tcPr>
            <w:tcW w:w="0" w:type="auto"/>
            <w:shd w:val="clear" w:color="auto" w:fill="auto"/>
          </w:tcPr>
          <w:p w14:paraId="36CA2253" w14:textId="77777777" w:rsidR="00787570" w:rsidRDefault="00787570">
            <w:pPr>
              <w:rPr>
                <w:rFonts w:ascii="宋体"/>
              </w:rPr>
            </w:pPr>
          </w:p>
        </w:tc>
        <w:tc>
          <w:tcPr>
            <w:tcW w:w="0" w:type="auto"/>
            <w:shd w:val="clear" w:color="auto" w:fill="auto"/>
          </w:tcPr>
          <w:p w14:paraId="36CA2254" w14:textId="77777777" w:rsidR="00787570" w:rsidRDefault="00787570">
            <w:pPr>
              <w:rPr>
                <w:rFonts w:ascii="宋体"/>
              </w:rPr>
            </w:pPr>
          </w:p>
        </w:tc>
        <w:tc>
          <w:tcPr>
            <w:tcW w:w="0" w:type="auto"/>
            <w:shd w:val="clear" w:color="auto" w:fill="auto"/>
          </w:tcPr>
          <w:p w14:paraId="36CA2255" w14:textId="77777777" w:rsidR="00787570" w:rsidRDefault="00787570">
            <w:pPr>
              <w:rPr>
                <w:rFonts w:ascii="宋体"/>
              </w:rPr>
            </w:pPr>
          </w:p>
        </w:tc>
      </w:tr>
      <w:tr w:rsidR="00787570" w14:paraId="36CA226B" w14:textId="77777777">
        <w:trPr>
          <w:trHeight w:val="60"/>
        </w:trPr>
        <w:tc>
          <w:tcPr>
            <w:tcW w:w="0" w:type="auto"/>
            <w:gridSpan w:val="3"/>
            <w:shd w:val="clear" w:color="auto" w:fill="auto"/>
            <w:tcMar>
              <w:left w:w="20" w:type="dxa"/>
              <w:right w:w="20" w:type="dxa"/>
            </w:tcMar>
            <w:vAlign w:val="bottom"/>
          </w:tcPr>
          <w:p w14:paraId="36CA2257"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2258" w14:textId="77777777" w:rsidR="00787570" w:rsidRDefault="00787570">
            <w:pPr>
              <w:rPr>
                <w:rFonts w:ascii="宋体"/>
              </w:rPr>
            </w:pPr>
          </w:p>
        </w:tc>
        <w:tc>
          <w:tcPr>
            <w:tcW w:w="0" w:type="auto"/>
            <w:gridSpan w:val="3"/>
            <w:tcBorders>
              <w:top w:val="double" w:sz="6" w:space="0" w:color="333333"/>
            </w:tcBorders>
            <w:shd w:val="clear" w:color="auto" w:fill="auto"/>
            <w:tcMar>
              <w:left w:w="20" w:type="dxa"/>
              <w:right w:w="20" w:type="dxa"/>
            </w:tcMar>
            <w:vAlign w:val="bottom"/>
          </w:tcPr>
          <w:p w14:paraId="36CA2259"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225A" w14:textId="77777777" w:rsidR="00787570" w:rsidRDefault="00787570">
            <w:pPr>
              <w:rPr>
                <w:rFonts w:ascii="宋体"/>
              </w:rPr>
            </w:pPr>
          </w:p>
        </w:tc>
        <w:tc>
          <w:tcPr>
            <w:tcW w:w="0" w:type="auto"/>
            <w:gridSpan w:val="3"/>
            <w:tcBorders>
              <w:top w:val="double" w:sz="6" w:space="0" w:color="333333"/>
            </w:tcBorders>
            <w:shd w:val="clear" w:color="auto" w:fill="auto"/>
            <w:tcMar>
              <w:left w:w="20" w:type="dxa"/>
              <w:right w:w="20" w:type="dxa"/>
            </w:tcMar>
            <w:vAlign w:val="bottom"/>
          </w:tcPr>
          <w:p w14:paraId="36CA225B"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225C" w14:textId="77777777" w:rsidR="00787570" w:rsidRDefault="00787570">
            <w:pPr>
              <w:rPr>
                <w:rFonts w:ascii="宋体"/>
              </w:rPr>
            </w:pPr>
          </w:p>
        </w:tc>
        <w:tc>
          <w:tcPr>
            <w:tcW w:w="0" w:type="auto"/>
            <w:gridSpan w:val="3"/>
            <w:tcBorders>
              <w:top w:val="double" w:sz="6" w:space="0" w:color="333333"/>
            </w:tcBorders>
            <w:shd w:val="clear" w:color="auto" w:fill="auto"/>
            <w:tcMar>
              <w:left w:w="20" w:type="dxa"/>
              <w:right w:w="20" w:type="dxa"/>
            </w:tcMar>
            <w:vAlign w:val="bottom"/>
          </w:tcPr>
          <w:p w14:paraId="36CA225D"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225E" w14:textId="77777777" w:rsidR="00787570" w:rsidRDefault="00787570">
            <w:pPr>
              <w:rPr>
                <w:rFonts w:ascii="宋体"/>
              </w:rPr>
            </w:pPr>
          </w:p>
        </w:tc>
        <w:tc>
          <w:tcPr>
            <w:tcW w:w="0" w:type="auto"/>
            <w:gridSpan w:val="3"/>
            <w:tcBorders>
              <w:top w:val="double" w:sz="6" w:space="0" w:color="333333"/>
            </w:tcBorders>
            <w:shd w:val="clear" w:color="auto" w:fill="auto"/>
            <w:tcMar>
              <w:left w:w="20" w:type="dxa"/>
              <w:right w:w="20" w:type="dxa"/>
            </w:tcMar>
            <w:vAlign w:val="bottom"/>
          </w:tcPr>
          <w:p w14:paraId="36CA225F"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2260" w14:textId="77777777" w:rsidR="00787570" w:rsidRDefault="00787570">
            <w:pPr>
              <w:rPr>
                <w:rFonts w:ascii="宋体"/>
              </w:rPr>
            </w:pPr>
          </w:p>
        </w:tc>
        <w:tc>
          <w:tcPr>
            <w:tcW w:w="0" w:type="auto"/>
            <w:gridSpan w:val="3"/>
            <w:tcBorders>
              <w:top w:val="double" w:sz="6" w:space="0" w:color="333333"/>
            </w:tcBorders>
            <w:shd w:val="clear" w:color="auto" w:fill="auto"/>
            <w:tcMar>
              <w:left w:w="20" w:type="dxa"/>
              <w:right w:w="20" w:type="dxa"/>
            </w:tcMar>
            <w:vAlign w:val="bottom"/>
          </w:tcPr>
          <w:p w14:paraId="36CA2261" w14:textId="77777777" w:rsidR="00787570" w:rsidRDefault="00787570">
            <w:pPr>
              <w:rPr>
                <w:rFonts w:ascii="宋体"/>
              </w:rPr>
            </w:pPr>
          </w:p>
        </w:tc>
        <w:tc>
          <w:tcPr>
            <w:tcW w:w="0" w:type="auto"/>
            <w:shd w:val="clear" w:color="auto" w:fill="auto"/>
          </w:tcPr>
          <w:p w14:paraId="36CA2262" w14:textId="77777777" w:rsidR="00787570" w:rsidRDefault="00787570">
            <w:pPr>
              <w:rPr>
                <w:rFonts w:ascii="宋体"/>
              </w:rPr>
            </w:pPr>
          </w:p>
        </w:tc>
        <w:tc>
          <w:tcPr>
            <w:tcW w:w="0" w:type="auto"/>
            <w:shd w:val="clear" w:color="auto" w:fill="auto"/>
          </w:tcPr>
          <w:p w14:paraId="36CA2263" w14:textId="77777777" w:rsidR="00787570" w:rsidRDefault="00787570">
            <w:pPr>
              <w:rPr>
                <w:rFonts w:ascii="宋体"/>
              </w:rPr>
            </w:pPr>
          </w:p>
        </w:tc>
        <w:tc>
          <w:tcPr>
            <w:tcW w:w="0" w:type="auto"/>
            <w:shd w:val="clear" w:color="auto" w:fill="auto"/>
          </w:tcPr>
          <w:p w14:paraId="36CA2264" w14:textId="77777777" w:rsidR="00787570" w:rsidRDefault="00787570">
            <w:pPr>
              <w:rPr>
                <w:rFonts w:ascii="宋体"/>
              </w:rPr>
            </w:pPr>
          </w:p>
        </w:tc>
        <w:tc>
          <w:tcPr>
            <w:tcW w:w="0" w:type="auto"/>
            <w:shd w:val="clear" w:color="auto" w:fill="auto"/>
          </w:tcPr>
          <w:p w14:paraId="36CA2265" w14:textId="77777777" w:rsidR="00787570" w:rsidRDefault="00787570">
            <w:pPr>
              <w:rPr>
                <w:rFonts w:ascii="宋体"/>
              </w:rPr>
            </w:pPr>
          </w:p>
        </w:tc>
        <w:tc>
          <w:tcPr>
            <w:tcW w:w="0" w:type="auto"/>
            <w:shd w:val="clear" w:color="auto" w:fill="auto"/>
          </w:tcPr>
          <w:p w14:paraId="36CA2266" w14:textId="77777777" w:rsidR="00787570" w:rsidRDefault="00787570">
            <w:pPr>
              <w:rPr>
                <w:rFonts w:ascii="宋体"/>
              </w:rPr>
            </w:pPr>
          </w:p>
        </w:tc>
        <w:tc>
          <w:tcPr>
            <w:tcW w:w="0" w:type="auto"/>
            <w:shd w:val="clear" w:color="auto" w:fill="auto"/>
          </w:tcPr>
          <w:p w14:paraId="36CA2267" w14:textId="77777777" w:rsidR="00787570" w:rsidRDefault="00787570">
            <w:pPr>
              <w:rPr>
                <w:rFonts w:ascii="宋体"/>
              </w:rPr>
            </w:pPr>
          </w:p>
        </w:tc>
        <w:tc>
          <w:tcPr>
            <w:tcW w:w="0" w:type="auto"/>
            <w:shd w:val="clear" w:color="auto" w:fill="auto"/>
          </w:tcPr>
          <w:p w14:paraId="36CA2268" w14:textId="77777777" w:rsidR="00787570" w:rsidRDefault="00787570">
            <w:pPr>
              <w:rPr>
                <w:rFonts w:ascii="宋体"/>
              </w:rPr>
            </w:pPr>
          </w:p>
        </w:tc>
        <w:tc>
          <w:tcPr>
            <w:tcW w:w="0" w:type="auto"/>
            <w:shd w:val="clear" w:color="auto" w:fill="auto"/>
          </w:tcPr>
          <w:p w14:paraId="36CA2269" w14:textId="77777777" w:rsidR="00787570" w:rsidRDefault="00787570">
            <w:pPr>
              <w:rPr>
                <w:rFonts w:ascii="宋体"/>
              </w:rPr>
            </w:pPr>
          </w:p>
        </w:tc>
        <w:tc>
          <w:tcPr>
            <w:tcW w:w="0" w:type="auto"/>
            <w:shd w:val="clear" w:color="auto" w:fill="auto"/>
          </w:tcPr>
          <w:p w14:paraId="36CA226A" w14:textId="77777777" w:rsidR="00787570" w:rsidRDefault="00787570">
            <w:pPr>
              <w:rPr>
                <w:rFonts w:ascii="宋体"/>
              </w:rPr>
            </w:pPr>
          </w:p>
        </w:tc>
      </w:tr>
      <w:tr w:rsidR="00787570" w14:paraId="36CA2289" w14:textId="77777777">
        <w:tc>
          <w:tcPr>
            <w:tcW w:w="0" w:type="auto"/>
            <w:gridSpan w:val="3"/>
            <w:shd w:val="clear" w:color="auto" w:fill="auto"/>
            <w:tcMar>
              <w:top w:w="40" w:type="dxa"/>
              <w:left w:w="20" w:type="dxa"/>
              <w:bottom w:w="40" w:type="dxa"/>
              <w:right w:w="20" w:type="dxa"/>
            </w:tcMar>
            <w:vAlign w:val="bottom"/>
          </w:tcPr>
          <w:p w14:paraId="36CA226C" w14:textId="77777777" w:rsidR="00787570" w:rsidRDefault="000D56E2">
            <w:pPr>
              <w:textAlignment w:val="bottom"/>
            </w:pPr>
            <w:r>
              <w:rPr>
                <w:rFonts w:ascii="Arial" w:eastAsia="宋体" w:hAnsi="Arial" w:cs="Arial"/>
                <w:b/>
                <w:bCs/>
                <w:color w:val="333333"/>
                <w:sz w:val="18"/>
                <w:szCs w:val="18"/>
              </w:rPr>
              <w:t>Balance as of June 29, 2019</w:t>
            </w:r>
          </w:p>
        </w:tc>
        <w:tc>
          <w:tcPr>
            <w:tcW w:w="0" w:type="auto"/>
            <w:gridSpan w:val="3"/>
            <w:shd w:val="clear" w:color="auto" w:fill="auto"/>
            <w:tcMar>
              <w:left w:w="20" w:type="dxa"/>
              <w:right w:w="20" w:type="dxa"/>
            </w:tcMar>
            <w:vAlign w:val="bottom"/>
          </w:tcPr>
          <w:p w14:paraId="36CA226D"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226E" w14:textId="77777777" w:rsidR="00787570" w:rsidRDefault="000D56E2">
            <w:pPr>
              <w:jc w:val="right"/>
              <w:textAlignment w:val="bottom"/>
            </w:pPr>
            <w:r>
              <w:rPr>
                <w:rFonts w:ascii="Arial" w:eastAsia="宋体" w:hAnsi="Arial" w:cs="Arial"/>
                <w:b/>
                <w:bCs/>
                <w:color w:val="333333"/>
                <w:sz w:val="18"/>
                <w:szCs w:val="18"/>
              </w:rPr>
              <w:t>4,430</w:t>
            </w:r>
            <w:r>
              <w:rPr>
                <w:rFonts w:ascii="Arial" w:eastAsia="宋体" w:hAnsi="Arial" w:cs="Arial"/>
                <w:color w:val="333333"/>
                <w:sz w:val="18"/>
                <w:szCs w:val="18"/>
              </w:rPr>
              <w:t> </w:t>
            </w:r>
          </w:p>
        </w:tc>
        <w:tc>
          <w:tcPr>
            <w:tcW w:w="0" w:type="auto"/>
            <w:shd w:val="clear" w:color="auto" w:fill="auto"/>
            <w:tcMar>
              <w:top w:w="40" w:type="dxa"/>
              <w:bottom w:w="40" w:type="dxa"/>
              <w:right w:w="20" w:type="dxa"/>
            </w:tcMar>
            <w:vAlign w:val="bottom"/>
          </w:tcPr>
          <w:p w14:paraId="36CA226F"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2270" w14:textId="77777777" w:rsidR="00787570" w:rsidRDefault="00787570">
            <w:pPr>
              <w:rPr>
                <w:rFonts w:ascii="宋体"/>
              </w:rPr>
            </w:pPr>
          </w:p>
        </w:tc>
        <w:tc>
          <w:tcPr>
            <w:tcW w:w="0" w:type="auto"/>
            <w:shd w:val="clear" w:color="auto" w:fill="auto"/>
            <w:tcMar>
              <w:top w:w="40" w:type="dxa"/>
              <w:left w:w="20" w:type="dxa"/>
              <w:bottom w:w="40" w:type="dxa"/>
            </w:tcMar>
            <w:vAlign w:val="bottom"/>
          </w:tcPr>
          <w:p w14:paraId="36CA2271" w14:textId="77777777" w:rsidR="00787570" w:rsidRDefault="000D56E2">
            <w:pPr>
              <w:textAlignment w:val="bottom"/>
            </w:pPr>
            <w:r>
              <w:rPr>
                <w:rFonts w:ascii="Arial" w:eastAsia="宋体" w:hAnsi="Arial" w:cs="Arial"/>
                <w:b/>
                <w:bCs/>
                <w:color w:val="333333"/>
                <w:sz w:val="18"/>
                <w:szCs w:val="18"/>
              </w:rPr>
              <w:t>$</w:t>
            </w:r>
          </w:p>
        </w:tc>
        <w:tc>
          <w:tcPr>
            <w:tcW w:w="0" w:type="auto"/>
            <w:shd w:val="clear" w:color="auto" w:fill="auto"/>
            <w:tcMar>
              <w:top w:w="40" w:type="dxa"/>
              <w:bottom w:w="40" w:type="dxa"/>
              <w:right w:w="0" w:type="dxa"/>
            </w:tcMar>
            <w:vAlign w:val="bottom"/>
          </w:tcPr>
          <w:p w14:paraId="36CA2272" w14:textId="77777777" w:rsidR="00787570" w:rsidRDefault="000D56E2">
            <w:pPr>
              <w:jc w:val="right"/>
              <w:textAlignment w:val="bottom"/>
            </w:pPr>
            <w:r>
              <w:rPr>
                <w:rFonts w:ascii="Arial" w:eastAsia="宋体" w:hAnsi="Arial" w:cs="Arial"/>
                <w:b/>
                <w:bCs/>
                <w:color w:val="333333"/>
                <w:sz w:val="18"/>
                <w:szCs w:val="18"/>
              </w:rPr>
              <w:t>25,140</w:t>
            </w:r>
            <w:r>
              <w:rPr>
                <w:rFonts w:ascii="Arial" w:eastAsia="宋体" w:hAnsi="Arial" w:cs="Arial"/>
                <w:color w:val="333333"/>
                <w:sz w:val="18"/>
                <w:szCs w:val="18"/>
              </w:rPr>
              <w:t> </w:t>
            </w:r>
          </w:p>
        </w:tc>
        <w:tc>
          <w:tcPr>
            <w:tcW w:w="0" w:type="auto"/>
            <w:shd w:val="clear" w:color="auto" w:fill="auto"/>
            <w:tcMar>
              <w:top w:w="40" w:type="dxa"/>
              <w:bottom w:w="40" w:type="dxa"/>
              <w:right w:w="20" w:type="dxa"/>
            </w:tcMar>
            <w:vAlign w:val="bottom"/>
          </w:tcPr>
          <w:p w14:paraId="36CA2273"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2274" w14:textId="77777777" w:rsidR="00787570" w:rsidRDefault="00787570">
            <w:pPr>
              <w:rPr>
                <w:rFonts w:ascii="宋体"/>
              </w:rPr>
            </w:pPr>
          </w:p>
        </w:tc>
        <w:tc>
          <w:tcPr>
            <w:tcW w:w="0" w:type="auto"/>
            <w:shd w:val="clear" w:color="auto" w:fill="auto"/>
            <w:tcMar>
              <w:top w:w="40" w:type="dxa"/>
              <w:left w:w="20" w:type="dxa"/>
              <w:bottom w:w="40" w:type="dxa"/>
            </w:tcMar>
            <w:vAlign w:val="bottom"/>
          </w:tcPr>
          <w:p w14:paraId="36CA2275" w14:textId="77777777" w:rsidR="00787570" w:rsidRDefault="000D56E2">
            <w:pPr>
              <w:textAlignment w:val="bottom"/>
            </w:pPr>
            <w:r>
              <w:rPr>
                <w:rFonts w:ascii="Arial" w:eastAsia="宋体" w:hAnsi="Arial" w:cs="Arial"/>
                <w:b/>
                <w:bCs/>
                <w:color w:val="333333"/>
                <w:sz w:val="18"/>
                <w:szCs w:val="18"/>
              </w:rPr>
              <w:t>$</w:t>
            </w:r>
          </w:p>
        </w:tc>
        <w:tc>
          <w:tcPr>
            <w:tcW w:w="0" w:type="auto"/>
            <w:shd w:val="clear" w:color="auto" w:fill="auto"/>
            <w:tcMar>
              <w:top w:w="40" w:type="dxa"/>
              <w:bottom w:w="40" w:type="dxa"/>
              <w:right w:w="0" w:type="dxa"/>
            </w:tcMar>
            <w:vAlign w:val="bottom"/>
          </w:tcPr>
          <w:p w14:paraId="36CA2276" w14:textId="77777777" w:rsidR="00787570" w:rsidRDefault="000D56E2">
            <w:pPr>
              <w:jc w:val="right"/>
              <w:textAlignment w:val="bottom"/>
            </w:pPr>
            <w:r>
              <w:rPr>
                <w:rFonts w:ascii="Arial" w:eastAsia="宋体" w:hAnsi="Arial" w:cs="Arial"/>
                <w:b/>
                <w:bCs/>
                <w:color w:val="333333"/>
                <w:sz w:val="18"/>
                <w:szCs w:val="18"/>
              </w:rPr>
              <w:t>(622)</w:t>
            </w:r>
          </w:p>
        </w:tc>
        <w:tc>
          <w:tcPr>
            <w:tcW w:w="0" w:type="auto"/>
            <w:shd w:val="clear" w:color="auto" w:fill="auto"/>
            <w:tcMar>
              <w:top w:w="40" w:type="dxa"/>
              <w:bottom w:w="40" w:type="dxa"/>
              <w:right w:w="20" w:type="dxa"/>
            </w:tcMar>
            <w:vAlign w:val="bottom"/>
          </w:tcPr>
          <w:p w14:paraId="36CA2277"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2278" w14:textId="77777777" w:rsidR="00787570" w:rsidRDefault="00787570">
            <w:pPr>
              <w:rPr>
                <w:rFonts w:ascii="宋体"/>
              </w:rPr>
            </w:pPr>
          </w:p>
        </w:tc>
        <w:tc>
          <w:tcPr>
            <w:tcW w:w="0" w:type="auto"/>
            <w:shd w:val="clear" w:color="auto" w:fill="auto"/>
            <w:tcMar>
              <w:top w:w="40" w:type="dxa"/>
              <w:left w:w="20" w:type="dxa"/>
              <w:bottom w:w="40" w:type="dxa"/>
            </w:tcMar>
            <w:vAlign w:val="bottom"/>
          </w:tcPr>
          <w:p w14:paraId="36CA2279" w14:textId="77777777" w:rsidR="00787570" w:rsidRDefault="000D56E2">
            <w:pPr>
              <w:textAlignment w:val="bottom"/>
            </w:pPr>
            <w:r>
              <w:rPr>
                <w:rFonts w:ascii="Arial" w:eastAsia="宋体" w:hAnsi="Arial" w:cs="Arial"/>
                <w:b/>
                <w:bCs/>
                <w:color w:val="333333"/>
                <w:sz w:val="18"/>
                <w:szCs w:val="18"/>
              </w:rPr>
              <w:t>$</w:t>
            </w:r>
          </w:p>
        </w:tc>
        <w:tc>
          <w:tcPr>
            <w:tcW w:w="0" w:type="auto"/>
            <w:shd w:val="clear" w:color="auto" w:fill="auto"/>
            <w:tcMar>
              <w:top w:w="40" w:type="dxa"/>
              <w:bottom w:w="40" w:type="dxa"/>
              <w:right w:w="0" w:type="dxa"/>
            </w:tcMar>
            <w:vAlign w:val="bottom"/>
          </w:tcPr>
          <w:p w14:paraId="36CA227A" w14:textId="77777777" w:rsidR="00787570" w:rsidRDefault="000D56E2">
            <w:pPr>
              <w:jc w:val="right"/>
              <w:textAlignment w:val="bottom"/>
            </w:pPr>
            <w:r>
              <w:rPr>
                <w:rFonts w:ascii="Arial" w:eastAsia="宋体" w:hAnsi="Arial" w:cs="Arial"/>
                <w:b/>
                <w:bCs/>
                <w:color w:val="333333"/>
                <w:sz w:val="18"/>
                <w:szCs w:val="18"/>
              </w:rPr>
              <w:t>50,429</w:t>
            </w:r>
            <w:r>
              <w:rPr>
                <w:rFonts w:ascii="Arial" w:eastAsia="宋体" w:hAnsi="Arial" w:cs="Arial"/>
                <w:color w:val="333333"/>
                <w:sz w:val="18"/>
                <w:szCs w:val="18"/>
              </w:rPr>
              <w:t> </w:t>
            </w:r>
          </w:p>
        </w:tc>
        <w:tc>
          <w:tcPr>
            <w:tcW w:w="0" w:type="auto"/>
            <w:shd w:val="clear" w:color="auto" w:fill="auto"/>
            <w:tcMar>
              <w:top w:w="40" w:type="dxa"/>
              <w:bottom w:w="40" w:type="dxa"/>
              <w:right w:w="20" w:type="dxa"/>
            </w:tcMar>
            <w:vAlign w:val="bottom"/>
          </w:tcPr>
          <w:p w14:paraId="36CA227B"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227C" w14:textId="77777777" w:rsidR="00787570" w:rsidRDefault="00787570">
            <w:pPr>
              <w:rPr>
                <w:rFonts w:ascii="宋体"/>
              </w:rPr>
            </w:pPr>
          </w:p>
        </w:tc>
        <w:tc>
          <w:tcPr>
            <w:tcW w:w="0" w:type="auto"/>
            <w:shd w:val="clear" w:color="auto" w:fill="auto"/>
            <w:tcMar>
              <w:top w:w="40" w:type="dxa"/>
              <w:left w:w="20" w:type="dxa"/>
              <w:bottom w:w="40" w:type="dxa"/>
            </w:tcMar>
            <w:vAlign w:val="bottom"/>
          </w:tcPr>
          <w:p w14:paraId="36CA227D" w14:textId="77777777" w:rsidR="00787570" w:rsidRDefault="000D56E2">
            <w:pPr>
              <w:textAlignment w:val="bottom"/>
            </w:pPr>
            <w:r>
              <w:rPr>
                <w:rFonts w:ascii="Arial" w:eastAsia="宋体" w:hAnsi="Arial" w:cs="Arial"/>
                <w:b/>
                <w:bCs/>
                <w:color w:val="333333"/>
                <w:sz w:val="18"/>
                <w:szCs w:val="18"/>
              </w:rPr>
              <w:t>$</w:t>
            </w:r>
          </w:p>
        </w:tc>
        <w:tc>
          <w:tcPr>
            <w:tcW w:w="0" w:type="auto"/>
            <w:shd w:val="clear" w:color="auto" w:fill="auto"/>
            <w:tcMar>
              <w:top w:w="40" w:type="dxa"/>
              <w:bottom w:w="40" w:type="dxa"/>
              <w:right w:w="0" w:type="dxa"/>
            </w:tcMar>
            <w:vAlign w:val="bottom"/>
          </w:tcPr>
          <w:p w14:paraId="36CA227E" w14:textId="77777777" w:rsidR="00787570" w:rsidRDefault="000D56E2">
            <w:pPr>
              <w:jc w:val="right"/>
              <w:textAlignment w:val="bottom"/>
            </w:pPr>
            <w:r>
              <w:rPr>
                <w:rFonts w:ascii="Arial" w:eastAsia="宋体" w:hAnsi="Arial" w:cs="Arial"/>
                <w:b/>
                <w:bCs/>
                <w:color w:val="333333"/>
                <w:sz w:val="18"/>
                <w:szCs w:val="18"/>
              </w:rPr>
              <w:t>74,947</w:t>
            </w:r>
            <w:r>
              <w:rPr>
                <w:rFonts w:ascii="Arial" w:eastAsia="宋体" w:hAnsi="Arial" w:cs="Arial"/>
                <w:color w:val="333333"/>
                <w:sz w:val="18"/>
                <w:szCs w:val="18"/>
              </w:rPr>
              <w:t> </w:t>
            </w:r>
          </w:p>
        </w:tc>
        <w:tc>
          <w:tcPr>
            <w:tcW w:w="0" w:type="auto"/>
            <w:shd w:val="clear" w:color="auto" w:fill="auto"/>
            <w:tcMar>
              <w:top w:w="40" w:type="dxa"/>
              <w:bottom w:w="40" w:type="dxa"/>
              <w:right w:w="20" w:type="dxa"/>
            </w:tcMar>
            <w:vAlign w:val="bottom"/>
          </w:tcPr>
          <w:p w14:paraId="36CA227F" w14:textId="77777777" w:rsidR="00787570" w:rsidRDefault="00787570">
            <w:pPr>
              <w:jc w:val="right"/>
              <w:rPr>
                <w:rFonts w:ascii="宋体"/>
              </w:rPr>
            </w:pPr>
          </w:p>
        </w:tc>
        <w:tc>
          <w:tcPr>
            <w:tcW w:w="0" w:type="auto"/>
            <w:shd w:val="clear" w:color="auto" w:fill="auto"/>
          </w:tcPr>
          <w:p w14:paraId="36CA2280" w14:textId="77777777" w:rsidR="00787570" w:rsidRDefault="00787570">
            <w:pPr>
              <w:rPr>
                <w:rFonts w:ascii="宋体"/>
              </w:rPr>
            </w:pPr>
          </w:p>
        </w:tc>
        <w:tc>
          <w:tcPr>
            <w:tcW w:w="0" w:type="auto"/>
            <w:shd w:val="clear" w:color="auto" w:fill="auto"/>
          </w:tcPr>
          <w:p w14:paraId="36CA2281" w14:textId="77777777" w:rsidR="00787570" w:rsidRDefault="00787570">
            <w:pPr>
              <w:rPr>
                <w:rFonts w:ascii="宋体"/>
              </w:rPr>
            </w:pPr>
          </w:p>
        </w:tc>
        <w:tc>
          <w:tcPr>
            <w:tcW w:w="0" w:type="auto"/>
            <w:shd w:val="clear" w:color="auto" w:fill="auto"/>
          </w:tcPr>
          <w:p w14:paraId="36CA2282" w14:textId="77777777" w:rsidR="00787570" w:rsidRDefault="00787570">
            <w:pPr>
              <w:rPr>
                <w:rFonts w:ascii="宋体"/>
              </w:rPr>
            </w:pPr>
          </w:p>
        </w:tc>
        <w:tc>
          <w:tcPr>
            <w:tcW w:w="0" w:type="auto"/>
            <w:shd w:val="clear" w:color="auto" w:fill="auto"/>
          </w:tcPr>
          <w:p w14:paraId="36CA2283" w14:textId="77777777" w:rsidR="00787570" w:rsidRDefault="00787570">
            <w:pPr>
              <w:rPr>
                <w:rFonts w:ascii="宋体"/>
              </w:rPr>
            </w:pPr>
          </w:p>
        </w:tc>
        <w:tc>
          <w:tcPr>
            <w:tcW w:w="0" w:type="auto"/>
            <w:shd w:val="clear" w:color="auto" w:fill="auto"/>
          </w:tcPr>
          <w:p w14:paraId="36CA2284" w14:textId="77777777" w:rsidR="00787570" w:rsidRDefault="00787570">
            <w:pPr>
              <w:rPr>
                <w:rFonts w:ascii="宋体"/>
              </w:rPr>
            </w:pPr>
          </w:p>
        </w:tc>
        <w:tc>
          <w:tcPr>
            <w:tcW w:w="0" w:type="auto"/>
            <w:shd w:val="clear" w:color="auto" w:fill="auto"/>
          </w:tcPr>
          <w:p w14:paraId="36CA2285" w14:textId="77777777" w:rsidR="00787570" w:rsidRDefault="00787570">
            <w:pPr>
              <w:rPr>
                <w:rFonts w:ascii="宋体"/>
              </w:rPr>
            </w:pPr>
          </w:p>
        </w:tc>
        <w:tc>
          <w:tcPr>
            <w:tcW w:w="0" w:type="auto"/>
            <w:shd w:val="clear" w:color="auto" w:fill="auto"/>
          </w:tcPr>
          <w:p w14:paraId="36CA2286" w14:textId="77777777" w:rsidR="00787570" w:rsidRDefault="00787570">
            <w:pPr>
              <w:rPr>
                <w:rFonts w:ascii="宋体"/>
              </w:rPr>
            </w:pPr>
          </w:p>
        </w:tc>
        <w:tc>
          <w:tcPr>
            <w:tcW w:w="0" w:type="auto"/>
            <w:shd w:val="clear" w:color="auto" w:fill="auto"/>
          </w:tcPr>
          <w:p w14:paraId="36CA2287" w14:textId="77777777" w:rsidR="00787570" w:rsidRDefault="00787570">
            <w:pPr>
              <w:rPr>
                <w:rFonts w:ascii="宋体"/>
              </w:rPr>
            </w:pPr>
          </w:p>
        </w:tc>
        <w:tc>
          <w:tcPr>
            <w:tcW w:w="0" w:type="auto"/>
            <w:shd w:val="clear" w:color="auto" w:fill="auto"/>
          </w:tcPr>
          <w:p w14:paraId="36CA2288" w14:textId="77777777" w:rsidR="00787570" w:rsidRDefault="00787570">
            <w:pPr>
              <w:rPr>
                <w:rFonts w:ascii="宋体"/>
              </w:rPr>
            </w:pPr>
          </w:p>
        </w:tc>
      </w:tr>
      <w:tr w:rsidR="00787570" w14:paraId="36CA229E" w14:textId="77777777">
        <w:trPr>
          <w:hidden/>
        </w:trPr>
        <w:tc>
          <w:tcPr>
            <w:tcW w:w="0" w:type="auto"/>
            <w:gridSpan w:val="3"/>
            <w:shd w:val="clear" w:color="auto" w:fill="auto"/>
          </w:tcPr>
          <w:p w14:paraId="36CA228A" w14:textId="77777777" w:rsidR="00787570" w:rsidRDefault="00787570">
            <w:pPr>
              <w:rPr>
                <w:rFonts w:ascii="宋体"/>
                <w:vanish/>
              </w:rPr>
            </w:pPr>
          </w:p>
        </w:tc>
        <w:tc>
          <w:tcPr>
            <w:tcW w:w="0" w:type="auto"/>
            <w:gridSpan w:val="3"/>
            <w:shd w:val="clear" w:color="auto" w:fill="auto"/>
          </w:tcPr>
          <w:p w14:paraId="36CA228B" w14:textId="77777777" w:rsidR="00787570" w:rsidRDefault="00787570">
            <w:pPr>
              <w:rPr>
                <w:rFonts w:ascii="宋体"/>
                <w:vanish/>
              </w:rPr>
            </w:pPr>
          </w:p>
        </w:tc>
        <w:tc>
          <w:tcPr>
            <w:tcW w:w="0" w:type="auto"/>
            <w:gridSpan w:val="3"/>
            <w:shd w:val="clear" w:color="auto" w:fill="auto"/>
          </w:tcPr>
          <w:p w14:paraId="36CA228C" w14:textId="77777777" w:rsidR="00787570" w:rsidRDefault="00787570">
            <w:pPr>
              <w:rPr>
                <w:rFonts w:ascii="宋体"/>
                <w:vanish/>
              </w:rPr>
            </w:pPr>
          </w:p>
        </w:tc>
        <w:tc>
          <w:tcPr>
            <w:tcW w:w="0" w:type="auto"/>
            <w:gridSpan w:val="3"/>
            <w:shd w:val="clear" w:color="auto" w:fill="auto"/>
          </w:tcPr>
          <w:p w14:paraId="36CA228D" w14:textId="77777777" w:rsidR="00787570" w:rsidRDefault="00787570">
            <w:pPr>
              <w:rPr>
                <w:rFonts w:ascii="宋体"/>
                <w:vanish/>
              </w:rPr>
            </w:pPr>
          </w:p>
        </w:tc>
        <w:tc>
          <w:tcPr>
            <w:tcW w:w="0" w:type="auto"/>
            <w:gridSpan w:val="3"/>
            <w:shd w:val="clear" w:color="auto" w:fill="auto"/>
          </w:tcPr>
          <w:p w14:paraId="36CA228E" w14:textId="77777777" w:rsidR="00787570" w:rsidRDefault="00787570">
            <w:pPr>
              <w:rPr>
                <w:rFonts w:ascii="宋体"/>
                <w:vanish/>
              </w:rPr>
            </w:pPr>
          </w:p>
        </w:tc>
        <w:tc>
          <w:tcPr>
            <w:tcW w:w="0" w:type="auto"/>
            <w:gridSpan w:val="3"/>
            <w:shd w:val="clear" w:color="auto" w:fill="auto"/>
          </w:tcPr>
          <w:p w14:paraId="36CA228F" w14:textId="77777777" w:rsidR="00787570" w:rsidRDefault="00787570">
            <w:pPr>
              <w:rPr>
                <w:rFonts w:ascii="宋体"/>
                <w:vanish/>
              </w:rPr>
            </w:pPr>
          </w:p>
        </w:tc>
        <w:tc>
          <w:tcPr>
            <w:tcW w:w="0" w:type="auto"/>
            <w:gridSpan w:val="3"/>
            <w:shd w:val="clear" w:color="auto" w:fill="auto"/>
          </w:tcPr>
          <w:p w14:paraId="36CA2290" w14:textId="77777777" w:rsidR="00787570" w:rsidRDefault="00787570">
            <w:pPr>
              <w:rPr>
                <w:rFonts w:ascii="宋体"/>
                <w:vanish/>
              </w:rPr>
            </w:pPr>
          </w:p>
        </w:tc>
        <w:tc>
          <w:tcPr>
            <w:tcW w:w="0" w:type="auto"/>
            <w:gridSpan w:val="3"/>
            <w:shd w:val="clear" w:color="auto" w:fill="auto"/>
          </w:tcPr>
          <w:p w14:paraId="36CA2291" w14:textId="77777777" w:rsidR="00787570" w:rsidRDefault="00787570">
            <w:pPr>
              <w:rPr>
                <w:rFonts w:ascii="宋体"/>
                <w:vanish/>
              </w:rPr>
            </w:pPr>
          </w:p>
        </w:tc>
        <w:tc>
          <w:tcPr>
            <w:tcW w:w="0" w:type="auto"/>
            <w:gridSpan w:val="3"/>
            <w:shd w:val="clear" w:color="auto" w:fill="auto"/>
          </w:tcPr>
          <w:p w14:paraId="36CA2292" w14:textId="77777777" w:rsidR="00787570" w:rsidRDefault="00787570">
            <w:pPr>
              <w:rPr>
                <w:rFonts w:ascii="宋体"/>
                <w:vanish/>
              </w:rPr>
            </w:pPr>
          </w:p>
        </w:tc>
        <w:tc>
          <w:tcPr>
            <w:tcW w:w="0" w:type="auto"/>
            <w:gridSpan w:val="3"/>
            <w:shd w:val="clear" w:color="auto" w:fill="auto"/>
          </w:tcPr>
          <w:p w14:paraId="36CA2293" w14:textId="77777777" w:rsidR="00787570" w:rsidRDefault="00787570">
            <w:pPr>
              <w:rPr>
                <w:rFonts w:ascii="宋体"/>
                <w:vanish/>
              </w:rPr>
            </w:pPr>
          </w:p>
        </w:tc>
        <w:tc>
          <w:tcPr>
            <w:tcW w:w="0" w:type="auto"/>
            <w:gridSpan w:val="3"/>
            <w:shd w:val="clear" w:color="auto" w:fill="auto"/>
          </w:tcPr>
          <w:p w14:paraId="36CA2294" w14:textId="77777777" w:rsidR="00787570" w:rsidRDefault="00787570">
            <w:pPr>
              <w:rPr>
                <w:rFonts w:ascii="宋体"/>
                <w:vanish/>
              </w:rPr>
            </w:pPr>
          </w:p>
        </w:tc>
        <w:tc>
          <w:tcPr>
            <w:tcW w:w="0" w:type="auto"/>
            <w:shd w:val="clear" w:color="auto" w:fill="auto"/>
          </w:tcPr>
          <w:p w14:paraId="36CA2295" w14:textId="77777777" w:rsidR="00787570" w:rsidRDefault="00787570">
            <w:pPr>
              <w:rPr>
                <w:rFonts w:ascii="宋体"/>
              </w:rPr>
            </w:pPr>
          </w:p>
        </w:tc>
        <w:tc>
          <w:tcPr>
            <w:tcW w:w="0" w:type="auto"/>
            <w:shd w:val="clear" w:color="auto" w:fill="auto"/>
          </w:tcPr>
          <w:p w14:paraId="36CA2296" w14:textId="77777777" w:rsidR="00787570" w:rsidRDefault="00787570">
            <w:pPr>
              <w:rPr>
                <w:rFonts w:ascii="宋体"/>
              </w:rPr>
            </w:pPr>
          </w:p>
        </w:tc>
        <w:tc>
          <w:tcPr>
            <w:tcW w:w="0" w:type="auto"/>
            <w:shd w:val="clear" w:color="auto" w:fill="auto"/>
          </w:tcPr>
          <w:p w14:paraId="36CA2297" w14:textId="77777777" w:rsidR="00787570" w:rsidRDefault="00787570">
            <w:pPr>
              <w:rPr>
                <w:rFonts w:ascii="宋体"/>
              </w:rPr>
            </w:pPr>
          </w:p>
        </w:tc>
        <w:tc>
          <w:tcPr>
            <w:tcW w:w="0" w:type="auto"/>
            <w:shd w:val="clear" w:color="auto" w:fill="auto"/>
          </w:tcPr>
          <w:p w14:paraId="36CA2298" w14:textId="77777777" w:rsidR="00787570" w:rsidRDefault="00787570">
            <w:pPr>
              <w:rPr>
                <w:rFonts w:ascii="宋体"/>
              </w:rPr>
            </w:pPr>
          </w:p>
        </w:tc>
        <w:tc>
          <w:tcPr>
            <w:tcW w:w="0" w:type="auto"/>
            <w:shd w:val="clear" w:color="auto" w:fill="auto"/>
          </w:tcPr>
          <w:p w14:paraId="36CA2299" w14:textId="77777777" w:rsidR="00787570" w:rsidRDefault="00787570">
            <w:pPr>
              <w:rPr>
                <w:rFonts w:ascii="宋体"/>
              </w:rPr>
            </w:pPr>
          </w:p>
        </w:tc>
        <w:tc>
          <w:tcPr>
            <w:tcW w:w="0" w:type="auto"/>
            <w:shd w:val="clear" w:color="auto" w:fill="auto"/>
          </w:tcPr>
          <w:p w14:paraId="36CA229A" w14:textId="77777777" w:rsidR="00787570" w:rsidRDefault="00787570">
            <w:pPr>
              <w:rPr>
                <w:rFonts w:ascii="宋体"/>
              </w:rPr>
            </w:pPr>
          </w:p>
        </w:tc>
        <w:tc>
          <w:tcPr>
            <w:tcW w:w="0" w:type="auto"/>
            <w:shd w:val="clear" w:color="auto" w:fill="auto"/>
          </w:tcPr>
          <w:p w14:paraId="36CA229B" w14:textId="77777777" w:rsidR="00787570" w:rsidRDefault="00787570">
            <w:pPr>
              <w:rPr>
                <w:rFonts w:ascii="宋体"/>
              </w:rPr>
            </w:pPr>
          </w:p>
        </w:tc>
        <w:tc>
          <w:tcPr>
            <w:tcW w:w="0" w:type="auto"/>
            <w:shd w:val="clear" w:color="auto" w:fill="auto"/>
          </w:tcPr>
          <w:p w14:paraId="36CA229C" w14:textId="77777777" w:rsidR="00787570" w:rsidRDefault="00787570">
            <w:pPr>
              <w:rPr>
                <w:rFonts w:ascii="宋体"/>
              </w:rPr>
            </w:pPr>
          </w:p>
        </w:tc>
        <w:tc>
          <w:tcPr>
            <w:tcW w:w="0" w:type="auto"/>
            <w:shd w:val="clear" w:color="auto" w:fill="auto"/>
          </w:tcPr>
          <w:p w14:paraId="36CA229D" w14:textId="77777777" w:rsidR="00787570" w:rsidRDefault="00787570">
            <w:pPr>
              <w:rPr>
                <w:rFonts w:ascii="宋体"/>
              </w:rPr>
            </w:pPr>
          </w:p>
        </w:tc>
      </w:tr>
      <w:tr w:rsidR="00787570" w14:paraId="36CA22B3" w14:textId="77777777">
        <w:trPr>
          <w:hidden/>
        </w:trPr>
        <w:tc>
          <w:tcPr>
            <w:tcW w:w="0" w:type="auto"/>
            <w:gridSpan w:val="3"/>
            <w:shd w:val="clear" w:color="auto" w:fill="auto"/>
          </w:tcPr>
          <w:p w14:paraId="36CA229F" w14:textId="77777777" w:rsidR="00787570" w:rsidRDefault="00787570">
            <w:pPr>
              <w:rPr>
                <w:rFonts w:ascii="宋体"/>
                <w:vanish/>
              </w:rPr>
            </w:pPr>
          </w:p>
        </w:tc>
        <w:tc>
          <w:tcPr>
            <w:tcW w:w="0" w:type="auto"/>
            <w:gridSpan w:val="3"/>
            <w:shd w:val="clear" w:color="auto" w:fill="auto"/>
          </w:tcPr>
          <w:p w14:paraId="36CA22A0" w14:textId="77777777" w:rsidR="00787570" w:rsidRDefault="00787570">
            <w:pPr>
              <w:rPr>
                <w:rFonts w:ascii="宋体"/>
                <w:vanish/>
              </w:rPr>
            </w:pPr>
          </w:p>
        </w:tc>
        <w:tc>
          <w:tcPr>
            <w:tcW w:w="0" w:type="auto"/>
            <w:gridSpan w:val="3"/>
            <w:shd w:val="clear" w:color="auto" w:fill="auto"/>
          </w:tcPr>
          <w:p w14:paraId="36CA22A1" w14:textId="77777777" w:rsidR="00787570" w:rsidRDefault="00787570">
            <w:pPr>
              <w:rPr>
                <w:rFonts w:ascii="宋体"/>
                <w:vanish/>
              </w:rPr>
            </w:pPr>
          </w:p>
        </w:tc>
        <w:tc>
          <w:tcPr>
            <w:tcW w:w="0" w:type="auto"/>
            <w:gridSpan w:val="3"/>
            <w:shd w:val="clear" w:color="auto" w:fill="auto"/>
          </w:tcPr>
          <w:p w14:paraId="36CA22A2" w14:textId="77777777" w:rsidR="00787570" w:rsidRDefault="00787570">
            <w:pPr>
              <w:rPr>
                <w:rFonts w:ascii="宋体"/>
                <w:vanish/>
              </w:rPr>
            </w:pPr>
          </w:p>
        </w:tc>
        <w:tc>
          <w:tcPr>
            <w:tcW w:w="0" w:type="auto"/>
            <w:gridSpan w:val="3"/>
            <w:shd w:val="clear" w:color="auto" w:fill="auto"/>
          </w:tcPr>
          <w:p w14:paraId="36CA22A3" w14:textId="77777777" w:rsidR="00787570" w:rsidRDefault="00787570">
            <w:pPr>
              <w:rPr>
                <w:rFonts w:ascii="宋体"/>
                <w:vanish/>
              </w:rPr>
            </w:pPr>
          </w:p>
        </w:tc>
        <w:tc>
          <w:tcPr>
            <w:tcW w:w="0" w:type="auto"/>
            <w:gridSpan w:val="3"/>
            <w:shd w:val="clear" w:color="auto" w:fill="auto"/>
          </w:tcPr>
          <w:p w14:paraId="36CA22A4" w14:textId="77777777" w:rsidR="00787570" w:rsidRDefault="00787570">
            <w:pPr>
              <w:rPr>
                <w:rFonts w:ascii="宋体"/>
                <w:vanish/>
              </w:rPr>
            </w:pPr>
          </w:p>
        </w:tc>
        <w:tc>
          <w:tcPr>
            <w:tcW w:w="0" w:type="auto"/>
            <w:gridSpan w:val="3"/>
            <w:shd w:val="clear" w:color="auto" w:fill="auto"/>
          </w:tcPr>
          <w:p w14:paraId="36CA22A5" w14:textId="77777777" w:rsidR="00787570" w:rsidRDefault="00787570">
            <w:pPr>
              <w:rPr>
                <w:rFonts w:ascii="宋体"/>
                <w:vanish/>
              </w:rPr>
            </w:pPr>
          </w:p>
        </w:tc>
        <w:tc>
          <w:tcPr>
            <w:tcW w:w="0" w:type="auto"/>
            <w:gridSpan w:val="3"/>
            <w:shd w:val="clear" w:color="auto" w:fill="auto"/>
          </w:tcPr>
          <w:p w14:paraId="36CA22A6" w14:textId="77777777" w:rsidR="00787570" w:rsidRDefault="00787570">
            <w:pPr>
              <w:rPr>
                <w:rFonts w:ascii="宋体"/>
                <w:vanish/>
              </w:rPr>
            </w:pPr>
          </w:p>
        </w:tc>
        <w:tc>
          <w:tcPr>
            <w:tcW w:w="0" w:type="auto"/>
            <w:gridSpan w:val="3"/>
            <w:shd w:val="clear" w:color="auto" w:fill="auto"/>
          </w:tcPr>
          <w:p w14:paraId="36CA22A7" w14:textId="77777777" w:rsidR="00787570" w:rsidRDefault="00787570">
            <w:pPr>
              <w:rPr>
                <w:rFonts w:ascii="宋体"/>
                <w:vanish/>
              </w:rPr>
            </w:pPr>
          </w:p>
        </w:tc>
        <w:tc>
          <w:tcPr>
            <w:tcW w:w="0" w:type="auto"/>
            <w:gridSpan w:val="3"/>
            <w:shd w:val="clear" w:color="auto" w:fill="auto"/>
          </w:tcPr>
          <w:p w14:paraId="36CA22A8" w14:textId="77777777" w:rsidR="00787570" w:rsidRDefault="00787570">
            <w:pPr>
              <w:rPr>
                <w:rFonts w:ascii="宋体"/>
                <w:vanish/>
              </w:rPr>
            </w:pPr>
          </w:p>
        </w:tc>
        <w:tc>
          <w:tcPr>
            <w:tcW w:w="0" w:type="auto"/>
            <w:gridSpan w:val="3"/>
            <w:shd w:val="clear" w:color="auto" w:fill="auto"/>
          </w:tcPr>
          <w:p w14:paraId="36CA22A9" w14:textId="77777777" w:rsidR="00787570" w:rsidRDefault="00787570">
            <w:pPr>
              <w:rPr>
                <w:rFonts w:ascii="宋体"/>
                <w:vanish/>
              </w:rPr>
            </w:pPr>
          </w:p>
        </w:tc>
        <w:tc>
          <w:tcPr>
            <w:tcW w:w="0" w:type="auto"/>
            <w:shd w:val="clear" w:color="auto" w:fill="auto"/>
          </w:tcPr>
          <w:p w14:paraId="36CA22AA" w14:textId="77777777" w:rsidR="00787570" w:rsidRDefault="00787570">
            <w:pPr>
              <w:rPr>
                <w:rFonts w:ascii="宋体"/>
              </w:rPr>
            </w:pPr>
          </w:p>
        </w:tc>
        <w:tc>
          <w:tcPr>
            <w:tcW w:w="0" w:type="auto"/>
            <w:shd w:val="clear" w:color="auto" w:fill="auto"/>
          </w:tcPr>
          <w:p w14:paraId="36CA22AB" w14:textId="77777777" w:rsidR="00787570" w:rsidRDefault="00787570">
            <w:pPr>
              <w:rPr>
                <w:rFonts w:ascii="宋体"/>
              </w:rPr>
            </w:pPr>
          </w:p>
        </w:tc>
        <w:tc>
          <w:tcPr>
            <w:tcW w:w="0" w:type="auto"/>
            <w:shd w:val="clear" w:color="auto" w:fill="auto"/>
          </w:tcPr>
          <w:p w14:paraId="36CA22AC" w14:textId="77777777" w:rsidR="00787570" w:rsidRDefault="00787570">
            <w:pPr>
              <w:rPr>
                <w:rFonts w:ascii="宋体"/>
              </w:rPr>
            </w:pPr>
          </w:p>
        </w:tc>
        <w:tc>
          <w:tcPr>
            <w:tcW w:w="0" w:type="auto"/>
            <w:shd w:val="clear" w:color="auto" w:fill="auto"/>
          </w:tcPr>
          <w:p w14:paraId="36CA22AD" w14:textId="77777777" w:rsidR="00787570" w:rsidRDefault="00787570">
            <w:pPr>
              <w:rPr>
                <w:rFonts w:ascii="宋体"/>
              </w:rPr>
            </w:pPr>
          </w:p>
        </w:tc>
        <w:tc>
          <w:tcPr>
            <w:tcW w:w="0" w:type="auto"/>
            <w:shd w:val="clear" w:color="auto" w:fill="auto"/>
          </w:tcPr>
          <w:p w14:paraId="36CA22AE" w14:textId="77777777" w:rsidR="00787570" w:rsidRDefault="00787570">
            <w:pPr>
              <w:rPr>
                <w:rFonts w:ascii="宋体"/>
              </w:rPr>
            </w:pPr>
          </w:p>
        </w:tc>
        <w:tc>
          <w:tcPr>
            <w:tcW w:w="0" w:type="auto"/>
            <w:shd w:val="clear" w:color="auto" w:fill="auto"/>
          </w:tcPr>
          <w:p w14:paraId="36CA22AF" w14:textId="77777777" w:rsidR="00787570" w:rsidRDefault="00787570">
            <w:pPr>
              <w:rPr>
                <w:rFonts w:ascii="宋体"/>
              </w:rPr>
            </w:pPr>
          </w:p>
        </w:tc>
        <w:tc>
          <w:tcPr>
            <w:tcW w:w="0" w:type="auto"/>
            <w:shd w:val="clear" w:color="auto" w:fill="auto"/>
          </w:tcPr>
          <w:p w14:paraId="36CA22B0" w14:textId="77777777" w:rsidR="00787570" w:rsidRDefault="00787570">
            <w:pPr>
              <w:rPr>
                <w:rFonts w:ascii="宋体"/>
              </w:rPr>
            </w:pPr>
          </w:p>
        </w:tc>
        <w:tc>
          <w:tcPr>
            <w:tcW w:w="0" w:type="auto"/>
            <w:shd w:val="clear" w:color="auto" w:fill="auto"/>
          </w:tcPr>
          <w:p w14:paraId="36CA22B1" w14:textId="77777777" w:rsidR="00787570" w:rsidRDefault="00787570">
            <w:pPr>
              <w:rPr>
                <w:rFonts w:ascii="宋体"/>
              </w:rPr>
            </w:pPr>
          </w:p>
        </w:tc>
        <w:tc>
          <w:tcPr>
            <w:tcW w:w="0" w:type="auto"/>
            <w:shd w:val="clear" w:color="auto" w:fill="auto"/>
          </w:tcPr>
          <w:p w14:paraId="36CA22B2" w14:textId="77777777" w:rsidR="00787570" w:rsidRDefault="00787570">
            <w:pPr>
              <w:rPr>
                <w:rFonts w:ascii="宋体"/>
              </w:rPr>
            </w:pPr>
          </w:p>
        </w:tc>
      </w:tr>
      <w:tr w:rsidR="00787570" w14:paraId="36CA22CD" w14:textId="77777777">
        <w:tc>
          <w:tcPr>
            <w:tcW w:w="0" w:type="auto"/>
            <w:gridSpan w:val="3"/>
            <w:shd w:val="clear" w:color="auto" w:fill="auto"/>
            <w:tcMar>
              <w:top w:w="40" w:type="dxa"/>
              <w:left w:w="20" w:type="dxa"/>
              <w:bottom w:w="40" w:type="dxa"/>
              <w:right w:w="20" w:type="dxa"/>
            </w:tcMar>
            <w:vAlign w:val="bottom"/>
          </w:tcPr>
          <w:p w14:paraId="36CA22B4" w14:textId="77777777" w:rsidR="00787570" w:rsidRDefault="000D56E2">
            <w:pPr>
              <w:textAlignment w:val="bottom"/>
            </w:pPr>
            <w:r>
              <w:rPr>
                <w:rFonts w:ascii="Arial" w:eastAsia="宋体" w:hAnsi="Arial" w:cs="Arial"/>
                <w:color w:val="333333"/>
                <w:sz w:val="18"/>
                <w:szCs w:val="18"/>
              </w:rPr>
              <w:t>Net income</w:t>
            </w:r>
          </w:p>
        </w:tc>
        <w:tc>
          <w:tcPr>
            <w:tcW w:w="0" w:type="auto"/>
            <w:gridSpan w:val="3"/>
            <w:shd w:val="clear" w:color="auto" w:fill="auto"/>
            <w:tcMar>
              <w:left w:w="20" w:type="dxa"/>
              <w:right w:w="20" w:type="dxa"/>
            </w:tcMar>
            <w:vAlign w:val="bottom"/>
          </w:tcPr>
          <w:p w14:paraId="36CA22B5"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22B6" w14:textId="77777777" w:rsidR="00787570" w:rsidRDefault="000D56E2">
            <w:pPr>
              <w:jc w:val="right"/>
              <w:textAlignment w:val="bottom"/>
            </w:pPr>
            <w:r>
              <w:rPr>
                <w:rFonts w:ascii="Arial" w:eastAsia="宋体" w:hAnsi="Arial" w:cs="Arial"/>
                <w:color w:val="333333"/>
                <w:sz w:val="18"/>
                <w:szCs w:val="18"/>
              </w:rPr>
              <w:t>— </w:t>
            </w:r>
          </w:p>
        </w:tc>
        <w:tc>
          <w:tcPr>
            <w:tcW w:w="0" w:type="auto"/>
            <w:shd w:val="clear" w:color="auto" w:fill="auto"/>
            <w:tcMar>
              <w:top w:w="40" w:type="dxa"/>
              <w:bottom w:w="40" w:type="dxa"/>
              <w:right w:w="20" w:type="dxa"/>
            </w:tcMar>
            <w:vAlign w:val="bottom"/>
          </w:tcPr>
          <w:p w14:paraId="36CA22B7"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22B8"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22B9" w14:textId="77777777" w:rsidR="00787570" w:rsidRDefault="000D56E2">
            <w:pPr>
              <w:jc w:val="right"/>
              <w:textAlignment w:val="bottom"/>
            </w:pPr>
            <w:r>
              <w:rPr>
                <w:rFonts w:ascii="Arial" w:eastAsia="宋体" w:hAnsi="Arial" w:cs="Arial"/>
                <w:color w:val="333333"/>
                <w:sz w:val="18"/>
                <w:szCs w:val="18"/>
              </w:rPr>
              <w:t>— </w:t>
            </w:r>
          </w:p>
        </w:tc>
        <w:tc>
          <w:tcPr>
            <w:tcW w:w="0" w:type="auto"/>
            <w:shd w:val="clear" w:color="auto" w:fill="auto"/>
            <w:tcMar>
              <w:top w:w="40" w:type="dxa"/>
              <w:bottom w:w="40" w:type="dxa"/>
              <w:right w:w="20" w:type="dxa"/>
            </w:tcMar>
            <w:vAlign w:val="bottom"/>
          </w:tcPr>
          <w:p w14:paraId="36CA22BA"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22BB"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22BC" w14:textId="77777777" w:rsidR="00787570" w:rsidRDefault="000D56E2">
            <w:pPr>
              <w:jc w:val="right"/>
              <w:textAlignment w:val="bottom"/>
            </w:pPr>
            <w:r>
              <w:rPr>
                <w:rFonts w:ascii="Arial" w:eastAsia="宋体" w:hAnsi="Arial" w:cs="Arial"/>
                <w:color w:val="333333"/>
                <w:sz w:val="18"/>
                <w:szCs w:val="18"/>
              </w:rPr>
              <w:t>— </w:t>
            </w:r>
          </w:p>
        </w:tc>
        <w:tc>
          <w:tcPr>
            <w:tcW w:w="0" w:type="auto"/>
            <w:shd w:val="clear" w:color="auto" w:fill="auto"/>
            <w:tcMar>
              <w:top w:w="40" w:type="dxa"/>
              <w:bottom w:w="40" w:type="dxa"/>
              <w:right w:w="20" w:type="dxa"/>
            </w:tcMar>
            <w:vAlign w:val="bottom"/>
          </w:tcPr>
          <w:p w14:paraId="36CA22BD"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22BE"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22BF" w14:textId="77777777" w:rsidR="00787570" w:rsidRDefault="000D56E2">
            <w:pPr>
              <w:jc w:val="right"/>
              <w:textAlignment w:val="bottom"/>
            </w:pPr>
            <w:r>
              <w:rPr>
                <w:rFonts w:ascii="Arial" w:eastAsia="宋体" w:hAnsi="Arial" w:cs="Arial"/>
                <w:color w:val="333333"/>
                <w:sz w:val="18"/>
                <w:szCs w:val="18"/>
              </w:rPr>
              <w:t>5,990 </w:t>
            </w:r>
          </w:p>
        </w:tc>
        <w:tc>
          <w:tcPr>
            <w:tcW w:w="0" w:type="auto"/>
            <w:shd w:val="clear" w:color="auto" w:fill="auto"/>
            <w:tcMar>
              <w:top w:w="40" w:type="dxa"/>
              <w:bottom w:w="40" w:type="dxa"/>
              <w:right w:w="20" w:type="dxa"/>
            </w:tcMar>
            <w:vAlign w:val="bottom"/>
          </w:tcPr>
          <w:p w14:paraId="36CA22C0"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22C1"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22C2" w14:textId="77777777" w:rsidR="00787570" w:rsidRDefault="000D56E2">
            <w:pPr>
              <w:jc w:val="right"/>
              <w:textAlignment w:val="bottom"/>
            </w:pPr>
            <w:r>
              <w:rPr>
                <w:rFonts w:ascii="Arial" w:eastAsia="宋体" w:hAnsi="Arial" w:cs="Arial"/>
                <w:color w:val="333333"/>
                <w:sz w:val="18"/>
                <w:szCs w:val="18"/>
              </w:rPr>
              <w:t>5,990 </w:t>
            </w:r>
          </w:p>
        </w:tc>
        <w:tc>
          <w:tcPr>
            <w:tcW w:w="0" w:type="auto"/>
            <w:shd w:val="clear" w:color="auto" w:fill="auto"/>
            <w:tcMar>
              <w:top w:w="40" w:type="dxa"/>
              <w:bottom w:w="40" w:type="dxa"/>
              <w:right w:w="20" w:type="dxa"/>
            </w:tcMar>
            <w:vAlign w:val="bottom"/>
          </w:tcPr>
          <w:p w14:paraId="36CA22C3" w14:textId="77777777" w:rsidR="00787570" w:rsidRDefault="00787570">
            <w:pPr>
              <w:jc w:val="right"/>
              <w:rPr>
                <w:rFonts w:ascii="宋体"/>
              </w:rPr>
            </w:pPr>
          </w:p>
        </w:tc>
        <w:tc>
          <w:tcPr>
            <w:tcW w:w="0" w:type="auto"/>
            <w:shd w:val="clear" w:color="auto" w:fill="auto"/>
          </w:tcPr>
          <w:p w14:paraId="36CA22C4" w14:textId="77777777" w:rsidR="00787570" w:rsidRDefault="00787570">
            <w:pPr>
              <w:rPr>
                <w:rFonts w:ascii="宋体"/>
              </w:rPr>
            </w:pPr>
          </w:p>
        </w:tc>
        <w:tc>
          <w:tcPr>
            <w:tcW w:w="0" w:type="auto"/>
            <w:shd w:val="clear" w:color="auto" w:fill="auto"/>
          </w:tcPr>
          <w:p w14:paraId="36CA22C5" w14:textId="77777777" w:rsidR="00787570" w:rsidRDefault="00787570">
            <w:pPr>
              <w:rPr>
                <w:rFonts w:ascii="宋体"/>
              </w:rPr>
            </w:pPr>
          </w:p>
        </w:tc>
        <w:tc>
          <w:tcPr>
            <w:tcW w:w="0" w:type="auto"/>
            <w:shd w:val="clear" w:color="auto" w:fill="auto"/>
          </w:tcPr>
          <w:p w14:paraId="36CA22C6" w14:textId="77777777" w:rsidR="00787570" w:rsidRDefault="00787570">
            <w:pPr>
              <w:rPr>
                <w:rFonts w:ascii="宋体"/>
              </w:rPr>
            </w:pPr>
          </w:p>
        </w:tc>
        <w:tc>
          <w:tcPr>
            <w:tcW w:w="0" w:type="auto"/>
            <w:shd w:val="clear" w:color="auto" w:fill="auto"/>
          </w:tcPr>
          <w:p w14:paraId="36CA22C7" w14:textId="77777777" w:rsidR="00787570" w:rsidRDefault="00787570">
            <w:pPr>
              <w:rPr>
                <w:rFonts w:ascii="宋体"/>
              </w:rPr>
            </w:pPr>
          </w:p>
        </w:tc>
        <w:tc>
          <w:tcPr>
            <w:tcW w:w="0" w:type="auto"/>
            <w:shd w:val="clear" w:color="auto" w:fill="auto"/>
          </w:tcPr>
          <w:p w14:paraId="36CA22C8" w14:textId="77777777" w:rsidR="00787570" w:rsidRDefault="00787570">
            <w:pPr>
              <w:rPr>
                <w:rFonts w:ascii="宋体"/>
              </w:rPr>
            </w:pPr>
          </w:p>
        </w:tc>
        <w:tc>
          <w:tcPr>
            <w:tcW w:w="0" w:type="auto"/>
            <w:shd w:val="clear" w:color="auto" w:fill="auto"/>
          </w:tcPr>
          <w:p w14:paraId="36CA22C9" w14:textId="77777777" w:rsidR="00787570" w:rsidRDefault="00787570">
            <w:pPr>
              <w:rPr>
                <w:rFonts w:ascii="宋体"/>
              </w:rPr>
            </w:pPr>
          </w:p>
        </w:tc>
        <w:tc>
          <w:tcPr>
            <w:tcW w:w="0" w:type="auto"/>
            <w:shd w:val="clear" w:color="auto" w:fill="auto"/>
          </w:tcPr>
          <w:p w14:paraId="36CA22CA" w14:textId="77777777" w:rsidR="00787570" w:rsidRDefault="00787570">
            <w:pPr>
              <w:rPr>
                <w:rFonts w:ascii="宋体"/>
              </w:rPr>
            </w:pPr>
          </w:p>
        </w:tc>
        <w:tc>
          <w:tcPr>
            <w:tcW w:w="0" w:type="auto"/>
            <w:shd w:val="clear" w:color="auto" w:fill="auto"/>
          </w:tcPr>
          <w:p w14:paraId="36CA22CB" w14:textId="77777777" w:rsidR="00787570" w:rsidRDefault="00787570">
            <w:pPr>
              <w:rPr>
                <w:rFonts w:ascii="宋体"/>
              </w:rPr>
            </w:pPr>
          </w:p>
        </w:tc>
        <w:tc>
          <w:tcPr>
            <w:tcW w:w="0" w:type="auto"/>
            <w:shd w:val="clear" w:color="auto" w:fill="auto"/>
          </w:tcPr>
          <w:p w14:paraId="36CA22CC" w14:textId="77777777" w:rsidR="00787570" w:rsidRDefault="00787570">
            <w:pPr>
              <w:rPr>
                <w:rFonts w:ascii="宋体"/>
              </w:rPr>
            </w:pPr>
          </w:p>
        </w:tc>
      </w:tr>
      <w:tr w:rsidR="00787570" w14:paraId="36CA22E7" w14:textId="77777777">
        <w:tc>
          <w:tcPr>
            <w:tcW w:w="0" w:type="auto"/>
            <w:gridSpan w:val="3"/>
            <w:shd w:val="clear" w:color="auto" w:fill="auto"/>
            <w:tcMar>
              <w:top w:w="40" w:type="dxa"/>
              <w:left w:w="20" w:type="dxa"/>
              <w:bottom w:w="40" w:type="dxa"/>
              <w:right w:w="20" w:type="dxa"/>
            </w:tcMar>
            <w:vAlign w:val="bottom"/>
          </w:tcPr>
          <w:p w14:paraId="36CA22CE" w14:textId="77777777" w:rsidR="00787570" w:rsidRDefault="000D56E2">
            <w:pPr>
              <w:textAlignment w:val="bottom"/>
            </w:pPr>
            <w:r>
              <w:rPr>
                <w:rFonts w:ascii="Arial" w:eastAsia="宋体" w:hAnsi="Arial" w:cs="Arial"/>
                <w:color w:val="333333"/>
                <w:sz w:val="18"/>
                <w:szCs w:val="18"/>
              </w:rPr>
              <w:t>Other comprehensive income (loss)</w:t>
            </w:r>
          </w:p>
        </w:tc>
        <w:tc>
          <w:tcPr>
            <w:tcW w:w="0" w:type="auto"/>
            <w:gridSpan w:val="3"/>
            <w:shd w:val="clear" w:color="auto" w:fill="auto"/>
            <w:tcMar>
              <w:left w:w="20" w:type="dxa"/>
              <w:right w:w="20" w:type="dxa"/>
            </w:tcMar>
            <w:vAlign w:val="bottom"/>
          </w:tcPr>
          <w:p w14:paraId="36CA22CF"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22D0" w14:textId="77777777" w:rsidR="00787570" w:rsidRDefault="000D56E2">
            <w:pPr>
              <w:jc w:val="right"/>
              <w:textAlignment w:val="bottom"/>
            </w:pPr>
            <w:r>
              <w:rPr>
                <w:rFonts w:ascii="Arial" w:eastAsia="宋体" w:hAnsi="Arial" w:cs="Arial"/>
                <w:color w:val="333333"/>
                <w:sz w:val="18"/>
                <w:szCs w:val="18"/>
              </w:rPr>
              <w:t>— </w:t>
            </w:r>
          </w:p>
        </w:tc>
        <w:tc>
          <w:tcPr>
            <w:tcW w:w="0" w:type="auto"/>
            <w:shd w:val="clear" w:color="auto" w:fill="auto"/>
            <w:tcMar>
              <w:top w:w="40" w:type="dxa"/>
              <w:bottom w:w="40" w:type="dxa"/>
              <w:right w:w="20" w:type="dxa"/>
            </w:tcMar>
            <w:vAlign w:val="bottom"/>
          </w:tcPr>
          <w:p w14:paraId="36CA22D1"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22D2"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22D3" w14:textId="77777777" w:rsidR="00787570" w:rsidRDefault="000D56E2">
            <w:pPr>
              <w:jc w:val="right"/>
              <w:textAlignment w:val="bottom"/>
            </w:pPr>
            <w:r>
              <w:rPr>
                <w:rFonts w:ascii="Arial" w:eastAsia="宋体" w:hAnsi="Arial" w:cs="Arial"/>
                <w:color w:val="333333"/>
                <w:sz w:val="18"/>
                <w:szCs w:val="18"/>
              </w:rPr>
              <w:t>— </w:t>
            </w:r>
          </w:p>
        </w:tc>
        <w:tc>
          <w:tcPr>
            <w:tcW w:w="0" w:type="auto"/>
            <w:shd w:val="clear" w:color="auto" w:fill="auto"/>
            <w:tcMar>
              <w:top w:w="40" w:type="dxa"/>
              <w:bottom w:w="40" w:type="dxa"/>
              <w:right w:w="20" w:type="dxa"/>
            </w:tcMar>
            <w:vAlign w:val="bottom"/>
          </w:tcPr>
          <w:p w14:paraId="36CA22D4"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22D5"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22D6" w14:textId="77777777" w:rsidR="00787570" w:rsidRDefault="000D56E2">
            <w:pPr>
              <w:jc w:val="right"/>
              <w:textAlignment w:val="bottom"/>
            </w:pPr>
            <w:r>
              <w:rPr>
                <w:rFonts w:ascii="Arial" w:eastAsia="宋体" w:hAnsi="Arial" w:cs="Arial"/>
                <w:color w:val="333333"/>
                <w:sz w:val="18"/>
                <w:szCs w:val="18"/>
              </w:rPr>
              <w:t>(100)</w:t>
            </w:r>
          </w:p>
        </w:tc>
        <w:tc>
          <w:tcPr>
            <w:tcW w:w="0" w:type="auto"/>
            <w:shd w:val="clear" w:color="auto" w:fill="auto"/>
            <w:tcMar>
              <w:top w:w="40" w:type="dxa"/>
              <w:bottom w:w="40" w:type="dxa"/>
              <w:right w:w="20" w:type="dxa"/>
            </w:tcMar>
            <w:vAlign w:val="bottom"/>
          </w:tcPr>
          <w:p w14:paraId="36CA22D7"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22D8"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22D9" w14:textId="77777777" w:rsidR="00787570" w:rsidRDefault="000D56E2">
            <w:pPr>
              <w:jc w:val="right"/>
              <w:textAlignment w:val="bottom"/>
            </w:pPr>
            <w:r>
              <w:rPr>
                <w:rFonts w:ascii="Arial" w:eastAsia="宋体" w:hAnsi="Arial" w:cs="Arial"/>
                <w:color w:val="333333"/>
                <w:sz w:val="18"/>
                <w:szCs w:val="18"/>
              </w:rPr>
              <w:t>— </w:t>
            </w:r>
          </w:p>
        </w:tc>
        <w:tc>
          <w:tcPr>
            <w:tcW w:w="0" w:type="auto"/>
            <w:shd w:val="clear" w:color="auto" w:fill="auto"/>
            <w:tcMar>
              <w:top w:w="40" w:type="dxa"/>
              <w:bottom w:w="40" w:type="dxa"/>
              <w:right w:w="20" w:type="dxa"/>
            </w:tcMar>
            <w:vAlign w:val="bottom"/>
          </w:tcPr>
          <w:p w14:paraId="36CA22DA"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22DB"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22DC" w14:textId="77777777" w:rsidR="00787570" w:rsidRDefault="000D56E2">
            <w:pPr>
              <w:jc w:val="right"/>
              <w:textAlignment w:val="bottom"/>
            </w:pPr>
            <w:r>
              <w:rPr>
                <w:rFonts w:ascii="Arial" w:eastAsia="宋体" w:hAnsi="Arial" w:cs="Arial"/>
                <w:color w:val="333333"/>
                <w:sz w:val="18"/>
                <w:szCs w:val="18"/>
              </w:rPr>
              <w:t>(100)</w:t>
            </w:r>
          </w:p>
        </w:tc>
        <w:tc>
          <w:tcPr>
            <w:tcW w:w="0" w:type="auto"/>
            <w:shd w:val="clear" w:color="auto" w:fill="auto"/>
            <w:tcMar>
              <w:top w:w="40" w:type="dxa"/>
              <w:bottom w:w="40" w:type="dxa"/>
              <w:right w:w="20" w:type="dxa"/>
            </w:tcMar>
            <w:vAlign w:val="bottom"/>
          </w:tcPr>
          <w:p w14:paraId="36CA22DD" w14:textId="77777777" w:rsidR="00787570" w:rsidRDefault="00787570">
            <w:pPr>
              <w:jc w:val="right"/>
              <w:rPr>
                <w:rFonts w:ascii="宋体"/>
              </w:rPr>
            </w:pPr>
          </w:p>
        </w:tc>
        <w:tc>
          <w:tcPr>
            <w:tcW w:w="0" w:type="auto"/>
            <w:shd w:val="clear" w:color="auto" w:fill="auto"/>
          </w:tcPr>
          <w:p w14:paraId="36CA22DE" w14:textId="77777777" w:rsidR="00787570" w:rsidRDefault="00787570">
            <w:pPr>
              <w:rPr>
                <w:rFonts w:ascii="宋体"/>
              </w:rPr>
            </w:pPr>
          </w:p>
        </w:tc>
        <w:tc>
          <w:tcPr>
            <w:tcW w:w="0" w:type="auto"/>
            <w:shd w:val="clear" w:color="auto" w:fill="auto"/>
          </w:tcPr>
          <w:p w14:paraId="36CA22DF" w14:textId="77777777" w:rsidR="00787570" w:rsidRDefault="00787570">
            <w:pPr>
              <w:rPr>
                <w:rFonts w:ascii="宋体"/>
              </w:rPr>
            </w:pPr>
          </w:p>
        </w:tc>
        <w:tc>
          <w:tcPr>
            <w:tcW w:w="0" w:type="auto"/>
            <w:shd w:val="clear" w:color="auto" w:fill="auto"/>
          </w:tcPr>
          <w:p w14:paraId="36CA22E0" w14:textId="77777777" w:rsidR="00787570" w:rsidRDefault="00787570">
            <w:pPr>
              <w:rPr>
                <w:rFonts w:ascii="宋体"/>
              </w:rPr>
            </w:pPr>
          </w:p>
        </w:tc>
        <w:tc>
          <w:tcPr>
            <w:tcW w:w="0" w:type="auto"/>
            <w:shd w:val="clear" w:color="auto" w:fill="auto"/>
          </w:tcPr>
          <w:p w14:paraId="36CA22E1" w14:textId="77777777" w:rsidR="00787570" w:rsidRDefault="00787570">
            <w:pPr>
              <w:rPr>
                <w:rFonts w:ascii="宋体"/>
              </w:rPr>
            </w:pPr>
          </w:p>
        </w:tc>
        <w:tc>
          <w:tcPr>
            <w:tcW w:w="0" w:type="auto"/>
            <w:shd w:val="clear" w:color="auto" w:fill="auto"/>
          </w:tcPr>
          <w:p w14:paraId="36CA22E2" w14:textId="77777777" w:rsidR="00787570" w:rsidRDefault="00787570">
            <w:pPr>
              <w:rPr>
                <w:rFonts w:ascii="宋体"/>
              </w:rPr>
            </w:pPr>
          </w:p>
        </w:tc>
        <w:tc>
          <w:tcPr>
            <w:tcW w:w="0" w:type="auto"/>
            <w:shd w:val="clear" w:color="auto" w:fill="auto"/>
          </w:tcPr>
          <w:p w14:paraId="36CA22E3" w14:textId="77777777" w:rsidR="00787570" w:rsidRDefault="00787570">
            <w:pPr>
              <w:rPr>
                <w:rFonts w:ascii="宋体"/>
              </w:rPr>
            </w:pPr>
          </w:p>
        </w:tc>
        <w:tc>
          <w:tcPr>
            <w:tcW w:w="0" w:type="auto"/>
            <w:shd w:val="clear" w:color="auto" w:fill="auto"/>
          </w:tcPr>
          <w:p w14:paraId="36CA22E4" w14:textId="77777777" w:rsidR="00787570" w:rsidRDefault="00787570">
            <w:pPr>
              <w:rPr>
                <w:rFonts w:ascii="宋体"/>
              </w:rPr>
            </w:pPr>
          </w:p>
        </w:tc>
        <w:tc>
          <w:tcPr>
            <w:tcW w:w="0" w:type="auto"/>
            <w:shd w:val="clear" w:color="auto" w:fill="auto"/>
          </w:tcPr>
          <w:p w14:paraId="36CA22E5" w14:textId="77777777" w:rsidR="00787570" w:rsidRDefault="00787570">
            <w:pPr>
              <w:rPr>
                <w:rFonts w:ascii="宋体"/>
              </w:rPr>
            </w:pPr>
          </w:p>
        </w:tc>
        <w:tc>
          <w:tcPr>
            <w:tcW w:w="0" w:type="auto"/>
            <w:shd w:val="clear" w:color="auto" w:fill="auto"/>
          </w:tcPr>
          <w:p w14:paraId="36CA22E6" w14:textId="77777777" w:rsidR="00787570" w:rsidRDefault="00787570">
            <w:pPr>
              <w:rPr>
                <w:rFonts w:ascii="宋体"/>
              </w:rPr>
            </w:pPr>
          </w:p>
        </w:tc>
      </w:tr>
      <w:tr w:rsidR="00787570" w14:paraId="36CA2301" w14:textId="77777777">
        <w:tc>
          <w:tcPr>
            <w:tcW w:w="0" w:type="auto"/>
            <w:gridSpan w:val="3"/>
            <w:shd w:val="clear" w:color="auto" w:fill="auto"/>
            <w:tcMar>
              <w:top w:w="40" w:type="dxa"/>
              <w:left w:w="20" w:type="dxa"/>
              <w:bottom w:w="40" w:type="dxa"/>
              <w:right w:w="20" w:type="dxa"/>
            </w:tcMar>
            <w:vAlign w:val="bottom"/>
          </w:tcPr>
          <w:p w14:paraId="36CA22E8" w14:textId="77777777" w:rsidR="00787570" w:rsidRDefault="000D56E2">
            <w:pPr>
              <w:textAlignment w:val="bottom"/>
            </w:pPr>
            <w:r>
              <w:rPr>
                <w:rFonts w:ascii="Arial" w:eastAsia="宋体" w:hAnsi="Arial" w:cs="Arial"/>
                <w:color w:val="333333"/>
                <w:sz w:val="18"/>
                <w:szCs w:val="18"/>
              </w:rPr>
              <w:t>Employee equity incentive plans and other</w:t>
            </w:r>
          </w:p>
        </w:tc>
        <w:tc>
          <w:tcPr>
            <w:tcW w:w="0" w:type="auto"/>
            <w:gridSpan w:val="3"/>
            <w:shd w:val="clear" w:color="auto" w:fill="auto"/>
            <w:tcMar>
              <w:left w:w="20" w:type="dxa"/>
              <w:right w:w="20" w:type="dxa"/>
            </w:tcMar>
            <w:vAlign w:val="bottom"/>
          </w:tcPr>
          <w:p w14:paraId="36CA22E9"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22EA" w14:textId="77777777" w:rsidR="00787570" w:rsidRDefault="000D56E2">
            <w:pPr>
              <w:jc w:val="right"/>
              <w:textAlignment w:val="bottom"/>
            </w:pPr>
            <w:r>
              <w:rPr>
                <w:rFonts w:ascii="Arial" w:eastAsia="宋体" w:hAnsi="Arial" w:cs="Arial"/>
                <w:color w:val="333333"/>
                <w:sz w:val="18"/>
                <w:szCs w:val="18"/>
              </w:rPr>
              <w:t>13 </w:t>
            </w:r>
          </w:p>
        </w:tc>
        <w:tc>
          <w:tcPr>
            <w:tcW w:w="0" w:type="auto"/>
            <w:shd w:val="clear" w:color="auto" w:fill="auto"/>
            <w:tcMar>
              <w:top w:w="40" w:type="dxa"/>
              <w:bottom w:w="40" w:type="dxa"/>
              <w:right w:w="20" w:type="dxa"/>
            </w:tcMar>
            <w:vAlign w:val="bottom"/>
          </w:tcPr>
          <w:p w14:paraId="36CA22EB"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22EC"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22ED" w14:textId="77777777" w:rsidR="00787570" w:rsidRDefault="000D56E2">
            <w:pPr>
              <w:jc w:val="right"/>
              <w:textAlignment w:val="bottom"/>
            </w:pPr>
            <w:r>
              <w:rPr>
                <w:rFonts w:ascii="Arial" w:eastAsia="宋体" w:hAnsi="Arial" w:cs="Arial"/>
                <w:color w:val="333333"/>
                <w:sz w:val="18"/>
                <w:szCs w:val="18"/>
              </w:rPr>
              <w:t>466 </w:t>
            </w:r>
          </w:p>
        </w:tc>
        <w:tc>
          <w:tcPr>
            <w:tcW w:w="0" w:type="auto"/>
            <w:shd w:val="clear" w:color="auto" w:fill="auto"/>
            <w:tcMar>
              <w:top w:w="40" w:type="dxa"/>
              <w:bottom w:w="40" w:type="dxa"/>
              <w:right w:w="20" w:type="dxa"/>
            </w:tcMar>
            <w:vAlign w:val="bottom"/>
          </w:tcPr>
          <w:p w14:paraId="36CA22EE"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22EF"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22F0" w14:textId="77777777" w:rsidR="00787570" w:rsidRDefault="000D56E2">
            <w:pPr>
              <w:jc w:val="right"/>
              <w:textAlignment w:val="bottom"/>
            </w:pPr>
            <w:r>
              <w:rPr>
                <w:rFonts w:ascii="Arial" w:eastAsia="宋体" w:hAnsi="Arial" w:cs="Arial"/>
                <w:color w:val="333333"/>
                <w:sz w:val="18"/>
                <w:szCs w:val="18"/>
              </w:rPr>
              <w:t>— </w:t>
            </w:r>
          </w:p>
        </w:tc>
        <w:tc>
          <w:tcPr>
            <w:tcW w:w="0" w:type="auto"/>
            <w:shd w:val="clear" w:color="auto" w:fill="auto"/>
            <w:tcMar>
              <w:top w:w="40" w:type="dxa"/>
              <w:bottom w:w="40" w:type="dxa"/>
              <w:right w:w="20" w:type="dxa"/>
            </w:tcMar>
            <w:vAlign w:val="bottom"/>
          </w:tcPr>
          <w:p w14:paraId="36CA22F1"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22F2"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22F3" w14:textId="77777777" w:rsidR="00787570" w:rsidRDefault="000D56E2">
            <w:pPr>
              <w:jc w:val="right"/>
              <w:textAlignment w:val="bottom"/>
            </w:pPr>
            <w:r>
              <w:rPr>
                <w:rFonts w:ascii="Arial" w:eastAsia="宋体" w:hAnsi="Arial" w:cs="Arial"/>
                <w:color w:val="333333"/>
                <w:sz w:val="18"/>
                <w:szCs w:val="18"/>
              </w:rPr>
              <w:t>— </w:t>
            </w:r>
          </w:p>
        </w:tc>
        <w:tc>
          <w:tcPr>
            <w:tcW w:w="0" w:type="auto"/>
            <w:shd w:val="clear" w:color="auto" w:fill="auto"/>
            <w:tcMar>
              <w:top w:w="40" w:type="dxa"/>
              <w:bottom w:w="40" w:type="dxa"/>
              <w:right w:w="20" w:type="dxa"/>
            </w:tcMar>
            <w:vAlign w:val="bottom"/>
          </w:tcPr>
          <w:p w14:paraId="36CA22F4"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22F5"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22F6" w14:textId="77777777" w:rsidR="00787570" w:rsidRDefault="000D56E2">
            <w:pPr>
              <w:jc w:val="right"/>
              <w:textAlignment w:val="bottom"/>
            </w:pPr>
            <w:r>
              <w:rPr>
                <w:rFonts w:ascii="Arial" w:eastAsia="宋体" w:hAnsi="Arial" w:cs="Arial"/>
                <w:color w:val="333333"/>
                <w:sz w:val="18"/>
                <w:szCs w:val="18"/>
              </w:rPr>
              <w:t>466 </w:t>
            </w:r>
          </w:p>
        </w:tc>
        <w:tc>
          <w:tcPr>
            <w:tcW w:w="0" w:type="auto"/>
            <w:shd w:val="clear" w:color="auto" w:fill="auto"/>
            <w:tcMar>
              <w:top w:w="40" w:type="dxa"/>
              <w:bottom w:w="40" w:type="dxa"/>
              <w:right w:w="20" w:type="dxa"/>
            </w:tcMar>
            <w:vAlign w:val="bottom"/>
          </w:tcPr>
          <w:p w14:paraId="36CA22F7" w14:textId="77777777" w:rsidR="00787570" w:rsidRDefault="00787570">
            <w:pPr>
              <w:jc w:val="right"/>
              <w:rPr>
                <w:rFonts w:ascii="宋体"/>
              </w:rPr>
            </w:pPr>
          </w:p>
        </w:tc>
        <w:tc>
          <w:tcPr>
            <w:tcW w:w="0" w:type="auto"/>
            <w:shd w:val="clear" w:color="auto" w:fill="auto"/>
          </w:tcPr>
          <w:p w14:paraId="36CA22F8" w14:textId="77777777" w:rsidR="00787570" w:rsidRDefault="00787570">
            <w:pPr>
              <w:rPr>
                <w:rFonts w:ascii="宋体"/>
              </w:rPr>
            </w:pPr>
          </w:p>
        </w:tc>
        <w:tc>
          <w:tcPr>
            <w:tcW w:w="0" w:type="auto"/>
            <w:shd w:val="clear" w:color="auto" w:fill="auto"/>
          </w:tcPr>
          <w:p w14:paraId="36CA22F9" w14:textId="77777777" w:rsidR="00787570" w:rsidRDefault="00787570">
            <w:pPr>
              <w:rPr>
                <w:rFonts w:ascii="宋体"/>
              </w:rPr>
            </w:pPr>
          </w:p>
        </w:tc>
        <w:tc>
          <w:tcPr>
            <w:tcW w:w="0" w:type="auto"/>
            <w:shd w:val="clear" w:color="auto" w:fill="auto"/>
          </w:tcPr>
          <w:p w14:paraId="36CA22FA" w14:textId="77777777" w:rsidR="00787570" w:rsidRDefault="00787570">
            <w:pPr>
              <w:rPr>
                <w:rFonts w:ascii="宋体"/>
              </w:rPr>
            </w:pPr>
          </w:p>
        </w:tc>
        <w:tc>
          <w:tcPr>
            <w:tcW w:w="0" w:type="auto"/>
            <w:shd w:val="clear" w:color="auto" w:fill="auto"/>
          </w:tcPr>
          <w:p w14:paraId="36CA22FB" w14:textId="77777777" w:rsidR="00787570" w:rsidRDefault="00787570">
            <w:pPr>
              <w:rPr>
                <w:rFonts w:ascii="宋体"/>
              </w:rPr>
            </w:pPr>
          </w:p>
        </w:tc>
        <w:tc>
          <w:tcPr>
            <w:tcW w:w="0" w:type="auto"/>
            <w:shd w:val="clear" w:color="auto" w:fill="auto"/>
          </w:tcPr>
          <w:p w14:paraId="36CA22FC" w14:textId="77777777" w:rsidR="00787570" w:rsidRDefault="00787570">
            <w:pPr>
              <w:rPr>
                <w:rFonts w:ascii="宋体"/>
              </w:rPr>
            </w:pPr>
          </w:p>
        </w:tc>
        <w:tc>
          <w:tcPr>
            <w:tcW w:w="0" w:type="auto"/>
            <w:shd w:val="clear" w:color="auto" w:fill="auto"/>
          </w:tcPr>
          <w:p w14:paraId="36CA22FD" w14:textId="77777777" w:rsidR="00787570" w:rsidRDefault="00787570">
            <w:pPr>
              <w:rPr>
                <w:rFonts w:ascii="宋体"/>
              </w:rPr>
            </w:pPr>
          </w:p>
        </w:tc>
        <w:tc>
          <w:tcPr>
            <w:tcW w:w="0" w:type="auto"/>
            <w:shd w:val="clear" w:color="auto" w:fill="auto"/>
          </w:tcPr>
          <w:p w14:paraId="36CA22FE" w14:textId="77777777" w:rsidR="00787570" w:rsidRDefault="00787570">
            <w:pPr>
              <w:rPr>
                <w:rFonts w:ascii="宋体"/>
              </w:rPr>
            </w:pPr>
          </w:p>
        </w:tc>
        <w:tc>
          <w:tcPr>
            <w:tcW w:w="0" w:type="auto"/>
            <w:shd w:val="clear" w:color="auto" w:fill="auto"/>
          </w:tcPr>
          <w:p w14:paraId="36CA22FF" w14:textId="77777777" w:rsidR="00787570" w:rsidRDefault="00787570">
            <w:pPr>
              <w:rPr>
                <w:rFonts w:ascii="宋体"/>
              </w:rPr>
            </w:pPr>
          </w:p>
        </w:tc>
        <w:tc>
          <w:tcPr>
            <w:tcW w:w="0" w:type="auto"/>
            <w:shd w:val="clear" w:color="auto" w:fill="auto"/>
          </w:tcPr>
          <w:p w14:paraId="36CA2300" w14:textId="77777777" w:rsidR="00787570" w:rsidRDefault="00787570">
            <w:pPr>
              <w:rPr>
                <w:rFonts w:ascii="宋体"/>
              </w:rPr>
            </w:pPr>
          </w:p>
        </w:tc>
      </w:tr>
      <w:tr w:rsidR="00787570" w14:paraId="36CA231B" w14:textId="77777777">
        <w:tc>
          <w:tcPr>
            <w:tcW w:w="0" w:type="auto"/>
            <w:gridSpan w:val="3"/>
            <w:shd w:val="clear" w:color="auto" w:fill="auto"/>
            <w:tcMar>
              <w:top w:w="40" w:type="dxa"/>
              <w:left w:w="20" w:type="dxa"/>
              <w:bottom w:w="40" w:type="dxa"/>
              <w:right w:w="20" w:type="dxa"/>
            </w:tcMar>
            <w:vAlign w:val="bottom"/>
          </w:tcPr>
          <w:p w14:paraId="36CA2302" w14:textId="77777777" w:rsidR="00787570" w:rsidRDefault="000D56E2">
            <w:pPr>
              <w:textAlignment w:val="bottom"/>
            </w:pPr>
            <w:r>
              <w:rPr>
                <w:rFonts w:ascii="Arial" w:eastAsia="宋体" w:hAnsi="Arial" w:cs="Arial"/>
                <w:color w:val="333333"/>
                <w:sz w:val="18"/>
                <w:szCs w:val="18"/>
              </w:rPr>
              <w:t>Share-based compensation</w:t>
            </w:r>
          </w:p>
        </w:tc>
        <w:tc>
          <w:tcPr>
            <w:tcW w:w="0" w:type="auto"/>
            <w:gridSpan w:val="3"/>
            <w:shd w:val="clear" w:color="auto" w:fill="auto"/>
            <w:tcMar>
              <w:left w:w="20" w:type="dxa"/>
              <w:right w:w="20" w:type="dxa"/>
            </w:tcMar>
            <w:vAlign w:val="bottom"/>
          </w:tcPr>
          <w:p w14:paraId="36CA2303"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2304" w14:textId="77777777" w:rsidR="00787570" w:rsidRDefault="000D56E2">
            <w:pPr>
              <w:jc w:val="right"/>
              <w:textAlignment w:val="bottom"/>
            </w:pPr>
            <w:r>
              <w:rPr>
                <w:rFonts w:ascii="Arial" w:eastAsia="宋体" w:hAnsi="Arial" w:cs="Arial"/>
                <w:color w:val="333333"/>
                <w:sz w:val="18"/>
                <w:szCs w:val="18"/>
              </w:rPr>
              <w:t>— </w:t>
            </w:r>
          </w:p>
        </w:tc>
        <w:tc>
          <w:tcPr>
            <w:tcW w:w="0" w:type="auto"/>
            <w:shd w:val="clear" w:color="auto" w:fill="auto"/>
            <w:tcMar>
              <w:top w:w="40" w:type="dxa"/>
              <w:bottom w:w="40" w:type="dxa"/>
              <w:right w:w="20" w:type="dxa"/>
            </w:tcMar>
            <w:vAlign w:val="bottom"/>
          </w:tcPr>
          <w:p w14:paraId="36CA2305"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2306"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2307" w14:textId="77777777" w:rsidR="00787570" w:rsidRDefault="000D56E2">
            <w:pPr>
              <w:jc w:val="right"/>
              <w:textAlignment w:val="bottom"/>
            </w:pPr>
            <w:r>
              <w:rPr>
                <w:rFonts w:ascii="Arial" w:eastAsia="宋体" w:hAnsi="Arial" w:cs="Arial"/>
                <w:color w:val="333333"/>
                <w:sz w:val="18"/>
                <w:szCs w:val="18"/>
              </w:rPr>
              <w:t>427 </w:t>
            </w:r>
          </w:p>
        </w:tc>
        <w:tc>
          <w:tcPr>
            <w:tcW w:w="0" w:type="auto"/>
            <w:shd w:val="clear" w:color="auto" w:fill="auto"/>
            <w:tcMar>
              <w:top w:w="40" w:type="dxa"/>
              <w:bottom w:w="40" w:type="dxa"/>
              <w:right w:w="20" w:type="dxa"/>
            </w:tcMar>
            <w:vAlign w:val="bottom"/>
          </w:tcPr>
          <w:p w14:paraId="36CA2308"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2309"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230A" w14:textId="77777777" w:rsidR="00787570" w:rsidRDefault="000D56E2">
            <w:pPr>
              <w:jc w:val="right"/>
              <w:textAlignment w:val="bottom"/>
            </w:pPr>
            <w:r>
              <w:rPr>
                <w:rFonts w:ascii="Arial" w:eastAsia="宋体" w:hAnsi="Arial" w:cs="Arial"/>
                <w:color w:val="333333"/>
                <w:sz w:val="18"/>
                <w:szCs w:val="18"/>
              </w:rPr>
              <w:t>— </w:t>
            </w:r>
          </w:p>
        </w:tc>
        <w:tc>
          <w:tcPr>
            <w:tcW w:w="0" w:type="auto"/>
            <w:shd w:val="clear" w:color="auto" w:fill="auto"/>
            <w:tcMar>
              <w:top w:w="40" w:type="dxa"/>
              <w:bottom w:w="40" w:type="dxa"/>
              <w:right w:w="20" w:type="dxa"/>
            </w:tcMar>
            <w:vAlign w:val="bottom"/>
          </w:tcPr>
          <w:p w14:paraId="36CA230B"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230C"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230D" w14:textId="77777777" w:rsidR="00787570" w:rsidRDefault="000D56E2">
            <w:pPr>
              <w:jc w:val="right"/>
              <w:textAlignment w:val="bottom"/>
            </w:pPr>
            <w:r>
              <w:rPr>
                <w:rFonts w:ascii="Arial" w:eastAsia="宋体" w:hAnsi="Arial" w:cs="Arial"/>
                <w:color w:val="333333"/>
                <w:sz w:val="18"/>
                <w:szCs w:val="18"/>
              </w:rPr>
              <w:t>— </w:t>
            </w:r>
          </w:p>
        </w:tc>
        <w:tc>
          <w:tcPr>
            <w:tcW w:w="0" w:type="auto"/>
            <w:shd w:val="clear" w:color="auto" w:fill="auto"/>
            <w:tcMar>
              <w:top w:w="40" w:type="dxa"/>
              <w:bottom w:w="40" w:type="dxa"/>
              <w:right w:w="20" w:type="dxa"/>
            </w:tcMar>
            <w:vAlign w:val="bottom"/>
          </w:tcPr>
          <w:p w14:paraId="36CA230E"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230F"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2310" w14:textId="77777777" w:rsidR="00787570" w:rsidRDefault="000D56E2">
            <w:pPr>
              <w:jc w:val="right"/>
              <w:textAlignment w:val="bottom"/>
            </w:pPr>
            <w:r>
              <w:rPr>
                <w:rFonts w:ascii="Arial" w:eastAsia="宋体" w:hAnsi="Arial" w:cs="Arial"/>
                <w:color w:val="333333"/>
                <w:sz w:val="18"/>
                <w:szCs w:val="18"/>
              </w:rPr>
              <w:t>427 </w:t>
            </w:r>
          </w:p>
        </w:tc>
        <w:tc>
          <w:tcPr>
            <w:tcW w:w="0" w:type="auto"/>
            <w:shd w:val="clear" w:color="auto" w:fill="auto"/>
            <w:tcMar>
              <w:top w:w="40" w:type="dxa"/>
              <w:bottom w:w="40" w:type="dxa"/>
              <w:right w:w="20" w:type="dxa"/>
            </w:tcMar>
            <w:vAlign w:val="bottom"/>
          </w:tcPr>
          <w:p w14:paraId="36CA2311" w14:textId="77777777" w:rsidR="00787570" w:rsidRDefault="00787570">
            <w:pPr>
              <w:jc w:val="right"/>
              <w:rPr>
                <w:rFonts w:ascii="宋体"/>
              </w:rPr>
            </w:pPr>
          </w:p>
        </w:tc>
        <w:tc>
          <w:tcPr>
            <w:tcW w:w="0" w:type="auto"/>
            <w:shd w:val="clear" w:color="auto" w:fill="auto"/>
          </w:tcPr>
          <w:p w14:paraId="36CA2312" w14:textId="77777777" w:rsidR="00787570" w:rsidRDefault="00787570">
            <w:pPr>
              <w:rPr>
                <w:rFonts w:ascii="宋体"/>
              </w:rPr>
            </w:pPr>
          </w:p>
        </w:tc>
        <w:tc>
          <w:tcPr>
            <w:tcW w:w="0" w:type="auto"/>
            <w:shd w:val="clear" w:color="auto" w:fill="auto"/>
          </w:tcPr>
          <w:p w14:paraId="36CA2313" w14:textId="77777777" w:rsidR="00787570" w:rsidRDefault="00787570">
            <w:pPr>
              <w:rPr>
                <w:rFonts w:ascii="宋体"/>
              </w:rPr>
            </w:pPr>
          </w:p>
        </w:tc>
        <w:tc>
          <w:tcPr>
            <w:tcW w:w="0" w:type="auto"/>
            <w:shd w:val="clear" w:color="auto" w:fill="auto"/>
          </w:tcPr>
          <w:p w14:paraId="36CA2314" w14:textId="77777777" w:rsidR="00787570" w:rsidRDefault="00787570">
            <w:pPr>
              <w:rPr>
                <w:rFonts w:ascii="宋体"/>
              </w:rPr>
            </w:pPr>
          </w:p>
        </w:tc>
        <w:tc>
          <w:tcPr>
            <w:tcW w:w="0" w:type="auto"/>
            <w:shd w:val="clear" w:color="auto" w:fill="auto"/>
          </w:tcPr>
          <w:p w14:paraId="36CA2315" w14:textId="77777777" w:rsidR="00787570" w:rsidRDefault="00787570">
            <w:pPr>
              <w:rPr>
                <w:rFonts w:ascii="宋体"/>
              </w:rPr>
            </w:pPr>
          </w:p>
        </w:tc>
        <w:tc>
          <w:tcPr>
            <w:tcW w:w="0" w:type="auto"/>
            <w:shd w:val="clear" w:color="auto" w:fill="auto"/>
          </w:tcPr>
          <w:p w14:paraId="36CA2316" w14:textId="77777777" w:rsidR="00787570" w:rsidRDefault="00787570">
            <w:pPr>
              <w:rPr>
                <w:rFonts w:ascii="宋体"/>
              </w:rPr>
            </w:pPr>
          </w:p>
        </w:tc>
        <w:tc>
          <w:tcPr>
            <w:tcW w:w="0" w:type="auto"/>
            <w:shd w:val="clear" w:color="auto" w:fill="auto"/>
          </w:tcPr>
          <w:p w14:paraId="36CA2317" w14:textId="77777777" w:rsidR="00787570" w:rsidRDefault="00787570">
            <w:pPr>
              <w:rPr>
                <w:rFonts w:ascii="宋体"/>
              </w:rPr>
            </w:pPr>
          </w:p>
        </w:tc>
        <w:tc>
          <w:tcPr>
            <w:tcW w:w="0" w:type="auto"/>
            <w:shd w:val="clear" w:color="auto" w:fill="auto"/>
          </w:tcPr>
          <w:p w14:paraId="36CA2318" w14:textId="77777777" w:rsidR="00787570" w:rsidRDefault="00787570">
            <w:pPr>
              <w:rPr>
                <w:rFonts w:ascii="宋体"/>
              </w:rPr>
            </w:pPr>
          </w:p>
        </w:tc>
        <w:tc>
          <w:tcPr>
            <w:tcW w:w="0" w:type="auto"/>
            <w:shd w:val="clear" w:color="auto" w:fill="auto"/>
          </w:tcPr>
          <w:p w14:paraId="36CA2319" w14:textId="77777777" w:rsidR="00787570" w:rsidRDefault="00787570">
            <w:pPr>
              <w:rPr>
                <w:rFonts w:ascii="宋体"/>
              </w:rPr>
            </w:pPr>
          </w:p>
        </w:tc>
        <w:tc>
          <w:tcPr>
            <w:tcW w:w="0" w:type="auto"/>
            <w:shd w:val="clear" w:color="auto" w:fill="auto"/>
          </w:tcPr>
          <w:p w14:paraId="36CA231A" w14:textId="77777777" w:rsidR="00787570" w:rsidRDefault="00787570">
            <w:pPr>
              <w:rPr>
                <w:rFonts w:ascii="宋体"/>
              </w:rPr>
            </w:pPr>
          </w:p>
        </w:tc>
      </w:tr>
      <w:tr w:rsidR="00787570" w14:paraId="36CA2335" w14:textId="77777777">
        <w:tc>
          <w:tcPr>
            <w:tcW w:w="0" w:type="auto"/>
            <w:gridSpan w:val="3"/>
            <w:shd w:val="clear" w:color="auto" w:fill="auto"/>
            <w:tcMar>
              <w:top w:w="40" w:type="dxa"/>
              <w:left w:w="20" w:type="dxa"/>
              <w:bottom w:w="40" w:type="dxa"/>
              <w:right w:w="20" w:type="dxa"/>
            </w:tcMar>
            <w:vAlign w:val="bottom"/>
          </w:tcPr>
          <w:p w14:paraId="36CA231C" w14:textId="77777777" w:rsidR="00787570" w:rsidRDefault="000D56E2">
            <w:pPr>
              <w:textAlignment w:val="bottom"/>
            </w:pPr>
            <w:r>
              <w:rPr>
                <w:rFonts w:ascii="Arial" w:eastAsia="宋体" w:hAnsi="Arial" w:cs="Arial"/>
                <w:color w:val="333333"/>
                <w:sz w:val="18"/>
                <w:szCs w:val="18"/>
              </w:rPr>
              <w:t>Temporary equity reduction</w:t>
            </w:r>
          </w:p>
        </w:tc>
        <w:tc>
          <w:tcPr>
            <w:tcW w:w="0" w:type="auto"/>
            <w:gridSpan w:val="3"/>
            <w:shd w:val="clear" w:color="auto" w:fill="auto"/>
            <w:tcMar>
              <w:left w:w="20" w:type="dxa"/>
              <w:right w:w="20" w:type="dxa"/>
            </w:tcMar>
            <w:vAlign w:val="bottom"/>
          </w:tcPr>
          <w:p w14:paraId="36CA231D"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231E" w14:textId="77777777" w:rsidR="00787570" w:rsidRDefault="000D56E2">
            <w:pPr>
              <w:jc w:val="right"/>
              <w:textAlignment w:val="bottom"/>
            </w:pPr>
            <w:r>
              <w:rPr>
                <w:rFonts w:ascii="Arial" w:eastAsia="宋体" w:hAnsi="Arial" w:cs="Arial"/>
                <w:color w:val="333333"/>
                <w:sz w:val="18"/>
                <w:szCs w:val="18"/>
              </w:rPr>
              <w:t>— </w:t>
            </w:r>
          </w:p>
        </w:tc>
        <w:tc>
          <w:tcPr>
            <w:tcW w:w="0" w:type="auto"/>
            <w:shd w:val="clear" w:color="auto" w:fill="auto"/>
            <w:tcMar>
              <w:top w:w="40" w:type="dxa"/>
              <w:bottom w:w="40" w:type="dxa"/>
              <w:right w:w="20" w:type="dxa"/>
            </w:tcMar>
            <w:vAlign w:val="bottom"/>
          </w:tcPr>
          <w:p w14:paraId="36CA231F"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2320"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2321" w14:textId="77777777" w:rsidR="00787570" w:rsidRDefault="000D56E2">
            <w:pPr>
              <w:jc w:val="right"/>
              <w:textAlignment w:val="bottom"/>
            </w:pPr>
            <w:r>
              <w:rPr>
                <w:rFonts w:ascii="Arial" w:eastAsia="宋体" w:hAnsi="Arial" w:cs="Arial"/>
                <w:color w:val="333333"/>
                <w:sz w:val="18"/>
                <w:szCs w:val="18"/>
              </w:rPr>
              <w:t>80 </w:t>
            </w:r>
          </w:p>
        </w:tc>
        <w:tc>
          <w:tcPr>
            <w:tcW w:w="0" w:type="auto"/>
            <w:shd w:val="clear" w:color="auto" w:fill="auto"/>
            <w:tcMar>
              <w:top w:w="40" w:type="dxa"/>
              <w:bottom w:w="40" w:type="dxa"/>
              <w:right w:w="20" w:type="dxa"/>
            </w:tcMar>
            <w:vAlign w:val="bottom"/>
          </w:tcPr>
          <w:p w14:paraId="36CA2322"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2323"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2324" w14:textId="77777777" w:rsidR="00787570" w:rsidRDefault="000D56E2">
            <w:pPr>
              <w:jc w:val="right"/>
              <w:textAlignment w:val="bottom"/>
            </w:pPr>
            <w:r>
              <w:rPr>
                <w:rFonts w:ascii="Arial" w:eastAsia="宋体" w:hAnsi="Arial" w:cs="Arial"/>
                <w:color w:val="333333"/>
                <w:sz w:val="18"/>
                <w:szCs w:val="18"/>
              </w:rPr>
              <w:t>— </w:t>
            </w:r>
          </w:p>
        </w:tc>
        <w:tc>
          <w:tcPr>
            <w:tcW w:w="0" w:type="auto"/>
            <w:shd w:val="clear" w:color="auto" w:fill="auto"/>
            <w:tcMar>
              <w:top w:w="40" w:type="dxa"/>
              <w:bottom w:w="40" w:type="dxa"/>
              <w:right w:w="20" w:type="dxa"/>
            </w:tcMar>
            <w:vAlign w:val="bottom"/>
          </w:tcPr>
          <w:p w14:paraId="36CA2325"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2326"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2327" w14:textId="77777777" w:rsidR="00787570" w:rsidRDefault="000D56E2">
            <w:pPr>
              <w:jc w:val="right"/>
              <w:textAlignment w:val="bottom"/>
            </w:pPr>
            <w:r>
              <w:rPr>
                <w:rFonts w:ascii="Arial" w:eastAsia="宋体" w:hAnsi="Arial" w:cs="Arial"/>
                <w:color w:val="333333"/>
                <w:sz w:val="18"/>
                <w:szCs w:val="18"/>
              </w:rPr>
              <w:t>— </w:t>
            </w:r>
          </w:p>
        </w:tc>
        <w:tc>
          <w:tcPr>
            <w:tcW w:w="0" w:type="auto"/>
            <w:shd w:val="clear" w:color="auto" w:fill="auto"/>
            <w:tcMar>
              <w:top w:w="40" w:type="dxa"/>
              <w:bottom w:w="40" w:type="dxa"/>
              <w:right w:w="20" w:type="dxa"/>
            </w:tcMar>
            <w:vAlign w:val="bottom"/>
          </w:tcPr>
          <w:p w14:paraId="36CA2328"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2329"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232A" w14:textId="77777777" w:rsidR="00787570" w:rsidRDefault="000D56E2">
            <w:pPr>
              <w:jc w:val="right"/>
              <w:textAlignment w:val="bottom"/>
            </w:pPr>
            <w:r>
              <w:rPr>
                <w:rFonts w:ascii="Arial" w:eastAsia="宋体" w:hAnsi="Arial" w:cs="Arial"/>
                <w:color w:val="333333"/>
                <w:sz w:val="18"/>
                <w:szCs w:val="18"/>
              </w:rPr>
              <w:t>80 </w:t>
            </w:r>
          </w:p>
        </w:tc>
        <w:tc>
          <w:tcPr>
            <w:tcW w:w="0" w:type="auto"/>
            <w:shd w:val="clear" w:color="auto" w:fill="auto"/>
            <w:tcMar>
              <w:top w:w="40" w:type="dxa"/>
              <w:bottom w:w="40" w:type="dxa"/>
              <w:right w:w="20" w:type="dxa"/>
            </w:tcMar>
            <w:vAlign w:val="bottom"/>
          </w:tcPr>
          <w:p w14:paraId="36CA232B" w14:textId="77777777" w:rsidR="00787570" w:rsidRDefault="00787570">
            <w:pPr>
              <w:jc w:val="right"/>
              <w:rPr>
                <w:rFonts w:ascii="宋体"/>
              </w:rPr>
            </w:pPr>
          </w:p>
        </w:tc>
        <w:tc>
          <w:tcPr>
            <w:tcW w:w="0" w:type="auto"/>
            <w:shd w:val="clear" w:color="auto" w:fill="auto"/>
          </w:tcPr>
          <w:p w14:paraId="36CA232C" w14:textId="77777777" w:rsidR="00787570" w:rsidRDefault="00787570">
            <w:pPr>
              <w:rPr>
                <w:rFonts w:ascii="宋体"/>
              </w:rPr>
            </w:pPr>
          </w:p>
        </w:tc>
        <w:tc>
          <w:tcPr>
            <w:tcW w:w="0" w:type="auto"/>
            <w:shd w:val="clear" w:color="auto" w:fill="auto"/>
          </w:tcPr>
          <w:p w14:paraId="36CA232D" w14:textId="77777777" w:rsidR="00787570" w:rsidRDefault="00787570">
            <w:pPr>
              <w:rPr>
                <w:rFonts w:ascii="宋体"/>
              </w:rPr>
            </w:pPr>
          </w:p>
        </w:tc>
        <w:tc>
          <w:tcPr>
            <w:tcW w:w="0" w:type="auto"/>
            <w:shd w:val="clear" w:color="auto" w:fill="auto"/>
          </w:tcPr>
          <w:p w14:paraId="36CA232E" w14:textId="77777777" w:rsidR="00787570" w:rsidRDefault="00787570">
            <w:pPr>
              <w:rPr>
                <w:rFonts w:ascii="宋体"/>
              </w:rPr>
            </w:pPr>
          </w:p>
        </w:tc>
        <w:tc>
          <w:tcPr>
            <w:tcW w:w="0" w:type="auto"/>
            <w:shd w:val="clear" w:color="auto" w:fill="auto"/>
          </w:tcPr>
          <w:p w14:paraId="36CA232F" w14:textId="77777777" w:rsidR="00787570" w:rsidRDefault="00787570">
            <w:pPr>
              <w:rPr>
                <w:rFonts w:ascii="宋体"/>
              </w:rPr>
            </w:pPr>
          </w:p>
        </w:tc>
        <w:tc>
          <w:tcPr>
            <w:tcW w:w="0" w:type="auto"/>
            <w:shd w:val="clear" w:color="auto" w:fill="auto"/>
          </w:tcPr>
          <w:p w14:paraId="36CA2330" w14:textId="77777777" w:rsidR="00787570" w:rsidRDefault="00787570">
            <w:pPr>
              <w:rPr>
                <w:rFonts w:ascii="宋体"/>
              </w:rPr>
            </w:pPr>
          </w:p>
        </w:tc>
        <w:tc>
          <w:tcPr>
            <w:tcW w:w="0" w:type="auto"/>
            <w:shd w:val="clear" w:color="auto" w:fill="auto"/>
          </w:tcPr>
          <w:p w14:paraId="36CA2331" w14:textId="77777777" w:rsidR="00787570" w:rsidRDefault="00787570">
            <w:pPr>
              <w:rPr>
                <w:rFonts w:ascii="宋体"/>
              </w:rPr>
            </w:pPr>
          </w:p>
        </w:tc>
        <w:tc>
          <w:tcPr>
            <w:tcW w:w="0" w:type="auto"/>
            <w:shd w:val="clear" w:color="auto" w:fill="auto"/>
          </w:tcPr>
          <w:p w14:paraId="36CA2332" w14:textId="77777777" w:rsidR="00787570" w:rsidRDefault="00787570">
            <w:pPr>
              <w:rPr>
                <w:rFonts w:ascii="宋体"/>
              </w:rPr>
            </w:pPr>
          </w:p>
        </w:tc>
        <w:tc>
          <w:tcPr>
            <w:tcW w:w="0" w:type="auto"/>
            <w:shd w:val="clear" w:color="auto" w:fill="auto"/>
          </w:tcPr>
          <w:p w14:paraId="36CA2333" w14:textId="77777777" w:rsidR="00787570" w:rsidRDefault="00787570">
            <w:pPr>
              <w:rPr>
                <w:rFonts w:ascii="宋体"/>
              </w:rPr>
            </w:pPr>
          </w:p>
        </w:tc>
        <w:tc>
          <w:tcPr>
            <w:tcW w:w="0" w:type="auto"/>
            <w:shd w:val="clear" w:color="auto" w:fill="auto"/>
          </w:tcPr>
          <w:p w14:paraId="36CA2334" w14:textId="77777777" w:rsidR="00787570" w:rsidRDefault="00787570">
            <w:pPr>
              <w:rPr>
                <w:rFonts w:ascii="宋体"/>
              </w:rPr>
            </w:pPr>
          </w:p>
        </w:tc>
      </w:tr>
      <w:tr w:rsidR="00787570" w14:paraId="36CA234F" w14:textId="77777777">
        <w:tc>
          <w:tcPr>
            <w:tcW w:w="0" w:type="auto"/>
            <w:gridSpan w:val="3"/>
            <w:shd w:val="clear" w:color="auto" w:fill="auto"/>
            <w:tcMar>
              <w:top w:w="40" w:type="dxa"/>
              <w:left w:w="20" w:type="dxa"/>
              <w:bottom w:w="40" w:type="dxa"/>
              <w:right w:w="20" w:type="dxa"/>
            </w:tcMar>
            <w:vAlign w:val="bottom"/>
          </w:tcPr>
          <w:p w14:paraId="36CA2336" w14:textId="77777777" w:rsidR="00787570" w:rsidRDefault="000D56E2">
            <w:pPr>
              <w:textAlignment w:val="bottom"/>
            </w:pPr>
            <w:r>
              <w:rPr>
                <w:rFonts w:ascii="Arial" w:eastAsia="宋体" w:hAnsi="Arial" w:cs="Arial"/>
                <w:color w:val="333333"/>
                <w:sz w:val="18"/>
                <w:szCs w:val="18"/>
              </w:rPr>
              <w:t>Convertible debt</w:t>
            </w:r>
          </w:p>
        </w:tc>
        <w:tc>
          <w:tcPr>
            <w:tcW w:w="0" w:type="auto"/>
            <w:gridSpan w:val="3"/>
            <w:shd w:val="clear" w:color="auto" w:fill="auto"/>
            <w:tcMar>
              <w:left w:w="20" w:type="dxa"/>
              <w:right w:w="20" w:type="dxa"/>
            </w:tcMar>
            <w:vAlign w:val="bottom"/>
          </w:tcPr>
          <w:p w14:paraId="36CA2337"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2338" w14:textId="77777777" w:rsidR="00787570" w:rsidRDefault="000D56E2">
            <w:pPr>
              <w:jc w:val="right"/>
              <w:textAlignment w:val="bottom"/>
            </w:pPr>
            <w:r>
              <w:rPr>
                <w:rFonts w:ascii="Arial" w:eastAsia="宋体" w:hAnsi="Arial" w:cs="Arial"/>
                <w:color w:val="333333"/>
                <w:sz w:val="18"/>
                <w:szCs w:val="18"/>
              </w:rPr>
              <w:t>— </w:t>
            </w:r>
          </w:p>
        </w:tc>
        <w:tc>
          <w:tcPr>
            <w:tcW w:w="0" w:type="auto"/>
            <w:shd w:val="clear" w:color="auto" w:fill="auto"/>
            <w:tcMar>
              <w:top w:w="40" w:type="dxa"/>
              <w:bottom w:w="40" w:type="dxa"/>
              <w:right w:w="20" w:type="dxa"/>
            </w:tcMar>
            <w:vAlign w:val="bottom"/>
          </w:tcPr>
          <w:p w14:paraId="36CA2339"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233A"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233B" w14:textId="77777777" w:rsidR="00787570" w:rsidRDefault="000D56E2">
            <w:pPr>
              <w:jc w:val="right"/>
              <w:textAlignment w:val="bottom"/>
            </w:pPr>
            <w:r>
              <w:rPr>
                <w:rFonts w:ascii="Arial" w:eastAsia="宋体" w:hAnsi="Arial" w:cs="Arial"/>
                <w:color w:val="333333"/>
                <w:sz w:val="18"/>
                <w:szCs w:val="18"/>
              </w:rPr>
              <w:t>(278)</w:t>
            </w:r>
          </w:p>
        </w:tc>
        <w:tc>
          <w:tcPr>
            <w:tcW w:w="0" w:type="auto"/>
            <w:shd w:val="clear" w:color="auto" w:fill="auto"/>
            <w:tcMar>
              <w:top w:w="40" w:type="dxa"/>
              <w:bottom w:w="40" w:type="dxa"/>
              <w:right w:w="20" w:type="dxa"/>
            </w:tcMar>
            <w:vAlign w:val="bottom"/>
          </w:tcPr>
          <w:p w14:paraId="36CA233C"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233D"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233E" w14:textId="77777777" w:rsidR="00787570" w:rsidRDefault="000D56E2">
            <w:pPr>
              <w:jc w:val="right"/>
              <w:textAlignment w:val="bottom"/>
            </w:pPr>
            <w:r>
              <w:rPr>
                <w:rFonts w:ascii="Arial" w:eastAsia="宋体" w:hAnsi="Arial" w:cs="Arial"/>
                <w:color w:val="333333"/>
                <w:sz w:val="18"/>
                <w:szCs w:val="18"/>
              </w:rPr>
              <w:t>— </w:t>
            </w:r>
          </w:p>
        </w:tc>
        <w:tc>
          <w:tcPr>
            <w:tcW w:w="0" w:type="auto"/>
            <w:shd w:val="clear" w:color="auto" w:fill="auto"/>
            <w:tcMar>
              <w:top w:w="40" w:type="dxa"/>
              <w:bottom w:w="40" w:type="dxa"/>
              <w:right w:w="20" w:type="dxa"/>
            </w:tcMar>
            <w:vAlign w:val="bottom"/>
          </w:tcPr>
          <w:p w14:paraId="36CA233F"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2340"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2341" w14:textId="77777777" w:rsidR="00787570" w:rsidRDefault="000D56E2">
            <w:pPr>
              <w:jc w:val="right"/>
              <w:textAlignment w:val="bottom"/>
            </w:pPr>
            <w:r>
              <w:rPr>
                <w:rFonts w:ascii="Arial" w:eastAsia="宋体" w:hAnsi="Arial" w:cs="Arial"/>
                <w:color w:val="333333"/>
                <w:sz w:val="18"/>
                <w:szCs w:val="18"/>
              </w:rPr>
              <w:t>— </w:t>
            </w:r>
          </w:p>
        </w:tc>
        <w:tc>
          <w:tcPr>
            <w:tcW w:w="0" w:type="auto"/>
            <w:shd w:val="clear" w:color="auto" w:fill="auto"/>
            <w:tcMar>
              <w:top w:w="40" w:type="dxa"/>
              <w:bottom w:w="40" w:type="dxa"/>
              <w:right w:w="20" w:type="dxa"/>
            </w:tcMar>
            <w:vAlign w:val="bottom"/>
          </w:tcPr>
          <w:p w14:paraId="36CA2342"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2343"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2344" w14:textId="77777777" w:rsidR="00787570" w:rsidRDefault="000D56E2">
            <w:pPr>
              <w:jc w:val="right"/>
              <w:textAlignment w:val="bottom"/>
            </w:pPr>
            <w:r>
              <w:rPr>
                <w:rFonts w:ascii="Arial" w:eastAsia="宋体" w:hAnsi="Arial" w:cs="Arial"/>
                <w:color w:val="333333"/>
                <w:sz w:val="18"/>
                <w:szCs w:val="18"/>
              </w:rPr>
              <w:t>(278)</w:t>
            </w:r>
          </w:p>
        </w:tc>
        <w:tc>
          <w:tcPr>
            <w:tcW w:w="0" w:type="auto"/>
            <w:shd w:val="clear" w:color="auto" w:fill="auto"/>
            <w:tcMar>
              <w:top w:w="40" w:type="dxa"/>
              <w:bottom w:w="40" w:type="dxa"/>
              <w:right w:w="20" w:type="dxa"/>
            </w:tcMar>
            <w:vAlign w:val="bottom"/>
          </w:tcPr>
          <w:p w14:paraId="36CA2345" w14:textId="77777777" w:rsidR="00787570" w:rsidRDefault="00787570">
            <w:pPr>
              <w:jc w:val="right"/>
              <w:rPr>
                <w:rFonts w:ascii="宋体"/>
              </w:rPr>
            </w:pPr>
          </w:p>
        </w:tc>
        <w:tc>
          <w:tcPr>
            <w:tcW w:w="0" w:type="auto"/>
            <w:shd w:val="clear" w:color="auto" w:fill="auto"/>
          </w:tcPr>
          <w:p w14:paraId="36CA2346" w14:textId="77777777" w:rsidR="00787570" w:rsidRDefault="00787570">
            <w:pPr>
              <w:rPr>
                <w:rFonts w:ascii="宋体"/>
              </w:rPr>
            </w:pPr>
          </w:p>
        </w:tc>
        <w:tc>
          <w:tcPr>
            <w:tcW w:w="0" w:type="auto"/>
            <w:shd w:val="clear" w:color="auto" w:fill="auto"/>
          </w:tcPr>
          <w:p w14:paraId="36CA2347" w14:textId="77777777" w:rsidR="00787570" w:rsidRDefault="00787570">
            <w:pPr>
              <w:rPr>
                <w:rFonts w:ascii="宋体"/>
              </w:rPr>
            </w:pPr>
          </w:p>
        </w:tc>
        <w:tc>
          <w:tcPr>
            <w:tcW w:w="0" w:type="auto"/>
            <w:shd w:val="clear" w:color="auto" w:fill="auto"/>
          </w:tcPr>
          <w:p w14:paraId="36CA2348" w14:textId="77777777" w:rsidR="00787570" w:rsidRDefault="00787570">
            <w:pPr>
              <w:rPr>
                <w:rFonts w:ascii="宋体"/>
              </w:rPr>
            </w:pPr>
          </w:p>
        </w:tc>
        <w:tc>
          <w:tcPr>
            <w:tcW w:w="0" w:type="auto"/>
            <w:shd w:val="clear" w:color="auto" w:fill="auto"/>
          </w:tcPr>
          <w:p w14:paraId="36CA2349" w14:textId="77777777" w:rsidR="00787570" w:rsidRDefault="00787570">
            <w:pPr>
              <w:rPr>
                <w:rFonts w:ascii="宋体"/>
              </w:rPr>
            </w:pPr>
          </w:p>
        </w:tc>
        <w:tc>
          <w:tcPr>
            <w:tcW w:w="0" w:type="auto"/>
            <w:shd w:val="clear" w:color="auto" w:fill="auto"/>
          </w:tcPr>
          <w:p w14:paraId="36CA234A" w14:textId="77777777" w:rsidR="00787570" w:rsidRDefault="00787570">
            <w:pPr>
              <w:rPr>
                <w:rFonts w:ascii="宋体"/>
              </w:rPr>
            </w:pPr>
          </w:p>
        </w:tc>
        <w:tc>
          <w:tcPr>
            <w:tcW w:w="0" w:type="auto"/>
            <w:shd w:val="clear" w:color="auto" w:fill="auto"/>
          </w:tcPr>
          <w:p w14:paraId="36CA234B" w14:textId="77777777" w:rsidR="00787570" w:rsidRDefault="00787570">
            <w:pPr>
              <w:rPr>
                <w:rFonts w:ascii="宋体"/>
              </w:rPr>
            </w:pPr>
          </w:p>
        </w:tc>
        <w:tc>
          <w:tcPr>
            <w:tcW w:w="0" w:type="auto"/>
            <w:shd w:val="clear" w:color="auto" w:fill="auto"/>
          </w:tcPr>
          <w:p w14:paraId="36CA234C" w14:textId="77777777" w:rsidR="00787570" w:rsidRDefault="00787570">
            <w:pPr>
              <w:rPr>
                <w:rFonts w:ascii="宋体"/>
              </w:rPr>
            </w:pPr>
          </w:p>
        </w:tc>
        <w:tc>
          <w:tcPr>
            <w:tcW w:w="0" w:type="auto"/>
            <w:shd w:val="clear" w:color="auto" w:fill="auto"/>
          </w:tcPr>
          <w:p w14:paraId="36CA234D" w14:textId="77777777" w:rsidR="00787570" w:rsidRDefault="00787570">
            <w:pPr>
              <w:rPr>
                <w:rFonts w:ascii="宋体"/>
              </w:rPr>
            </w:pPr>
          </w:p>
        </w:tc>
        <w:tc>
          <w:tcPr>
            <w:tcW w:w="0" w:type="auto"/>
            <w:shd w:val="clear" w:color="auto" w:fill="auto"/>
          </w:tcPr>
          <w:p w14:paraId="36CA234E" w14:textId="77777777" w:rsidR="00787570" w:rsidRDefault="00787570">
            <w:pPr>
              <w:rPr>
                <w:rFonts w:ascii="宋体"/>
              </w:rPr>
            </w:pPr>
          </w:p>
        </w:tc>
      </w:tr>
      <w:tr w:rsidR="00787570" w14:paraId="36CA2364" w14:textId="77777777">
        <w:trPr>
          <w:hidden/>
        </w:trPr>
        <w:tc>
          <w:tcPr>
            <w:tcW w:w="0" w:type="auto"/>
            <w:gridSpan w:val="3"/>
            <w:shd w:val="clear" w:color="auto" w:fill="auto"/>
          </w:tcPr>
          <w:p w14:paraId="36CA2350" w14:textId="77777777" w:rsidR="00787570" w:rsidRDefault="00787570">
            <w:pPr>
              <w:rPr>
                <w:rFonts w:ascii="宋体"/>
                <w:vanish/>
              </w:rPr>
            </w:pPr>
          </w:p>
        </w:tc>
        <w:tc>
          <w:tcPr>
            <w:tcW w:w="0" w:type="auto"/>
            <w:gridSpan w:val="3"/>
            <w:shd w:val="clear" w:color="auto" w:fill="auto"/>
          </w:tcPr>
          <w:p w14:paraId="36CA2351" w14:textId="77777777" w:rsidR="00787570" w:rsidRDefault="00787570">
            <w:pPr>
              <w:rPr>
                <w:rFonts w:ascii="宋体"/>
                <w:vanish/>
              </w:rPr>
            </w:pPr>
          </w:p>
        </w:tc>
        <w:tc>
          <w:tcPr>
            <w:tcW w:w="0" w:type="auto"/>
            <w:gridSpan w:val="3"/>
            <w:shd w:val="clear" w:color="auto" w:fill="auto"/>
          </w:tcPr>
          <w:p w14:paraId="36CA2352" w14:textId="77777777" w:rsidR="00787570" w:rsidRDefault="00787570">
            <w:pPr>
              <w:rPr>
                <w:rFonts w:ascii="宋体"/>
                <w:vanish/>
              </w:rPr>
            </w:pPr>
          </w:p>
        </w:tc>
        <w:tc>
          <w:tcPr>
            <w:tcW w:w="0" w:type="auto"/>
            <w:gridSpan w:val="3"/>
            <w:shd w:val="clear" w:color="auto" w:fill="auto"/>
          </w:tcPr>
          <w:p w14:paraId="36CA2353" w14:textId="77777777" w:rsidR="00787570" w:rsidRDefault="00787570">
            <w:pPr>
              <w:rPr>
                <w:rFonts w:ascii="宋体"/>
                <w:vanish/>
              </w:rPr>
            </w:pPr>
          </w:p>
        </w:tc>
        <w:tc>
          <w:tcPr>
            <w:tcW w:w="0" w:type="auto"/>
            <w:gridSpan w:val="3"/>
            <w:shd w:val="clear" w:color="auto" w:fill="auto"/>
          </w:tcPr>
          <w:p w14:paraId="36CA2354" w14:textId="77777777" w:rsidR="00787570" w:rsidRDefault="00787570">
            <w:pPr>
              <w:rPr>
                <w:rFonts w:ascii="宋体"/>
                <w:vanish/>
              </w:rPr>
            </w:pPr>
          </w:p>
        </w:tc>
        <w:tc>
          <w:tcPr>
            <w:tcW w:w="0" w:type="auto"/>
            <w:gridSpan w:val="3"/>
            <w:shd w:val="clear" w:color="auto" w:fill="auto"/>
          </w:tcPr>
          <w:p w14:paraId="36CA2355" w14:textId="77777777" w:rsidR="00787570" w:rsidRDefault="00787570">
            <w:pPr>
              <w:rPr>
                <w:rFonts w:ascii="宋体"/>
                <w:vanish/>
              </w:rPr>
            </w:pPr>
          </w:p>
        </w:tc>
        <w:tc>
          <w:tcPr>
            <w:tcW w:w="0" w:type="auto"/>
            <w:gridSpan w:val="3"/>
            <w:shd w:val="clear" w:color="auto" w:fill="auto"/>
          </w:tcPr>
          <w:p w14:paraId="36CA2356" w14:textId="77777777" w:rsidR="00787570" w:rsidRDefault="00787570">
            <w:pPr>
              <w:rPr>
                <w:rFonts w:ascii="宋体"/>
                <w:vanish/>
              </w:rPr>
            </w:pPr>
          </w:p>
        </w:tc>
        <w:tc>
          <w:tcPr>
            <w:tcW w:w="0" w:type="auto"/>
            <w:gridSpan w:val="3"/>
            <w:shd w:val="clear" w:color="auto" w:fill="auto"/>
          </w:tcPr>
          <w:p w14:paraId="36CA2357" w14:textId="77777777" w:rsidR="00787570" w:rsidRDefault="00787570">
            <w:pPr>
              <w:rPr>
                <w:rFonts w:ascii="宋体"/>
                <w:vanish/>
              </w:rPr>
            </w:pPr>
          </w:p>
        </w:tc>
        <w:tc>
          <w:tcPr>
            <w:tcW w:w="0" w:type="auto"/>
            <w:gridSpan w:val="3"/>
            <w:shd w:val="clear" w:color="auto" w:fill="auto"/>
          </w:tcPr>
          <w:p w14:paraId="36CA2358" w14:textId="77777777" w:rsidR="00787570" w:rsidRDefault="00787570">
            <w:pPr>
              <w:rPr>
                <w:rFonts w:ascii="宋体"/>
                <w:vanish/>
              </w:rPr>
            </w:pPr>
          </w:p>
        </w:tc>
        <w:tc>
          <w:tcPr>
            <w:tcW w:w="0" w:type="auto"/>
            <w:gridSpan w:val="3"/>
            <w:shd w:val="clear" w:color="auto" w:fill="auto"/>
          </w:tcPr>
          <w:p w14:paraId="36CA2359" w14:textId="77777777" w:rsidR="00787570" w:rsidRDefault="00787570">
            <w:pPr>
              <w:rPr>
                <w:rFonts w:ascii="宋体"/>
                <w:vanish/>
              </w:rPr>
            </w:pPr>
          </w:p>
        </w:tc>
        <w:tc>
          <w:tcPr>
            <w:tcW w:w="0" w:type="auto"/>
            <w:gridSpan w:val="3"/>
            <w:shd w:val="clear" w:color="auto" w:fill="auto"/>
          </w:tcPr>
          <w:p w14:paraId="36CA235A" w14:textId="77777777" w:rsidR="00787570" w:rsidRDefault="00787570">
            <w:pPr>
              <w:rPr>
                <w:rFonts w:ascii="宋体"/>
                <w:vanish/>
              </w:rPr>
            </w:pPr>
          </w:p>
        </w:tc>
        <w:tc>
          <w:tcPr>
            <w:tcW w:w="0" w:type="auto"/>
            <w:shd w:val="clear" w:color="auto" w:fill="auto"/>
          </w:tcPr>
          <w:p w14:paraId="36CA235B" w14:textId="77777777" w:rsidR="00787570" w:rsidRDefault="00787570">
            <w:pPr>
              <w:rPr>
                <w:rFonts w:ascii="宋体"/>
              </w:rPr>
            </w:pPr>
          </w:p>
        </w:tc>
        <w:tc>
          <w:tcPr>
            <w:tcW w:w="0" w:type="auto"/>
            <w:shd w:val="clear" w:color="auto" w:fill="auto"/>
          </w:tcPr>
          <w:p w14:paraId="36CA235C" w14:textId="77777777" w:rsidR="00787570" w:rsidRDefault="00787570">
            <w:pPr>
              <w:rPr>
                <w:rFonts w:ascii="宋体"/>
              </w:rPr>
            </w:pPr>
          </w:p>
        </w:tc>
        <w:tc>
          <w:tcPr>
            <w:tcW w:w="0" w:type="auto"/>
            <w:shd w:val="clear" w:color="auto" w:fill="auto"/>
          </w:tcPr>
          <w:p w14:paraId="36CA235D" w14:textId="77777777" w:rsidR="00787570" w:rsidRDefault="00787570">
            <w:pPr>
              <w:rPr>
                <w:rFonts w:ascii="宋体"/>
              </w:rPr>
            </w:pPr>
          </w:p>
        </w:tc>
        <w:tc>
          <w:tcPr>
            <w:tcW w:w="0" w:type="auto"/>
            <w:shd w:val="clear" w:color="auto" w:fill="auto"/>
          </w:tcPr>
          <w:p w14:paraId="36CA235E" w14:textId="77777777" w:rsidR="00787570" w:rsidRDefault="00787570">
            <w:pPr>
              <w:rPr>
                <w:rFonts w:ascii="宋体"/>
              </w:rPr>
            </w:pPr>
          </w:p>
        </w:tc>
        <w:tc>
          <w:tcPr>
            <w:tcW w:w="0" w:type="auto"/>
            <w:shd w:val="clear" w:color="auto" w:fill="auto"/>
          </w:tcPr>
          <w:p w14:paraId="36CA235F" w14:textId="77777777" w:rsidR="00787570" w:rsidRDefault="00787570">
            <w:pPr>
              <w:rPr>
                <w:rFonts w:ascii="宋体"/>
              </w:rPr>
            </w:pPr>
          </w:p>
        </w:tc>
        <w:tc>
          <w:tcPr>
            <w:tcW w:w="0" w:type="auto"/>
            <w:shd w:val="clear" w:color="auto" w:fill="auto"/>
          </w:tcPr>
          <w:p w14:paraId="36CA2360" w14:textId="77777777" w:rsidR="00787570" w:rsidRDefault="00787570">
            <w:pPr>
              <w:rPr>
                <w:rFonts w:ascii="宋体"/>
              </w:rPr>
            </w:pPr>
          </w:p>
        </w:tc>
        <w:tc>
          <w:tcPr>
            <w:tcW w:w="0" w:type="auto"/>
            <w:shd w:val="clear" w:color="auto" w:fill="auto"/>
          </w:tcPr>
          <w:p w14:paraId="36CA2361" w14:textId="77777777" w:rsidR="00787570" w:rsidRDefault="00787570">
            <w:pPr>
              <w:rPr>
                <w:rFonts w:ascii="宋体"/>
              </w:rPr>
            </w:pPr>
          </w:p>
        </w:tc>
        <w:tc>
          <w:tcPr>
            <w:tcW w:w="0" w:type="auto"/>
            <w:shd w:val="clear" w:color="auto" w:fill="auto"/>
          </w:tcPr>
          <w:p w14:paraId="36CA2362" w14:textId="77777777" w:rsidR="00787570" w:rsidRDefault="00787570">
            <w:pPr>
              <w:rPr>
                <w:rFonts w:ascii="宋体"/>
              </w:rPr>
            </w:pPr>
          </w:p>
        </w:tc>
        <w:tc>
          <w:tcPr>
            <w:tcW w:w="0" w:type="auto"/>
            <w:shd w:val="clear" w:color="auto" w:fill="auto"/>
          </w:tcPr>
          <w:p w14:paraId="36CA2363" w14:textId="77777777" w:rsidR="00787570" w:rsidRDefault="00787570">
            <w:pPr>
              <w:rPr>
                <w:rFonts w:ascii="宋体"/>
              </w:rPr>
            </w:pPr>
          </w:p>
        </w:tc>
      </w:tr>
      <w:tr w:rsidR="00787570" w14:paraId="36CA237E" w14:textId="77777777">
        <w:tc>
          <w:tcPr>
            <w:tcW w:w="0" w:type="auto"/>
            <w:gridSpan w:val="3"/>
            <w:shd w:val="clear" w:color="auto" w:fill="auto"/>
            <w:tcMar>
              <w:top w:w="40" w:type="dxa"/>
              <w:left w:w="20" w:type="dxa"/>
              <w:bottom w:w="40" w:type="dxa"/>
              <w:right w:w="20" w:type="dxa"/>
            </w:tcMar>
            <w:vAlign w:val="bottom"/>
          </w:tcPr>
          <w:p w14:paraId="36CA2365" w14:textId="77777777" w:rsidR="00787570" w:rsidRDefault="000D56E2">
            <w:pPr>
              <w:textAlignment w:val="bottom"/>
            </w:pPr>
            <w:r>
              <w:rPr>
                <w:rFonts w:ascii="Arial" w:eastAsia="宋体" w:hAnsi="Arial" w:cs="Arial"/>
                <w:color w:val="333333"/>
                <w:sz w:val="18"/>
                <w:szCs w:val="18"/>
              </w:rPr>
              <w:t>Repurchase of common stock</w:t>
            </w:r>
          </w:p>
        </w:tc>
        <w:tc>
          <w:tcPr>
            <w:tcW w:w="0" w:type="auto"/>
            <w:gridSpan w:val="3"/>
            <w:shd w:val="clear" w:color="auto" w:fill="auto"/>
            <w:tcMar>
              <w:left w:w="20" w:type="dxa"/>
              <w:right w:w="20" w:type="dxa"/>
            </w:tcMar>
            <w:vAlign w:val="bottom"/>
          </w:tcPr>
          <w:p w14:paraId="36CA2366"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2367" w14:textId="77777777" w:rsidR="00787570" w:rsidRDefault="000D56E2">
            <w:pPr>
              <w:jc w:val="right"/>
              <w:textAlignment w:val="bottom"/>
            </w:pPr>
            <w:r>
              <w:rPr>
                <w:rFonts w:ascii="Arial" w:eastAsia="宋体" w:hAnsi="Arial" w:cs="Arial"/>
                <w:color w:val="333333"/>
                <w:sz w:val="18"/>
                <w:szCs w:val="18"/>
              </w:rPr>
              <w:t>(92)</w:t>
            </w:r>
          </w:p>
        </w:tc>
        <w:tc>
          <w:tcPr>
            <w:tcW w:w="0" w:type="auto"/>
            <w:shd w:val="clear" w:color="auto" w:fill="auto"/>
            <w:tcMar>
              <w:top w:w="40" w:type="dxa"/>
              <w:bottom w:w="40" w:type="dxa"/>
              <w:right w:w="20" w:type="dxa"/>
            </w:tcMar>
            <w:vAlign w:val="bottom"/>
          </w:tcPr>
          <w:p w14:paraId="36CA2368"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2369"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236A" w14:textId="77777777" w:rsidR="00787570" w:rsidRDefault="000D56E2">
            <w:pPr>
              <w:jc w:val="right"/>
              <w:textAlignment w:val="bottom"/>
            </w:pPr>
            <w:r>
              <w:rPr>
                <w:rFonts w:ascii="Arial" w:eastAsia="宋体" w:hAnsi="Arial" w:cs="Arial"/>
                <w:color w:val="333333"/>
                <w:sz w:val="18"/>
                <w:szCs w:val="18"/>
              </w:rPr>
              <w:t>(523)</w:t>
            </w:r>
          </w:p>
        </w:tc>
        <w:tc>
          <w:tcPr>
            <w:tcW w:w="0" w:type="auto"/>
            <w:shd w:val="clear" w:color="auto" w:fill="auto"/>
            <w:tcMar>
              <w:top w:w="40" w:type="dxa"/>
              <w:bottom w:w="40" w:type="dxa"/>
              <w:right w:w="20" w:type="dxa"/>
            </w:tcMar>
            <w:vAlign w:val="bottom"/>
          </w:tcPr>
          <w:p w14:paraId="36CA236B"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236C"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236D" w14:textId="77777777" w:rsidR="00787570" w:rsidRDefault="000D56E2">
            <w:pPr>
              <w:jc w:val="right"/>
              <w:textAlignment w:val="bottom"/>
            </w:pPr>
            <w:r>
              <w:rPr>
                <w:rFonts w:ascii="Arial" w:eastAsia="宋体" w:hAnsi="Arial" w:cs="Arial"/>
                <w:color w:val="333333"/>
                <w:sz w:val="18"/>
                <w:szCs w:val="18"/>
              </w:rPr>
              <w:t>— </w:t>
            </w:r>
          </w:p>
        </w:tc>
        <w:tc>
          <w:tcPr>
            <w:tcW w:w="0" w:type="auto"/>
            <w:shd w:val="clear" w:color="auto" w:fill="auto"/>
            <w:tcMar>
              <w:top w:w="40" w:type="dxa"/>
              <w:bottom w:w="40" w:type="dxa"/>
              <w:right w:w="20" w:type="dxa"/>
            </w:tcMar>
            <w:vAlign w:val="bottom"/>
          </w:tcPr>
          <w:p w14:paraId="36CA236E"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236F"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2370" w14:textId="77777777" w:rsidR="00787570" w:rsidRDefault="000D56E2">
            <w:pPr>
              <w:jc w:val="right"/>
              <w:textAlignment w:val="bottom"/>
            </w:pPr>
            <w:r>
              <w:rPr>
                <w:rFonts w:ascii="Arial" w:eastAsia="宋体" w:hAnsi="Arial" w:cs="Arial"/>
                <w:color w:val="333333"/>
                <w:sz w:val="18"/>
                <w:szCs w:val="18"/>
              </w:rPr>
              <w:t>(3,966)</w:t>
            </w:r>
          </w:p>
        </w:tc>
        <w:tc>
          <w:tcPr>
            <w:tcW w:w="0" w:type="auto"/>
            <w:shd w:val="clear" w:color="auto" w:fill="auto"/>
            <w:tcMar>
              <w:top w:w="40" w:type="dxa"/>
              <w:bottom w:w="40" w:type="dxa"/>
              <w:right w:w="20" w:type="dxa"/>
            </w:tcMar>
            <w:vAlign w:val="bottom"/>
          </w:tcPr>
          <w:p w14:paraId="36CA2371"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2372"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2373" w14:textId="77777777" w:rsidR="00787570" w:rsidRDefault="000D56E2">
            <w:pPr>
              <w:jc w:val="right"/>
              <w:textAlignment w:val="bottom"/>
            </w:pPr>
            <w:r>
              <w:rPr>
                <w:rFonts w:ascii="Arial" w:eastAsia="宋体" w:hAnsi="Arial" w:cs="Arial"/>
                <w:color w:val="333333"/>
                <w:sz w:val="18"/>
                <w:szCs w:val="18"/>
              </w:rPr>
              <w:t>(4,489)</w:t>
            </w:r>
          </w:p>
        </w:tc>
        <w:tc>
          <w:tcPr>
            <w:tcW w:w="0" w:type="auto"/>
            <w:shd w:val="clear" w:color="auto" w:fill="auto"/>
            <w:tcMar>
              <w:top w:w="40" w:type="dxa"/>
              <w:bottom w:w="40" w:type="dxa"/>
              <w:right w:w="20" w:type="dxa"/>
            </w:tcMar>
            <w:vAlign w:val="bottom"/>
          </w:tcPr>
          <w:p w14:paraId="36CA2374" w14:textId="77777777" w:rsidR="00787570" w:rsidRDefault="00787570">
            <w:pPr>
              <w:jc w:val="right"/>
              <w:rPr>
                <w:rFonts w:ascii="宋体"/>
              </w:rPr>
            </w:pPr>
          </w:p>
        </w:tc>
        <w:tc>
          <w:tcPr>
            <w:tcW w:w="0" w:type="auto"/>
            <w:shd w:val="clear" w:color="auto" w:fill="auto"/>
          </w:tcPr>
          <w:p w14:paraId="36CA2375" w14:textId="77777777" w:rsidR="00787570" w:rsidRDefault="00787570">
            <w:pPr>
              <w:rPr>
                <w:rFonts w:ascii="宋体"/>
              </w:rPr>
            </w:pPr>
          </w:p>
        </w:tc>
        <w:tc>
          <w:tcPr>
            <w:tcW w:w="0" w:type="auto"/>
            <w:shd w:val="clear" w:color="auto" w:fill="auto"/>
          </w:tcPr>
          <w:p w14:paraId="36CA2376" w14:textId="77777777" w:rsidR="00787570" w:rsidRDefault="00787570">
            <w:pPr>
              <w:rPr>
                <w:rFonts w:ascii="宋体"/>
              </w:rPr>
            </w:pPr>
          </w:p>
        </w:tc>
        <w:tc>
          <w:tcPr>
            <w:tcW w:w="0" w:type="auto"/>
            <w:shd w:val="clear" w:color="auto" w:fill="auto"/>
          </w:tcPr>
          <w:p w14:paraId="36CA2377" w14:textId="77777777" w:rsidR="00787570" w:rsidRDefault="00787570">
            <w:pPr>
              <w:rPr>
                <w:rFonts w:ascii="宋体"/>
              </w:rPr>
            </w:pPr>
          </w:p>
        </w:tc>
        <w:tc>
          <w:tcPr>
            <w:tcW w:w="0" w:type="auto"/>
            <w:shd w:val="clear" w:color="auto" w:fill="auto"/>
          </w:tcPr>
          <w:p w14:paraId="36CA2378" w14:textId="77777777" w:rsidR="00787570" w:rsidRDefault="00787570">
            <w:pPr>
              <w:rPr>
                <w:rFonts w:ascii="宋体"/>
              </w:rPr>
            </w:pPr>
          </w:p>
        </w:tc>
        <w:tc>
          <w:tcPr>
            <w:tcW w:w="0" w:type="auto"/>
            <w:shd w:val="clear" w:color="auto" w:fill="auto"/>
          </w:tcPr>
          <w:p w14:paraId="36CA2379" w14:textId="77777777" w:rsidR="00787570" w:rsidRDefault="00787570">
            <w:pPr>
              <w:rPr>
                <w:rFonts w:ascii="宋体"/>
              </w:rPr>
            </w:pPr>
          </w:p>
        </w:tc>
        <w:tc>
          <w:tcPr>
            <w:tcW w:w="0" w:type="auto"/>
            <w:shd w:val="clear" w:color="auto" w:fill="auto"/>
          </w:tcPr>
          <w:p w14:paraId="36CA237A" w14:textId="77777777" w:rsidR="00787570" w:rsidRDefault="00787570">
            <w:pPr>
              <w:rPr>
                <w:rFonts w:ascii="宋体"/>
              </w:rPr>
            </w:pPr>
          </w:p>
        </w:tc>
        <w:tc>
          <w:tcPr>
            <w:tcW w:w="0" w:type="auto"/>
            <w:shd w:val="clear" w:color="auto" w:fill="auto"/>
          </w:tcPr>
          <w:p w14:paraId="36CA237B" w14:textId="77777777" w:rsidR="00787570" w:rsidRDefault="00787570">
            <w:pPr>
              <w:rPr>
                <w:rFonts w:ascii="宋体"/>
              </w:rPr>
            </w:pPr>
          </w:p>
        </w:tc>
        <w:tc>
          <w:tcPr>
            <w:tcW w:w="0" w:type="auto"/>
            <w:shd w:val="clear" w:color="auto" w:fill="auto"/>
          </w:tcPr>
          <w:p w14:paraId="36CA237C" w14:textId="77777777" w:rsidR="00787570" w:rsidRDefault="00787570">
            <w:pPr>
              <w:rPr>
                <w:rFonts w:ascii="宋体"/>
              </w:rPr>
            </w:pPr>
          </w:p>
        </w:tc>
        <w:tc>
          <w:tcPr>
            <w:tcW w:w="0" w:type="auto"/>
            <w:shd w:val="clear" w:color="auto" w:fill="auto"/>
          </w:tcPr>
          <w:p w14:paraId="36CA237D" w14:textId="77777777" w:rsidR="00787570" w:rsidRDefault="00787570">
            <w:pPr>
              <w:rPr>
                <w:rFonts w:ascii="宋体"/>
              </w:rPr>
            </w:pPr>
          </w:p>
        </w:tc>
      </w:tr>
      <w:tr w:rsidR="00787570" w14:paraId="36CA2398" w14:textId="77777777">
        <w:tc>
          <w:tcPr>
            <w:tcW w:w="0" w:type="auto"/>
            <w:gridSpan w:val="3"/>
            <w:shd w:val="clear" w:color="auto" w:fill="auto"/>
            <w:tcMar>
              <w:top w:w="40" w:type="dxa"/>
              <w:left w:w="20" w:type="dxa"/>
              <w:bottom w:w="40" w:type="dxa"/>
              <w:right w:w="20" w:type="dxa"/>
            </w:tcMar>
            <w:vAlign w:val="bottom"/>
          </w:tcPr>
          <w:p w14:paraId="36CA237F" w14:textId="77777777" w:rsidR="00787570" w:rsidRDefault="000D56E2">
            <w:pPr>
              <w:textAlignment w:val="bottom"/>
            </w:pPr>
            <w:r>
              <w:rPr>
                <w:rFonts w:ascii="Arial" w:eastAsia="宋体" w:hAnsi="Arial" w:cs="Arial"/>
                <w:color w:val="333333"/>
                <w:sz w:val="18"/>
                <w:szCs w:val="18"/>
              </w:rPr>
              <w:t>Restricted stock unit withholdings</w:t>
            </w:r>
          </w:p>
        </w:tc>
        <w:tc>
          <w:tcPr>
            <w:tcW w:w="0" w:type="auto"/>
            <w:gridSpan w:val="3"/>
            <w:shd w:val="clear" w:color="auto" w:fill="auto"/>
            <w:tcMar>
              <w:left w:w="20" w:type="dxa"/>
              <w:right w:w="20" w:type="dxa"/>
            </w:tcMar>
            <w:vAlign w:val="bottom"/>
          </w:tcPr>
          <w:p w14:paraId="36CA2380"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2381" w14:textId="77777777" w:rsidR="00787570" w:rsidRDefault="000D56E2">
            <w:pPr>
              <w:jc w:val="right"/>
              <w:textAlignment w:val="bottom"/>
            </w:pPr>
            <w:r>
              <w:rPr>
                <w:rFonts w:ascii="Arial" w:eastAsia="宋体" w:hAnsi="Arial" w:cs="Arial"/>
                <w:color w:val="333333"/>
                <w:sz w:val="18"/>
                <w:szCs w:val="18"/>
              </w:rPr>
              <w:t>(1)</w:t>
            </w:r>
          </w:p>
        </w:tc>
        <w:tc>
          <w:tcPr>
            <w:tcW w:w="0" w:type="auto"/>
            <w:shd w:val="clear" w:color="auto" w:fill="auto"/>
            <w:tcMar>
              <w:top w:w="40" w:type="dxa"/>
              <w:bottom w:w="40" w:type="dxa"/>
              <w:right w:w="20" w:type="dxa"/>
            </w:tcMar>
            <w:vAlign w:val="bottom"/>
          </w:tcPr>
          <w:p w14:paraId="36CA2382"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2383"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2384" w14:textId="77777777" w:rsidR="00787570" w:rsidRDefault="000D56E2">
            <w:pPr>
              <w:jc w:val="right"/>
              <w:textAlignment w:val="bottom"/>
            </w:pPr>
            <w:r>
              <w:rPr>
                <w:rFonts w:ascii="Arial" w:eastAsia="宋体" w:hAnsi="Arial" w:cs="Arial"/>
                <w:color w:val="333333"/>
                <w:sz w:val="18"/>
                <w:szCs w:val="18"/>
              </w:rPr>
              <w:t>(22)</w:t>
            </w:r>
          </w:p>
        </w:tc>
        <w:tc>
          <w:tcPr>
            <w:tcW w:w="0" w:type="auto"/>
            <w:shd w:val="clear" w:color="auto" w:fill="auto"/>
            <w:tcMar>
              <w:top w:w="40" w:type="dxa"/>
              <w:bottom w:w="40" w:type="dxa"/>
              <w:right w:w="20" w:type="dxa"/>
            </w:tcMar>
            <w:vAlign w:val="bottom"/>
          </w:tcPr>
          <w:p w14:paraId="36CA2385"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2386"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2387" w14:textId="77777777" w:rsidR="00787570" w:rsidRDefault="000D56E2">
            <w:pPr>
              <w:jc w:val="right"/>
              <w:textAlignment w:val="bottom"/>
            </w:pPr>
            <w:r>
              <w:rPr>
                <w:rFonts w:ascii="Arial" w:eastAsia="宋体" w:hAnsi="Arial" w:cs="Arial"/>
                <w:color w:val="333333"/>
                <w:sz w:val="18"/>
                <w:szCs w:val="18"/>
              </w:rPr>
              <w:t>— </w:t>
            </w:r>
          </w:p>
        </w:tc>
        <w:tc>
          <w:tcPr>
            <w:tcW w:w="0" w:type="auto"/>
            <w:shd w:val="clear" w:color="auto" w:fill="auto"/>
            <w:tcMar>
              <w:top w:w="40" w:type="dxa"/>
              <w:bottom w:w="40" w:type="dxa"/>
              <w:right w:w="20" w:type="dxa"/>
            </w:tcMar>
            <w:vAlign w:val="bottom"/>
          </w:tcPr>
          <w:p w14:paraId="36CA2388"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2389"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238A" w14:textId="77777777" w:rsidR="00787570" w:rsidRDefault="000D56E2">
            <w:pPr>
              <w:jc w:val="right"/>
              <w:textAlignment w:val="bottom"/>
            </w:pPr>
            <w:r>
              <w:rPr>
                <w:rFonts w:ascii="Arial" w:eastAsia="宋体" w:hAnsi="Arial" w:cs="Arial"/>
                <w:color w:val="333333"/>
                <w:sz w:val="18"/>
                <w:szCs w:val="18"/>
              </w:rPr>
              <w:t>(6)</w:t>
            </w:r>
          </w:p>
        </w:tc>
        <w:tc>
          <w:tcPr>
            <w:tcW w:w="0" w:type="auto"/>
            <w:shd w:val="clear" w:color="auto" w:fill="auto"/>
            <w:tcMar>
              <w:top w:w="40" w:type="dxa"/>
              <w:bottom w:w="40" w:type="dxa"/>
              <w:right w:w="20" w:type="dxa"/>
            </w:tcMar>
            <w:vAlign w:val="bottom"/>
          </w:tcPr>
          <w:p w14:paraId="36CA238B"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238C"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238D" w14:textId="77777777" w:rsidR="00787570" w:rsidRDefault="000D56E2">
            <w:pPr>
              <w:jc w:val="right"/>
              <w:textAlignment w:val="bottom"/>
            </w:pPr>
            <w:r>
              <w:rPr>
                <w:rFonts w:ascii="Arial" w:eastAsia="宋体" w:hAnsi="Arial" w:cs="Arial"/>
                <w:color w:val="333333"/>
                <w:sz w:val="18"/>
                <w:szCs w:val="18"/>
              </w:rPr>
              <w:t>(28)</w:t>
            </w:r>
          </w:p>
        </w:tc>
        <w:tc>
          <w:tcPr>
            <w:tcW w:w="0" w:type="auto"/>
            <w:shd w:val="clear" w:color="auto" w:fill="auto"/>
            <w:tcMar>
              <w:top w:w="40" w:type="dxa"/>
              <w:bottom w:w="40" w:type="dxa"/>
              <w:right w:w="20" w:type="dxa"/>
            </w:tcMar>
            <w:vAlign w:val="bottom"/>
          </w:tcPr>
          <w:p w14:paraId="36CA238E" w14:textId="77777777" w:rsidR="00787570" w:rsidRDefault="00787570">
            <w:pPr>
              <w:jc w:val="right"/>
              <w:rPr>
                <w:rFonts w:ascii="宋体"/>
              </w:rPr>
            </w:pPr>
          </w:p>
        </w:tc>
        <w:tc>
          <w:tcPr>
            <w:tcW w:w="0" w:type="auto"/>
            <w:shd w:val="clear" w:color="auto" w:fill="auto"/>
          </w:tcPr>
          <w:p w14:paraId="36CA238F" w14:textId="77777777" w:rsidR="00787570" w:rsidRDefault="00787570">
            <w:pPr>
              <w:rPr>
                <w:rFonts w:ascii="宋体"/>
              </w:rPr>
            </w:pPr>
          </w:p>
        </w:tc>
        <w:tc>
          <w:tcPr>
            <w:tcW w:w="0" w:type="auto"/>
            <w:shd w:val="clear" w:color="auto" w:fill="auto"/>
          </w:tcPr>
          <w:p w14:paraId="36CA2390" w14:textId="77777777" w:rsidR="00787570" w:rsidRDefault="00787570">
            <w:pPr>
              <w:rPr>
                <w:rFonts w:ascii="宋体"/>
              </w:rPr>
            </w:pPr>
          </w:p>
        </w:tc>
        <w:tc>
          <w:tcPr>
            <w:tcW w:w="0" w:type="auto"/>
            <w:shd w:val="clear" w:color="auto" w:fill="auto"/>
          </w:tcPr>
          <w:p w14:paraId="36CA2391" w14:textId="77777777" w:rsidR="00787570" w:rsidRDefault="00787570">
            <w:pPr>
              <w:rPr>
                <w:rFonts w:ascii="宋体"/>
              </w:rPr>
            </w:pPr>
          </w:p>
        </w:tc>
        <w:tc>
          <w:tcPr>
            <w:tcW w:w="0" w:type="auto"/>
            <w:shd w:val="clear" w:color="auto" w:fill="auto"/>
          </w:tcPr>
          <w:p w14:paraId="36CA2392" w14:textId="77777777" w:rsidR="00787570" w:rsidRDefault="00787570">
            <w:pPr>
              <w:rPr>
                <w:rFonts w:ascii="宋体"/>
              </w:rPr>
            </w:pPr>
          </w:p>
        </w:tc>
        <w:tc>
          <w:tcPr>
            <w:tcW w:w="0" w:type="auto"/>
            <w:shd w:val="clear" w:color="auto" w:fill="auto"/>
          </w:tcPr>
          <w:p w14:paraId="36CA2393" w14:textId="77777777" w:rsidR="00787570" w:rsidRDefault="00787570">
            <w:pPr>
              <w:rPr>
                <w:rFonts w:ascii="宋体"/>
              </w:rPr>
            </w:pPr>
          </w:p>
        </w:tc>
        <w:tc>
          <w:tcPr>
            <w:tcW w:w="0" w:type="auto"/>
            <w:shd w:val="clear" w:color="auto" w:fill="auto"/>
          </w:tcPr>
          <w:p w14:paraId="36CA2394" w14:textId="77777777" w:rsidR="00787570" w:rsidRDefault="00787570">
            <w:pPr>
              <w:rPr>
                <w:rFonts w:ascii="宋体"/>
              </w:rPr>
            </w:pPr>
          </w:p>
        </w:tc>
        <w:tc>
          <w:tcPr>
            <w:tcW w:w="0" w:type="auto"/>
            <w:shd w:val="clear" w:color="auto" w:fill="auto"/>
          </w:tcPr>
          <w:p w14:paraId="36CA2395" w14:textId="77777777" w:rsidR="00787570" w:rsidRDefault="00787570">
            <w:pPr>
              <w:rPr>
                <w:rFonts w:ascii="宋体"/>
              </w:rPr>
            </w:pPr>
          </w:p>
        </w:tc>
        <w:tc>
          <w:tcPr>
            <w:tcW w:w="0" w:type="auto"/>
            <w:shd w:val="clear" w:color="auto" w:fill="auto"/>
          </w:tcPr>
          <w:p w14:paraId="36CA2396" w14:textId="77777777" w:rsidR="00787570" w:rsidRDefault="00787570">
            <w:pPr>
              <w:rPr>
                <w:rFonts w:ascii="宋体"/>
              </w:rPr>
            </w:pPr>
          </w:p>
        </w:tc>
        <w:tc>
          <w:tcPr>
            <w:tcW w:w="0" w:type="auto"/>
            <w:shd w:val="clear" w:color="auto" w:fill="auto"/>
          </w:tcPr>
          <w:p w14:paraId="36CA2397" w14:textId="77777777" w:rsidR="00787570" w:rsidRDefault="00787570">
            <w:pPr>
              <w:rPr>
                <w:rFonts w:ascii="宋体"/>
              </w:rPr>
            </w:pPr>
          </w:p>
        </w:tc>
      </w:tr>
      <w:tr w:rsidR="00787570" w14:paraId="36CA23B2" w14:textId="77777777">
        <w:tc>
          <w:tcPr>
            <w:tcW w:w="0" w:type="auto"/>
            <w:gridSpan w:val="3"/>
            <w:shd w:val="clear" w:color="auto" w:fill="auto"/>
            <w:tcMar>
              <w:top w:w="40" w:type="dxa"/>
              <w:left w:w="20" w:type="dxa"/>
              <w:bottom w:w="40" w:type="dxa"/>
              <w:right w:w="20" w:type="dxa"/>
            </w:tcMar>
            <w:vAlign w:val="bottom"/>
          </w:tcPr>
          <w:p w14:paraId="36CA2399" w14:textId="77777777" w:rsidR="00787570" w:rsidRDefault="000D56E2">
            <w:pPr>
              <w:textAlignment w:val="bottom"/>
            </w:pPr>
            <w:r>
              <w:rPr>
                <w:rFonts w:ascii="Arial" w:eastAsia="宋体" w:hAnsi="Arial" w:cs="Arial"/>
                <w:color w:val="333333"/>
                <w:sz w:val="18"/>
                <w:szCs w:val="18"/>
              </w:rPr>
              <w:t>Cash dividends declared ($0.63 per share)</w:t>
            </w:r>
          </w:p>
        </w:tc>
        <w:tc>
          <w:tcPr>
            <w:tcW w:w="0" w:type="auto"/>
            <w:gridSpan w:val="3"/>
            <w:shd w:val="clear" w:color="auto" w:fill="auto"/>
            <w:tcMar>
              <w:left w:w="20" w:type="dxa"/>
              <w:right w:w="20" w:type="dxa"/>
            </w:tcMar>
            <w:vAlign w:val="bottom"/>
          </w:tcPr>
          <w:p w14:paraId="36CA239A"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239B" w14:textId="77777777" w:rsidR="00787570" w:rsidRDefault="000D56E2">
            <w:pPr>
              <w:jc w:val="right"/>
              <w:textAlignment w:val="bottom"/>
            </w:pPr>
            <w:r>
              <w:rPr>
                <w:rFonts w:ascii="Arial" w:eastAsia="宋体" w:hAnsi="Arial" w:cs="Arial"/>
                <w:color w:val="333333"/>
                <w:sz w:val="18"/>
                <w:szCs w:val="18"/>
              </w:rPr>
              <w:t>— </w:t>
            </w:r>
          </w:p>
        </w:tc>
        <w:tc>
          <w:tcPr>
            <w:tcW w:w="0" w:type="auto"/>
            <w:shd w:val="clear" w:color="auto" w:fill="auto"/>
            <w:tcMar>
              <w:top w:w="40" w:type="dxa"/>
              <w:bottom w:w="40" w:type="dxa"/>
              <w:right w:w="20" w:type="dxa"/>
            </w:tcMar>
            <w:vAlign w:val="bottom"/>
          </w:tcPr>
          <w:p w14:paraId="36CA239C"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239D"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239E" w14:textId="77777777" w:rsidR="00787570" w:rsidRDefault="000D56E2">
            <w:pPr>
              <w:jc w:val="right"/>
              <w:textAlignment w:val="bottom"/>
            </w:pPr>
            <w:r>
              <w:rPr>
                <w:rFonts w:ascii="Arial" w:eastAsia="宋体" w:hAnsi="Arial" w:cs="Arial"/>
                <w:color w:val="333333"/>
                <w:sz w:val="18"/>
                <w:szCs w:val="18"/>
              </w:rPr>
              <w:t>— </w:t>
            </w:r>
          </w:p>
        </w:tc>
        <w:tc>
          <w:tcPr>
            <w:tcW w:w="0" w:type="auto"/>
            <w:shd w:val="clear" w:color="auto" w:fill="auto"/>
            <w:tcMar>
              <w:top w:w="40" w:type="dxa"/>
              <w:bottom w:w="40" w:type="dxa"/>
              <w:right w:w="20" w:type="dxa"/>
            </w:tcMar>
            <w:vAlign w:val="bottom"/>
          </w:tcPr>
          <w:p w14:paraId="36CA239F"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23A0"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23A1" w14:textId="77777777" w:rsidR="00787570" w:rsidRDefault="000D56E2">
            <w:pPr>
              <w:jc w:val="right"/>
              <w:textAlignment w:val="bottom"/>
            </w:pPr>
            <w:r>
              <w:rPr>
                <w:rFonts w:ascii="Arial" w:eastAsia="宋体" w:hAnsi="Arial" w:cs="Arial"/>
                <w:color w:val="333333"/>
                <w:sz w:val="18"/>
                <w:szCs w:val="18"/>
              </w:rPr>
              <w:t>— </w:t>
            </w:r>
          </w:p>
        </w:tc>
        <w:tc>
          <w:tcPr>
            <w:tcW w:w="0" w:type="auto"/>
            <w:shd w:val="clear" w:color="auto" w:fill="auto"/>
            <w:tcMar>
              <w:top w:w="40" w:type="dxa"/>
              <w:bottom w:w="40" w:type="dxa"/>
              <w:right w:w="20" w:type="dxa"/>
            </w:tcMar>
            <w:vAlign w:val="bottom"/>
          </w:tcPr>
          <w:p w14:paraId="36CA23A2"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23A3"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23A4" w14:textId="77777777" w:rsidR="00787570" w:rsidRDefault="000D56E2">
            <w:pPr>
              <w:jc w:val="right"/>
              <w:textAlignment w:val="bottom"/>
            </w:pPr>
            <w:r>
              <w:rPr>
                <w:rFonts w:ascii="Arial" w:eastAsia="宋体" w:hAnsi="Arial" w:cs="Arial"/>
                <w:color w:val="333333"/>
                <w:sz w:val="18"/>
                <w:szCs w:val="18"/>
              </w:rPr>
              <w:t>(2,773)</w:t>
            </w:r>
          </w:p>
        </w:tc>
        <w:tc>
          <w:tcPr>
            <w:tcW w:w="0" w:type="auto"/>
            <w:shd w:val="clear" w:color="auto" w:fill="auto"/>
            <w:tcMar>
              <w:top w:w="40" w:type="dxa"/>
              <w:bottom w:w="40" w:type="dxa"/>
              <w:right w:w="20" w:type="dxa"/>
            </w:tcMar>
            <w:vAlign w:val="bottom"/>
          </w:tcPr>
          <w:p w14:paraId="36CA23A5"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23A6"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23A7" w14:textId="77777777" w:rsidR="00787570" w:rsidRDefault="000D56E2">
            <w:pPr>
              <w:jc w:val="right"/>
              <w:textAlignment w:val="bottom"/>
            </w:pPr>
            <w:r>
              <w:rPr>
                <w:rFonts w:ascii="Arial" w:eastAsia="宋体" w:hAnsi="Arial" w:cs="Arial"/>
                <w:color w:val="333333"/>
                <w:sz w:val="18"/>
                <w:szCs w:val="18"/>
              </w:rPr>
              <w:t>(2,773)</w:t>
            </w:r>
          </w:p>
        </w:tc>
        <w:tc>
          <w:tcPr>
            <w:tcW w:w="0" w:type="auto"/>
            <w:shd w:val="clear" w:color="auto" w:fill="auto"/>
            <w:tcMar>
              <w:top w:w="40" w:type="dxa"/>
              <w:bottom w:w="40" w:type="dxa"/>
              <w:right w:w="20" w:type="dxa"/>
            </w:tcMar>
            <w:vAlign w:val="bottom"/>
          </w:tcPr>
          <w:p w14:paraId="36CA23A8" w14:textId="77777777" w:rsidR="00787570" w:rsidRDefault="00787570">
            <w:pPr>
              <w:jc w:val="right"/>
              <w:rPr>
                <w:rFonts w:ascii="宋体"/>
              </w:rPr>
            </w:pPr>
          </w:p>
        </w:tc>
        <w:tc>
          <w:tcPr>
            <w:tcW w:w="0" w:type="auto"/>
            <w:shd w:val="clear" w:color="auto" w:fill="auto"/>
          </w:tcPr>
          <w:p w14:paraId="36CA23A9" w14:textId="77777777" w:rsidR="00787570" w:rsidRDefault="00787570">
            <w:pPr>
              <w:rPr>
                <w:rFonts w:ascii="宋体"/>
              </w:rPr>
            </w:pPr>
          </w:p>
        </w:tc>
        <w:tc>
          <w:tcPr>
            <w:tcW w:w="0" w:type="auto"/>
            <w:shd w:val="clear" w:color="auto" w:fill="auto"/>
          </w:tcPr>
          <w:p w14:paraId="36CA23AA" w14:textId="77777777" w:rsidR="00787570" w:rsidRDefault="00787570">
            <w:pPr>
              <w:rPr>
                <w:rFonts w:ascii="宋体"/>
              </w:rPr>
            </w:pPr>
          </w:p>
        </w:tc>
        <w:tc>
          <w:tcPr>
            <w:tcW w:w="0" w:type="auto"/>
            <w:shd w:val="clear" w:color="auto" w:fill="auto"/>
          </w:tcPr>
          <w:p w14:paraId="36CA23AB" w14:textId="77777777" w:rsidR="00787570" w:rsidRDefault="00787570">
            <w:pPr>
              <w:rPr>
                <w:rFonts w:ascii="宋体"/>
              </w:rPr>
            </w:pPr>
          </w:p>
        </w:tc>
        <w:tc>
          <w:tcPr>
            <w:tcW w:w="0" w:type="auto"/>
            <w:shd w:val="clear" w:color="auto" w:fill="auto"/>
          </w:tcPr>
          <w:p w14:paraId="36CA23AC" w14:textId="77777777" w:rsidR="00787570" w:rsidRDefault="00787570">
            <w:pPr>
              <w:rPr>
                <w:rFonts w:ascii="宋体"/>
              </w:rPr>
            </w:pPr>
          </w:p>
        </w:tc>
        <w:tc>
          <w:tcPr>
            <w:tcW w:w="0" w:type="auto"/>
            <w:shd w:val="clear" w:color="auto" w:fill="auto"/>
          </w:tcPr>
          <w:p w14:paraId="36CA23AD" w14:textId="77777777" w:rsidR="00787570" w:rsidRDefault="00787570">
            <w:pPr>
              <w:rPr>
                <w:rFonts w:ascii="宋体"/>
              </w:rPr>
            </w:pPr>
          </w:p>
        </w:tc>
        <w:tc>
          <w:tcPr>
            <w:tcW w:w="0" w:type="auto"/>
            <w:shd w:val="clear" w:color="auto" w:fill="auto"/>
          </w:tcPr>
          <w:p w14:paraId="36CA23AE" w14:textId="77777777" w:rsidR="00787570" w:rsidRDefault="00787570">
            <w:pPr>
              <w:rPr>
                <w:rFonts w:ascii="宋体"/>
              </w:rPr>
            </w:pPr>
          </w:p>
        </w:tc>
        <w:tc>
          <w:tcPr>
            <w:tcW w:w="0" w:type="auto"/>
            <w:shd w:val="clear" w:color="auto" w:fill="auto"/>
          </w:tcPr>
          <w:p w14:paraId="36CA23AF" w14:textId="77777777" w:rsidR="00787570" w:rsidRDefault="00787570">
            <w:pPr>
              <w:rPr>
                <w:rFonts w:ascii="宋体"/>
              </w:rPr>
            </w:pPr>
          </w:p>
        </w:tc>
        <w:tc>
          <w:tcPr>
            <w:tcW w:w="0" w:type="auto"/>
            <w:shd w:val="clear" w:color="auto" w:fill="auto"/>
          </w:tcPr>
          <w:p w14:paraId="36CA23B0" w14:textId="77777777" w:rsidR="00787570" w:rsidRDefault="00787570">
            <w:pPr>
              <w:rPr>
                <w:rFonts w:ascii="宋体"/>
              </w:rPr>
            </w:pPr>
          </w:p>
        </w:tc>
        <w:tc>
          <w:tcPr>
            <w:tcW w:w="0" w:type="auto"/>
            <w:shd w:val="clear" w:color="auto" w:fill="auto"/>
          </w:tcPr>
          <w:p w14:paraId="36CA23B1" w14:textId="77777777" w:rsidR="00787570" w:rsidRDefault="00787570">
            <w:pPr>
              <w:rPr>
                <w:rFonts w:ascii="宋体"/>
              </w:rPr>
            </w:pPr>
          </w:p>
        </w:tc>
      </w:tr>
      <w:tr w:rsidR="00787570" w14:paraId="36CA23C7" w14:textId="77777777">
        <w:trPr>
          <w:hidden/>
        </w:trPr>
        <w:tc>
          <w:tcPr>
            <w:tcW w:w="0" w:type="auto"/>
            <w:gridSpan w:val="3"/>
            <w:shd w:val="clear" w:color="auto" w:fill="auto"/>
          </w:tcPr>
          <w:p w14:paraId="36CA23B3" w14:textId="77777777" w:rsidR="00787570" w:rsidRDefault="00787570">
            <w:pPr>
              <w:rPr>
                <w:rFonts w:ascii="宋体"/>
                <w:vanish/>
              </w:rPr>
            </w:pPr>
          </w:p>
        </w:tc>
        <w:tc>
          <w:tcPr>
            <w:tcW w:w="0" w:type="auto"/>
            <w:gridSpan w:val="3"/>
            <w:shd w:val="clear" w:color="auto" w:fill="auto"/>
          </w:tcPr>
          <w:p w14:paraId="36CA23B4" w14:textId="77777777" w:rsidR="00787570" w:rsidRDefault="00787570">
            <w:pPr>
              <w:rPr>
                <w:rFonts w:ascii="宋体"/>
                <w:vanish/>
              </w:rPr>
            </w:pPr>
          </w:p>
        </w:tc>
        <w:tc>
          <w:tcPr>
            <w:tcW w:w="0" w:type="auto"/>
            <w:gridSpan w:val="3"/>
            <w:shd w:val="clear" w:color="auto" w:fill="auto"/>
          </w:tcPr>
          <w:p w14:paraId="36CA23B5" w14:textId="77777777" w:rsidR="00787570" w:rsidRDefault="00787570">
            <w:pPr>
              <w:rPr>
                <w:rFonts w:ascii="宋体"/>
                <w:vanish/>
              </w:rPr>
            </w:pPr>
          </w:p>
        </w:tc>
        <w:tc>
          <w:tcPr>
            <w:tcW w:w="0" w:type="auto"/>
            <w:gridSpan w:val="3"/>
            <w:shd w:val="clear" w:color="auto" w:fill="auto"/>
          </w:tcPr>
          <w:p w14:paraId="36CA23B6" w14:textId="77777777" w:rsidR="00787570" w:rsidRDefault="00787570">
            <w:pPr>
              <w:rPr>
                <w:rFonts w:ascii="宋体"/>
                <w:vanish/>
              </w:rPr>
            </w:pPr>
          </w:p>
        </w:tc>
        <w:tc>
          <w:tcPr>
            <w:tcW w:w="0" w:type="auto"/>
            <w:gridSpan w:val="3"/>
            <w:shd w:val="clear" w:color="auto" w:fill="auto"/>
          </w:tcPr>
          <w:p w14:paraId="36CA23B7" w14:textId="77777777" w:rsidR="00787570" w:rsidRDefault="00787570">
            <w:pPr>
              <w:rPr>
                <w:rFonts w:ascii="宋体"/>
                <w:vanish/>
              </w:rPr>
            </w:pPr>
          </w:p>
        </w:tc>
        <w:tc>
          <w:tcPr>
            <w:tcW w:w="0" w:type="auto"/>
            <w:gridSpan w:val="3"/>
            <w:shd w:val="clear" w:color="auto" w:fill="auto"/>
          </w:tcPr>
          <w:p w14:paraId="36CA23B8" w14:textId="77777777" w:rsidR="00787570" w:rsidRDefault="00787570">
            <w:pPr>
              <w:rPr>
                <w:rFonts w:ascii="宋体"/>
                <w:vanish/>
              </w:rPr>
            </w:pPr>
          </w:p>
        </w:tc>
        <w:tc>
          <w:tcPr>
            <w:tcW w:w="0" w:type="auto"/>
            <w:gridSpan w:val="3"/>
            <w:shd w:val="clear" w:color="auto" w:fill="auto"/>
          </w:tcPr>
          <w:p w14:paraId="36CA23B9" w14:textId="77777777" w:rsidR="00787570" w:rsidRDefault="00787570">
            <w:pPr>
              <w:rPr>
                <w:rFonts w:ascii="宋体"/>
                <w:vanish/>
              </w:rPr>
            </w:pPr>
          </w:p>
        </w:tc>
        <w:tc>
          <w:tcPr>
            <w:tcW w:w="0" w:type="auto"/>
            <w:gridSpan w:val="3"/>
            <w:shd w:val="clear" w:color="auto" w:fill="auto"/>
          </w:tcPr>
          <w:p w14:paraId="36CA23BA" w14:textId="77777777" w:rsidR="00787570" w:rsidRDefault="00787570">
            <w:pPr>
              <w:rPr>
                <w:rFonts w:ascii="宋体"/>
                <w:vanish/>
              </w:rPr>
            </w:pPr>
          </w:p>
        </w:tc>
        <w:tc>
          <w:tcPr>
            <w:tcW w:w="0" w:type="auto"/>
            <w:gridSpan w:val="3"/>
            <w:shd w:val="clear" w:color="auto" w:fill="auto"/>
          </w:tcPr>
          <w:p w14:paraId="36CA23BB" w14:textId="77777777" w:rsidR="00787570" w:rsidRDefault="00787570">
            <w:pPr>
              <w:rPr>
                <w:rFonts w:ascii="宋体"/>
                <w:vanish/>
              </w:rPr>
            </w:pPr>
          </w:p>
        </w:tc>
        <w:tc>
          <w:tcPr>
            <w:tcW w:w="0" w:type="auto"/>
            <w:gridSpan w:val="3"/>
            <w:shd w:val="clear" w:color="auto" w:fill="auto"/>
          </w:tcPr>
          <w:p w14:paraId="36CA23BC" w14:textId="77777777" w:rsidR="00787570" w:rsidRDefault="00787570">
            <w:pPr>
              <w:rPr>
                <w:rFonts w:ascii="宋体"/>
                <w:vanish/>
              </w:rPr>
            </w:pPr>
          </w:p>
        </w:tc>
        <w:tc>
          <w:tcPr>
            <w:tcW w:w="0" w:type="auto"/>
            <w:gridSpan w:val="3"/>
            <w:shd w:val="clear" w:color="auto" w:fill="auto"/>
          </w:tcPr>
          <w:p w14:paraId="36CA23BD" w14:textId="77777777" w:rsidR="00787570" w:rsidRDefault="00787570">
            <w:pPr>
              <w:rPr>
                <w:rFonts w:ascii="宋体"/>
                <w:vanish/>
              </w:rPr>
            </w:pPr>
          </w:p>
        </w:tc>
        <w:tc>
          <w:tcPr>
            <w:tcW w:w="0" w:type="auto"/>
            <w:shd w:val="clear" w:color="auto" w:fill="auto"/>
          </w:tcPr>
          <w:p w14:paraId="36CA23BE" w14:textId="77777777" w:rsidR="00787570" w:rsidRDefault="00787570">
            <w:pPr>
              <w:rPr>
                <w:rFonts w:ascii="宋体"/>
              </w:rPr>
            </w:pPr>
          </w:p>
        </w:tc>
        <w:tc>
          <w:tcPr>
            <w:tcW w:w="0" w:type="auto"/>
            <w:shd w:val="clear" w:color="auto" w:fill="auto"/>
          </w:tcPr>
          <w:p w14:paraId="36CA23BF" w14:textId="77777777" w:rsidR="00787570" w:rsidRDefault="00787570">
            <w:pPr>
              <w:rPr>
                <w:rFonts w:ascii="宋体"/>
              </w:rPr>
            </w:pPr>
          </w:p>
        </w:tc>
        <w:tc>
          <w:tcPr>
            <w:tcW w:w="0" w:type="auto"/>
            <w:shd w:val="clear" w:color="auto" w:fill="auto"/>
          </w:tcPr>
          <w:p w14:paraId="36CA23C0" w14:textId="77777777" w:rsidR="00787570" w:rsidRDefault="00787570">
            <w:pPr>
              <w:rPr>
                <w:rFonts w:ascii="宋体"/>
              </w:rPr>
            </w:pPr>
          </w:p>
        </w:tc>
        <w:tc>
          <w:tcPr>
            <w:tcW w:w="0" w:type="auto"/>
            <w:shd w:val="clear" w:color="auto" w:fill="auto"/>
          </w:tcPr>
          <w:p w14:paraId="36CA23C1" w14:textId="77777777" w:rsidR="00787570" w:rsidRDefault="00787570">
            <w:pPr>
              <w:rPr>
                <w:rFonts w:ascii="宋体"/>
              </w:rPr>
            </w:pPr>
          </w:p>
        </w:tc>
        <w:tc>
          <w:tcPr>
            <w:tcW w:w="0" w:type="auto"/>
            <w:shd w:val="clear" w:color="auto" w:fill="auto"/>
          </w:tcPr>
          <w:p w14:paraId="36CA23C2" w14:textId="77777777" w:rsidR="00787570" w:rsidRDefault="00787570">
            <w:pPr>
              <w:rPr>
                <w:rFonts w:ascii="宋体"/>
              </w:rPr>
            </w:pPr>
          </w:p>
        </w:tc>
        <w:tc>
          <w:tcPr>
            <w:tcW w:w="0" w:type="auto"/>
            <w:shd w:val="clear" w:color="auto" w:fill="auto"/>
          </w:tcPr>
          <w:p w14:paraId="36CA23C3" w14:textId="77777777" w:rsidR="00787570" w:rsidRDefault="00787570">
            <w:pPr>
              <w:rPr>
                <w:rFonts w:ascii="宋体"/>
              </w:rPr>
            </w:pPr>
          </w:p>
        </w:tc>
        <w:tc>
          <w:tcPr>
            <w:tcW w:w="0" w:type="auto"/>
            <w:shd w:val="clear" w:color="auto" w:fill="auto"/>
          </w:tcPr>
          <w:p w14:paraId="36CA23C4" w14:textId="77777777" w:rsidR="00787570" w:rsidRDefault="00787570">
            <w:pPr>
              <w:rPr>
                <w:rFonts w:ascii="宋体"/>
              </w:rPr>
            </w:pPr>
          </w:p>
        </w:tc>
        <w:tc>
          <w:tcPr>
            <w:tcW w:w="0" w:type="auto"/>
            <w:shd w:val="clear" w:color="auto" w:fill="auto"/>
          </w:tcPr>
          <w:p w14:paraId="36CA23C5" w14:textId="77777777" w:rsidR="00787570" w:rsidRDefault="00787570">
            <w:pPr>
              <w:rPr>
                <w:rFonts w:ascii="宋体"/>
              </w:rPr>
            </w:pPr>
          </w:p>
        </w:tc>
        <w:tc>
          <w:tcPr>
            <w:tcW w:w="0" w:type="auto"/>
            <w:shd w:val="clear" w:color="auto" w:fill="auto"/>
          </w:tcPr>
          <w:p w14:paraId="36CA23C6" w14:textId="77777777" w:rsidR="00787570" w:rsidRDefault="00787570">
            <w:pPr>
              <w:rPr>
                <w:rFonts w:ascii="宋体"/>
              </w:rPr>
            </w:pPr>
          </w:p>
        </w:tc>
      </w:tr>
      <w:tr w:rsidR="00787570" w14:paraId="36CA23E5" w14:textId="77777777">
        <w:tc>
          <w:tcPr>
            <w:tcW w:w="0" w:type="auto"/>
            <w:gridSpan w:val="3"/>
            <w:shd w:val="clear" w:color="auto" w:fill="auto"/>
            <w:tcMar>
              <w:top w:w="40" w:type="dxa"/>
              <w:left w:w="20" w:type="dxa"/>
              <w:bottom w:w="40" w:type="dxa"/>
              <w:right w:w="20" w:type="dxa"/>
            </w:tcMar>
            <w:vAlign w:val="bottom"/>
          </w:tcPr>
          <w:p w14:paraId="36CA23C8" w14:textId="77777777" w:rsidR="00787570" w:rsidRDefault="000D56E2">
            <w:pPr>
              <w:textAlignment w:val="bottom"/>
            </w:pPr>
            <w:r>
              <w:rPr>
                <w:rFonts w:ascii="Arial" w:eastAsia="宋体" w:hAnsi="Arial" w:cs="Arial"/>
                <w:b/>
                <w:bCs/>
                <w:color w:val="333333"/>
                <w:sz w:val="18"/>
                <w:szCs w:val="18"/>
              </w:rPr>
              <w:t>Balance as of September 28, 2019</w:t>
            </w:r>
          </w:p>
        </w:tc>
        <w:tc>
          <w:tcPr>
            <w:tcW w:w="0" w:type="auto"/>
            <w:gridSpan w:val="3"/>
            <w:shd w:val="clear" w:color="auto" w:fill="auto"/>
            <w:tcMar>
              <w:left w:w="20" w:type="dxa"/>
              <w:right w:w="20" w:type="dxa"/>
            </w:tcMar>
            <w:vAlign w:val="bottom"/>
          </w:tcPr>
          <w:p w14:paraId="36CA23C9" w14:textId="77777777" w:rsidR="00787570" w:rsidRDefault="00787570">
            <w:pPr>
              <w:rPr>
                <w:rFonts w:ascii="宋体"/>
              </w:rPr>
            </w:pPr>
          </w:p>
        </w:tc>
        <w:tc>
          <w:tcPr>
            <w:tcW w:w="0" w:type="auto"/>
            <w:gridSpan w:val="2"/>
            <w:tcBorders>
              <w:top w:val="single" w:sz="8" w:space="0" w:color="333333"/>
            </w:tcBorders>
            <w:shd w:val="clear" w:color="auto" w:fill="auto"/>
            <w:tcMar>
              <w:top w:w="40" w:type="dxa"/>
              <w:left w:w="20" w:type="dxa"/>
              <w:bottom w:w="40" w:type="dxa"/>
              <w:right w:w="0" w:type="dxa"/>
            </w:tcMar>
            <w:vAlign w:val="bottom"/>
          </w:tcPr>
          <w:p w14:paraId="36CA23CA" w14:textId="77777777" w:rsidR="00787570" w:rsidRDefault="000D56E2">
            <w:pPr>
              <w:jc w:val="right"/>
              <w:textAlignment w:val="bottom"/>
            </w:pPr>
            <w:r>
              <w:rPr>
                <w:rFonts w:ascii="Arial" w:eastAsia="宋体" w:hAnsi="Arial" w:cs="Arial"/>
                <w:b/>
                <w:bCs/>
                <w:color w:val="333333"/>
                <w:sz w:val="18"/>
                <w:szCs w:val="18"/>
              </w:rPr>
              <w:t>4,350</w:t>
            </w:r>
            <w:r>
              <w:rPr>
                <w:rFonts w:ascii="Arial" w:eastAsia="宋体" w:hAnsi="Arial" w:cs="Arial"/>
                <w:color w:val="333333"/>
                <w:sz w:val="18"/>
                <w:szCs w:val="18"/>
              </w:rPr>
              <w:t> </w:t>
            </w:r>
          </w:p>
        </w:tc>
        <w:tc>
          <w:tcPr>
            <w:tcW w:w="0" w:type="auto"/>
            <w:tcBorders>
              <w:top w:val="single" w:sz="8" w:space="0" w:color="333333"/>
            </w:tcBorders>
            <w:shd w:val="clear" w:color="auto" w:fill="auto"/>
            <w:tcMar>
              <w:top w:w="40" w:type="dxa"/>
              <w:bottom w:w="40" w:type="dxa"/>
              <w:right w:w="20" w:type="dxa"/>
            </w:tcMar>
            <w:vAlign w:val="bottom"/>
          </w:tcPr>
          <w:p w14:paraId="36CA23CB"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23CC" w14:textId="77777777" w:rsidR="00787570" w:rsidRDefault="00787570">
            <w:pPr>
              <w:rPr>
                <w:rFonts w:ascii="宋体"/>
              </w:rPr>
            </w:pPr>
          </w:p>
        </w:tc>
        <w:tc>
          <w:tcPr>
            <w:tcW w:w="0" w:type="auto"/>
            <w:tcBorders>
              <w:top w:val="single" w:sz="8" w:space="0" w:color="333333"/>
            </w:tcBorders>
            <w:shd w:val="clear" w:color="auto" w:fill="auto"/>
            <w:tcMar>
              <w:top w:w="40" w:type="dxa"/>
              <w:left w:w="20" w:type="dxa"/>
              <w:bottom w:w="40" w:type="dxa"/>
            </w:tcMar>
            <w:vAlign w:val="bottom"/>
          </w:tcPr>
          <w:p w14:paraId="36CA23CD" w14:textId="77777777" w:rsidR="00787570" w:rsidRDefault="000D56E2">
            <w:pPr>
              <w:textAlignment w:val="bottom"/>
            </w:pPr>
            <w:r>
              <w:rPr>
                <w:rFonts w:ascii="Arial" w:eastAsia="宋体" w:hAnsi="Arial" w:cs="Arial"/>
                <w:b/>
                <w:bCs/>
                <w:color w:val="333333"/>
                <w:sz w:val="18"/>
                <w:szCs w:val="18"/>
              </w:rPr>
              <w:t>$</w:t>
            </w:r>
          </w:p>
        </w:tc>
        <w:tc>
          <w:tcPr>
            <w:tcW w:w="0" w:type="auto"/>
            <w:tcBorders>
              <w:top w:val="single" w:sz="8" w:space="0" w:color="333333"/>
            </w:tcBorders>
            <w:shd w:val="clear" w:color="auto" w:fill="auto"/>
            <w:tcMar>
              <w:top w:w="40" w:type="dxa"/>
              <w:bottom w:w="40" w:type="dxa"/>
              <w:right w:w="0" w:type="dxa"/>
            </w:tcMar>
            <w:vAlign w:val="bottom"/>
          </w:tcPr>
          <w:p w14:paraId="36CA23CE" w14:textId="77777777" w:rsidR="00787570" w:rsidRDefault="000D56E2">
            <w:pPr>
              <w:jc w:val="right"/>
              <w:textAlignment w:val="bottom"/>
            </w:pPr>
            <w:r>
              <w:rPr>
                <w:rFonts w:ascii="Arial" w:eastAsia="宋体" w:hAnsi="Arial" w:cs="Arial"/>
                <w:b/>
                <w:bCs/>
                <w:color w:val="333333"/>
                <w:sz w:val="18"/>
                <w:szCs w:val="18"/>
              </w:rPr>
              <w:t>25,290</w:t>
            </w:r>
            <w:r>
              <w:rPr>
                <w:rFonts w:ascii="Arial" w:eastAsia="宋体" w:hAnsi="Arial" w:cs="Arial"/>
                <w:color w:val="333333"/>
                <w:sz w:val="18"/>
                <w:szCs w:val="18"/>
              </w:rPr>
              <w:t> </w:t>
            </w:r>
          </w:p>
        </w:tc>
        <w:tc>
          <w:tcPr>
            <w:tcW w:w="0" w:type="auto"/>
            <w:tcBorders>
              <w:top w:val="single" w:sz="8" w:space="0" w:color="333333"/>
            </w:tcBorders>
            <w:shd w:val="clear" w:color="auto" w:fill="auto"/>
            <w:tcMar>
              <w:top w:w="40" w:type="dxa"/>
              <w:bottom w:w="40" w:type="dxa"/>
              <w:right w:w="20" w:type="dxa"/>
            </w:tcMar>
            <w:vAlign w:val="bottom"/>
          </w:tcPr>
          <w:p w14:paraId="36CA23CF"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23D0" w14:textId="77777777" w:rsidR="00787570" w:rsidRDefault="00787570">
            <w:pPr>
              <w:rPr>
                <w:rFonts w:ascii="宋体"/>
              </w:rPr>
            </w:pPr>
          </w:p>
        </w:tc>
        <w:tc>
          <w:tcPr>
            <w:tcW w:w="0" w:type="auto"/>
            <w:tcBorders>
              <w:top w:val="single" w:sz="8" w:space="0" w:color="333333"/>
            </w:tcBorders>
            <w:shd w:val="clear" w:color="auto" w:fill="auto"/>
            <w:tcMar>
              <w:top w:w="40" w:type="dxa"/>
              <w:left w:w="20" w:type="dxa"/>
              <w:bottom w:w="40" w:type="dxa"/>
            </w:tcMar>
            <w:vAlign w:val="bottom"/>
          </w:tcPr>
          <w:p w14:paraId="36CA23D1" w14:textId="77777777" w:rsidR="00787570" w:rsidRDefault="000D56E2">
            <w:pPr>
              <w:textAlignment w:val="bottom"/>
            </w:pPr>
            <w:r>
              <w:rPr>
                <w:rFonts w:ascii="Arial" w:eastAsia="宋体" w:hAnsi="Arial" w:cs="Arial"/>
                <w:b/>
                <w:bCs/>
                <w:color w:val="333333"/>
                <w:sz w:val="18"/>
                <w:szCs w:val="18"/>
              </w:rPr>
              <w:t>$</w:t>
            </w:r>
          </w:p>
        </w:tc>
        <w:tc>
          <w:tcPr>
            <w:tcW w:w="0" w:type="auto"/>
            <w:tcBorders>
              <w:top w:val="single" w:sz="8" w:space="0" w:color="333333"/>
            </w:tcBorders>
            <w:shd w:val="clear" w:color="auto" w:fill="auto"/>
            <w:tcMar>
              <w:top w:w="40" w:type="dxa"/>
              <w:bottom w:w="40" w:type="dxa"/>
              <w:right w:w="0" w:type="dxa"/>
            </w:tcMar>
            <w:vAlign w:val="bottom"/>
          </w:tcPr>
          <w:p w14:paraId="36CA23D2" w14:textId="77777777" w:rsidR="00787570" w:rsidRDefault="000D56E2">
            <w:pPr>
              <w:jc w:val="right"/>
              <w:textAlignment w:val="bottom"/>
            </w:pPr>
            <w:r>
              <w:rPr>
                <w:rFonts w:ascii="Arial" w:eastAsia="宋体" w:hAnsi="Arial" w:cs="Arial"/>
                <w:b/>
                <w:bCs/>
                <w:color w:val="333333"/>
                <w:sz w:val="18"/>
                <w:szCs w:val="18"/>
              </w:rPr>
              <w:t>(722)</w:t>
            </w:r>
          </w:p>
        </w:tc>
        <w:tc>
          <w:tcPr>
            <w:tcW w:w="0" w:type="auto"/>
            <w:tcBorders>
              <w:top w:val="single" w:sz="8" w:space="0" w:color="333333"/>
            </w:tcBorders>
            <w:shd w:val="clear" w:color="auto" w:fill="auto"/>
            <w:tcMar>
              <w:top w:w="40" w:type="dxa"/>
              <w:bottom w:w="40" w:type="dxa"/>
              <w:right w:w="20" w:type="dxa"/>
            </w:tcMar>
            <w:vAlign w:val="bottom"/>
          </w:tcPr>
          <w:p w14:paraId="36CA23D3"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23D4" w14:textId="77777777" w:rsidR="00787570" w:rsidRDefault="00787570">
            <w:pPr>
              <w:rPr>
                <w:rFonts w:ascii="宋体"/>
              </w:rPr>
            </w:pPr>
          </w:p>
        </w:tc>
        <w:tc>
          <w:tcPr>
            <w:tcW w:w="0" w:type="auto"/>
            <w:tcBorders>
              <w:top w:val="single" w:sz="8" w:space="0" w:color="333333"/>
            </w:tcBorders>
            <w:shd w:val="clear" w:color="auto" w:fill="auto"/>
            <w:tcMar>
              <w:top w:w="40" w:type="dxa"/>
              <w:left w:w="20" w:type="dxa"/>
              <w:bottom w:w="40" w:type="dxa"/>
            </w:tcMar>
            <w:vAlign w:val="bottom"/>
          </w:tcPr>
          <w:p w14:paraId="36CA23D5" w14:textId="77777777" w:rsidR="00787570" w:rsidRDefault="000D56E2">
            <w:pPr>
              <w:textAlignment w:val="bottom"/>
            </w:pPr>
            <w:r>
              <w:rPr>
                <w:rFonts w:ascii="Arial" w:eastAsia="宋体" w:hAnsi="Arial" w:cs="Arial"/>
                <w:b/>
                <w:bCs/>
                <w:color w:val="333333"/>
                <w:sz w:val="18"/>
                <w:szCs w:val="18"/>
              </w:rPr>
              <w:t>$</w:t>
            </w:r>
          </w:p>
        </w:tc>
        <w:tc>
          <w:tcPr>
            <w:tcW w:w="0" w:type="auto"/>
            <w:tcBorders>
              <w:top w:val="single" w:sz="8" w:space="0" w:color="333333"/>
            </w:tcBorders>
            <w:shd w:val="clear" w:color="auto" w:fill="auto"/>
            <w:tcMar>
              <w:top w:w="40" w:type="dxa"/>
              <w:bottom w:w="40" w:type="dxa"/>
              <w:right w:w="0" w:type="dxa"/>
            </w:tcMar>
            <w:vAlign w:val="bottom"/>
          </w:tcPr>
          <w:p w14:paraId="36CA23D6" w14:textId="77777777" w:rsidR="00787570" w:rsidRDefault="000D56E2">
            <w:pPr>
              <w:jc w:val="right"/>
              <w:textAlignment w:val="bottom"/>
            </w:pPr>
            <w:r>
              <w:rPr>
                <w:rFonts w:ascii="Arial" w:eastAsia="宋体" w:hAnsi="Arial" w:cs="Arial"/>
                <w:b/>
                <w:bCs/>
                <w:color w:val="333333"/>
                <w:sz w:val="18"/>
                <w:szCs w:val="18"/>
              </w:rPr>
              <w:t>49,674</w:t>
            </w:r>
            <w:r>
              <w:rPr>
                <w:rFonts w:ascii="Arial" w:eastAsia="宋体" w:hAnsi="Arial" w:cs="Arial"/>
                <w:color w:val="333333"/>
                <w:sz w:val="18"/>
                <w:szCs w:val="18"/>
              </w:rPr>
              <w:t> </w:t>
            </w:r>
          </w:p>
        </w:tc>
        <w:tc>
          <w:tcPr>
            <w:tcW w:w="0" w:type="auto"/>
            <w:tcBorders>
              <w:top w:val="single" w:sz="8" w:space="0" w:color="333333"/>
            </w:tcBorders>
            <w:shd w:val="clear" w:color="auto" w:fill="auto"/>
            <w:tcMar>
              <w:top w:w="40" w:type="dxa"/>
              <w:bottom w:w="40" w:type="dxa"/>
              <w:right w:w="20" w:type="dxa"/>
            </w:tcMar>
            <w:vAlign w:val="bottom"/>
          </w:tcPr>
          <w:p w14:paraId="36CA23D7"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23D8" w14:textId="77777777" w:rsidR="00787570" w:rsidRDefault="00787570">
            <w:pPr>
              <w:rPr>
                <w:rFonts w:ascii="宋体"/>
              </w:rPr>
            </w:pPr>
          </w:p>
        </w:tc>
        <w:tc>
          <w:tcPr>
            <w:tcW w:w="0" w:type="auto"/>
            <w:tcBorders>
              <w:top w:val="single" w:sz="8" w:space="0" w:color="333333"/>
            </w:tcBorders>
            <w:shd w:val="clear" w:color="auto" w:fill="auto"/>
            <w:tcMar>
              <w:top w:w="40" w:type="dxa"/>
              <w:left w:w="20" w:type="dxa"/>
              <w:bottom w:w="40" w:type="dxa"/>
            </w:tcMar>
            <w:vAlign w:val="bottom"/>
          </w:tcPr>
          <w:p w14:paraId="36CA23D9" w14:textId="77777777" w:rsidR="00787570" w:rsidRDefault="000D56E2">
            <w:pPr>
              <w:textAlignment w:val="bottom"/>
            </w:pPr>
            <w:r>
              <w:rPr>
                <w:rFonts w:ascii="Arial" w:eastAsia="宋体" w:hAnsi="Arial" w:cs="Arial"/>
                <w:b/>
                <w:bCs/>
                <w:color w:val="333333"/>
                <w:sz w:val="18"/>
                <w:szCs w:val="18"/>
              </w:rPr>
              <w:t>$</w:t>
            </w:r>
          </w:p>
        </w:tc>
        <w:tc>
          <w:tcPr>
            <w:tcW w:w="0" w:type="auto"/>
            <w:tcBorders>
              <w:top w:val="single" w:sz="8" w:space="0" w:color="333333"/>
            </w:tcBorders>
            <w:shd w:val="clear" w:color="auto" w:fill="auto"/>
            <w:tcMar>
              <w:top w:w="40" w:type="dxa"/>
              <w:bottom w:w="40" w:type="dxa"/>
              <w:right w:w="0" w:type="dxa"/>
            </w:tcMar>
            <w:vAlign w:val="bottom"/>
          </w:tcPr>
          <w:p w14:paraId="36CA23DA" w14:textId="77777777" w:rsidR="00787570" w:rsidRDefault="000D56E2">
            <w:pPr>
              <w:jc w:val="right"/>
              <w:textAlignment w:val="bottom"/>
            </w:pPr>
            <w:r>
              <w:rPr>
                <w:rFonts w:ascii="Arial" w:eastAsia="宋体" w:hAnsi="Arial" w:cs="Arial"/>
                <w:b/>
                <w:bCs/>
                <w:color w:val="333333"/>
                <w:sz w:val="18"/>
                <w:szCs w:val="18"/>
              </w:rPr>
              <w:t>74,242</w:t>
            </w:r>
            <w:r>
              <w:rPr>
                <w:rFonts w:ascii="Arial" w:eastAsia="宋体" w:hAnsi="Arial" w:cs="Arial"/>
                <w:color w:val="333333"/>
                <w:sz w:val="18"/>
                <w:szCs w:val="18"/>
              </w:rPr>
              <w:t> </w:t>
            </w:r>
          </w:p>
        </w:tc>
        <w:tc>
          <w:tcPr>
            <w:tcW w:w="0" w:type="auto"/>
            <w:tcBorders>
              <w:top w:val="single" w:sz="8" w:space="0" w:color="333333"/>
            </w:tcBorders>
            <w:shd w:val="clear" w:color="auto" w:fill="auto"/>
            <w:tcMar>
              <w:top w:w="40" w:type="dxa"/>
              <w:bottom w:w="40" w:type="dxa"/>
              <w:right w:w="20" w:type="dxa"/>
            </w:tcMar>
            <w:vAlign w:val="bottom"/>
          </w:tcPr>
          <w:p w14:paraId="36CA23DB" w14:textId="77777777" w:rsidR="00787570" w:rsidRDefault="00787570">
            <w:pPr>
              <w:jc w:val="right"/>
              <w:rPr>
                <w:rFonts w:ascii="宋体"/>
              </w:rPr>
            </w:pPr>
          </w:p>
        </w:tc>
        <w:tc>
          <w:tcPr>
            <w:tcW w:w="0" w:type="auto"/>
            <w:shd w:val="clear" w:color="auto" w:fill="auto"/>
          </w:tcPr>
          <w:p w14:paraId="36CA23DC" w14:textId="77777777" w:rsidR="00787570" w:rsidRDefault="00787570">
            <w:pPr>
              <w:rPr>
                <w:rFonts w:ascii="宋体"/>
              </w:rPr>
            </w:pPr>
          </w:p>
        </w:tc>
        <w:tc>
          <w:tcPr>
            <w:tcW w:w="0" w:type="auto"/>
            <w:shd w:val="clear" w:color="auto" w:fill="auto"/>
          </w:tcPr>
          <w:p w14:paraId="36CA23DD" w14:textId="77777777" w:rsidR="00787570" w:rsidRDefault="00787570">
            <w:pPr>
              <w:rPr>
                <w:rFonts w:ascii="宋体"/>
              </w:rPr>
            </w:pPr>
          </w:p>
        </w:tc>
        <w:tc>
          <w:tcPr>
            <w:tcW w:w="0" w:type="auto"/>
            <w:shd w:val="clear" w:color="auto" w:fill="auto"/>
          </w:tcPr>
          <w:p w14:paraId="36CA23DE" w14:textId="77777777" w:rsidR="00787570" w:rsidRDefault="00787570">
            <w:pPr>
              <w:rPr>
                <w:rFonts w:ascii="宋体"/>
              </w:rPr>
            </w:pPr>
          </w:p>
        </w:tc>
        <w:tc>
          <w:tcPr>
            <w:tcW w:w="0" w:type="auto"/>
            <w:shd w:val="clear" w:color="auto" w:fill="auto"/>
          </w:tcPr>
          <w:p w14:paraId="36CA23DF" w14:textId="77777777" w:rsidR="00787570" w:rsidRDefault="00787570">
            <w:pPr>
              <w:rPr>
                <w:rFonts w:ascii="宋体"/>
              </w:rPr>
            </w:pPr>
          </w:p>
        </w:tc>
        <w:tc>
          <w:tcPr>
            <w:tcW w:w="0" w:type="auto"/>
            <w:shd w:val="clear" w:color="auto" w:fill="auto"/>
          </w:tcPr>
          <w:p w14:paraId="36CA23E0" w14:textId="77777777" w:rsidR="00787570" w:rsidRDefault="00787570">
            <w:pPr>
              <w:rPr>
                <w:rFonts w:ascii="宋体"/>
              </w:rPr>
            </w:pPr>
          </w:p>
        </w:tc>
        <w:tc>
          <w:tcPr>
            <w:tcW w:w="0" w:type="auto"/>
            <w:shd w:val="clear" w:color="auto" w:fill="auto"/>
          </w:tcPr>
          <w:p w14:paraId="36CA23E1" w14:textId="77777777" w:rsidR="00787570" w:rsidRDefault="00787570">
            <w:pPr>
              <w:rPr>
                <w:rFonts w:ascii="宋体"/>
              </w:rPr>
            </w:pPr>
          </w:p>
        </w:tc>
        <w:tc>
          <w:tcPr>
            <w:tcW w:w="0" w:type="auto"/>
            <w:shd w:val="clear" w:color="auto" w:fill="auto"/>
          </w:tcPr>
          <w:p w14:paraId="36CA23E2" w14:textId="77777777" w:rsidR="00787570" w:rsidRDefault="00787570">
            <w:pPr>
              <w:rPr>
                <w:rFonts w:ascii="宋体"/>
              </w:rPr>
            </w:pPr>
          </w:p>
        </w:tc>
        <w:tc>
          <w:tcPr>
            <w:tcW w:w="0" w:type="auto"/>
            <w:shd w:val="clear" w:color="auto" w:fill="auto"/>
          </w:tcPr>
          <w:p w14:paraId="36CA23E3" w14:textId="77777777" w:rsidR="00787570" w:rsidRDefault="00787570">
            <w:pPr>
              <w:rPr>
                <w:rFonts w:ascii="宋体"/>
              </w:rPr>
            </w:pPr>
          </w:p>
        </w:tc>
        <w:tc>
          <w:tcPr>
            <w:tcW w:w="0" w:type="auto"/>
            <w:shd w:val="clear" w:color="auto" w:fill="auto"/>
          </w:tcPr>
          <w:p w14:paraId="36CA23E4" w14:textId="77777777" w:rsidR="00787570" w:rsidRDefault="00787570">
            <w:pPr>
              <w:rPr>
                <w:rFonts w:ascii="宋体"/>
              </w:rPr>
            </w:pPr>
          </w:p>
        </w:tc>
      </w:tr>
      <w:tr w:rsidR="00787570" w14:paraId="36CA23FA" w14:textId="77777777">
        <w:trPr>
          <w:trHeight w:val="60"/>
        </w:trPr>
        <w:tc>
          <w:tcPr>
            <w:tcW w:w="0" w:type="auto"/>
            <w:gridSpan w:val="3"/>
            <w:shd w:val="clear" w:color="auto" w:fill="auto"/>
            <w:tcMar>
              <w:left w:w="20" w:type="dxa"/>
              <w:right w:w="20" w:type="dxa"/>
            </w:tcMar>
            <w:vAlign w:val="bottom"/>
          </w:tcPr>
          <w:p w14:paraId="36CA23E6"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23E7" w14:textId="77777777" w:rsidR="00787570" w:rsidRDefault="00787570">
            <w:pPr>
              <w:rPr>
                <w:rFonts w:ascii="宋体"/>
              </w:rPr>
            </w:pPr>
          </w:p>
        </w:tc>
        <w:tc>
          <w:tcPr>
            <w:tcW w:w="0" w:type="auto"/>
            <w:gridSpan w:val="3"/>
            <w:tcBorders>
              <w:top w:val="double" w:sz="6" w:space="0" w:color="333333"/>
            </w:tcBorders>
            <w:shd w:val="clear" w:color="auto" w:fill="auto"/>
            <w:tcMar>
              <w:left w:w="20" w:type="dxa"/>
              <w:right w:w="20" w:type="dxa"/>
            </w:tcMar>
            <w:vAlign w:val="bottom"/>
          </w:tcPr>
          <w:p w14:paraId="36CA23E8"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23E9" w14:textId="77777777" w:rsidR="00787570" w:rsidRDefault="00787570">
            <w:pPr>
              <w:rPr>
                <w:rFonts w:ascii="宋体"/>
              </w:rPr>
            </w:pPr>
          </w:p>
        </w:tc>
        <w:tc>
          <w:tcPr>
            <w:tcW w:w="0" w:type="auto"/>
            <w:gridSpan w:val="3"/>
            <w:tcBorders>
              <w:top w:val="double" w:sz="6" w:space="0" w:color="333333"/>
            </w:tcBorders>
            <w:shd w:val="clear" w:color="auto" w:fill="auto"/>
            <w:tcMar>
              <w:left w:w="20" w:type="dxa"/>
              <w:right w:w="20" w:type="dxa"/>
            </w:tcMar>
            <w:vAlign w:val="bottom"/>
          </w:tcPr>
          <w:p w14:paraId="36CA23EA"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23EB" w14:textId="77777777" w:rsidR="00787570" w:rsidRDefault="00787570">
            <w:pPr>
              <w:rPr>
                <w:rFonts w:ascii="宋体"/>
              </w:rPr>
            </w:pPr>
          </w:p>
        </w:tc>
        <w:tc>
          <w:tcPr>
            <w:tcW w:w="0" w:type="auto"/>
            <w:gridSpan w:val="3"/>
            <w:tcBorders>
              <w:top w:val="double" w:sz="6" w:space="0" w:color="333333"/>
            </w:tcBorders>
            <w:shd w:val="clear" w:color="auto" w:fill="auto"/>
            <w:tcMar>
              <w:left w:w="20" w:type="dxa"/>
              <w:right w:w="20" w:type="dxa"/>
            </w:tcMar>
            <w:vAlign w:val="bottom"/>
          </w:tcPr>
          <w:p w14:paraId="36CA23EC"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23ED" w14:textId="77777777" w:rsidR="00787570" w:rsidRDefault="00787570">
            <w:pPr>
              <w:rPr>
                <w:rFonts w:ascii="宋体"/>
              </w:rPr>
            </w:pPr>
          </w:p>
        </w:tc>
        <w:tc>
          <w:tcPr>
            <w:tcW w:w="0" w:type="auto"/>
            <w:gridSpan w:val="3"/>
            <w:tcBorders>
              <w:top w:val="double" w:sz="6" w:space="0" w:color="333333"/>
            </w:tcBorders>
            <w:shd w:val="clear" w:color="auto" w:fill="auto"/>
            <w:tcMar>
              <w:left w:w="20" w:type="dxa"/>
              <w:right w:w="20" w:type="dxa"/>
            </w:tcMar>
            <w:vAlign w:val="bottom"/>
          </w:tcPr>
          <w:p w14:paraId="36CA23EE"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23EF" w14:textId="77777777" w:rsidR="00787570" w:rsidRDefault="00787570">
            <w:pPr>
              <w:rPr>
                <w:rFonts w:ascii="宋体"/>
              </w:rPr>
            </w:pPr>
          </w:p>
        </w:tc>
        <w:tc>
          <w:tcPr>
            <w:tcW w:w="0" w:type="auto"/>
            <w:gridSpan w:val="3"/>
            <w:tcBorders>
              <w:top w:val="double" w:sz="6" w:space="0" w:color="333333"/>
            </w:tcBorders>
            <w:shd w:val="clear" w:color="auto" w:fill="auto"/>
            <w:tcMar>
              <w:left w:w="20" w:type="dxa"/>
              <w:right w:w="20" w:type="dxa"/>
            </w:tcMar>
            <w:vAlign w:val="bottom"/>
          </w:tcPr>
          <w:p w14:paraId="36CA23F0" w14:textId="77777777" w:rsidR="00787570" w:rsidRDefault="00787570">
            <w:pPr>
              <w:rPr>
                <w:rFonts w:ascii="宋体"/>
              </w:rPr>
            </w:pPr>
          </w:p>
        </w:tc>
        <w:tc>
          <w:tcPr>
            <w:tcW w:w="0" w:type="auto"/>
            <w:shd w:val="clear" w:color="auto" w:fill="auto"/>
          </w:tcPr>
          <w:p w14:paraId="36CA23F1" w14:textId="77777777" w:rsidR="00787570" w:rsidRDefault="00787570">
            <w:pPr>
              <w:rPr>
                <w:rFonts w:ascii="宋体"/>
              </w:rPr>
            </w:pPr>
          </w:p>
        </w:tc>
        <w:tc>
          <w:tcPr>
            <w:tcW w:w="0" w:type="auto"/>
            <w:shd w:val="clear" w:color="auto" w:fill="auto"/>
          </w:tcPr>
          <w:p w14:paraId="36CA23F2" w14:textId="77777777" w:rsidR="00787570" w:rsidRDefault="00787570">
            <w:pPr>
              <w:rPr>
                <w:rFonts w:ascii="宋体"/>
              </w:rPr>
            </w:pPr>
          </w:p>
        </w:tc>
        <w:tc>
          <w:tcPr>
            <w:tcW w:w="0" w:type="auto"/>
            <w:shd w:val="clear" w:color="auto" w:fill="auto"/>
          </w:tcPr>
          <w:p w14:paraId="36CA23F3" w14:textId="77777777" w:rsidR="00787570" w:rsidRDefault="00787570">
            <w:pPr>
              <w:rPr>
                <w:rFonts w:ascii="宋体"/>
              </w:rPr>
            </w:pPr>
          </w:p>
        </w:tc>
        <w:tc>
          <w:tcPr>
            <w:tcW w:w="0" w:type="auto"/>
            <w:shd w:val="clear" w:color="auto" w:fill="auto"/>
          </w:tcPr>
          <w:p w14:paraId="36CA23F4" w14:textId="77777777" w:rsidR="00787570" w:rsidRDefault="00787570">
            <w:pPr>
              <w:rPr>
                <w:rFonts w:ascii="宋体"/>
              </w:rPr>
            </w:pPr>
          </w:p>
        </w:tc>
        <w:tc>
          <w:tcPr>
            <w:tcW w:w="0" w:type="auto"/>
            <w:shd w:val="clear" w:color="auto" w:fill="auto"/>
          </w:tcPr>
          <w:p w14:paraId="36CA23F5" w14:textId="77777777" w:rsidR="00787570" w:rsidRDefault="00787570">
            <w:pPr>
              <w:rPr>
                <w:rFonts w:ascii="宋体"/>
              </w:rPr>
            </w:pPr>
          </w:p>
        </w:tc>
        <w:tc>
          <w:tcPr>
            <w:tcW w:w="0" w:type="auto"/>
            <w:shd w:val="clear" w:color="auto" w:fill="auto"/>
          </w:tcPr>
          <w:p w14:paraId="36CA23F6" w14:textId="77777777" w:rsidR="00787570" w:rsidRDefault="00787570">
            <w:pPr>
              <w:rPr>
                <w:rFonts w:ascii="宋体"/>
              </w:rPr>
            </w:pPr>
          </w:p>
        </w:tc>
        <w:tc>
          <w:tcPr>
            <w:tcW w:w="0" w:type="auto"/>
            <w:shd w:val="clear" w:color="auto" w:fill="auto"/>
          </w:tcPr>
          <w:p w14:paraId="36CA23F7" w14:textId="77777777" w:rsidR="00787570" w:rsidRDefault="00787570">
            <w:pPr>
              <w:rPr>
                <w:rFonts w:ascii="宋体"/>
              </w:rPr>
            </w:pPr>
          </w:p>
        </w:tc>
        <w:tc>
          <w:tcPr>
            <w:tcW w:w="0" w:type="auto"/>
            <w:shd w:val="clear" w:color="auto" w:fill="auto"/>
          </w:tcPr>
          <w:p w14:paraId="36CA23F8" w14:textId="77777777" w:rsidR="00787570" w:rsidRDefault="00787570">
            <w:pPr>
              <w:rPr>
                <w:rFonts w:ascii="宋体"/>
              </w:rPr>
            </w:pPr>
          </w:p>
        </w:tc>
        <w:tc>
          <w:tcPr>
            <w:tcW w:w="0" w:type="auto"/>
            <w:shd w:val="clear" w:color="auto" w:fill="auto"/>
          </w:tcPr>
          <w:p w14:paraId="36CA23F9" w14:textId="77777777" w:rsidR="00787570" w:rsidRDefault="00787570">
            <w:pPr>
              <w:rPr>
                <w:rFonts w:ascii="宋体"/>
              </w:rPr>
            </w:pPr>
          </w:p>
        </w:tc>
      </w:tr>
      <w:tr w:rsidR="00787570" w14:paraId="36CA240F" w14:textId="77777777">
        <w:tc>
          <w:tcPr>
            <w:tcW w:w="0" w:type="auto"/>
            <w:gridSpan w:val="3"/>
            <w:tcBorders>
              <w:top w:val="single" w:sz="8" w:space="0" w:color="0071C5"/>
            </w:tcBorders>
            <w:shd w:val="clear" w:color="auto" w:fill="auto"/>
            <w:tcMar>
              <w:top w:w="40" w:type="dxa"/>
              <w:left w:w="20" w:type="dxa"/>
              <w:bottom w:w="40" w:type="dxa"/>
              <w:right w:w="20" w:type="dxa"/>
            </w:tcMar>
            <w:vAlign w:val="bottom"/>
          </w:tcPr>
          <w:p w14:paraId="36CA23FB" w14:textId="77777777" w:rsidR="00787570" w:rsidRDefault="000D56E2">
            <w:pPr>
              <w:textAlignment w:val="bottom"/>
            </w:pPr>
            <w:r>
              <w:rPr>
                <w:rFonts w:ascii="Arial" w:eastAsia="宋体" w:hAnsi="Arial" w:cs="Arial"/>
                <w:b/>
                <w:bCs/>
                <w:color w:val="333333"/>
                <w:sz w:val="18"/>
                <w:szCs w:val="18"/>
              </w:rPr>
              <w:t>Nine Months Ended</w:t>
            </w:r>
          </w:p>
        </w:tc>
        <w:tc>
          <w:tcPr>
            <w:tcW w:w="0" w:type="auto"/>
            <w:gridSpan w:val="3"/>
            <w:tcBorders>
              <w:top w:val="single" w:sz="8" w:space="0" w:color="0071C5"/>
            </w:tcBorders>
            <w:shd w:val="clear" w:color="auto" w:fill="auto"/>
            <w:tcMar>
              <w:left w:w="20" w:type="dxa"/>
              <w:right w:w="20" w:type="dxa"/>
            </w:tcMar>
            <w:vAlign w:val="bottom"/>
          </w:tcPr>
          <w:p w14:paraId="36CA23FC" w14:textId="77777777" w:rsidR="00787570" w:rsidRDefault="00787570">
            <w:pPr>
              <w:rPr>
                <w:rFonts w:ascii="宋体"/>
              </w:rPr>
            </w:pPr>
          </w:p>
        </w:tc>
        <w:tc>
          <w:tcPr>
            <w:tcW w:w="0" w:type="auto"/>
            <w:gridSpan w:val="3"/>
            <w:tcBorders>
              <w:top w:val="single" w:sz="8" w:space="0" w:color="0071C5"/>
            </w:tcBorders>
            <w:shd w:val="clear" w:color="auto" w:fill="auto"/>
            <w:tcMar>
              <w:left w:w="20" w:type="dxa"/>
              <w:right w:w="20" w:type="dxa"/>
            </w:tcMar>
            <w:vAlign w:val="bottom"/>
          </w:tcPr>
          <w:p w14:paraId="36CA23FD" w14:textId="77777777" w:rsidR="00787570" w:rsidRDefault="00787570">
            <w:pPr>
              <w:rPr>
                <w:rFonts w:ascii="宋体"/>
              </w:rPr>
            </w:pPr>
          </w:p>
        </w:tc>
        <w:tc>
          <w:tcPr>
            <w:tcW w:w="0" w:type="auto"/>
            <w:gridSpan w:val="3"/>
            <w:tcBorders>
              <w:top w:val="single" w:sz="8" w:space="0" w:color="0071C5"/>
            </w:tcBorders>
            <w:shd w:val="clear" w:color="auto" w:fill="auto"/>
            <w:tcMar>
              <w:left w:w="20" w:type="dxa"/>
              <w:right w:w="20" w:type="dxa"/>
            </w:tcMar>
            <w:vAlign w:val="bottom"/>
          </w:tcPr>
          <w:p w14:paraId="36CA23FE" w14:textId="77777777" w:rsidR="00787570" w:rsidRDefault="00787570">
            <w:pPr>
              <w:rPr>
                <w:rFonts w:ascii="宋体"/>
              </w:rPr>
            </w:pPr>
          </w:p>
        </w:tc>
        <w:tc>
          <w:tcPr>
            <w:tcW w:w="0" w:type="auto"/>
            <w:gridSpan w:val="3"/>
            <w:tcBorders>
              <w:top w:val="single" w:sz="8" w:space="0" w:color="0071C5"/>
            </w:tcBorders>
            <w:shd w:val="clear" w:color="auto" w:fill="auto"/>
            <w:tcMar>
              <w:left w:w="20" w:type="dxa"/>
              <w:right w:w="20" w:type="dxa"/>
            </w:tcMar>
            <w:vAlign w:val="bottom"/>
          </w:tcPr>
          <w:p w14:paraId="36CA23FF" w14:textId="77777777" w:rsidR="00787570" w:rsidRDefault="00787570">
            <w:pPr>
              <w:rPr>
                <w:rFonts w:ascii="宋体"/>
              </w:rPr>
            </w:pPr>
          </w:p>
        </w:tc>
        <w:tc>
          <w:tcPr>
            <w:tcW w:w="0" w:type="auto"/>
            <w:gridSpan w:val="3"/>
            <w:tcBorders>
              <w:top w:val="single" w:sz="8" w:space="0" w:color="0071C5"/>
            </w:tcBorders>
            <w:shd w:val="clear" w:color="auto" w:fill="auto"/>
            <w:tcMar>
              <w:left w:w="20" w:type="dxa"/>
              <w:right w:w="20" w:type="dxa"/>
            </w:tcMar>
            <w:vAlign w:val="bottom"/>
          </w:tcPr>
          <w:p w14:paraId="36CA2400" w14:textId="77777777" w:rsidR="00787570" w:rsidRDefault="00787570">
            <w:pPr>
              <w:rPr>
                <w:rFonts w:ascii="宋体"/>
              </w:rPr>
            </w:pPr>
          </w:p>
        </w:tc>
        <w:tc>
          <w:tcPr>
            <w:tcW w:w="0" w:type="auto"/>
            <w:gridSpan w:val="3"/>
            <w:tcBorders>
              <w:top w:val="single" w:sz="8" w:space="0" w:color="0071C5"/>
            </w:tcBorders>
            <w:shd w:val="clear" w:color="auto" w:fill="auto"/>
            <w:tcMar>
              <w:left w:w="20" w:type="dxa"/>
              <w:right w:w="20" w:type="dxa"/>
            </w:tcMar>
            <w:vAlign w:val="bottom"/>
          </w:tcPr>
          <w:p w14:paraId="36CA2401" w14:textId="77777777" w:rsidR="00787570" w:rsidRDefault="00787570">
            <w:pPr>
              <w:rPr>
                <w:rFonts w:ascii="宋体"/>
              </w:rPr>
            </w:pPr>
          </w:p>
        </w:tc>
        <w:tc>
          <w:tcPr>
            <w:tcW w:w="0" w:type="auto"/>
            <w:gridSpan w:val="3"/>
            <w:tcBorders>
              <w:top w:val="single" w:sz="8" w:space="0" w:color="0071C5"/>
            </w:tcBorders>
            <w:shd w:val="clear" w:color="auto" w:fill="auto"/>
            <w:tcMar>
              <w:left w:w="20" w:type="dxa"/>
              <w:right w:w="20" w:type="dxa"/>
            </w:tcMar>
            <w:vAlign w:val="bottom"/>
          </w:tcPr>
          <w:p w14:paraId="36CA2402" w14:textId="77777777" w:rsidR="00787570" w:rsidRDefault="00787570">
            <w:pPr>
              <w:rPr>
                <w:rFonts w:ascii="宋体"/>
              </w:rPr>
            </w:pPr>
          </w:p>
        </w:tc>
        <w:tc>
          <w:tcPr>
            <w:tcW w:w="0" w:type="auto"/>
            <w:gridSpan w:val="3"/>
            <w:tcBorders>
              <w:top w:val="single" w:sz="8" w:space="0" w:color="0071C5"/>
            </w:tcBorders>
            <w:shd w:val="clear" w:color="auto" w:fill="auto"/>
            <w:tcMar>
              <w:left w:w="20" w:type="dxa"/>
              <w:right w:w="20" w:type="dxa"/>
            </w:tcMar>
            <w:vAlign w:val="bottom"/>
          </w:tcPr>
          <w:p w14:paraId="36CA2403" w14:textId="77777777" w:rsidR="00787570" w:rsidRDefault="00787570">
            <w:pPr>
              <w:rPr>
                <w:rFonts w:ascii="宋体"/>
              </w:rPr>
            </w:pPr>
          </w:p>
        </w:tc>
        <w:tc>
          <w:tcPr>
            <w:tcW w:w="0" w:type="auto"/>
            <w:gridSpan w:val="3"/>
            <w:tcBorders>
              <w:top w:val="single" w:sz="8" w:space="0" w:color="0071C5"/>
            </w:tcBorders>
            <w:shd w:val="clear" w:color="auto" w:fill="auto"/>
            <w:tcMar>
              <w:left w:w="20" w:type="dxa"/>
              <w:right w:w="20" w:type="dxa"/>
            </w:tcMar>
            <w:vAlign w:val="bottom"/>
          </w:tcPr>
          <w:p w14:paraId="36CA2404" w14:textId="77777777" w:rsidR="00787570" w:rsidRDefault="00787570">
            <w:pPr>
              <w:rPr>
                <w:rFonts w:ascii="宋体"/>
              </w:rPr>
            </w:pPr>
          </w:p>
        </w:tc>
        <w:tc>
          <w:tcPr>
            <w:tcW w:w="0" w:type="auto"/>
            <w:gridSpan w:val="3"/>
            <w:tcBorders>
              <w:top w:val="single" w:sz="8" w:space="0" w:color="0071C5"/>
            </w:tcBorders>
            <w:shd w:val="clear" w:color="auto" w:fill="auto"/>
            <w:tcMar>
              <w:left w:w="20" w:type="dxa"/>
              <w:right w:w="20" w:type="dxa"/>
            </w:tcMar>
            <w:vAlign w:val="bottom"/>
          </w:tcPr>
          <w:p w14:paraId="36CA2405" w14:textId="77777777" w:rsidR="00787570" w:rsidRDefault="00787570">
            <w:pPr>
              <w:rPr>
                <w:rFonts w:ascii="宋体"/>
              </w:rPr>
            </w:pPr>
          </w:p>
        </w:tc>
        <w:tc>
          <w:tcPr>
            <w:tcW w:w="0" w:type="auto"/>
            <w:shd w:val="clear" w:color="auto" w:fill="auto"/>
          </w:tcPr>
          <w:p w14:paraId="36CA2406" w14:textId="77777777" w:rsidR="00787570" w:rsidRDefault="00787570">
            <w:pPr>
              <w:rPr>
                <w:rFonts w:ascii="宋体"/>
              </w:rPr>
            </w:pPr>
          </w:p>
        </w:tc>
        <w:tc>
          <w:tcPr>
            <w:tcW w:w="0" w:type="auto"/>
            <w:shd w:val="clear" w:color="auto" w:fill="auto"/>
          </w:tcPr>
          <w:p w14:paraId="36CA2407" w14:textId="77777777" w:rsidR="00787570" w:rsidRDefault="00787570">
            <w:pPr>
              <w:rPr>
                <w:rFonts w:ascii="宋体"/>
              </w:rPr>
            </w:pPr>
          </w:p>
        </w:tc>
        <w:tc>
          <w:tcPr>
            <w:tcW w:w="0" w:type="auto"/>
            <w:shd w:val="clear" w:color="auto" w:fill="auto"/>
          </w:tcPr>
          <w:p w14:paraId="36CA2408" w14:textId="77777777" w:rsidR="00787570" w:rsidRDefault="00787570">
            <w:pPr>
              <w:rPr>
                <w:rFonts w:ascii="宋体"/>
              </w:rPr>
            </w:pPr>
          </w:p>
        </w:tc>
        <w:tc>
          <w:tcPr>
            <w:tcW w:w="0" w:type="auto"/>
            <w:shd w:val="clear" w:color="auto" w:fill="auto"/>
          </w:tcPr>
          <w:p w14:paraId="36CA2409" w14:textId="77777777" w:rsidR="00787570" w:rsidRDefault="00787570">
            <w:pPr>
              <w:rPr>
                <w:rFonts w:ascii="宋体"/>
              </w:rPr>
            </w:pPr>
          </w:p>
        </w:tc>
        <w:tc>
          <w:tcPr>
            <w:tcW w:w="0" w:type="auto"/>
            <w:shd w:val="clear" w:color="auto" w:fill="auto"/>
          </w:tcPr>
          <w:p w14:paraId="36CA240A" w14:textId="77777777" w:rsidR="00787570" w:rsidRDefault="00787570">
            <w:pPr>
              <w:rPr>
                <w:rFonts w:ascii="宋体"/>
              </w:rPr>
            </w:pPr>
          </w:p>
        </w:tc>
        <w:tc>
          <w:tcPr>
            <w:tcW w:w="0" w:type="auto"/>
            <w:shd w:val="clear" w:color="auto" w:fill="auto"/>
          </w:tcPr>
          <w:p w14:paraId="36CA240B" w14:textId="77777777" w:rsidR="00787570" w:rsidRDefault="00787570">
            <w:pPr>
              <w:rPr>
                <w:rFonts w:ascii="宋体"/>
              </w:rPr>
            </w:pPr>
          </w:p>
        </w:tc>
        <w:tc>
          <w:tcPr>
            <w:tcW w:w="0" w:type="auto"/>
            <w:shd w:val="clear" w:color="auto" w:fill="auto"/>
          </w:tcPr>
          <w:p w14:paraId="36CA240C" w14:textId="77777777" w:rsidR="00787570" w:rsidRDefault="00787570">
            <w:pPr>
              <w:rPr>
                <w:rFonts w:ascii="宋体"/>
              </w:rPr>
            </w:pPr>
          </w:p>
        </w:tc>
        <w:tc>
          <w:tcPr>
            <w:tcW w:w="0" w:type="auto"/>
            <w:shd w:val="clear" w:color="auto" w:fill="auto"/>
          </w:tcPr>
          <w:p w14:paraId="36CA240D" w14:textId="77777777" w:rsidR="00787570" w:rsidRDefault="00787570">
            <w:pPr>
              <w:rPr>
                <w:rFonts w:ascii="宋体"/>
              </w:rPr>
            </w:pPr>
          </w:p>
        </w:tc>
        <w:tc>
          <w:tcPr>
            <w:tcW w:w="0" w:type="auto"/>
            <w:shd w:val="clear" w:color="auto" w:fill="auto"/>
          </w:tcPr>
          <w:p w14:paraId="36CA240E" w14:textId="77777777" w:rsidR="00787570" w:rsidRDefault="00787570">
            <w:pPr>
              <w:rPr>
                <w:rFonts w:ascii="宋体"/>
              </w:rPr>
            </w:pPr>
          </w:p>
        </w:tc>
      </w:tr>
      <w:tr w:rsidR="00787570" w14:paraId="36CA2424" w14:textId="77777777">
        <w:trPr>
          <w:trHeight w:val="60"/>
        </w:trPr>
        <w:tc>
          <w:tcPr>
            <w:tcW w:w="0" w:type="auto"/>
            <w:gridSpan w:val="3"/>
            <w:tcBorders>
              <w:top w:val="single" w:sz="8" w:space="0" w:color="0071C5"/>
            </w:tcBorders>
            <w:shd w:val="clear" w:color="auto" w:fill="auto"/>
            <w:tcMar>
              <w:left w:w="20" w:type="dxa"/>
              <w:right w:w="20" w:type="dxa"/>
            </w:tcMar>
            <w:vAlign w:val="bottom"/>
          </w:tcPr>
          <w:p w14:paraId="36CA2410" w14:textId="77777777" w:rsidR="00787570" w:rsidRDefault="00787570">
            <w:pPr>
              <w:rPr>
                <w:rFonts w:ascii="宋体"/>
              </w:rPr>
            </w:pPr>
          </w:p>
        </w:tc>
        <w:tc>
          <w:tcPr>
            <w:tcW w:w="0" w:type="auto"/>
            <w:gridSpan w:val="3"/>
            <w:tcBorders>
              <w:top w:val="single" w:sz="8" w:space="0" w:color="0071C5"/>
            </w:tcBorders>
            <w:shd w:val="clear" w:color="auto" w:fill="auto"/>
            <w:tcMar>
              <w:left w:w="20" w:type="dxa"/>
              <w:right w:w="20" w:type="dxa"/>
            </w:tcMar>
            <w:vAlign w:val="bottom"/>
          </w:tcPr>
          <w:p w14:paraId="36CA2411" w14:textId="77777777" w:rsidR="00787570" w:rsidRDefault="00787570">
            <w:pPr>
              <w:rPr>
                <w:rFonts w:ascii="宋体"/>
              </w:rPr>
            </w:pPr>
          </w:p>
        </w:tc>
        <w:tc>
          <w:tcPr>
            <w:tcW w:w="0" w:type="auto"/>
            <w:gridSpan w:val="3"/>
            <w:tcBorders>
              <w:top w:val="single" w:sz="8" w:space="0" w:color="0071C5"/>
            </w:tcBorders>
            <w:shd w:val="clear" w:color="auto" w:fill="auto"/>
            <w:tcMar>
              <w:left w:w="20" w:type="dxa"/>
              <w:right w:w="20" w:type="dxa"/>
            </w:tcMar>
            <w:vAlign w:val="bottom"/>
          </w:tcPr>
          <w:p w14:paraId="36CA2412" w14:textId="77777777" w:rsidR="00787570" w:rsidRDefault="00787570">
            <w:pPr>
              <w:rPr>
                <w:rFonts w:ascii="宋体"/>
              </w:rPr>
            </w:pPr>
          </w:p>
        </w:tc>
        <w:tc>
          <w:tcPr>
            <w:tcW w:w="0" w:type="auto"/>
            <w:gridSpan w:val="3"/>
            <w:tcBorders>
              <w:top w:val="single" w:sz="8" w:space="0" w:color="0071C5"/>
            </w:tcBorders>
            <w:shd w:val="clear" w:color="auto" w:fill="auto"/>
            <w:tcMar>
              <w:left w:w="20" w:type="dxa"/>
              <w:right w:w="20" w:type="dxa"/>
            </w:tcMar>
            <w:vAlign w:val="bottom"/>
          </w:tcPr>
          <w:p w14:paraId="36CA2413" w14:textId="77777777" w:rsidR="00787570" w:rsidRDefault="00787570">
            <w:pPr>
              <w:rPr>
                <w:rFonts w:ascii="宋体"/>
              </w:rPr>
            </w:pPr>
          </w:p>
        </w:tc>
        <w:tc>
          <w:tcPr>
            <w:tcW w:w="0" w:type="auto"/>
            <w:gridSpan w:val="3"/>
            <w:tcBorders>
              <w:top w:val="single" w:sz="8" w:space="0" w:color="0071C5"/>
            </w:tcBorders>
            <w:shd w:val="clear" w:color="auto" w:fill="auto"/>
            <w:tcMar>
              <w:left w:w="20" w:type="dxa"/>
              <w:right w:w="20" w:type="dxa"/>
            </w:tcMar>
            <w:vAlign w:val="bottom"/>
          </w:tcPr>
          <w:p w14:paraId="36CA2414" w14:textId="77777777" w:rsidR="00787570" w:rsidRDefault="00787570">
            <w:pPr>
              <w:rPr>
                <w:rFonts w:ascii="宋体"/>
              </w:rPr>
            </w:pPr>
          </w:p>
        </w:tc>
        <w:tc>
          <w:tcPr>
            <w:tcW w:w="0" w:type="auto"/>
            <w:gridSpan w:val="3"/>
            <w:tcBorders>
              <w:top w:val="single" w:sz="8" w:space="0" w:color="0071C5"/>
            </w:tcBorders>
            <w:shd w:val="clear" w:color="auto" w:fill="auto"/>
            <w:tcMar>
              <w:left w:w="20" w:type="dxa"/>
              <w:right w:w="20" w:type="dxa"/>
            </w:tcMar>
            <w:vAlign w:val="bottom"/>
          </w:tcPr>
          <w:p w14:paraId="36CA2415" w14:textId="77777777" w:rsidR="00787570" w:rsidRDefault="00787570">
            <w:pPr>
              <w:rPr>
                <w:rFonts w:ascii="宋体"/>
              </w:rPr>
            </w:pPr>
          </w:p>
        </w:tc>
        <w:tc>
          <w:tcPr>
            <w:tcW w:w="0" w:type="auto"/>
            <w:gridSpan w:val="3"/>
            <w:tcBorders>
              <w:top w:val="single" w:sz="8" w:space="0" w:color="0071C5"/>
            </w:tcBorders>
            <w:shd w:val="clear" w:color="auto" w:fill="auto"/>
            <w:tcMar>
              <w:left w:w="20" w:type="dxa"/>
              <w:right w:w="20" w:type="dxa"/>
            </w:tcMar>
            <w:vAlign w:val="bottom"/>
          </w:tcPr>
          <w:p w14:paraId="36CA2416" w14:textId="77777777" w:rsidR="00787570" w:rsidRDefault="00787570">
            <w:pPr>
              <w:rPr>
                <w:rFonts w:ascii="宋体"/>
              </w:rPr>
            </w:pPr>
          </w:p>
        </w:tc>
        <w:tc>
          <w:tcPr>
            <w:tcW w:w="0" w:type="auto"/>
            <w:gridSpan w:val="3"/>
            <w:tcBorders>
              <w:top w:val="single" w:sz="8" w:space="0" w:color="0071C5"/>
            </w:tcBorders>
            <w:shd w:val="clear" w:color="auto" w:fill="auto"/>
            <w:tcMar>
              <w:left w:w="20" w:type="dxa"/>
              <w:right w:w="20" w:type="dxa"/>
            </w:tcMar>
            <w:vAlign w:val="bottom"/>
          </w:tcPr>
          <w:p w14:paraId="36CA2417" w14:textId="77777777" w:rsidR="00787570" w:rsidRDefault="00787570">
            <w:pPr>
              <w:rPr>
                <w:rFonts w:ascii="宋体"/>
              </w:rPr>
            </w:pPr>
          </w:p>
        </w:tc>
        <w:tc>
          <w:tcPr>
            <w:tcW w:w="0" w:type="auto"/>
            <w:gridSpan w:val="3"/>
            <w:tcBorders>
              <w:top w:val="single" w:sz="8" w:space="0" w:color="0071C5"/>
            </w:tcBorders>
            <w:shd w:val="clear" w:color="auto" w:fill="auto"/>
            <w:tcMar>
              <w:left w:w="20" w:type="dxa"/>
              <w:right w:w="20" w:type="dxa"/>
            </w:tcMar>
            <w:vAlign w:val="bottom"/>
          </w:tcPr>
          <w:p w14:paraId="36CA2418" w14:textId="77777777" w:rsidR="00787570" w:rsidRDefault="00787570">
            <w:pPr>
              <w:rPr>
                <w:rFonts w:ascii="宋体"/>
              </w:rPr>
            </w:pPr>
          </w:p>
        </w:tc>
        <w:tc>
          <w:tcPr>
            <w:tcW w:w="0" w:type="auto"/>
            <w:gridSpan w:val="3"/>
            <w:tcBorders>
              <w:top w:val="single" w:sz="8" w:space="0" w:color="0071C5"/>
            </w:tcBorders>
            <w:shd w:val="clear" w:color="auto" w:fill="auto"/>
            <w:tcMar>
              <w:left w:w="20" w:type="dxa"/>
              <w:right w:w="20" w:type="dxa"/>
            </w:tcMar>
            <w:vAlign w:val="bottom"/>
          </w:tcPr>
          <w:p w14:paraId="36CA2419" w14:textId="77777777" w:rsidR="00787570" w:rsidRDefault="00787570">
            <w:pPr>
              <w:rPr>
                <w:rFonts w:ascii="宋体"/>
              </w:rPr>
            </w:pPr>
          </w:p>
        </w:tc>
        <w:tc>
          <w:tcPr>
            <w:tcW w:w="0" w:type="auto"/>
            <w:gridSpan w:val="3"/>
            <w:tcBorders>
              <w:top w:val="single" w:sz="8" w:space="0" w:color="0071C5"/>
            </w:tcBorders>
            <w:shd w:val="clear" w:color="auto" w:fill="auto"/>
            <w:tcMar>
              <w:left w:w="20" w:type="dxa"/>
              <w:right w:w="20" w:type="dxa"/>
            </w:tcMar>
            <w:vAlign w:val="bottom"/>
          </w:tcPr>
          <w:p w14:paraId="36CA241A" w14:textId="77777777" w:rsidR="00787570" w:rsidRDefault="00787570">
            <w:pPr>
              <w:rPr>
                <w:rFonts w:ascii="宋体"/>
              </w:rPr>
            </w:pPr>
          </w:p>
        </w:tc>
        <w:tc>
          <w:tcPr>
            <w:tcW w:w="0" w:type="auto"/>
            <w:shd w:val="clear" w:color="auto" w:fill="auto"/>
          </w:tcPr>
          <w:p w14:paraId="36CA241B" w14:textId="77777777" w:rsidR="00787570" w:rsidRDefault="00787570">
            <w:pPr>
              <w:rPr>
                <w:rFonts w:ascii="宋体"/>
              </w:rPr>
            </w:pPr>
          </w:p>
        </w:tc>
        <w:tc>
          <w:tcPr>
            <w:tcW w:w="0" w:type="auto"/>
            <w:shd w:val="clear" w:color="auto" w:fill="auto"/>
          </w:tcPr>
          <w:p w14:paraId="36CA241C" w14:textId="77777777" w:rsidR="00787570" w:rsidRDefault="00787570">
            <w:pPr>
              <w:rPr>
                <w:rFonts w:ascii="宋体"/>
              </w:rPr>
            </w:pPr>
          </w:p>
        </w:tc>
        <w:tc>
          <w:tcPr>
            <w:tcW w:w="0" w:type="auto"/>
            <w:shd w:val="clear" w:color="auto" w:fill="auto"/>
          </w:tcPr>
          <w:p w14:paraId="36CA241D" w14:textId="77777777" w:rsidR="00787570" w:rsidRDefault="00787570">
            <w:pPr>
              <w:rPr>
                <w:rFonts w:ascii="宋体"/>
              </w:rPr>
            </w:pPr>
          </w:p>
        </w:tc>
        <w:tc>
          <w:tcPr>
            <w:tcW w:w="0" w:type="auto"/>
            <w:shd w:val="clear" w:color="auto" w:fill="auto"/>
          </w:tcPr>
          <w:p w14:paraId="36CA241E" w14:textId="77777777" w:rsidR="00787570" w:rsidRDefault="00787570">
            <w:pPr>
              <w:rPr>
                <w:rFonts w:ascii="宋体"/>
              </w:rPr>
            </w:pPr>
          </w:p>
        </w:tc>
        <w:tc>
          <w:tcPr>
            <w:tcW w:w="0" w:type="auto"/>
            <w:shd w:val="clear" w:color="auto" w:fill="auto"/>
          </w:tcPr>
          <w:p w14:paraId="36CA241F" w14:textId="77777777" w:rsidR="00787570" w:rsidRDefault="00787570">
            <w:pPr>
              <w:rPr>
                <w:rFonts w:ascii="宋体"/>
              </w:rPr>
            </w:pPr>
          </w:p>
        </w:tc>
        <w:tc>
          <w:tcPr>
            <w:tcW w:w="0" w:type="auto"/>
            <w:shd w:val="clear" w:color="auto" w:fill="auto"/>
          </w:tcPr>
          <w:p w14:paraId="36CA2420" w14:textId="77777777" w:rsidR="00787570" w:rsidRDefault="00787570">
            <w:pPr>
              <w:rPr>
                <w:rFonts w:ascii="宋体"/>
              </w:rPr>
            </w:pPr>
          </w:p>
        </w:tc>
        <w:tc>
          <w:tcPr>
            <w:tcW w:w="0" w:type="auto"/>
            <w:shd w:val="clear" w:color="auto" w:fill="auto"/>
          </w:tcPr>
          <w:p w14:paraId="36CA2421" w14:textId="77777777" w:rsidR="00787570" w:rsidRDefault="00787570">
            <w:pPr>
              <w:rPr>
                <w:rFonts w:ascii="宋体"/>
              </w:rPr>
            </w:pPr>
          </w:p>
        </w:tc>
        <w:tc>
          <w:tcPr>
            <w:tcW w:w="0" w:type="auto"/>
            <w:shd w:val="clear" w:color="auto" w:fill="auto"/>
          </w:tcPr>
          <w:p w14:paraId="36CA2422" w14:textId="77777777" w:rsidR="00787570" w:rsidRDefault="00787570">
            <w:pPr>
              <w:rPr>
                <w:rFonts w:ascii="宋体"/>
              </w:rPr>
            </w:pPr>
          </w:p>
        </w:tc>
        <w:tc>
          <w:tcPr>
            <w:tcW w:w="0" w:type="auto"/>
            <w:shd w:val="clear" w:color="auto" w:fill="auto"/>
          </w:tcPr>
          <w:p w14:paraId="36CA2423" w14:textId="77777777" w:rsidR="00787570" w:rsidRDefault="00787570">
            <w:pPr>
              <w:rPr>
                <w:rFonts w:ascii="宋体"/>
              </w:rPr>
            </w:pPr>
          </w:p>
        </w:tc>
      </w:tr>
      <w:tr w:rsidR="00787570" w14:paraId="36CA2442" w14:textId="77777777">
        <w:tc>
          <w:tcPr>
            <w:tcW w:w="0" w:type="auto"/>
            <w:gridSpan w:val="3"/>
            <w:shd w:val="clear" w:color="auto" w:fill="auto"/>
            <w:tcMar>
              <w:top w:w="40" w:type="dxa"/>
              <w:left w:w="20" w:type="dxa"/>
              <w:bottom w:w="40" w:type="dxa"/>
              <w:right w:w="20" w:type="dxa"/>
            </w:tcMar>
            <w:vAlign w:val="bottom"/>
          </w:tcPr>
          <w:p w14:paraId="36CA2425" w14:textId="77777777" w:rsidR="00787570" w:rsidRDefault="000D56E2">
            <w:pPr>
              <w:textAlignment w:val="bottom"/>
            </w:pPr>
            <w:r>
              <w:rPr>
                <w:rFonts w:ascii="Arial" w:eastAsia="宋体" w:hAnsi="Arial" w:cs="Arial"/>
                <w:b/>
                <w:bCs/>
                <w:color w:val="333333"/>
                <w:sz w:val="18"/>
                <w:szCs w:val="18"/>
              </w:rPr>
              <w:t>Balance as of December 28, 2019</w:t>
            </w:r>
          </w:p>
        </w:tc>
        <w:tc>
          <w:tcPr>
            <w:tcW w:w="0" w:type="auto"/>
            <w:gridSpan w:val="3"/>
            <w:shd w:val="clear" w:color="auto" w:fill="auto"/>
            <w:tcMar>
              <w:left w:w="20" w:type="dxa"/>
              <w:right w:w="20" w:type="dxa"/>
            </w:tcMar>
            <w:vAlign w:val="bottom"/>
          </w:tcPr>
          <w:p w14:paraId="36CA2426"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2427" w14:textId="77777777" w:rsidR="00787570" w:rsidRDefault="000D56E2">
            <w:pPr>
              <w:jc w:val="right"/>
              <w:textAlignment w:val="bottom"/>
            </w:pPr>
            <w:r>
              <w:rPr>
                <w:rFonts w:ascii="Arial" w:eastAsia="宋体" w:hAnsi="Arial" w:cs="Arial"/>
                <w:b/>
                <w:bCs/>
                <w:color w:val="333333"/>
                <w:sz w:val="18"/>
                <w:szCs w:val="18"/>
              </w:rPr>
              <w:t>4,290</w:t>
            </w:r>
            <w:r>
              <w:rPr>
                <w:rFonts w:ascii="Arial" w:eastAsia="宋体" w:hAnsi="Arial" w:cs="Arial"/>
                <w:color w:val="333333"/>
                <w:sz w:val="18"/>
                <w:szCs w:val="18"/>
              </w:rPr>
              <w:t> </w:t>
            </w:r>
          </w:p>
        </w:tc>
        <w:tc>
          <w:tcPr>
            <w:tcW w:w="0" w:type="auto"/>
            <w:shd w:val="clear" w:color="auto" w:fill="auto"/>
            <w:tcMar>
              <w:top w:w="40" w:type="dxa"/>
              <w:bottom w:w="40" w:type="dxa"/>
              <w:right w:w="20" w:type="dxa"/>
            </w:tcMar>
            <w:vAlign w:val="bottom"/>
          </w:tcPr>
          <w:p w14:paraId="36CA2428"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2429" w14:textId="77777777" w:rsidR="00787570" w:rsidRDefault="00787570">
            <w:pPr>
              <w:rPr>
                <w:rFonts w:ascii="宋体"/>
              </w:rPr>
            </w:pPr>
          </w:p>
        </w:tc>
        <w:tc>
          <w:tcPr>
            <w:tcW w:w="0" w:type="auto"/>
            <w:shd w:val="clear" w:color="auto" w:fill="auto"/>
            <w:tcMar>
              <w:top w:w="40" w:type="dxa"/>
              <w:left w:w="20" w:type="dxa"/>
              <w:bottom w:w="40" w:type="dxa"/>
            </w:tcMar>
            <w:vAlign w:val="bottom"/>
          </w:tcPr>
          <w:p w14:paraId="36CA242A" w14:textId="77777777" w:rsidR="00787570" w:rsidRDefault="000D56E2">
            <w:pPr>
              <w:textAlignment w:val="bottom"/>
            </w:pPr>
            <w:r>
              <w:rPr>
                <w:rFonts w:ascii="Arial" w:eastAsia="宋体" w:hAnsi="Arial" w:cs="Arial"/>
                <w:b/>
                <w:bCs/>
                <w:color w:val="333333"/>
                <w:sz w:val="18"/>
                <w:szCs w:val="18"/>
              </w:rPr>
              <w:t>$</w:t>
            </w:r>
          </w:p>
        </w:tc>
        <w:tc>
          <w:tcPr>
            <w:tcW w:w="0" w:type="auto"/>
            <w:shd w:val="clear" w:color="auto" w:fill="auto"/>
            <w:tcMar>
              <w:top w:w="40" w:type="dxa"/>
              <w:bottom w:w="40" w:type="dxa"/>
              <w:right w:w="0" w:type="dxa"/>
            </w:tcMar>
            <w:vAlign w:val="bottom"/>
          </w:tcPr>
          <w:p w14:paraId="36CA242B" w14:textId="77777777" w:rsidR="00787570" w:rsidRDefault="000D56E2">
            <w:pPr>
              <w:jc w:val="right"/>
              <w:textAlignment w:val="bottom"/>
            </w:pPr>
            <w:r>
              <w:rPr>
                <w:rFonts w:ascii="Arial" w:eastAsia="宋体" w:hAnsi="Arial" w:cs="Arial"/>
                <w:b/>
                <w:bCs/>
                <w:color w:val="333333"/>
                <w:sz w:val="18"/>
                <w:szCs w:val="18"/>
              </w:rPr>
              <w:t>25,261</w:t>
            </w:r>
            <w:r>
              <w:rPr>
                <w:rFonts w:ascii="Arial" w:eastAsia="宋体" w:hAnsi="Arial" w:cs="Arial"/>
                <w:color w:val="333333"/>
                <w:sz w:val="18"/>
                <w:szCs w:val="18"/>
              </w:rPr>
              <w:t> </w:t>
            </w:r>
          </w:p>
        </w:tc>
        <w:tc>
          <w:tcPr>
            <w:tcW w:w="0" w:type="auto"/>
            <w:shd w:val="clear" w:color="auto" w:fill="auto"/>
            <w:tcMar>
              <w:top w:w="40" w:type="dxa"/>
              <w:bottom w:w="40" w:type="dxa"/>
              <w:right w:w="20" w:type="dxa"/>
            </w:tcMar>
            <w:vAlign w:val="bottom"/>
          </w:tcPr>
          <w:p w14:paraId="36CA242C"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242D" w14:textId="77777777" w:rsidR="00787570" w:rsidRDefault="00787570">
            <w:pPr>
              <w:rPr>
                <w:rFonts w:ascii="宋体"/>
              </w:rPr>
            </w:pPr>
          </w:p>
        </w:tc>
        <w:tc>
          <w:tcPr>
            <w:tcW w:w="0" w:type="auto"/>
            <w:shd w:val="clear" w:color="auto" w:fill="auto"/>
            <w:tcMar>
              <w:top w:w="40" w:type="dxa"/>
              <w:left w:w="20" w:type="dxa"/>
              <w:bottom w:w="40" w:type="dxa"/>
            </w:tcMar>
            <w:vAlign w:val="bottom"/>
          </w:tcPr>
          <w:p w14:paraId="36CA242E" w14:textId="77777777" w:rsidR="00787570" w:rsidRDefault="000D56E2">
            <w:pPr>
              <w:textAlignment w:val="bottom"/>
            </w:pPr>
            <w:r>
              <w:rPr>
                <w:rFonts w:ascii="Arial" w:eastAsia="宋体" w:hAnsi="Arial" w:cs="Arial"/>
                <w:b/>
                <w:bCs/>
                <w:color w:val="333333"/>
                <w:sz w:val="18"/>
                <w:szCs w:val="18"/>
              </w:rPr>
              <w:t>$</w:t>
            </w:r>
          </w:p>
        </w:tc>
        <w:tc>
          <w:tcPr>
            <w:tcW w:w="0" w:type="auto"/>
            <w:shd w:val="clear" w:color="auto" w:fill="auto"/>
            <w:tcMar>
              <w:top w:w="40" w:type="dxa"/>
              <w:bottom w:w="40" w:type="dxa"/>
              <w:right w:w="0" w:type="dxa"/>
            </w:tcMar>
            <w:vAlign w:val="bottom"/>
          </w:tcPr>
          <w:p w14:paraId="36CA242F" w14:textId="77777777" w:rsidR="00787570" w:rsidRDefault="000D56E2">
            <w:pPr>
              <w:jc w:val="right"/>
              <w:textAlignment w:val="bottom"/>
            </w:pPr>
            <w:r>
              <w:rPr>
                <w:rFonts w:ascii="Arial" w:eastAsia="宋体" w:hAnsi="Arial" w:cs="Arial"/>
                <w:b/>
                <w:bCs/>
                <w:color w:val="333333"/>
                <w:sz w:val="18"/>
                <w:szCs w:val="18"/>
              </w:rPr>
              <w:t>(1,280)</w:t>
            </w:r>
          </w:p>
        </w:tc>
        <w:tc>
          <w:tcPr>
            <w:tcW w:w="0" w:type="auto"/>
            <w:shd w:val="clear" w:color="auto" w:fill="auto"/>
            <w:tcMar>
              <w:top w:w="40" w:type="dxa"/>
              <w:bottom w:w="40" w:type="dxa"/>
              <w:right w:w="20" w:type="dxa"/>
            </w:tcMar>
            <w:vAlign w:val="bottom"/>
          </w:tcPr>
          <w:p w14:paraId="36CA2430"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2431" w14:textId="77777777" w:rsidR="00787570" w:rsidRDefault="00787570">
            <w:pPr>
              <w:rPr>
                <w:rFonts w:ascii="宋体"/>
              </w:rPr>
            </w:pPr>
          </w:p>
        </w:tc>
        <w:tc>
          <w:tcPr>
            <w:tcW w:w="0" w:type="auto"/>
            <w:shd w:val="clear" w:color="auto" w:fill="auto"/>
            <w:tcMar>
              <w:top w:w="40" w:type="dxa"/>
              <w:left w:w="20" w:type="dxa"/>
              <w:bottom w:w="40" w:type="dxa"/>
            </w:tcMar>
            <w:vAlign w:val="bottom"/>
          </w:tcPr>
          <w:p w14:paraId="36CA2432" w14:textId="77777777" w:rsidR="00787570" w:rsidRDefault="000D56E2">
            <w:pPr>
              <w:textAlignment w:val="bottom"/>
            </w:pPr>
            <w:r>
              <w:rPr>
                <w:rFonts w:ascii="Arial" w:eastAsia="宋体" w:hAnsi="Arial" w:cs="Arial"/>
                <w:b/>
                <w:bCs/>
                <w:color w:val="333333"/>
                <w:sz w:val="18"/>
                <w:szCs w:val="18"/>
              </w:rPr>
              <w:t>$</w:t>
            </w:r>
          </w:p>
        </w:tc>
        <w:tc>
          <w:tcPr>
            <w:tcW w:w="0" w:type="auto"/>
            <w:shd w:val="clear" w:color="auto" w:fill="auto"/>
            <w:tcMar>
              <w:top w:w="40" w:type="dxa"/>
              <w:bottom w:w="40" w:type="dxa"/>
              <w:right w:w="0" w:type="dxa"/>
            </w:tcMar>
            <w:vAlign w:val="bottom"/>
          </w:tcPr>
          <w:p w14:paraId="36CA2433" w14:textId="77777777" w:rsidR="00787570" w:rsidRDefault="000D56E2">
            <w:pPr>
              <w:jc w:val="right"/>
              <w:textAlignment w:val="bottom"/>
            </w:pPr>
            <w:r>
              <w:rPr>
                <w:rFonts w:ascii="Arial" w:eastAsia="宋体" w:hAnsi="Arial" w:cs="Arial"/>
                <w:b/>
                <w:bCs/>
                <w:color w:val="333333"/>
                <w:sz w:val="18"/>
                <w:szCs w:val="18"/>
              </w:rPr>
              <w:t>53,523</w:t>
            </w:r>
            <w:r>
              <w:rPr>
                <w:rFonts w:ascii="Arial" w:eastAsia="宋体" w:hAnsi="Arial" w:cs="Arial"/>
                <w:color w:val="333333"/>
                <w:sz w:val="18"/>
                <w:szCs w:val="18"/>
              </w:rPr>
              <w:t> </w:t>
            </w:r>
          </w:p>
        </w:tc>
        <w:tc>
          <w:tcPr>
            <w:tcW w:w="0" w:type="auto"/>
            <w:shd w:val="clear" w:color="auto" w:fill="auto"/>
            <w:tcMar>
              <w:top w:w="40" w:type="dxa"/>
              <w:bottom w:w="40" w:type="dxa"/>
              <w:right w:w="20" w:type="dxa"/>
            </w:tcMar>
            <w:vAlign w:val="bottom"/>
          </w:tcPr>
          <w:p w14:paraId="36CA2434"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2435" w14:textId="77777777" w:rsidR="00787570" w:rsidRDefault="00787570">
            <w:pPr>
              <w:rPr>
                <w:rFonts w:ascii="宋体"/>
              </w:rPr>
            </w:pPr>
          </w:p>
        </w:tc>
        <w:tc>
          <w:tcPr>
            <w:tcW w:w="0" w:type="auto"/>
            <w:shd w:val="clear" w:color="auto" w:fill="auto"/>
            <w:tcMar>
              <w:top w:w="40" w:type="dxa"/>
              <w:left w:w="20" w:type="dxa"/>
              <w:bottom w:w="40" w:type="dxa"/>
            </w:tcMar>
            <w:vAlign w:val="bottom"/>
          </w:tcPr>
          <w:p w14:paraId="36CA2436" w14:textId="77777777" w:rsidR="00787570" w:rsidRDefault="000D56E2">
            <w:pPr>
              <w:textAlignment w:val="bottom"/>
            </w:pPr>
            <w:r>
              <w:rPr>
                <w:rFonts w:ascii="Arial" w:eastAsia="宋体" w:hAnsi="Arial" w:cs="Arial"/>
                <w:b/>
                <w:bCs/>
                <w:color w:val="333333"/>
                <w:sz w:val="18"/>
                <w:szCs w:val="18"/>
              </w:rPr>
              <w:t>$</w:t>
            </w:r>
          </w:p>
        </w:tc>
        <w:tc>
          <w:tcPr>
            <w:tcW w:w="0" w:type="auto"/>
            <w:shd w:val="clear" w:color="auto" w:fill="auto"/>
            <w:tcMar>
              <w:top w:w="40" w:type="dxa"/>
              <w:bottom w:w="40" w:type="dxa"/>
              <w:right w:w="0" w:type="dxa"/>
            </w:tcMar>
            <w:vAlign w:val="bottom"/>
          </w:tcPr>
          <w:p w14:paraId="36CA2437" w14:textId="77777777" w:rsidR="00787570" w:rsidRDefault="000D56E2">
            <w:pPr>
              <w:jc w:val="right"/>
              <w:textAlignment w:val="bottom"/>
            </w:pPr>
            <w:r>
              <w:rPr>
                <w:rFonts w:ascii="Arial" w:eastAsia="宋体" w:hAnsi="Arial" w:cs="Arial"/>
                <w:b/>
                <w:bCs/>
                <w:color w:val="333333"/>
                <w:sz w:val="18"/>
                <w:szCs w:val="18"/>
              </w:rPr>
              <w:t>77,504</w:t>
            </w:r>
            <w:r>
              <w:rPr>
                <w:rFonts w:ascii="Arial" w:eastAsia="宋体" w:hAnsi="Arial" w:cs="Arial"/>
                <w:color w:val="333333"/>
                <w:sz w:val="18"/>
                <w:szCs w:val="18"/>
              </w:rPr>
              <w:t> </w:t>
            </w:r>
          </w:p>
        </w:tc>
        <w:tc>
          <w:tcPr>
            <w:tcW w:w="0" w:type="auto"/>
            <w:shd w:val="clear" w:color="auto" w:fill="auto"/>
            <w:tcMar>
              <w:top w:w="40" w:type="dxa"/>
              <w:bottom w:w="40" w:type="dxa"/>
              <w:right w:w="20" w:type="dxa"/>
            </w:tcMar>
            <w:vAlign w:val="bottom"/>
          </w:tcPr>
          <w:p w14:paraId="36CA2438" w14:textId="77777777" w:rsidR="00787570" w:rsidRDefault="00787570">
            <w:pPr>
              <w:jc w:val="right"/>
              <w:rPr>
                <w:rFonts w:ascii="宋体"/>
              </w:rPr>
            </w:pPr>
          </w:p>
        </w:tc>
        <w:tc>
          <w:tcPr>
            <w:tcW w:w="0" w:type="auto"/>
            <w:shd w:val="clear" w:color="auto" w:fill="auto"/>
          </w:tcPr>
          <w:p w14:paraId="36CA2439" w14:textId="77777777" w:rsidR="00787570" w:rsidRDefault="00787570">
            <w:pPr>
              <w:rPr>
                <w:rFonts w:ascii="宋体"/>
              </w:rPr>
            </w:pPr>
          </w:p>
        </w:tc>
        <w:tc>
          <w:tcPr>
            <w:tcW w:w="0" w:type="auto"/>
            <w:shd w:val="clear" w:color="auto" w:fill="auto"/>
          </w:tcPr>
          <w:p w14:paraId="36CA243A" w14:textId="77777777" w:rsidR="00787570" w:rsidRDefault="00787570">
            <w:pPr>
              <w:rPr>
                <w:rFonts w:ascii="宋体"/>
              </w:rPr>
            </w:pPr>
          </w:p>
        </w:tc>
        <w:tc>
          <w:tcPr>
            <w:tcW w:w="0" w:type="auto"/>
            <w:shd w:val="clear" w:color="auto" w:fill="auto"/>
          </w:tcPr>
          <w:p w14:paraId="36CA243B" w14:textId="77777777" w:rsidR="00787570" w:rsidRDefault="00787570">
            <w:pPr>
              <w:rPr>
                <w:rFonts w:ascii="宋体"/>
              </w:rPr>
            </w:pPr>
          </w:p>
        </w:tc>
        <w:tc>
          <w:tcPr>
            <w:tcW w:w="0" w:type="auto"/>
            <w:shd w:val="clear" w:color="auto" w:fill="auto"/>
          </w:tcPr>
          <w:p w14:paraId="36CA243C" w14:textId="77777777" w:rsidR="00787570" w:rsidRDefault="00787570">
            <w:pPr>
              <w:rPr>
                <w:rFonts w:ascii="宋体"/>
              </w:rPr>
            </w:pPr>
          </w:p>
        </w:tc>
        <w:tc>
          <w:tcPr>
            <w:tcW w:w="0" w:type="auto"/>
            <w:shd w:val="clear" w:color="auto" w:fill="auto"/>
          </w:tcPr>
          <w:p w14:paraId="36CA243D" w14:textId="77777777" w:rsidR="00787570" w:rsidRDefault="00787570">
            <w:pPr>
              <w:rPr>
                <w:rFonts w:ascii="宋体"/>
              </w:rPr>
            </w:pPr>
          </w:p>
        </w:tc>
        <w:tc>
          <w:tcPr>
            <w:tcW w:w="0" w:type="auto"/>
            <w:shd w:val="clear" w:color="auto" w:fill="auto"/>
          </w:tcPr>
          <w:p w14:paraId="36CA243E" w14:textId="77777777" w:rsidR="00787570" w:rsidRDefault="00787570">
            <w:pPr>
              <w:rPr>
                <w:rFonts w:ascii="宋体"/>
              </w:rPr>
            </w:pPr>
          </w:p>
        </w:tc>
        <w:tc>
          <w:tcPr>
            <w:tcW w:w="0" w:type="auto"/>
            <w:shd w:val="clear" w:color="auto" w:fill="auto"/>
          </w:tcPr>
          <w:p w14:paraId="36CA243F" w14:textId="77777777" w:rsidR="00787570" w:rsidRDefault="00787570">
            <w:pPr>
              <w:rPr>
                <w:rFonts w:ascii="宋体"/>
              </w:rPr>
            </w:pPr>
          </w:p>
        </w:tc>
        <w:tc>
          <w:tcPr>
            <w:tcW w:w="0" w:type="auto"/>
            <w:shd w:val="clear" w:color="auto" w:fill="auto"/>
          </w:tcPr>
          <w:p w14:paraId="36CA2440" w14:textId="77777777" w:rsidR="00787570" w:rsidRDefault="00787570">
            <w:pPr>
              <w:rPr>
                <w:rFonts w:ascii="宋体"/>
              </w:rPr>
            </w:pPr>
          </w:p>
        </w:tc>
        <w:tc>
          <w:tcPr>
            <w:tcW w:w="0" w:type="auto"/>
            <w:shd w:val="clear" w:color="auto" w:fill="auto"/>
          </w:tcPr>
          <w:p w14:paraId="36CA2441" w14:textId="77777777" w:rsidR="00787570" w:rsidRDefault="00787570">
            <w:pPr>
              <w:rPr>
                <w:rFonts w:ascii="宋体"/>
              </w:rPr>
            </w:pPr>
          </w:p>
        </w:tc>
      </w:tr>
      <w:tr w:rsidR="00787570" w14:paraId="36CA245C" w14:textId="77777777">
        <w:tc>
          <w:tcPr>
            <w:tcW w:w="0" w:type="auto"/>
            <w:gridSpan w:val="3"/>
            <w:shd w:val="clear" w:color="auto" w:fill="auto"/>
            <w:tcMar>
              <w:top w:w="40" w:type="dxa"/>
              <w:left w:w="20" w:type="dxa"/>
              <w:bottom w:w="40" w:type="dxa"/>
              <w:right w:w="20" w:type="dxa"/>
            </w:tcMar>
            <w:vAlign w:val="bottom"/>
          </w:tcPr>
          <w:p w14:paraId="36CA2443" w14:textId="77777777" w:rsidR="00787570" w:rsidRDefault="000D56E2">
            <w:pPr>
              <w:textAlignment w:val="bottom"/>
            </w:pPr>
            <w:r>
              <w:rPr>
                <w:rFonts w:ascii="Arial" w:eastAsia="宋体" w:hAnsi="Arial" w:cs="Arial"/>
                <w:color w:val="333333"/>
                <w:sz w:val="18"/>
                <w:szCs w:val="18"/>
              </w:rPr>
              <w:t>Net income</w:t>
            </w:r>
          </w:p>
        </w:tc>
        <w:tc>
          <w:tcPr>
            <w:tcW w:w="0" w:type="auto"/>
            <w:gridSpan w:val="3"/>
            <w:shd w:val="clear" w:color="auto" w:fill="auto"/>
            <w:tcMar>
              <w:left w:w="20" w:type="dxa"/>
              <w:right w:w="20" w:type="dxa"/>
            </w:tcMar>
            <w:vAlign w:val="bottom"/>
          </w:tcPr>
          <w:p w14:paraId="36CA2444"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2445" w14:textId="77777777" w:rsidR="00787570" w:rsidRDefault="000D56E2">
            <w:pPr>
              <w:jc w:val="right"/>
              <w:textAlignment w:val="bottom"/>
            </w:pPr>
            <w:r>
              <w:rPr>
                <w:rFonts w:ascii="Arial" w:eastAsia="宋体" w:hAnsi="Arial" w:cs="Arial"/>
                <w:color w:val="0071C5"/>
                <w:sz w:val="18"/>
                <w:szCs w:val="18"/>
              </w:rPr>
              <w:t>— </w:t>
            </w:r>
          </w:p>
        </w:tc>
        <w:tc>
          <w:tcPr>
            <w:tcW w:w="0" w:type="auto"/>
            <w:shd w:val="clear" w:color="auto" w:fill="auto"/>
            <w:tcMar>
              <w:top w:w="40" w:type="dxa"/>
              <w:bottom w:w="40" w:type="dxa"/>
              <w:right w:w="20" w:type="dxa"/>
            </w:tcMar>
            <w:vAlign w:val="bottom"/>
          </w:tcPr>
          <w:p w14:paraId="36CA2446"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2447"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2448" w14:textId="77777777" w:rsidR="00787570" w:rsidRDefault="000D56E2">
            <w:pPr>
              <w:jc w:val="right"/>
              <w:textAlignment w:val="bottom"/>
            </w:pPr>
            <w:r>
              <w:rPr>
                <w:rFonts w:ascii="Arial" w:eastAsia="宋体" w:hAnsi="Arial" w:cs="Arial"/>
                <w:color w:val="0071C5"/>
                <w:sz w:val="18"/>
                <w:szCs w:val="18"/>
              </w:rPr>
              <w:t>— </w:t>
            </w:r>
          </w:p>
        </w:tc>
        <w:tc>
          <w:tcPr>
            <w:tcW w:w="0" w:type="auto"/>
            <w:shd w:val="clear" w:color="auto" w:fill="auto"/>
            <w:tcMar>
              <w:top w:w="40" w:type="dxa"/>
              <w:bottom w:w="40" w:type="dxa"/>
              <w:right w:w="20" w:type="dxa"/>
            </w:tcMar>
            <w:vAlign w:val="bottom"/>
          </w:tcPr>
          <w:p w14:paraId="36CA2449"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244A"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244B" w14:textId="77777777" w:rsidR="00787570" w:rsidRDefault="000D56E2">
            <w:pPr>
              <w:jc w:val="right"/>
              <w:textAlignment w:val="bottom"/>
            </w:pPr>
            <w:r>
              <w:rPr>
                <w:rFonts w:ascii="Arial" w:eastAsia="宋体" w:hAnsi="Arial" w:cs="Arial"/>
                <w:color w:val="0071C5"/>
                <w:sz w:val="18"/>
                <w:szCs w:val="18"/>
              </w:rPr>
              <w:t>— </w:t>
            </w:r>
          </w:p>
        </w:tc>
        <w:tc>
          <w:tcPr>
            <w:tcW w:w="0" w:type="auto"/>
            <w:shd w:val="clear" w:color="auto" w:fill="auto"/>
            <w:tcMar>
              <w:top w:w="40" w:type="dxa"/>
              <w:bottom w:w="40" w:type="dxa"/>
              <w:right w:w="20" w:type="dxa"/>
            </w:tcMar>
            <w:vAlign w:val="bottom"/>
          </w:tcPr>
          <w:p w14:paraId="36CA244C"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244D"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244E" w14:textId="77777777" w:rsidR="00787570" w:rsidRDefault="000D56E2">
            <w:pPr>
              <w:jc w:val="right"/>
              <w:textAlignment w:val="bottom"/>
            </w:pPr>
            <w:r>
              <w:rPr>
                <w:rFonts w:ascii="Arial" w:eastAsia="宋体" w:hAnsi="Arial" w:cs="Arial"/>
                <w:color w:val="0071C5"/>
                <w:sz w:val="18"/>
                <w:szCs w:val="18"/>
              </w:rPr>
              <w:t>15,042 </w:t>
            </w:r>
          </w:p>
        </w:tc>
        <w:tc>
          <w:tcPr>
            <w:tcW w:w="0" w:type="auto"/>
            <w:shd w:val="clear" w:color="auto" w:fill="auto"/>
            <w:tcMar>
              <w:top w:w="40" w:type="dxa"/>
              <w:bottom w:w="40" w:type="dxa"/>
              <w:right w:w="20" w:type="dxa"/>
            </w:tcMar>
            <w:vAlign w:val="bottom"/>
          </w:tcPr>
          <w:p w14:paraId="36CA244F"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2450"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2451" w14:textId="77777777" w:rsidR="00787570" w:rsidRDefault="000D56E2">
            <w:pPr>
              <w:jc w:val="right"/>
              <w:textAlignment w:val="bottom"/>
            </w:pPr>
            <w:r>
              <w:rPr>
                <w:rFonts w:ascii="Arial" w:eastAsia="宋体" w:hAnsi="Arial" w:cs="Arial"/>
                <w:color w:val="0071C5"/>
                <w:sz w:val="18"/>
                <w:szCs w:val="18"/>
              </w:rPr>
              <w:t>15,042 </w:t>
            </w:r>
          </w:p>
        </w:tc>
        <w:tc>
          <w:tcPr>
            <w:tcW w:w="0" w:type="auto"/>
            <w:shd w:val="clear" w:color="auto" w:fill="auto"/>
            <w:tcMar>
              <w:top w:w="40" w:type="dxa"/>
              <w:bottom w:w="40" w:type="dxa"/>
              <w:right w:w="20" w:type="dxa"/>
            </w:tcMar>
            <w:vAlign w:val="bottom"/>
          </w:tcPr>
          <w:p w14:paraId="36CA2452" w14:textId="77777777" w:rsidR="00787570" w:rsidRDefault="00787570">
            <w:pPr>
              <w:jc w:val="right"/>
              <w:rPr>
                <w:rFonts w:ascii="宋体"/>
              </w:rPr>
            </w:pPr>
          </w:p>
        </w:tc>
        <w:tc>
          <w:tcPr>
            <w:tcW w:w="0" w:type="auto"/>
            <w:shd w:val="clear" w:color="auto" w:fill="auto"/>
          </w:tcPr>
          <w:p w14:paraId="36CA2453" w14:textId="77777777" w:rsidR="00787570" w:rsidRDefault="00787570">
            <w:pPr>
              <w:rPr>
                <w:rFonts w:ascii="宋体"/>
              </w:rPr>
            </w:pPr>
          </w:p>
        </w:tc>
        <w:tc>
          <w:tcPr>
            <w:tcW w:w="0" w:type="auto"/>
            <w:shd w:val="clear" w:color="auto" w:fill="auto"/>
          </w:tcPr>
          <w:p w14:paraId="36CA2454" w14:textId="77777777" w:rsidR="00787570" w:rsidRDefault="00787570">
            <w:pPr>
              <w:rPr>
                <w:rFonts w:ascii="宋体"/>
              </w:rPr>
            </w:pPr>
          </w:p>
        </w:tc>
        <w:tc>
          <w:tcPr>
            <w:tcW w:w="0" w:type="auto"/>
            <w:shd w:val="clear" w:color="auto" w:fill="auto"/>
          </w:tcPr>
          <w:p w14:paraId="36CA2455" w14:textId="77777777" w:rsidR="00787570" w:rsidRDefault="00787570">
            <w:pPr>
              <w:rPr>
                <w:rFonts w:ascii="宋体"/>
              </w:rPr>
            </w:pPr>
          </w:p>
        </w:tc>
        <w:tc>
          <w:tcPr>
            <w:tcW w:w="0" w:type="auto"/>
            <w:shd w:val="clear" w:color="auto" w:fill="auto"/>
          </w:tcPr>
          <w:p w14:paraId="36CA2456" w14:textId="77777777" w:rsidR="00787570" w:rsidRDefault="00787570">
            <w:pPr>
              <w:rPr>
                <w:rFonts w:ascii="宋体"/>
              </w:rPr>
            </w:pPr>
          </w:p>
        </w:tc>
        <w:tc>
          <w:tcPr>
            <w:tcW w:w="0" w:type="auto"/>
            <w:shd w:val="clear" w:color="auto" w:fill="auto"/>
          </w:tcPr>
          <w:p w14:paraId="36CA2457" w14:textId="77777777" w:rsidR="00787570" w:rsidRDefault="00787570">
            <w:pPr>
              <w:rPr>
                <w:rFonts w:ascii="宋体"/>
              </w:rPr>
            </w:pPr>
          </w:p>
        </w:tc>
        <w:tc>
          <w:tcPr>
            <w:tcW w:w="0" w:type="auto"/>
            <w:shd w:val="clear" w:color="auto" w:fill="auto"/>
          </w:tcPr>
          <w:p w14:paraId="36CA2458" w14:textId="77777777" w:rsidR="00787570" w:rsidRDefault="00787570">
            <w:pPr>
              <w:rPr>
                <w:rFonts w:ascii="宋体"/>
              </w:rPr>
            </w:pPr>
          </w:p>
        </w:tc>
        <w:tc>
          <w:tcPr>
            <w:tcW w:w="0" w:type="auto"/>
            <w:shd w:val="clear" w:color="auto" w:fill="auto"/>
          </w:tcPr>
          <w:p w14:paraId="36CA2459" w14:textId="77777777" w:rsidR="00787570" w:rsidRDefault="00787570">
            <w:pPr>
              <w:rPr>
                <w:rFonts w:ascii="宋体"/>
              </w:rPr>
            </w:pPr>
          </w:p>
        </w:tc>
        <w:tc>
          <w:tcPr>
            <w:tcW w:w="0" w:type="auto"/>
            <w:shd w:val="clear" w:color="auto" w:fill="auto"/>
          </w:tcPr>
          <w:p w14:paraId="36CA245A" w14:textId="77777777" w:rsidR="00787570" w:rsidRDefault="00787570">
            <w:pPr>
              <w:rPr>
                <w:rFonts w:ascii="宋体"/>
              </w:rPr>
            </w:pPr>
          </w:p>
        </w:tc>
        <w:tc>
          <w:tcPr>
            <w:tcW w:w="0" w:type="auto"/>
            <w:shd w:val="clear" w:color="auto" w:fill="auto"/>
          </w:tcPr>
          <w:p w14:paraId="36CA245B" w14:textId="77777777" w:rsidR="00787570" w:rsidRDefault="00787570">
            <w:pPr>
              <w:rPr>
                <w:rFonts w:ascii="宋体"/>
              </w:rPr>
            </w:pPr>
          </w:p>
        </w:tc>
      </w:tr>
      <w:tr w:rsidR="00787570" w14:paraId="36CA2476" w14:textId="77777777">
        <w:tc>
          <w:tcPr>
            <w:tcW w:w="0" w:type="auto"/>
            <w:gridSpan w:val="3"/>
            <w:shd w:val="clear" w:color="auto" w:fill="auto"/>
            <w:tcMar>
              <w:top w:w="40" w:type="dxa"/>
              <w:left w:w="20" w:type="dxa"/>
              <w:bottom w:w="40" w:type="dxa"/>
              <w:right w:w="20" w:type="dxa"/>
            </w:tcMar>
            <w:vAlign w:val="bottom"/>
          </w:tcPr>
          <w:p w14:paraId="36CA245D" w14:textId="77777777" w:rsidR="00787570" w:rsidRDefault="000D56E2">
            <w:pPr>
              <w:textAlignment w:val="bottom"/>
            </w:pPr>
            <w:r>
              <w:rPr>
                <w:rFonts w:ascii="Arial" w:eastAsia="宋体" w:hAnsi="Arial" w:cs="Arial"/>
                <w:color w:val="333333"/>
                <w:sz w:val="18"/>
                <w:szCs w:val="18"/>
              </w:rPr>
              <w:t>Other comprehensive income (loss)</w:t>
            </w:r>
          </w:p>
        </w:tc>
        <w:tc>
          <w:tcPr>
            <w:tcW w:w="0" w:type="auto"/>
            <w:gridSpan w:val="3"/>
            <w:shd w:val="clear" w:color="auto" w:fill="auto"/>
            <w:tcMar>
              <w:left w:w="20" w:type="dxa"/>
              <w:right w:w="20" w:type="dxa"/>
            </w:tcMar>
            <w:vAlign w:val="bottom"/>
          </w:tcPr>
          <w:p w14:paraId="36CA245E"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245F" w14:textId="77777777" w:rsidR="00787570" w:rsidRDefault="000D56E2">
            <w:pPr>
              <w:jc w:val="right"/>
              <w:textAlignment w:val="bottom"/>
            </w:pPr>
            <w:r>
              <w:rPr>
                <w:rFonts w:ascii="Arial" w:eastAsia="宋体" w:hAnsi="Arial" w:cs="Arial"/>
                <w:color w:val="0071C5"/>
                <w:sz w:val="18"/>
                <w:szCs w:val="18"/>
              </w:rPr>
              <w:t>— </w:t>
            </w:r>
          </w:p>
        </w:tc>
        <w:tc>
          <w:tcPr>
            <w:tcW w:w="0" w:type="auto"/>
            <w:shd w:val="clear" w:color="auto" w:fill="auto"/>
            <w:tcMar>
              <w:top w:w="40" w:type="dxa"/>
              <w:bottom w:w="40" w:type="dxa"/>
              <w:right w:w="20" w:type="dxa"/>
            </w:tcMar>
            <w:vAlign w:val="bottom"/>
          </w:tcPr>
          <w:p w14:paraId="36CA2460"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2461"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2462" w14:textId="77777777" w:rsidR="00787570" w:rsidRDefault="000D56E2">
            <w:pPr>
              <w:jc w:val="right"/>
              <w:textAlignment w:val="bottom"/>
            </w:pPr>
            <w:r>
              <w:rPr>
                <w:rFonts w:ascii="Arial" w:eastAsia="宋体" w:hAnsi="Arial" w:cs="Arial"/>
                <w:color w:val="0071C5"/>
                <w:sz w:val="18"/>
                <w:szCs w:val="18"/>
              </w:rPr>
              <w:t>— </w:t>
            </w:r>
          </w:p>
        </w:tc>
        <w:tc>
          <w:tcPr>
            <w:tcW w:w="0" w:type="auto"/>
            <w:shd w:val="clear" w:color="auto" w:fill="auto"/>
            <w:tcMar>
              <w:top w:w="40" w:type="dxa"/>
              <w:bottom w:w="40" w:type="dxa"/>
              <w:right w:w="20" w:type="dxa"/>
            </w:tcMar>
            <w:vAlign w:val="bottom"/>
          </w:tcPr>
          <w:p w14:paraId="36CA2463"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2464"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2465" w14:textId="77777777" w:rsidR="00787570" w:rsidRDefault="000D56E2">
            <w:pPr>
              <w:jc w:val="right"/>
              <w:textAlignment w:val="bottom"/>
            </w:pPr>
            <w:r>
              <w:rPr>
                <w:rFonts w:ascii="Arial" w:eastAsia="宋体" w:hAnsi="Arial" w:cs="Arial"/>
                <w:color w:val="0071C5"/>
                <w:sz w:val="18"/>
                <w:szCs w:val="18"/>
              </w:rPr>
              <w:t>340 </w:t>
            </w:r>
          </w:p>
        </w:tc>
        <w:tc>
          <w:tcPr>
            <w:tcW w:w="0" w:type="auto"/>
            <w:shd w:val="clear" w:color="auto" w:fill="auto"/>
            <w:tcMar>
              <w:top w:w="40" w:type="dxa"/>
              <w:bottom w:w="40" w:type="dxa"/>
              <w:right w:w="20" w:type="dxa"/>
            </w:tcMar>
            <w:vAlign w:val="bottom"/>
          </w:tcPr>
          <w:p w14:paraId="36CA2466"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2467"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2468" w14:textId="77777777" w:rsidR="00787570" w:rsidRDefault="000D56E2">
            <w:pPr>
              <w:jc w:val="right"/>
              <w:textAlignment w:val="bottom"/>
            </w:pPr>
            <w:r>
              <w:rPr>
                <w:rFonts w:ascii="Arial" w:eastAsia="宋体" w:hAnsi="Arial" w:cs="Arial"/>
                <w:color w:val="0071C5"/>
                <w:sz w:val="18"/>
                <w:szCs w:val="18"/>
              </w:rPr>
              <w:t>— </w:t>
            </w:r>
          </w:p>
        </w:tc>
        <w:tc>
          <w:tcPr>
            <w:tcW w:w="0" w:type="auto"/>
            <w:shd w:val="clear" w:color="auto" w:fill="auto"/>
            <w:tcMar>
              <w:top w:w="40" w:type="dxa"/>
              <w:bottom w:w="40" w:type="dxa"/>
              <w:right w:w="20" w:type="dxa"/>
            </w:tcMar>
            <w:vAlign w:val="bottom"/>
          </w:tcPr>
          <w:p w14:paraId="36CA2469"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246A"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246B" w14:textId="77777777" w:rsidR="00787570" w:rsidRDefault="000D56E2">
            <w:pPr>
              <w:jc w:val="right"/>
              <w:textAlignment w:val="bottom"/>
            </w:pPr>
            <w:r>
              <w:rPr>
                <w:rFonts w:ascii="Arial" w:eastAsia="宋体" w:hAnsi="Arial" w:cs="Arial"/>
                <w:color w:val="0071C5"/>
                <w:sz w:val="18"/>
                <w:szCs w:val="18"/>
              </w:rPr>
              <w:t>340 </w:t>
            </w:r>
          </w:p>
        </w:tc>
        <w:tc>
          <w:tcPr>
            <w:tcW w:w="0" w:type="auto"/>
            <w:shd w:val="clear" w:color="auto" w:fill="auto"/>
            <w:tcMar>
              <w:top w:w="40" w:type="dxa"/>
              <w:bottom w:w="40" w:type="dxa"/>
              <w:right w:w="20" w:type="dxa"/>
            </w:tcMar>
            <w:vAlign w:val="bottom"/>
          </w:tcPr>
          <w:p w14:paraId="36CA246C" w14:textId="77777777" w:rsidR="00787570" w:rsidRDefault="00787570">
            <w:pPr>
              <w:jc w:val="right"/>
              <w:rPr>
                <w:rFonts w:ascii="宋体"/>
              </w:rPr>
            </w:pPr>
          </w:p>
        </w:tc>
        <w:tc>
          <w:tcPr>
            <w:tcW w:w="0" w:type="auto"/>
            <w:shd w:val="clear" w:color="auto" w:fill="auto"/>
          </w:tcPr>
          <w:p w14:paraId="36CA246D" w14:textId="77777777" w:rsidR="00787570" w:rsidRDefault="00787570">
            <w:pPr>
              <w:rPr>
                <w:rFonts w:ascii="宋体"/>
              </w:rPr>
            </w:pPr>
          </w:p>
        </w:tc>
        <w:tc>
          <w:tcPr>
            <w:tcW w:w="0" w:type="auto"/>
            <w:shd w:val="clear" w:color="auto" w:fill="auto"/>
          </w:tcPr>
          <w:p w14:paraId="36CA246E" w14:textId="77777777" w:rsidR="00787570" w:rsidRDefault="00787570">
            <w:pPr>
              <w:rPr>
                <w:rFonts w:ascii="宋体"/>
              </w:rPr>
            </w:pPr>
          </w:p>
        </w:tc>
        <w:tc>
          <w:tcPr>
            <w:tcW w:w="0" w:type="auto"/>
            <w:shd w:val="clear" w:color="auto" w:fill="auto"/>
          </w:tcPr>
          <w:p w14:paraId="36CA246F" w14:textId="77777777" w:rsidR="00787570" w:rsidRDefault="00787570">
            <w:pPr>
              <w:rPr>
                <w:rFonts w:ascii="宋体"/>
              </w:rPr>
            </w:pPr>
          </w:p>
        </w:tc>
        <w:tc>
          <w:tcPr>
            <w:tcW w:w="0" w:type="auto"/>
            <w:shd w:val="clear" w:color="auto" w:fill="auto"/>
          </w:tcPr>
          <w:p w14:paraId="36CA2470" w14:textId="77777777" w:rsidR="00787570" w:rsidRDefault="00787570">
            <w:pPr>
              <w:rPr>
                <w:rFonts w:ascii="宋体"/>
              </w:rPr>
            </w:pPr>
          </w:p>
        </w:tc>
        <w:tc>
          <w:tcPr>
            <w:tcW w:w="0" w:type="auto"/>
            <w:shd w:val="clear" w:color="auto" w:fill="auto"/>
          </w:tcPr>
          <w:p w14:paraId="36CA2471" w14:textId="77777777" w:rsidR="00787570" w:rsidRDefault="00787570">
            <w:pPr>
              <w:rPr>
                <w:rFonts w:ascii="宋体"/>
              </w:rPr>
            </w:pPr>
          </w:p>
        </w:tc>
        <w:tc>
          <w:tcPr>
            <w:tcW w:w="0" w:type="auto"/>
            <w:shd w:val="clear" w:color="auto" w:fill="auto"/>
          </w:tcPr>
          <w:p w14:paraId="36CA2472" w14:textId="77777777" w:rsidR="00787570" w:rsidRDefault="00787570">
            <w:pPr>
              <w:rPr>
                <w:rFonts w:ascii="宋体"/>
              </w:rPr>
            </w:pPr>
          </w:p>
        </w:tc>
        <w:tc>
          <w:tcPr>
            <w:tcW w:w="0" w:type="auto"/>
            <w:shd w:val="clear" w:color="auto" w:fill="auto"/>
          </w:tcPr>
          <w:p w14:paraId="36CA2473" w14:textId="77777777" w:rsidR="00787570" w:rsidRDefault="00787570">
            <w:pPr>
              <w:rPr>
                <w:rFonts w:ascii="宋体"/>
              </w:rPr>
            </w:pPr>
          </w:p>
        </w:tc>
        <w:tc>
          <w:tcPr>
            <w:tcW w:w="0" w:type="auto"/>
            <w:shd w:val="clear" w:color="auto" w:fill="auto"/>
          </w:tcPr>
          <w:p w14:paraId="36CA2474" w14:textId="77777777" w:rsidR="00787570" w:rsidRDefault="00787570">
            <w:pPr>
              <w:rPr>
                <w:rFonts w:ascii="宋体"/>
              </w:rPr>
            </w:pPr>
          </w:p>
        </w:tc>
        <w:tc>
          <w:tcPr>
            <w:tcW w:w="0" w:type="auto"/>
            <w:shd w:val="clear" w:color="auto" w:fill="auto"/>
          </w:tcPr>
          <w:p w14:paraId="36CA2475" w14:textId="77777777" w:rsidR="00787570" w:rsidRDefault="00787570">
            <w:pPr>
              <w:rPr>
                <w:rFonts w:ascii="宋体"/>
              </w:rPr>
            </w:pPr>
          </w:p>
        </w:tc>
      </w:tr>
      <w:tr w:rsidR="00787570" w14:paraId="36CA2490" w14:textId="77777777">
        <w:tc>
          <w:tcPr>
            <w:tcW w:w="0" w:type="auto"/>
            <w:gridSpan w:val="3"/>
            <w:shd w:val="clear" w:color="auto" w:fill="auto"/>
            <w:tcMar>
              <w:top w:w="40" w:type="dxa"/>
              <w:left w:w="20" w:type="dxa"/>
              <w:bottom w:w="40" w:type="dxa"/>
              <w:right w:w="20" w:type="dxa"/>
            </w:tcMar>
            <w:vAlign w:val="bottom"/>
          </w:tcPr>
          <w:p w14:paraId="36CA2477" w14:textId="77777777" w:rsidR="00787570" w:rsidRDefault="000D56E2">
            <w:pPr>
              <w:textAlignment w:val="bottom"/>
            </w:pPr>
            <w:r>
              <w:rPr>
                <w:rFonts w:ascii="Arial" w:eastAsia="宋体" w:hAnsi="Arial" w:cs="Arial"/>
                <w:color w:val="333333"/>
                <w:sz w:val="18"/>
                <w:szCs w:val="18"/>
              </w:rPr>
              <w:t>Employee equity incentive plans and other</w:t>
            </w:r>
          </w:p>
        </w:tc>
        <w:tc>
          <w:tcPr>
            <w:tcW w:w="0" w:type="auto"/>
            <w:gridSpan w:val="3"/>
            <w:shd w:val="clear" w:color="auto" w:fill="auto"/>
            <w:tcMar>
              <w:left w:w="20" w:type="dxa"/>
              <w:right w:w="20" w:type="dxa"/>
            </w:tcMar>
            <w:vAlign w:val="bottom"/>
          </w:tcPr>
          <w:p w14:paraId="36CA2478"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2479" w14:textId="77777777" w:rsidR="00787570" w:rsidRDefault="000D56E2">
            <w:pPr>
              <w:jc w:val="right"/>
              <w:textAlignment w:val="bottom"/>
            </w:pPr>
            <w:r>
              <w:rPr>
                <w:rFonts w:ascii="Arial" w:eastAsia="宋体" w:hAnsi="Arial" w:cs="Arial"/>
                <w:color w:val="0071C5"/>
                <w:sz w:val="18"/>
                <w:szCs w:val="18"/>
              </w:rPr>
              <w:t>54 </w:t>
            </w:r>
          </w:p>
        </w:tc>
        <w:tc>
          <w:tcPr>
            <w:tcW w:w="0" w:type="auto"/>
            <w:shd w:val="clear" w:color="auto" w:fill="auto"/>
            <w:tcMar>
              <w:top w:w="40" w:type="dxa"/>
              <w:bottom w:w="40" w:type="dxa"/>
              <w:right w:w="20" w:type="dxa"/>
            </w:tcMar>
            <w:vAlign w:val="bottom"/>
          </w:tcPr>
          <w:p w14:paraId="36CA247A"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247B"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247C" w14:textId="77777777" w:rsidR="00787570" w:rsidRDefault="000D56E2">
            <w:pPr>
              <w:jc w:val="right"/>
              <w:textAlignment w:val="bottom"/>
            </w:pPr>
            <w:r>
              <w:rPr>
                <w:rFonts w:ascii="Arial" w:eastAsia="宋体" w:hAnsi="Arial" w:cs="Arial"/>
                <w:color w:val="0071C5"/>
                <w:sz w:val="18"/>
                <w:szCs w:val="18"/>
              </w:rPr>
              <w:t>1,014 </w:t>
            </w:r>
          </w:p>
        </w:tc>
        <w:tc>
          <w:tcPr>
            <w:tcW w:w="0" w:type="auto"/>
            <w:shd w:val="clear" w:color="auto" w:fill="auto"/>
            <w:tcMar>
              <w:top w:w="40" w:type="dxa"/>
              <w:bottom w:w="40" w:type="dxa"/>
              <w:right w:w="20" w:type="dxa"/>
            </w:tcMar>
            <w:vAlign w:val="bottom"/>
          </w:tcPr>
          <w:p w14:paraId="36CA247D"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247E"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247F" w14:textId="77777777" w:rsidR="00787570" w:rsidRDefault="000D56E2">
            <w:pPr>
              <w:jc w:val="right"/>
              <w:textAlignment w:val="bottom"/>
            </w:pPr>
            <w:r>
              <w:rPr>
                <w:rFonts w:ascii="Arial" w:eastAsia="宋体" w:hAnsi="Arial" w:cs="Arial"/>
                <w:color w:val="0071C5"/>
                <w:sz w:val="18"/>
                <w:szCs w:val="18"/>
              </w:rPr>
              <w:t>— </w:t>
            </w:r>
          </w:p>
        </w:tc>
        <w:tc>
          <w:tcPr>
            <w:tcW w:w="0" w:type="auto"/>
            <w:shd w:val="clear" w:color="auto" w:fill="auto"/>
            <w:tcMar>
              <w:top w:w="40" w:type="dxa"/>
              <w:bottom w:w="40" w:type="dxa"/>
              <w:right w:w="20" w:type="dxa"/>
            </w:tcMar>
            <w:vAlign w:val="bottom"/>
          </w:tcPr>
          <w:p w14:paraId="36CA2480"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2481"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2482" w14:textId="77777777" w:rsidR="00787570" w:rsidRDefault="000D56E2">
            <w:pPr>
              <w:jc w:val="right"/>
              <w:textAlignment w:val="bottom"/>
            </w:pPr>
            <w:r>
              <w:rPr>
                <w:rFonts w:ascii="Arial" w:eastAsia="宋体" w:hAnsi="Arial" w:cs="Arial"/>
                <w:color w:val="0071C5"/>
                <w:sz w:val="18"/>
                <w:szCs w:val="18"/>
              </w:rPr>
              <w:t>— </w:t>
            </w:r>
          </w:p>
        </w:tc>
        <w:tc>
          <w:tcPr>
            <w:tcW w:w="0" w:type="auto"/>
            <w:shd w:val="clear" w:color="auto" w:fill="auto"/>
            <w:tcMar>
              <w:top w:w="40" w:type="dxa"/>
              <w:bottom w:w="40" w:type="dxa"/>
              <w:right w:w="20" w:type="dxa"/>
            </w:tcMar>
            <w:vAlign w:val="bottom"/>
          </w:tcPr>
          <w:p w14:paraId="36CA2483"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2484"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2485" w14:textId="77777777" w:rsidR="00787570" w:rsidRDefault="000D56E2">
            <w:pPr>
              <w:jc w:val="right"/>
              <w:textAlignment w:val="bottom"/>
            </w:pPr>
            <w:r>
              <w:rPr>
                <w:rFonts w:ascii="Arial" w:eastAsia="宋体" w:hAnsi="Arial" w:cs="Arial"/>
                <w:color w:val="0071C5"/>
                <w:sz w:val="18"/>
                <w:szCs w:val="18"/>
              </w:rPr>
              <w:t>1,014 </w:t>
            </w:r>
          </w:p>
        </w:tc>
        <w:tc>
          <w:tcPr>
            <w:tcW w:w="0" w:type="auto"/>
            <w:shd w:val="clear" w:color="auto" w:fill="auto"/>
            <w:tcMar>
              <w:top w:w="40" w:type="dxa"/>
              <w:bottom w:w="40" w:type="dxa"/>
              <w:right w:w="20" w:type="dxa"/>
            </w:tcMar>
            <w:vAlign w:val="bottom"/>
          </w:tcPr>
          <w:p w14:paraId="36CA2486" w14:textId="77777777" w:rsidR="00787570" w:rsidRDefault="00787570">
            <w:pPr>
              <w:jc w:val="right"/>
              <w:rPr>
                <w:rFonts w:ascii="宋体"/>
              </w:rPr>
            </w:pPr>
          </w:p>
        </w:tc>
        <w:tc>
          <w:tcPr>
            <w:tcW w:w="0" w:type="auto"/>
            <w:shd w:val="clear" w:color="auto" w:fill="auto"/>
          </w:tcPr>
          <w:p w14:paraId="36CA2487" w14:textId="77777777" w:rsidR="00787570" w:rsidRDefault="00787570">
            <w:pPr>
              <w:rPr>
                <w:rFonts w:ascii="宋体"/>
              </w:rPr>
            </w:pPr>
          </w:p>
        </w:tc>
        <w:tc>
          <w:tcPr>
            <w:tcW w:w="0" w:type="auto"/>
            <w:shd w:val="clear" w:color="auto" w:fill="auto"/>
          </w:tcPr>
          <w:p w14:paraId="36CA2488" w14:textId="77777777" w:rsidR="00787570" w:rsidRDefault="00787570">
            <w:pPr>
              <w:rPr>
                <w:rFonts w:ascii="宋体"/>
              </w:rPr>
            </w:pPr>
          </w:p>
        </w:tc>
        <w:tc>
          <w:tcPr>
            <w:tcW w:w="0" w:type="auto"/>
            <w:shd w:val="clear" w:color="auto" w:fill="auto"/>
          </w:tcPr>
          <w:p w14:paraId="36CA2489" w14:textId="77777777" w:rsidR="00787570" w:rsidRDefault="00787570">
            <w:pPr>
              <w:rPr>
                <w:rFonts w:ascii="宋体"/>
              </w:rPr>
            </w:pPr>
          </w:p>
        </w:tc>
        <w:tc>
          <w:tcPr>
            <w:tcW w:w="0" w:type="auto"/>
            <w:shd w:val="clear" w:color="auto" w:fill="auto"/>
          </w:tcPr>
          <w:p w14:paraId="36CA248A" w14:textId="77777777" w:rsidR="00787570" w:rsidRDefault="00787570">
            <w:pPr>
              <w:rPr>
                <w:rFonts w:ascii="宋体"/>
              </w:rPr>
            </w:pPr>
          </w:p>
        </w:tc>
        <w:tc>
          <w:tcPr>
            <w:tcW w:w="0" w:type="auto"/>
            <w:shd w:val="clear" w:color="auto" w:fill="auto"/>
          </w:tcPr>
          <w:p w14:paraId="36CA248B" w14:textId="77777777" w:rsidR="00787570" w:rsidRDefault="00787570">
            <w:pPr>
              <w:rPr>
                <w:rFonts w:ascii="宋体"/>
              </w:rPr>
            </w:pPr>
          </w:p>
        </w:tc>
        <w:tc>
          <w:tcPr>
            <w:tcW w:w="0" w:type="auto"/>
            <w:shd w:val="clear" w:color="auto" w:fill="auto"/>
          </w:tcPr>
          <w:p w14:paraId="36CA248C" w14:textId="77777777" w:rsidR="00787570" w:rsidRDefault="00787570">
            <w:pPr>
              <w:rPr>
                <w:rFonts w:ascii="宋体"/>
              </w:rPr>
            </w:pPr>
          </w:p>
        </w:tc>
        <w:tc>
          <w:tcPr>
            <w:tcW w:w="0" w:type="auto"/>
            <w:shd w:val="clear" w:color="auto" w:fill="auto"/>
          </w:tcPr>
          <w:p w14:paraId="36CA248D" w14:textId="77777777" w:rsidR="00787570" w:rsidRDefault="00787570">
            <w:pPr>
              <w:rPr>
                <w:rFonts w:ascii="宋体"/>
              </w:rPr>
            </w:pPr>
          </w:p>
        </w:tc>
        <w:tc>
          <w:tcPr>
            <w:tcW w:w="0" w:type="auto"/>
            <w:shd w:val="clear" w:color="auto" w:fill="auto"/>
          </w:tcPr>
          <w:p w14:paraId="36CA248E" w14:textId="77777777" w:rsidR="00787570" w:rsidRDefault="00787570">
            <w:pPr>
              <w:rPr>
                <w:rFonts w:ascii="宋体"/>
              </w:rPr>
            </w:pPr>
          </w:p>
        </w:tc>
        <w:tc>
          <w:tcPr>
            <w:tcW w:w="0" w:type="auto"/>
            <w:shd w:val="clear" w:color="auto" w:fill="auto"/>
          </w:tcPr>
          <w:p w14:paraId="36CA248F" w14:textId="77777777" w:rsidR="00787570" w:rsidRDefault="00787570">
            <w:pPr>
              <w:rPr>
                <w:rFonts w:ascii="宋体"/>
              </w:rPr>
            </w:pPr>
          </w:p>
        </w:tc>
      </w:tr>
      <w:tr w:rsidR="00787570" w14:paraId="36CA24AA" w14:textId="77777777">
        <w:tc>
          <w:tcPr>
            <w:tcW w:w="0" w:type="auto"/>
            <w:gridSpan w:val="3"/>
            <w:shd w:val="clear" w:color="auto" w:fill="auto"/>
            <w:tcMar>
              <w:top w:w="40" w:type="dxa"/>
              <w:left w:w="20" w:type="dxa"/>
              <w:bottom w:w="40" w:type="dxa"/>
              <w:right w:w="20" w:type="dxa"/>
            </w:tcMar>
            <w:vAlign w:val="bottom"/>
          </w:tcPr>
          <w:p w14:paraId="36CA2491" w14:textId="77777777" w:rsidR="00787570" w:rsidRDefault="000D56E2">
            <w:pPr>
              <w:textAlignment w:val="bottom"/>
            </w:pPr>
            <w:r>
              <w:rPr>
                <w:rFonts w:ascii="Arial" w:eastAsia="宋体" w:hAnsi="Arial" w:cs="Arial"/>
                <w:color w:val="333333"/>
                <w:sz w:val="18"/>
                <w:szCs w:val="18"/>
              </w:rPr>
              <w:t>Share-based compensation</w:t>
            </w:r>
          </w:p>
        </w:tc>
        <w:tc>
          <w:tcPr>
            <w:tcW w:w="0" w:type="auto"/>
            <w:gridSpan w:val="3"/>
            <w:shd w:val="clear" w:color="auto" w:fill="auto"/>
            <w:tcMar>
              <w:left w:w="20" w:type="dxa"/>
              <w:right w:w="20" w:type="dxa"/>
            </w:tcMar>
            <w:vAlign w:val="bottom"/>
          </w:tcPr>
          <w:p w14:paraId="36CA2492"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2493" w14:textId="77777777" w:rsidR="00787570" w:rsidRDefault="000D56E2">
            <w:pPr>
              <w:jc w:val="right"/>
              <w:textAlignment w:val="bottom"/>
            </w:pPr>
            <w:r>
              <w:rPr>
                <w:rFonts w:ascii="Arial" w:eastAsia="宋体" w:hAnsi="Arial" w:cs="Arial"/>
                <w:color w:val="0071C5"/>
                <w:sz w:val="18"/>
                <w:szCs w:val="18"/>
              </w:rPr>
              <w:t>— </w:t>
            </w:r>
          </w:p>
        </w:tc>
        <w:tc>
          <w:tcPr>
            <w:tcW w:w="0" w:type="auto"/>
            <w:shd w:val="clear" w:color="auto" w:fill="auto"/>
            <w:tcMar>
              <w:top w:w="40" w:type="dxa"/>
              <w:bottom w:w="40" w:type="dxa"/>
              <w:right w:w="20" w:type="dxa"/>
            </w:tcMar>
            <w:vAlign w:val="bottom"/>
          </w:tcPr>
          <w:p w14:paraId="36CA2494"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2495"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2496" w14:textId="77777777" w:rsidR="00787570" w:rsidRDefault="000D56E2">
            <w:pPr>
              <w:jc w:val="right"/>
              <w:textAlignment w:val="bottom"/>
            </w:pPr>
            <w:r>
              <w:rPr>
                <w:rFonts w:ascii="Arial" w:eastAsia="宋体" w:hAnsi="Arial" w:cs="Arial"/>
                <w:color w:val="0071C5"/>
                <w:sz w:val="18"/>
                <w:szCs w:val="18"/>
              </w:rPr>
              <w:t>1,393 </w:t>
            </w:r>
          </w:p>
        </w:tc>
        <w:tc>
          <w:tcPr>
            <w:tcW w:w="0" w:type="auto"/>
            <w:shd w:val="clear" w:color="auto" w:fill="auto"/>
            <w:tcMar>
              <w:top w:w="40" w:type="dxa"/>
              <w:bottom w:w="40" w:type="dxa"/>
              <w:right w:w="20" w:type="dxa"/>
            </w:tcMar>
            <w:vAlign w:val="bottom"/>
          </w:tcPr>
          <w:p w14:paraId="36CA2497"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2498"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2499" w14:textId="77777777" w:rsidR="00787570" w:rsidRDefault="000D56E2">
            <w:pPr>
              <w:jc w:val="right"/>
              <w:textAlignment w:val="bottom"/>
            </w:pPr>
            <w:r>
              <w:rPr>
                <w:rFonts w:ascii="Arial" w:eastAsia="宋体" w:hAnsi="Arial" w:cs="Arial"/>
                <w:color w:val="0071C5"/>
                <w:sz w:val="18"/>
                <w:szCs w:val="18"/>
              </w:rPr>
              <w:t>— </w:t>
            </w:r>
          </w:p>
        </w:tc>
        <w:tc>
          <w:tcPr>
            <w:tcW w:w="0" w:type="auto"/>
            <w:shd w:val="clear" w:color="auto" w:fill="auto"/>
            <w:tcMar>
              <w:top w:w="40" w:type="dxa"/>
              <w:bottom w:w="40" w:type="dxa"/>
              <w:right w:w="20" w:type="dxa"/>
            </w:tcMar>
            <w:vAlign w:val="bottom"/>
          </w:tcPr>
          <w:p w14:paraId="36CA249A"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249B"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249C" w14:textId="77777777" w:rsidR="00787570" w:rsidRDefault="000D56E2">
            <w:pPr>
              <w:jc w:val="right"/>
              <w:textAlignment w:val="bottom"/>
            </w:pPr>
            <w:r>
              <w:rPr>
                <w:rFonts w:ascii="Arial" w:eastAsia="宋体" w:hAnsi="Arial" w:cs="Arial"/>
                <w:color w:val="0071C5"/>
                <w:sz w:val="18"/>
                <w:szCs w:val="18"/>
              </w:rPr>
              <w:t>— </w:t>
            </w:r>
          </w:p>
        </w:tc>
        <w:tc>
          <w:tcPr>
            <w:tcW w:w="0" w:type="auto"/>
            <w:shd w:val="clear" w:color="auto" w:fill="auto"/>
            <w:tcMar>
              <w:top w:w="40" w:type="dxa"/>
              <w:bottom w:w="40" w:type="dxa"/>
              <w:right w:w="20" w:type="dxa"/>
            </w:tcMar>
            <w:vAlign w:val="bottom"/>
          </w:tcPr>
          <w:p w14:paraId="36CA249D"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249E"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249F" w14:textId="77777777" w:rsidR="00787570" w:rsidRDefault="000D56E2">
            <w:pPr>
              <w:jc w:val="right"/>
              <w:textAlignment w:val="bottom"/>
            </w:pPr>
            <w:r>
              <w:rPr>
                <w:rFonts w:ascii="Arial" w:eastAsia="宋体" w:hAnsi="Arial" w:cs="Arial"/>
                <w:color w:val="0071C5"/>
                <w:sz w:val="18"/>
                <w:szCs w:val="18"/>
              </w:rPr>
              <w:t>1,393 </w:t>
            </w:r>
          </w:p>
        </w:tc>
        <w:tc>
          <w:tcPr>
            <w:tcW w:w="0" w:type="auto"/>
            <w:shd w:val="clear" w:color="auto" w:fill="auto"/>
            <w:tcMar>
              <w:top w:w="40" w:type="dxa"/>
              <w:bottom w:w="40" w:type="dxa"/>
              <w:right w:w="20" w:type="dxa"/>
            </w:tcMar>
            <w:vAlign w:val="bottom"/>
          </w:tcPr>
          <w:p w14:paraId="36CA24A0" w14:textId="77777777" w:rsidR="00787570" w:rsidRDefault="00787570">
            <w:pPr>
              <w:jc w:val="right"/>
              <w:rPr>
                <w:rFonts w:ascii="宋体"/>
              </w:rPr>
            </w:pPr>
          </w:p>
        </w:tc>
        <w:tc>
          <w:tcPr>
            <w:tcW w:w="0" w:type="auto"/>
            <w:shd w:val="clear" w:color="auto" w:fill="auto"/>
          </w:tcPr>
          <w:p w14:paraId="36CA24A1" w14:textId="77777777" w:rsidR="00787570" w:rsidRDefault="00787570">
            <w:pPr>
              <w:rPr>
                <w:rFonts w:ascii="宋体"/>
              </w:rPr>
            </w:pPr>
          </w:p>
        </w:tc>
        <w:tc>
          <w:tcPr>
            <w:tcW w:w="0" w:type="auto"/>
            <w:shd w:val="clear" w:color="auto" w:fill="auto"/>
          </w:tcPr>
          <w:p w14:paraId="36CA24A2" w14:textId="77777777" w:rsidR="00787570" w:rsidRDefault="00787570">
            <w:pPr>
              <w:rPr>
                <w:rFonts w:ascii="宋体"/>
              </w:rPr>
            </w:pPr>
          </w:p>
        </w:tc>
        <w:tc>
          <w:tcPr>
            <w:tcW w:w="0" w:type="auto"/>
            <w:shd w:val="clear" w:color="auto" w:fill="auto"/>
          </w:tcPr>
          <w:p w14:paraId="36CA24A3" w14:textId="77777777" w:rsidR="00787570" w:rsidRDefault="00787570">
            <w:pPr>
              <w:rPr>
                <w:rFonts w:ascii="宋体"/>
              </w:rPr>
            </w:pPr>
          </w:p>
        </w:tc>
        <w:tc>
          <w:tcPr>
            <w:tcW w:w="0" w:type="auto"/>
            <w:shd w:val="clear" w:color="auto" w:fill="auto"/>
          </w:tcPr>
          <w:p w14:paraId="36CA24A4" w14:textId="77777777" w:rsidR="00787570" w:rsidRDefault="00787570">
            <w:pPr>
              <w:rPr>
                <w:rFonts w:ascii="宋体"/>
              </w:rPr>
            </w:pPr>
          </w:p>
        </w:tc>
        <w:tc>
          <w:tcPr>
            <w:tcW w:w="0" w:type="auto"/>
            <w:shd w:val="clear" w:color="auto" w:fill="auto"/>
          </w:tcPr>
          <w:p w14:paraId="36CA24A5" w14:textId="77777777" w:rsidR="00787570" w:rsidRDefault="00787570">
            <w:pPr>
              <w:rPr>
                <w:rFonts w:ascii="宋体"/>
              </w:rPr>
            </w:pPr>
          </w:p>
        </w:tc>
        <w:tc>
          <w:tcPr>
            <w:tcW w:w="0" w:type="auto"/>
            <w:shd w:val="clear" w:color="auto" w:fill="auto"/>
          </w:tcPr>
          <w:p w14:paraId="36CA24A6" w14:textId="77777777" w:rsidR="00787570" w:rsidRDefault="00787570">
            <w:pPr>
              <w:rPr>
                <w:rFonts w:ascii="宋体"/>
              </w:rPr>
            </w:pPr>
          </w:p>
        </w:tc>
        <w:tc>
          <w:tcPr>
            <w:tcW w:w="0" w:type="auto"/>
            <w:shd w:val="clear" w:color="auto" w:fill="auto"/>
          </w:tcPr>
          <w:p w14:paraId="36CA24A7" w14:textId="77777777" w:rsidR="00787570" w:rsidRDefault="00787570">
            <w:pPr>
              <w:rPr>
                <w:rFonts w:ascii="宋体"/>
              </w:rPr>
            </w:pPr>
          </w:p>
        </w:tc>
        <w:tc>
          <w:tcPr>
            <w:tcW w:w="0" w:type="auto"/>
            <w:shd w:val="clear" w:color="auto" w:fill="auto"/>
          </w:tcPr>
          <w:p w14:paraId="36CA24A8" w14:textId="77777777" w:rsidR="00787570" w:rsidRDefault="00787570">
            <w:pPr>
              <w:rPr>
                <w:rFonts w:ascii="宋体"/>
              </w:rPr>
            </w:pPr>
          </w:p>
        </w:tc>
        <w:tc>
          <w:tcPr>
            <w:tcW w:w="0" w:type="auto"/>
            <w:shd w:val="clear" w:color="auto" w:fill="auto"/>
          </w:tcPr>
          <w:p w14:paraId="36CA24A9" w14:textId="77777777" w:rsidR="00787570" w:rsidRDefault="00787570">
            <w:pPr>
              <w:rPr>
                <w:rFonts w:ascii="宋体"/>
              </w:rPr>
            </w:pPr>
          </w:p>
        </w:tc>
      </w:tr>
      <w:tr w:rsidR="00787570" w14:paraId="36CA24C4" w14:textId="77777777">
        <w:tc>
          <w:tcPr>
            <w:tcW w:w="0" w:type="auto"/>
            <w:gridSpan w:val="3"/>
            <w:shd w:val="clear" w:color="auto" w:fill="auto"/>
            <w:tcMar>
              <w:top w:w="40" w:type="dxa"/>
              <w:left w:w="20" w:type="dxa"/>
              <w:bottom w:w="40" w:type="dxa"/>
              <w:right w:w="20" w:type="dxa"/>
            </w:tcMar>
            <w:vAlign w:val="bottom"/>
          </w:tcPr>
          <w:p w14:paraId="36CA24AB" w14:textId="77777777" w:rsidR="00787570" w:rsidRDefault="000D56E2">
            <w:pPr>
              <w:textAlignment w:val="bottom"/>
            </w:pPr>
            <w:r>
              <w:rPr>
                <w:rFonts w:ascii="Arial" w:eastAsia="宋体" w:hAnsi="Arial" w:cs="Arial"/>
                <w:color w:val="333333"/>
                <w:sz w:val="18"/>
                <w:szCs w:val="18"/>
              </w:rPr>
              <w:t>Temporary equity reduction</w:t>
            </w:r>
          </w:p>
        </w:tc>
        <w:tc>
          <w:tcPr>
            <w:tcW w:w="0" w:type="auto"/>
            <w:gridSpan w:val="3"/>
            <w:shd w:val="clear" w:color="auto" w:fill="auto"/>
            <w:tcMar>
              <w:left w:w="20" w:type="dxa"/>
              <w:right w:w="20" w:type="dxa"/>
            </w:tcMar>
            <w:vAlign w:val="bottom"/>
          </w:tcPr>
          <w:p w14:paraId="36CA24AC"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24AD" w14:textId="77777777" w:rsidR="00787570" w:rsidRDefault="000D56E2">
            <w:pPr>
              <w:jc w:val="right"/>
              <w:textAlignment w:val="bottom"/>
            </w:pPr>
            <w:r>
              <w:rPr>
                <w:rFonts w:ascii="Arial" w:eastAsia="宋体" w:hAnsi="Arial" w:cs="Arial"/>
                <w:color w:val="0071C5"/>
                <w:sz w:val="18"/>
                <w:szCs w:val="18"/>
              </w:rPr>
              <w:t>— </w:t>
            </w:r>
          </w:p>
        </w:tc>
        <w:tc>
          <w:tcPr>
            <w:tcW w:w="0" w:type="auto"/>
            <w:shd w:val="clear" w:color="auto" w:fill="auto"/>
            <w:tcMar>
              <w:top w:w="40" w:type="dxa"/>
              <w:bottom w:w="40" w:type="dxa"/>
              <w:right w:w="20" w:type="dxa"/>
            </w:tcMar>
            <w:vAlign w:val="bottom"/>
          </w:tcPr>
          <w:p w14:paraId="36CA24AE"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24AF"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24B0" w14:textId="77777777" w:rsidR="00787570" w:rsidRDefault="000D56E2">
            <w:pPr>
              <w:jc w:val="right"/>
              <w:textAlignment w:val="bottom"/>
            </w:pPr>
            <w:r>
              <w:rPr>
                <w:rFonts w:ascii="Arial" w:eastAsia="宋体" w:hAnsi="Arial" w:cs="Arial"/>
                <w:color w:val="0071C5"/>
                <w:sz w:val="18"/>
                <w:szCs w:val="18"/>
              </w:rPr>
              <w:t>155 </w:t>
            </w:r>
          </w:p>
        </w:tc>
        <w:tc>
          <w:tcPr>
            <w:tcW w:w="0" w:type="auto"/>
            <w:shd w:val="clear" w:color="auto" w:fill="auto"/>
            <w:tcMar>
              <w:top w:w="40" w:type="dxa"/>
              <w:bottom w:w="40" w:type="dxa"/>
              <w:right w:w="20" w:type="dxa"/>
            </w:tcMar>
            <w:vAlign w:val="bottom"/>
          </w:tcPr>
          <w:p w14:paraId="36CA24B1"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24B2"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24B3" w14:textId="77777777" w:rsidR="00787570" w:rsidRDefault="000D56E2">
            <w:pPr>
              <w:jc w:val="right"/>
              <w:textAlignment w:val="bottom"/>
            </w:pPr>
            <w:r>
              <w:rPr>
                <w:rFonts w:ascii="Arial" w:eastAsia="宋体" w:hAnsi="Arial" w:cs="Arial"/>
                <w:color w:val="0071C5"/>
                <w:sz w:val="18"/>
                <w:szCs w:val="18"/>
              </w:rPr>
              <w:t>— </w:t>
            </w:r>
          </w:p>
        </w:tc>
        <w:tc>
          <w:tcPr>
            <w:tcW w:w="0" w:type="auto"/>
            <w:shd w:val="clear" w:color="auto" w:fill="auto"/>
            <w:tcMar>
              <w:top w:w="40" w:type="dxa"/>
              <w:bottom w:w="40" w:type="dxa"/>
              <w:right w:w="20" w:type="dxa"/>
            </w:tcMar>
            <w:vAlign w:val="bottom"/>
          </w:tcPr>
          <w:p w14:paraId="36CA24B4"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24B5"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24B6" w14:textId="77777777" w:rsidR="00787570" w:rsidRDefault="000D56E2">
            <w:pPr>
              <w:jc w:val="right"/>
              <w:textAlignment w:val="bottom"/>
            </w:pPr>
            <w:r>
              <w:rPr>
                <w:rFonts w:ascii="Arial" w:eastAsia="宋体" w:hAnsi="Arial" w:cs="Arial"/>
                <w:color w:val="0071C5"/>
                <w:sz w:val="18"/>
                <w:szCs w:val="18"/>
              </w:rPr>
              <w:t>— </w:t>
            </w:r>
          </w:p>
        </w:tc>
        <w:tc>
          <w:tcPr>
            <w:tcW w:w="0" w:type="auto"/>
            <w:shd w:val="clear" w:color="auto" w:fill="auto"/>
            <w:tcMar>
              <w:top w:w="40" w:type="dxa"/>
              <w:bottom w:w="40" w:type="dxa"/>
              <w:right w:w="20" w:type="dxa"/>
            </w:tcMar>
            <w:vAlign w:val="bottom"/>
          </w:tcPr>
          <w:p w14:paraId="36CA24B7"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24B8"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24B9" w14:textId="77777777" w:rsidR="00787570" w:rsidRDefault="000D56E2">
            <w:pPr>
              <w:jc w:val="right"/>
              <w:textAlignment w:val="bottom"/>
            </w:pPr>
            <w:r>
              <w:rPr>
                <w:rFonts w:ascii="Arial" w:eastAsia="宋体" w:hAnsi="Arial" w:cs="Arial"/>
                <w:color w:val="0071C5"/>
                <w:sz w:val="18"/>
                <w:szCs w:val="18"/>
              </w:rPr>
              <w:t>155 </w:t>
            </w:r>
          </w:p>
        </w:tc>
        <w:tc>
          <w:tcPr>
            <w:tcW w:w="0" w:type="auto"/>
            <w:shd w:val="clear" w:color="auto" w:fill="auto"/>
            <w:tcMar>
              <w:top w:w="40" w:type="dxa"/>
              <w:bottom w:w="40" w:type="dxa"/>
              <w:right w:w="20" w:type="dxa"/>
            </w:tcMar>
            <w:vAlign w:val="bottom"/>
          </w:tcPr>
          <w:p w14:paraId="36CA24BA" w14:textId="77777777" w:rsidR="00787570" w:rsidRDefault="00787570">
            <w:pPr>
              <w:jc w:val="right"/>
              <w:rPr>
                <w:rFonts w:ascii="宋体"/>
              </w:rPr>
            </w:pPr>
          </w:p>
        </w:tc>
        <w:tc>
          <w:tcPr>
            <w:tcW w:w="0" w:type="auto"/>
            <w:shd w:val="clear" w:color="auto" w:fill="auto"/>
          </w:tcPr>
          <w:p w14:paraId="36CA24BB" w14:textId="77777777" w:rsidR="00787570" w:rsidRDefault="00787570">
            <w:pPr>
              <w:rPr>
                <w:rFonts w:ascii="宋体"/>
              </w:rPr>
            </w:pPr>
          </w:p>
        </w:tc>
        <w:tc>
          <w:tcPr>
            <w:tcW w:w="0" w:type="auto"/>
            <w:shd w:val="clear" w:color="auto" w:fill="auto"/>
          </w:tcPr>
          <w:p w14:paraId="36CA24BC" w14:textId="77777777" w:rsidR="00787570" w:rsidRDefault="00787570">
            <w:pPr>
              <w:rPr>
                <w:rFonts w:ascii="宋体"/>
              </w:rPr>
            </w:pPr>
          </w:p>
        </w:tc>
        <w:tc>
          <w:tcPr>
            <w:tcW w:w="0" w:type="auto"/>
            <w:shd w:val="clear" w:color="auto" w:fill="auto"/>
          </w:tcPr>
          <w:p w14:paraId="36CA24BD" w14:textId="77777777" w:rsidR="00787570" w:rsidRDefault="00787570">
            <w:pPr>
              <w:rPr>
                <w:rFonts w:ascii="宋体"/>
              </w:rPr>
            </w:pPr>
          </w:p>
        </w:tc>
        <w:tc>
          <w:tcPr>
            <w:tcW w:w="0" w:type="auto"/>
            <w:shd w:val="clear" w:color="auto" w:fill="auto"/>
          </w:tcPr>
          <w:p w14:paraId="36CA24BE" w14:textId="77777777" w:rsidR="00787570" w:rsidRDefault="00787570">
            <w:pPr>
              <w:rPr>
                <w:rFonts w:ascii="宋体"/>
              </w:rPr>
            </w:pPr>
          </w:p>
        </w:tc>
        <w:tc>
          <w:tcPr>
            <w:tcW w:w="0" w:type="auto"/>
            <w:shd w:val="clear" w:color="auto" w:fill="auto"/>
          </w:tcPr>
          <w:p w14:paraId="36CA24BF" w14:textId="77777777" w:rsidR="00787570" w:rsidRDefault="00787570">
            <w:pPr>
              <w:rPr>
                <w:rFonts w:ascii="宋体"/>
              </w:rPr>
            </w:pPr>
          </w:p>
        </w:tc>
        <w:tc>
          <w:tcPr>
            <w:tcW w:w="0" w:type="auto"/>
            <w:shd w:val="clear" w:color="auto" w:fill="auto"/>
          </w:tcPr>
          <w:p w14:paraId="36CA24C0" w14:textId="77777777" w:rsidR="00787570" w:rsidRDefault="00787570">
            <w:pPr>
              <w:rPr>
                <w:rFonts w:ascii="宋体"/>
              </w:rPr>
            </w:pPr>
          </w:p>
        </w:tc>
        <w:tc>
          <w:tcPr>
            <w:tcW w:w="0" w:type="auto"/>
            <w:shd w:val="clear" w:color="auto" w:fill="auto"/>
          </w:tcPr>
          <w:p w14:paraId="36CA24C1" w14:textId="77777777" w:rsidR="00787570" w:rsidRDefault="00787570">
            <w:pPr>
              <w:rPr>
                <w:rFonts w:ascii="宋体"/>
              </w:rPr>
            </w:pPr>
          </w:p>
        </w:tc>
        <w:tc>
          <w:tcPr>
            <w:tcW w:w="0" w:type="auto"/>
            <w:shd w:val="clear" w:color="auto" w:fill="auto"/>
          </w:tcPr>
          <w:p w14:paraId="36CA24C2" w14:textId="77777777" w:rsidR="00787570" w:rsidRDefault="00787570">
            <w:pPr>
              <w:rPr>
                <w:rFonts w:ascii="宋体"/>
              </w:rPr>
            </w:pPr>
          </w:p>
        </w:tc>
        <w:tc>
          <w:tcPr>
            <w:tcW w:w="0" w:type="auto"/>
            <w:shd w:val="clear" w:color="auto" w:fill="auto"/>
          </w:tcPr>
          <w:p w14:paraId="36CA24C3" w14:textId="77777777" w:rsidR="00787570" w:rsidRDefault="00787570">
            <w:pPr>
              <w:rPr>
                <w:rFonts w:ascii="宋体"/>
              </w:rPr>
            </w:pPr>
          </w:p>
        </w:tc>
      </w:tr>
      <w:tr w:rsidR="00787570" w14:paraId="36CA24DE" w14:textId="77777777">
        <w:tc>
          <w:tcPr>
            <w:tcW w:w="0" w:type="auto"/>
            <w:gridSpan w:val="3"/>
            <w:shd w:val="clear" w:color="auto" w:fill="auto"/>
            <w:tcMar>
              <w:top w:w="40" w:type="dxa"/>
              <w:left w:w="20" w:type="dxa"/>
              <w:bottom w:w="40" w:type="dxa"/>
              <w:right w:w="20" w:type="dxa"/>
            </w:tcMar>
            <w:vAlign w:val="bottom"/>
          </w:tcPr>
          <w:p w14:paraId="36CA24C5" w14:textId="77777777" w:rsidR="00787570" w:rsidRDefault="000D56E2">
            <w:pPr>
              <w:textAlignment w:val="bottom"/>
            </w:pPr>
            <w:r>
              <w:rPr>
                <w:rFonts w:ascii="Arial" w:eastAsia="宋体" w:hAnsi="Arial" w:cs="Arial"/>
                <w:color w:val="333333"/>
                <w:sz w:val="18"/>
                <w:szCs w:val="18"/>
              </w:rPr>
              <w:t>Convertible debt</w:t>
            </w:r>
          </w:p>
        </w:tc>
        <w:tc>
          <w:tcPr>
            <w:tcW w:w="0" w:type="auto"/>
            <w:gridSpan w:val="3"/>
            <w:shd w:val="clear" w:color="auto" w:fill="auto"/>
            <w:tcMar>
              <w:left w:w="20" w:type="dxa"/>
              <w:right w:w="20" w:type="dxa"/>
            </w:tcMar>
            <w:vAlign w:val="bottom"/>
          </w:tcPr>
          <w:p w14:paraId="36CA24C6"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24C7" w14:textId="77777777" w:rsidR="00787570" w:rsidRDefault="000D56E2">
            <w:pPr>
              <w:jc w:val="right"/>
              <w:textAlignment w:val="bottom"/>
            </w:pPr>
            <w:r>
              <w:rPr>
                <w:rFonts w:ascii="Arial" w:eastAsia="宋体" w:hAnsi="Arial" w:cs="Arial"/>
                <w:color w:val="0071C5"/>
                <w:sz w:val="18"/>
                <w:szCs w:val="18"/>
              </w:rPr>
              <w:t>— </w:t>
            </w:r>
          </w:p>
        </w:tc>
        <w:tc>
          <w:tcPr>
            <w:tcW w:w="0" w:type="auto"/>
            <w:shd w:val="clear" w:color="auto" w:fill="auto"/>
            <w:tcMar>
              <w:top w:w="40" w:type="dxa"/>
              <w:bottom w:w="40" w:type="dxa"/>
              <w:right w:w="20" w:type="dxa"/>
            </w:tcMar>
            <w:vAlign w:val="bottom"/>
          </w:tcPr>
          <w:p w14:paraId="36CA24C8"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24C9"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24CA" w14:textId="77777777" w:rsidR="00787570" w:rsidRDefault="000D56E2">
            <w:pPr>
              <w:jc w:val="right"/>
              <w:textAlignment w:val="bottom"/>
            </w:pPr>
            <w:r>
              <w:rPr>
                <w:rFonts w:ascii="Arial" w:eastAsia="宋体" w:hAnsi="Arial" w:cs="Arial"/>
                <w:color w:val="0071C5"/>
                <w:sz w:val="18"/>
                <w:szCs w:val="18"/>
              </w:rPr>
              <w:t>(750)</w:t>
            </w:r>
          </w:p>
        </w:tc>
        <w:tc>
          <w:tcPr>
            <w:tcW w:w="0" w:type="auto"/>
            <w:shd w:val="clear" w:color="auto" w:fill="auto"/>
            <w:tcMar>
              <w:top w:w="40" w:type="dxa"/>
              <w:bottom w:w="40" w:type="dxa"/>
              <w:right w:w="20" w:type="dxa"/>
            </w:tcMar>
            <w:vAlign w:val="bottom"/>
          </w:tcPr>
          <w:p w14:paraId="36CA24CB"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24CC"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24CD" w14:textId="77777777" w:rsidR="00787570" w:rsidRDefault="000D56E2">
            <w:pPr>
              <w:jc w:val="right"/>
              <w:textAlignment w:val="bottom"/>
            </w:pPr>
            <w:r>
              <w:rPr>
                <w:rFonts w:ascii="Arial" w:eastAsia="宋体" w:hAnsi="Arial" w:cs="Arial"/>
                <w:color w:val="0071C5"/>
                <w:sz w:val="18"/>
                <w:szCs w:val="18"/>
              </w:rPr>
              <w:t>— </w:t>
            </w:r>
          </w:p>
        </w:tc>
        <w:tc>
          <w:tcPr>
            <w:tcW w:w="0" w:type="auto"/>
            <w:shd w:val="clear" w:color="auto" w:fill="auto"/>
            <w:tcMar>
              <w:top w:w="40" w:type="dxa"/>
              <w:bottom w:w="40" w:type="dxa"/>
              <w:right w:w="20" w:type="dxa"/>
            </w:tcMar>
            <w:vAlign w:val="bottom"/>
          </w:tcPr>
          <w:p w14:paraId="36CA24CE"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24CF"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24D0" w14:textId="77777777" w:rsidR="00787570" w:rsidRDefault="000D56E2">
            <w:pPr>
              <w:jc w:val="right"/>
              <w:textAlignment w:val="bottom"/>
            </w:pPr>
            <w:r>
              <w:rPr>
                <w:rFonts w:ascii="Arial" w:eastAsia="宋体" w:hAnsi="Arial" w:cs="Arial"/>
                <w:color w:val="0071C5"/>
                <w:sz w:val="18"/>
                <w:szCs w:val="18"/>
              </w:rPr>
              <w:t>— </w:t>
            </w:r>
          </w:p>
        </w:tc>
        <w:tc>
          <w:tcPr>
            <w:tcW w:w="0" w:type="auto"/>
            <w:shd w:val="clear" w:color="auto" w:fill="auto"/>
            <w:tcMar>
              <w:top w:w="40" w:type="dxa"/>
              <w:bottom w:w="40" w:type="dxa"/>
              <w:right w:w="20" w:type="dxa"/>
            </w:tcMar>
            <w:vAlign w:val="bottom"/>
          </w:tcPr>
          <w:p w14:paraId="36CA24D1"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24D2"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24D3" w14:textId="77777777" w:rsidR="00787570" w:rsidRDefault="000D56E2">
            <w:pPr>
              <w:jc w:val="right"/>
              <w:textAlignment w:val="bottom"/>
            </w:pPr>
            <w:r>
              <w:rPr>
                <w:rFonts w:ascii="Arial" w:eastAsia="宋体" w:hAnsi="Arial" w:cs="Arial"/>
                <w:color w:val="0071C5"/>
                <w:sz w:val="18"/>
                <w:szCs w:val="18"/>
              </w:rPr>
              <w:t>(750)</w:t>
            </w:r>
          </w:p>
        </w:tc>
        <w:tc>
          <w:tcPr>
            <w:tcW w:w="0" w:type="auto"/>
            <w:shd w:val="clear" w:color="auto" w:fill="auto"/>
            <w:tcMar>
              <w:top w:w="40" w:type="dxa"/>
              <w:bottom w:w="40" w:type="dxa"/>
              <w:right w:w="20" w:type="dxa"/>
            </w:tcMar>
            <w:vAlign w:val="bottom"/>
          </w:tcPr>
          <w:p w14:paraId="36CA24D4" w14:textId="77777777" w:rsidR="00787570" w:rsidRDefault="00787570">
            <w:pPr>
              <w:jc w:val="right"/>
              <w:rPr>
                <w:rFonts w:ascii="宋体"/>
              </w:rPr>
            </w:pPr>
          </w:p>
        </w:tc>
        <w:tc>
          <w:tcPr>
            <w:tcW w:w="0" w:type="auto"/>
            <w:shd w:val="clear" w:color="auto" w:fill="auto"/>
          </w:tcPr>
          <w:p w14:paraId="36CA24D5" w14:textId="77777777" w:rsidR="00787570" w:rsidRDefault="00787570">
            <w:pPr>
              <w:rPr>
                <w:rFonts w:ascii="宋体"/>
              </w:rPr>
            </w:pPr>
          </w:p>
        </w:tc>
        <w:tc>
          <w:tcPr>
            <w:tcW w:w="0" w:type="auto"/>
            <w:shd w:val="clear" w:color="auto" w:fill="auto"/>
          </w:tcPr>
          <w:p w14:paraId="36CA24D6" w14:textId="77777777" w:rsidR="00787570" w:rsidRDefault="00787570">
            <w:pPr>
              <w:rPr>
                <w:rFonts w:ascii="宋体"/>
              </w:rPr>
            </w:pPr>
          </w:p>
        </w:tc>
        <w:tc>
          <w:tcPr>
            <w:tcW w:w="0" w:type="auto"/>
            <w:shd w:val="clear" w:color="auto" w:fill="auto"/>
          </w:tcPr>
          <w:p w14:paraId="36CA24D7" w14:textId="77777777" w:rsidR="00787570" w:rsidRDefault="00787570">
            <w:pPr>
              <w:rPr>
                <w:rFonts w:ascii="宋体"/>
              </w:rPr>
            </w:pPr>
          </w:p>
        </w:tc>
        <w:tc>
          <w:tcPr>
            <w:tcW w:w="0" w:type="auto"/>
            <w:shd w:val="clear" w:color="auto" w:fill="auto"/>
          </w:tcPr>
          <w:p w14:paraId="36CA24D8" w14:textId="77777777" w:rsidR="00787570" w:rsidRDefault="00787570">
            <w:pPr>
              <w:rPr>
                <w:rFonts w:ascii="宋体"/>
              </w:rPr>
            </w:pPr>
          </w:p>
        </w:tc>
        <w:tc>
          <w:tcPr>
            <w:tcW w:w="0" w:type="auto"/>
            <w:shd w:val="clear" w:color="auto" w:fill="auto"/>
          </w:tcPr>
          <w:p w14:paraId="36CA24D9" w14:textId="77777777" w:rsidR="00787570" w:rsidRDefault="00787570">
            <w:pPr>
              <w:rPr>
                <w:rFonts w:ascii="宋体"/>
              </w:rPr>
            </w:pPr>
          </w:p>
        </w:tc>
        <w:tc>
          <w:tcPr>
            <w:tcW w:w="0" w:type="auto"/>
            <w:shd w:val="clear" w:color="auto" w:fill="auto"/>
          </w:tcPr>
          <w:p w14:paraId="36CA24DA" w14:textId="77777777" w:rsidR="00787570" w:rsidRDefault="00787570">
            <w:pPr>
              <w:rPr>
                <w:rFonts w:ascii="宋体"/>
              </w:rPr>
            </w:pPr>
          </w:p>
        </w:tc>
        <w:tc>
          <w:tcPr>
            <w:tcW w:w="0" w:type="auto"/>
            <w:shd w:val="clear" w:color="auto" w:fill="auto"/>
          </w:tcPr>
          <w:p w14:paraId="36CA24DB" w14:textId="77777777" w:rsidR="00787570" w:rsidRDefault="00787570">
            <w:pPr>
              <w:rPr>
                <w:rFonts w:ascii="宋体"/>
              </w:rPr>
            </w:pPr>
          </w:p>
        </w:tc>
        <w:tc>
          <w:tcPr>
            <w:tcW w:w="0" w:type="auto"/>
            <w:shd w:val="clear" w:color="auto" w:fill="auto"/>
          </w:tcPr>
          <w:p w14:paraId="36CA24DC" w14:textId="77777777" w:rsidR="00787570" w:rsidRDefault="00787570">
            <w:pPr>
              <w:rPr>
                <w:rFonts w:ascii="宋体"/>
              </w:rPr>
            </w:pPr>
          </w:p>
        </w:tc>
        <w:tc>
          <w:tcPr>
            <w:tcW w:w="0" w:type="auto"/>
            <w:shd w:val="clear" w:color="auto" w:fill="auto"/>
          </w:tcPr>
          <w:p w14:paraId="36CA24DD" w14:textId="77777777" w:rsidR="00787570" w:rsidRDefault="00787570">
            <w:pPr>
              <w:rPr>
                <w:rFonts w:ascii="宋体"/>
              </w:rPr>
            </w:pPr>
          </w:p>
        </w:tc>
      </w:tr>
      <w:tr w:rsidR="00787570" w14:paraId="36CA24F3" w14:textId="77777777">
        <w:trPr>
          <w:hidden/>
        </w:trPr>
        <w:tc>
          <w:tcPr>
            <w:tcW w:w="0" w:type="auto"/>
            <w:gridSpan w:val="3"/>
            <w:shd w:val="clear" w:color="auto" w:fill="auto"/>
          </w:tcPr>
          <w:p w14:paraId="36CA24DF" w14:textId="77777777" w:rsidR="00787570" w:rsidRDefault="00787570">
            <w:pPr>
              <w:rPr>
                <w:rFonts w:ascii="宋体"/>
                <w:vanish/>
              </w:rPr>
            </w:pPr>
          </w:p>
        </w:tc>
        <w:tc>
          <w:tcPr>
            <w:tcW w:w="0" w:type="auto"/>
            <w:gridSpan w:val="3"/>
            <w:shd w:val="clear" w:color="auto" w:fill="auto"/>
          </w:tcPr>
          <w:p w14:paraId="36CA24E0" w14:textId="77777777" w:rsidR="00787570" w:rsidRDefault="00787570">
            <w:pPr>
              <w:rPr>
                <w:rFonts w:ascii="宋体"/>
                <w:vanish/>
              </w:rPr>
            </w:pPr>
          </w:p>
        </w:tc>
        <w:tc>
          <w:tcPr>
            <w:tcW w:w="0" w:type="auto"/>
            <w:gridSpan w:val="3"/>
            <w:shd w:val="clear" w:color="auto" w:fill="auto"/>
          </w:tcPr>
          <w:p w14:paraId="36CA24E1" w14:textId="77777777" w:rsidR="00787570" w:rsidRDefault="00787570">
            <w:pPr>
              <w:rPr>
                <w:rFonts w:ascii="宋体"/>
                <w:vanish/>
              </w:rPr>
            </w:pPr>
          </w:p>
        </w:tc>
        <w:tc>
          <w:tcPr>
            <w:tcW w:w="0" w:type="auto"/>
            <w:gridSpan w:val="3"/>
            <w:shd w:val="clear" w:color="auto" w:fill="auto"/>
          </w:tcPr>
          <w:p w14:paraId="36CA24E2" w14:textId="77777777" w:rsidR="00787570" w:rsidRDefault="00787570">
            <w:pPr>
              <w:rPr>
                <w:rFonts w:ascii="宋体"/>
                <w:vanish/>
              </w:rPr>
            </w:pPr>
          </w:p>
        </w:tc>
        <w:tc>
          <w:tcPr>
            <w:tcW w:w="0" w:type="auto"/>
            <w:gridSpan w:val="3"/>
            <w:shd w:val="clear" w:color="auto" w:fill="auto"/>
          </w:tcPr>
          <w:p w14:paraId="36CA24E3" w14:textId="77777777" w:rsidR="00787570" w:rsidRDefault="00787570">
            <w:pPr>
              <w:rPr>
                <w:rFonts w:ascii="宋体"/>
                <w:vanish/>
              </w:rPr>
            </w:pPr>
          </w:p>
        </w:tc>
        <w:tc>
          <w:tcPr>
            <w:tcW w:w="0" w:type="auto"/>
            <w:gridSpan w:val="3"/>
            <w:shd w:val="clear" w:color="auto" w:fill="auto"/>
          </w:tcPr>
          <w:p w14:paraId="36CA24E4" w14:textId="77777777" w:rsidR="00787570" w:rsidRDefault="00787570">
            <w:pPr>
              <w:rPr>
                <w:rFonts w:ascii="宋体"/>
                <w:vanish/>
              </w:rPr>
            </w:pPr>
          </w:p>
        </w:tc>
        <w:tc>
          <w:tcPr>
            <w:tcW w:w="0" w:type="auto"/>
            <w:gridSpan w:val="3"/>
            <w:shd w:val="clear" w:color="auto" w:fill="auto"/>
          </w:tcPr>
          <w:p w14:paraId="36CA24E5" w14:textId="77777777" w:rsidR="00787570" w:rsidRDefault="00787570">
            <w:pPr>
              <w:rPr>
                <w:rFonts w:ascii="宋体"/>
                <w:vanish/>
              </w:rPr>
            </w:pPr>
          </w:p>
        </w:tc>
        <w:tc>
          <w:tcPr>
            <w:tcW w:w="0" w:type="auto"/>
            <w:gridSpan w:val="3"/>
            <w:shd w:val="clear" w:color="auto" w:fill="auto"/>
          </w:tcPr>
          <w:p w14:paraId="36CA24E6" w14:textId="77777777" w:rsidR="00787570" w:rsidRDefault="00787570">
            <w:pPr>
              <w:rPr>
                <w:rFonts w:ascii="宋体"/>
                <w:vanish/>
              </w:rPr>
            </w:pPr>
          </w:p>
        </w:tc>
        <w:tc>
          <w:tcPr>
            <w:tcW w:w="0" w:type="auto"/>
            <w:gridSpan w:val="3"/>
            <w:shd w:val="clear" w:color="auto" w:fill="auto"/>
          </w:tcPr>
          <w:p w14:paraId="36CA24E7" w14:textId="77777777" w:rsidR="00787570" w:rsidRDefault="00787570">
            <w:pPr>
              <w:rPr>
                <w:rFonts w:ascii="宋体"/>
                <w:vanish/>
              </w:rPr>
            </w:pPr>
          </w:p>
        </w:tc>
        <w:tc>
          <w:tcPr>
            <w:tcW w:w="0" w:type="auto"/>
            <w:gridSpan w:val="3"/>
            <w:shd w:val="clear" w:color="auto" w:fill="auto"/>
          </w:tcPr>
          <w:p w14:paraId="36CA24E8" w14:textId="77777777" w:rsidR="00787570" w:rsidRDefault="00787570">
            <w:pPr>
              <w:rPr>
                <w:rFonts w:ascii="宋体"/>
                <w:vanish/>
              </w:rPr>
            </w:pPr>
          </w:p>
        </w:tc>
        <w:tc>
          <w:tcPr>
            <w:tcW w:w="0" w:type="auto"/>
            <w:gridSpan w:val="3"/>
            <w:shd w:val="clear" w:color="auto" w:fill="auto"/>
          </w:tcPr>
          <w:p w14:paraId="36CA24E9" w14:textId="77777777" w:rsidR="00787570" w:rsidRDefault="00787570">
            <w:pPr>
              <w:rPr>
                <w:rFonts w:ascii="宋体"/>
                <w:vanish/>
              </w:rPr>
            </w:pPr>
          </w:p>
        </w:tc>
        <w:tc>
          <w:tcPr>
            <w:tcW w:w="0" w:type="auto"/>
            <w:shd w:val="clear" w:color="auto" w:fill="auto"/>
          </w:tcPr>
          <w:p w14:paraId="36CA24EA" w14:textId="77777777" w:rsidR="00787570" w:rsidRDefault="00787570">
            <w:pPr>
              <w:rPr>
                <w:rFonts w:ascii="宋体"/>
              </w:rPr>
            </w:pPr>
          </w:p>
        </w:tc>
        <w:tc>
          <w:tcPr>
            <w:tcW w:w="0" w:type="auto"/>
            <w:shd w:val="clear" w:color="auto" w:fill="auto"/>
          </w:tcPr>
          <w:p w14:paraId="36CA24EB" w14:textId="77777777" w:rsidR="00787570" w:rsidRDefault="00787570">
            <w:pPr>
              <w:rPr>
                <w:rFonts w:ascii="宋体"/>
              </w:rPr>
            </w:pPr>
          </w:p>
        </w:tc>
        <w:tc>
          <w:tcPr>
            <w:tcW w:w="0" w:type="auto"/>
            <w:shd w:val="clear" w:color="auto" w:fill="auto"/>
          </w:tcPr>
          <w:p w14:paraId="36CA24EC" w14:textId="77777777" w:rsidR="00787570" w:rsidRDefault="00787570">
            <w:pPr>
              <w:rPr>
                <w:rFonts w:ascii="宋体"/>
              </w:rPr>
            </w:pPr>
          </w:p>
        </w:tc>
        <w:tc>
          <w:tcPr>
            <w:tcW w:w="0" w:type="auto"/>
            <w:shd w:val="clear" w:color="auto" w:fill="auto"/>
          </w:tcPr>
          <w:p w14:paraId="36CA24ED" w14:textId="77777777" w:rsidR="00787570" w:rsidRDefault="00787570">
            <w:pPr>
              <w:rPr>
                <w:rFonts w:ascii="宋体"/>
              </w:rPr>
            </w:pPr>
          </w:p>
        </w:tc>
        <w:tc>
          <w:tcPr>
            <w:tcW w:w="0" w:type="auto"/>
            <w:shd w:val="clear" w:color="auto" w:fill="auto"/>
          </w:tcPr>
          <w:p w14:paraId="36CA24EE" w14:textId="77777777" w:rsidR="00787570" w:rsidRDefault="00787570">
            <w:pPr>
              <w:rPr>
                <w:rFonts w:ascii="宋体"/>
              </w:rPr>
            </w:pPr>
          </w:p>
        </w:tc>
        <w:tc>
          <w:tcPr>
            <w:tcW w:w="0" w:type="auto"/>
            <w:shd w:val="clear" w:color="auto" w:fill="auto"/>
          </w:tcPr>
          <w:p w14:paraId="36CA24EF" w14:textId="77777777" w:rsidR="00787570" w:rsidRDefault="00787570">
            <w:pPr>
              <w:rPr>
                <w:rFonts w:ascii="宋体"/>
              </w:rPr>
            </w:pPr>
          </w:p>
        </w:tc>
        <w:tc>
          <w:tcPr>
            <w:tcW w:w="0" w:type="auto"/>
            <w:shd w:val="clear" w:color="auto" w:fill="auto"/>
          </w:tcPr>
          <w:p w14:paraId="36CA24F0" w14:textId="77777777" w:rsidR="00787570" w:rsidRDefault="00787570">
            <w:pPr>
              <w:rPr>
                <w:rFonts w:ascii="宋体"/>
              </w:rPr>
            </w:pPr>
          </w:p>
        </w:tc>
        <w:tc>
          <w:tcPr>
            <w:tcW w:w="0" w:type="auto"/>
            <w:shd w:val="clear" w:color="auto" w:fill="auto"/>
          </w:tcPr>
          <w:p w14:paraId="36CA24F1" w14:textId="77777777" w:rsidR="00787570" w:rsidRDefault="00787570">
            <w:pPr>
              <w:rPr>
                <w:rFonts w:ascii="宋体"/>
              </w:rPr>
            </w:pPr>
          </w:p>
        </w:tc>
        <w:tc>
          <w:tcPr>
            <w:tcW w:w="0" w:type="auto"/>
            <w:shd w:val="clear" w:color="auto" w:fill="auto"/>
          </w:tcPr>
          <w:p w14:paraId="36CA24F2" w14:textId="77777777" w:rsidR="00787570" w:rsidRDefault="00787570">
            <w:pPr>
              <w:rPr>
                <w:rFonts w:ascii="宋体"/>
              </w:rPr>
            </w:pPr>
          </w:p>
        </w:tc>
      </w:tr>
      <w:tr w:rsidR="00787570" w14:paraId="36CA250D" w14:textId="77777777">
        <w:tc>
          <w:tcPr>
            <w:tcW w:w="0" w:type="auto"/>
            <w:gridSpan w:val="3"/>
            <w:shd w:val="clear" w:color="auto" w:fill="auto"/>
            <w:tcMar>
              <w:top w:w="40" w:type="dxa"/>
              <w:left w:w="20" w:type="dxa"/>
              <w:bottom w:w="40" w:type="dxa"/>
              <w:right w:w="20" w:type="dxa"/>
            </w:tcMar>
            <w:vAlign w:val="bottom"/>
          </w:tcPr>
          <w:p w14:paraId="36CA24F4" w14:textId="77777777" w:rsidR="00787570" w:rsidRDefault="000D56E2">
            <w:pPr>
              <w:textAlignment w:val="bottom"/>
            </w:pPr>
            <w:r>
              <w:rPr>
                <w:rFonts w:ascii="Arial" w:eastAsia="宋体" w:hAnsi="Arial" w:cs="Arial"/>
                <w:color w:val="333333"/>
                <w:sz w:val="18"/>
                <w:szCs w:val="18"/>
              </w:rPr>
              <w:t>Repurchase of common stock</w:t>
            </w:r>
          </w:p>
        </w:tc>
        <w:tc>
          <w:tcPr>
            <w:tcW w:w="0" w:type="auto"/>
            <w:gridSpan w:val="3"/>
            <w:shd w:val="clear" w:color="auto" w:fill="auto"/>
            <w:tcMar>
              <w:left w:w="20" w:type="dxa"/>
              <w:right w:w="20" w:type="dxa"/>
            </w:tcMar>
            <w:vAlign w:val="bottom"/>
          </w:tcPr>
          <w:p w14:paraId="36CA24F5"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24F6" w14:textId="77777777" w:rsidR="00787570" w:rsidRDefault="000D56E2">
            <w:pPr>
              <w:jc w:val="right"/>
              <w:textAlignment w:val="bottom"/>
            </w:pPr>
            <w:r>
              <w:rPr>
                <w:rFonts w:ascii="Arial" w:eastAsia="宋体" w:hAnsi="Arial" w:cs="Arial"/>
                <w:color w:val="0071C5"/>
                <w:sz w:val="18"/>
                <w:szCs w:val="18"/>
              </w:rPr>
              <w:t>(237)</w:t>
            </w:r>
          </w:p>
        </w:tc>
        <w:tc>
          <w:tcPr>
            <w:tcW w:w="0" w:type="auto"/>
            <w:shd w:val="clear" w:color="auto" w:fill="auto"/>
            <w:tcMar>
              <w:top w:w="40" w:type="dxa"/>
              <w:bottom w:w="40" w:type="dxa"/>
              <w:right w:w="20" w:type="dxa"/>
            </w:tcMar>
            <w:vAlign w:val="bottom"/>
          </w:tcPr>
          <w:p w14:paraId="36CA24F7"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24F8"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24F9" w14:textId="77777777" w:rsidR="00787570" w:rsidRDefault="000D56E2">
            <w:pPr>
              <w:jc w:val="right"/>
              <w:textAlignment w:val="bottom"/>
            </w:pPr>
            <w:r>
              <w:rPr>
                <w:rFonts w:ascii="Arial" w:eastAsia="宋体" w:hAnsi="Arial" w:cs="Arial"/>
                <w:color w:val="0071C5"/>
                <w:sz w:val="18"/>
                <w:szCs w:val="18"/>
              </w:rPr>
              <w:t>(1,413)</w:t>
            </w:r>
          </w:p>
        </w:tc>
        <w:tc>
          <w:tcPr>
            <w:tcW w:w="0" w:type="auto"/>
            <w:shd w:val="clear" w:color="auto" w:fill="auto"/>
            <w:tcMar>
              <w:top w:w="40" w:type="dxa"/>
              <w:bottom w:w="40" w:type="dxa"/>
              <w:right w:w="20" w:type="dxa"/>
            </w:tcMar>
            <w:vAlign w:val="bottom"/>
          </w:tcPr>
          <w:p w14:paraId="36CA24FA"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24FB"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24FC" w14:textId="77777777" w:rsidR="00787570" w:rsidRDefault="000D56E2">
            <w:pPr>
              <w:jc w:val="right"/>
              <w:textAlignment w:val="bottom"/>
            </w:pPr>
            <w:r>
              <w:rPr>
                <w:rFonts w:ascii="Arial" w:eastAsia="宋体" w:hAnsi="Arial" w:cs="Arial"/>
                <w:color w:val="0071C5"/>
                <w:sz w:val="18"/>
                <w:szCs w:val="18"/>
              </w:rPr>
              <w:t>— </w:t>
            </w:r>
          </w:p>
        </w:tc>
        <w:tc>
          <w:tcPr>
            <w:tcW w:w="0" w:type="auto"/>
            <w:shd w:val="clear" w:color="auto" w:fill="auto"/>
            <w:tcMar>
              <w:top w:w="40" w:type="dxa"/>
              <w:bottom w:w="40" w:type="dxa"/>
              <w:right w:w="20" w:type="dxa"/>
            </w:tcMar>
            <w:vAlign w:val="bottom"/>
          </w:tcPr>
          <w:p w14:paraId="36CA24FD"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24FE"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24FF" w14:textId="77777777" w:rsidR="00787570" w:rsidRDefault="000D56E2">
            <w:pPr>
              <w:jc w:val="right"/>
              <w:textAlignment w:val="bottom"/>
            </w:pPr>
            <w:r>
              <w:rPr>
                <w:rFonts w:ascii="Arial" w:eastAsia="宋体" w:hAnsi="Arial" w:cs="Arial"/>
                <w:color w:val="0071C5"/>
                <w:sz w:val="18"/>
                <w:szCs w:val="18"/>
              </w:rPr>
              <w:t>(10,696)</w:t>
            </w:r>
          </w:p>
        </w:tc>
        <w:tc>
          <w:tcPr>
            <w:tcW w:w="0" w:type="auto"/>
            <w:shd w:val="clear" w:color="auto" w:fill="auto"/>
            <w:tcMar>
              <w:top w:w="40" w:type="dxa"/>
              <w:bottom w:w="40" w:type="dxa"/>
              <w:right w:w="20" w:type="dxa"/>
            </w:tcMar>
            <w:vAlign w:val="bottom"/>
          </w:tcPr>
          <w:p w14:paraId="36CA2500"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2501"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2502" w14:textId="77777777" w:rsidR="00787570" w:rsidRDefault="000D56E2">
            <w:pPr>
              <w:jc w:val="right"/>
              <w:textAlignment w:val="bottom"/>
            </w:pPr>
            <w:r>
              <w:rPr>
                <w:rFonts w:ascii="Arial" w:eastAsia="宋体" w:hAnsi="Arial" w:cs="Arial"/>
                <w:color w:val="0071C5"/>
                <w:sz w:val="18"/>
                <w:szCs w:val="18"/>
              </w:rPr>
              <w:t>(12,109)</w:t>
            </w:r>
          </w:p>
        </w:tc>
        <w:tc>
          <w:tcPr>
            <w:tcW w:w="0" w:type="auto"/>
            <w:shd w:val="clear" w:color="auto" w:fill="auto"/>
            <w:tcMar>
              <w:top w:w="40" w:type="dxa"/>
              <w:bottom w:w="40" w:type="dxa"/>
              <w:right w:w="20" w:type="dxa"/>
            </w:tcMar>
            <w:vAlign w:val="bottom"/>
          </w:tcPr>
          <w:p w14:paraId="36CA2503" w14:textId="77777777" w:rsidR="00787570" w:rsidRDefault="00787570">
            <w:pPr>
              <w:jc w:val="right"/>
              <w:rPr>
                <w:rFonts w:ascii="宋体"/>
              </w:rPr>
            </w:pPr>
          </w:p>
        </w:tc>
        <w:tc>
          <w:tcPr>
            <w:tcW w:w="0" w:type="auto"/>
            <w:shd w:val="clear" w:color="auto" w:fill="auto"/>
          </w:tcPr>
          <w:p w14:paraId="36CA2504" w14:textId="77777777" w:rsidR="00787570" w:rsidRDefault="00787570">
            <w:pPr>
              <w:rPr>
                <w:rFonts w:ascii="宋体"/>
              </w:rPr>
            </w:pPr>
          </w:p>
        </w:tc>
        <w:tc>
          <w:tcPr>
            <w:tcW w:w="0" w:type="auto"/>
            <w:shd w:val="clear" w:color="auto" w:fill="auto"/>
          </w:tcPr>
          <w:p w14:paraId="36CA2505" w14:textId="77777777" w:rsidR="00787570" w:rsidRDefault="00787570">
            <w:pPr>
              <w:rPr>
                <w:rFonts w:ascii="宋体"/>
              </w:rPr>
            </w:pPr>
          </w:p>
        </w:tc>
        <w:tc>
          <w:tcPr>
            <w:tcW w:w="0" w:type="auto"/>
            <w:shd w:val="clear" w:color="auto" w:fill="auto"/>
          </w:tcPr>
          <w:p w14:paraId="36CA2506" w14:textId="77777777" w:rsidR="00787570" w:rsidRDefault="00787570">
            <w:pPr>
              <w:rPr>
                <w:rFonts w:ascii="宋体"/>
              </w:rPr>
            </w:pPr>
          </w:p>
        </w:tc>
        <w:tc>
          <w:tcPr>
            <w:tcW w:w="0" w:type="auto"/>
            <w:shd w:val="clear" w:color="auto" w:fill="auto"/>
          </w:tcPr>
          <w:p w14:paraId="36CA2507" w14:textId="77777777" w:rsidR="00787570" w:rsidRDefault="00787570">
            <w:pPr>
              <w:rPr>
                <w:rFonts w:ascii="宋体"/>
              </w:rPr>
            </w:pPr>
          </w:p>
        </w:tc>
        <w:tc>
          <w:tcPr>
            <w:tcW w:w="0" w:type="auto"/>
            <w:shd w:val="clear" w:color="auto" w:fill="auto"/>
          </w:tcPr>
          <w:p w14:paraId="36CA2508" w14:textId="77777777" w:rsidR="00787570" w:rsidRDefault="00787570">
            <w:pPr>
              <w:rPr>
                <w:rFonts w:ascii="宋体"/>
              </w:rPr>
            </w:pPr>
          </w:p>
        </w:tc>
        <w:tc>
          <w:tcPr>
            <w:tcW w:w="0" w:type="auto"/>
            <w:shd w:val="clear" w:color="auto" w:fill="auto"/>
          </w:tcPr>
          <w:p w14:paraId="36CA2509" w14:textId="77777777" w:rsidR="00787570" w:rsidRDefault="00787570">
            <w:pPr>
              <w:rPr>
                <w:rFonts w:ascii="宋体"/>
              </w:rPr>
            </w:pPr>
          </w:p>
        </w:tc>
        <w:tc>
          <w:tcPr>
            <w:tcW w:w="0" w:type="auto"/>
            <w:shd w:val="clear" w:color="auto" w:fill="auto"/>
          </w:tcPr>
          <w:p w14:paraId="36CA250A" w14:textId="77777777" w:rsidR="00787570" w:rsidRDefault="00787570">
            <w:pPr>
              <w:rPr>
                <w:rFonts w:ascii="宋体"/>
              </w:rPr>
            </w:pPr>
          </w:p>
        </w:tc>
        <w:tc>
          <w:tcPr>
            <w:tcW w:w="0" w:type="auto"/>
            <w:shd w:val="clear" w:color="auto" w:fill="auto"/>
          </w:tcPr>
          <w:p w14:paraId="36CA250B" w14:textId="77777777" w:rsidR="00787570" w:rsidRDefault="00787570">
            <w:pPr>
              <w:rPr>
                <w:rFonts w:ascii="宋体"/>
              </w:rPr>
            </w:pPr>
          </w:p>
        </w:tc>
        <w:tc>
          <w:tcPr>
            <w:tcW w:w="0" w:type="auto"/>
            <w:shd w:val="clear" w:color="auto" w:fill="auto"/>
          </w:tcPr>
          <w:p w14:paraId="36CA250C" w14:textId="77777777" w:rsidR="00787570" w:rsidRDefault="00787570">
            <w:pPr>
              <w:rPr>
                <w:rFonts w:ascii="宋体"/>
              </w:rPr>
            </w:pPr>
          </w:p>
        </w:tc>
      </w:tr>
      <w:tr w:rsidR="00787570" w14:paraId="36CA2527" w14:textId="77777777">
        <w:tc>
          <w:tcPr>
            <w:tcW w:w="0" w:type="auto"/>
            <w:gridSpan w:val="3"/>
            <w:shd w:val="clear" w:color="auto" w:fill="auto"/>
            <w:tcMar>
              <w:top w:w="40" w:type="dxa"/>
              <w:left w:w="20" w:type="dxa"/>
              <w:bottom w:w="40" w:type="dxa"/>
              <w:right w:w="20" w:type="dxa"/>
            </w:tcMar>
            <w:vAlign w:val="bottom"/>
          </w:tcPr>
          <w:p w14:paraId="36CA250E" w14:textId="77777777" w:rsidR="00787570" w:rsidRDefault="000D56E2">
            <w:pPr>
              <w:textAlignment w:val="bottom"/>
            </w:pPr>
            <w:r>
              <w:rPr>
                <w:rFonts w:ascii="Arial" w:eastAsia="宋体" w:hAnsi="Arial" w:cs="Arial"/>
                <w:color w:val="333333"/>
                <w:sz w:val="18"/>
                <w:szCs w:val="18"/>
              </w:rPr>
              <w:t>Accelerated share repurchase forward agreements</w:t>
            </w:r>
          </w:p>
        </w:tc>
        <w:tc>
          <w:tcPr>
            <w:tcW w:w="0" w:type="auto"/>
            <w:gridSpan w:val="3"/>
            <w:shd w:val="clear" w:color="auto" w:fill="auto"/>
            <w:tcMar>
              <w:left w:w="20" w:type="dxa"/>
              <w:right w:w="20" w:type="dxa"/>
            </w:tcMar>
            <w:vAlign w:val="bottom"/>
          </w:tcPr>
          <w:p w14:paraId="36CA250F"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2510" w14:textId="77777777" w:rsidR="00787570" w:rsidRDefault="000D56E2">
            <w:pPr>
              <w:jc w:val="right"/>
              <w:textAlignment w:val="bottom"/>
            </w:pPr>
            <w:r>
              <w:rPr>
                <w:rFonts w:ascii="Arial" w:eastAsia="宋体" w:hAnsi="Arial" w:cs="Arial"/>
                <w:color w:val="0071C5"/>
                <w:sz w:val="18"/>
                <w:szCs w:val="18"/>
              </w:rPr>
              <w:t>— </w:t>
            </w:r>
          </w:p>
        </w:tc>
        <w:tc>
          <w:tcPr>
            <w:tcW w:w="0" w:type="auto"/>
            <w:shd w:val="clear" w:color="auto" w:fill="auto"/>
            <w:tcMar>
              <w:top w:w="40" w:type="dxa"/>
              <w:bottom w:w="40" w:type="dxa"/>
              <w:right w:w="20" w:type="dxa"/>
            </w:tcMar>
            <w:vAlign w:val="bottom"/>
          </w:tcPr>
          <w:p w14:paraId="36CA2511"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2512" w14:textId="77777777" w:rsidR="00787570" w:rsidRDefault="00787570">
            <w:pPr>
              <w:jc w:val="right"/>
              <w:rPr>
                <w:rFonts w:ascii="宋体"/>
              </w:rPr>
            </w:pPr>
          </w:p>
        </w:tc>
        <w:tc>
          <w:tcPr>
            <w:tcW w:w="0" w:type="auto"/>
            <w:gridSpan w:val="2"/>
            <w:shd w:val="clear" w:color="auto" w:fill="auto"/>
            <w:tcMar>
              <w:top w:w="40" w:type="dxa"/>
              <w:left w:w="20" w:type="dxa"/>
              <w:bottom w:w="40" w:type="dxa"/>
              <w:right w:w="0" w:type="dxa"/>
            </w:tcMar>
            <w:vAlign w:val="bottom"/>
          </w:tcPr>
          <w:p w14:paraId="36CA2513" w14:textId="77777777" w:rsidR="00787570" w:rsidRDefault="000D56E2">
            <w:pPr>
              <w:jc w:val="right"/>
              <w:textAlignment w:val="bottom"/>
            </w:pPr>
            <w:r>
              <w:rPr>
                <w:rFonts w:ascii="Arial" w:eastAsia="宋体" w:hAnsi="Arial" w:cs="Arial"/>
                <w:color w:val="0071C5"/>
                <w:sz w:val="18"/>
                <w:szCs w:val="18"/>
              </w:rPr>
              <w:t>(2,000)</w:t>
            </w:r>
          </w:p>
        </w:tc>
        <w:tc>
          <w:tcPr>
            <w:tcW w:w="0" w:type="auto"/>
            <w:shd w:val="clear" w:color="auto" w:fill="auto"/>
            <w:tcMar>
              <w:top w:w="40" w:type="dxa"/>
              <w:bottom w:w="40" w:type="dxa"/>
              <w:right w:w="20" w:type="dxa"/>
            </w:tcMar>
            <w:vAlign w:val="bottom"/>
          </w:tcPr>
          <w:p w14:paraId="36CA2514"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2515" w14:textId="77777777" w:rsidR="00787570" w:rsidRDefault="00787570">
            <w:pPr>
              <w:jc w:val="right"/>
              <w:rPr>
                <w:rFonts w:ascii="宋体"/>
              </w:rPr>
            </w:pPr>
          </w:p>
        </w:tc>
        <w:tc>
          <w:tcPr>
            <w:tcW w:w="0" w:type="auto"/>
            <w:gridSpan w:val="2"/>
            <w:shd w:val="clear" w:color="auto" w:fill="auto"/>
            <w:tcMar>
              <w:top w:w="40" w:type="dxa"/>
              <w:left w:w="20" w:type="dxa"/>
              <w:bottom w:w="40" w:type="dxa"/>
              <w:right w:w="0" w:type="dxa"/>
            </w:tcMar>
            <w:vAlign w:val="bottom"/>
          </w:tcPr>
          <w:p w14:paraId="36CA2516" w14:textId="77777777" w:rsidR="00787570" w:rsidRDefault="000D56E2">
            <w:pPr>
              <w:jc w:val="right"/>
              <w:textAlignment w:val="bottom"/>
            </w:pPr>
            <w:r>
              <w:rPr>
                <w:rFonts w:ascii="Arial" w:eastAsia="宋体" w:hAnsi="Arial" w:cs="Arial"/>
                <w:color w:val="0071C5"/>
                <w:sz w:val="18"/>
                <w:szCs w:val="18"/>
              </w:rPr>
              <w:t>— </w:t>
            </w:r>
          </w:p>
        </w:tc>
        <w:tc>
          <w:tcPr>
            <w:tcW w:w="0" w:type="auto"/>
            <w:shd w:val="clear" w:color="auto" w:fill="auto"/>
            <w:tcMar>
              <w:top w:w="40" w:type="dxa"/>
              <w:bottom w:w="40" w:type="dxa"/>
              <w:right w:w="20" w:type="dxa"/>
            </w:tcMar>
            <w:vAlign w:val="bottom"/>
          </w:tcPr>
          <w:p w14:paraId="36CA2517"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2518" w14:textId="77777777" w:rsidR="00787570" w:rsidRDefault="00787570">
            <w:pPr>
              <w:jc w:val="right"/>
              <w:rPr>
                <w:rFonts w:ascii="宋体"/>
              </w:rPr>
            </w:pPr>
          </w:p>
        </w:tc>
        <w:tc>
          <w:tcPr>
            <w:tcW w:w="0" w:type="auto"/>
            <w:gridSpan w:val="2"/>
            <w:shd w:val="clear" w:color="auto" w:fill="auto"/>
            <w:tcMar>
              <w:top w:w="40" w:type="dxa"/>
              <w:left w:w="20" w:type="dxa"/>
              <w:bottom w:w="40" w:type="dxa"/>
              <w:right w:w="0" w:type="dxa"/>
            </w:tcMar>
            <w:vAlign w:val="bottom"/>
          </w:tcPr>
          <w:p w14:paraId="36CA2519" w14:textId="77777777" w:rsidR="00787570" w:rsidRDefault="000D56E2">
            <w:pPr>
              <w:jc w:val="right"/>
              <w:textAlignment w:val="bottom"/>
            </w:pPr>
            <w:r>
              <w:rPr>
                <w:rFonts w:ascii="Arial" w:eastAsia="宋体" w:hAnsi="Arial" w:cs="Arial"/>
                <w:color w:val="0071C5"/>
                <w:sz w:val="18"/>
                <w:szCs w:val="18"/>
              </w:rPr>
              <w:t>— </w:t>
            </w:r>
          </w:p>
        </w:tc>
        <w:tc>
          <w:tcPr>
            <w:tcW w:w="0" w:type="auto"/>
            <w:shd w:val="clear" w:color="auto" w:fill="auto"/>
            <w:tcMar>
              <w:top w:w="40" w:type="dxa"/>
              <w:bottom w:w="40" w:type="dxa"/>
              <w:right w:w="20" w:type="dxa"/>
            </w:tcMar>
            <w:vAlign w:val="bottom"/>
          </w:tcPr>
          <w:p w14:paraId="36CA251A"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251B" w14:textId="77777777" w:rsidR="00787570" w:rsidRDefault="00787570">
            <w:pPr>
              <w:jc w:val="right"/>
              <w:rPr>
                <w:rFonts w:ascii="宋体"/>
              </w:rPr>
            </w:pPr>
          </w:p>
        </w:tc>
        <w:tc>
          <w:tcPr>
            <w:tcW w:w="0" w:type="auto"/>
            <w:gridSpan w:val="2"/>
            <w:shd w:val="clear" w:color="auto" w:fill="auto"/>
            <w:tcMar>
              <w:top w:w="40" w:type="dxa"/>
              <w:left w:w="20" w:type="dxa"/>
              <w:bottom w:w="40" w:type="dxa"/>
              <w:right w:w="0" w:type="dxa"/>
            </w:tcMar>
            <w:vAlign w:val="bottom"/>
          </w:tcPr>
          <w:p w14:paraId="36CA251C" w14:textId="77777777" w:rsidR="00787570" w:rsidRDefault="000D56E2">
            <w:pPr>
              <w:jc w:val="right"/>
              <w:textAlignment w:val="bottom"/>
            </w:pPr>
            <w:r>
              <w:rPr>
                <w:rFonts w:ascii="Arial" w:eastAsia="宋体" w:hAnsi="Arial" w:cs="Arial"/>
                <w:color w:val="0071C5"/>
                <w:sz w:val="18"/>
                <w:szCs w:val="18"/>
              </w:rPr>
              <w:t>(2,000)</w:t>
            </w:r>
          </w:p>
        </w:tc>
        <w:tc>
          <w:tcPr>
            <w:tcW w:w="0" w:type="auto"/>
            <w:shd w:val="clear" w:color="auto" w:fill="auto"/>
            <w:tcMar>
              <w:top w:w="40" w:type="dxa"/>
              <w:bottom w:w="40" w:type="dxa"/>
              <w:right w:w="20" w:type="dxa"/>
            </w:tcMar>
            <w:vAlign w:val="bottom"/>
          </w:tcPr>
          <w:p w14:paraId="36CA251D" w14:textId="77777777" w:rsidR="00787570" w:rsidRDefault="00787570">
            <w:pPr>
              <w:jc w:val="right"/>
              <w:rPr>
                <w:rFonts w:ascii="宋体"/>
              </w:rPr>
            </w:pPr>
          </w:p>
        </w:tc>
        <w:tc>
          <w:tcPr>
            <w:tcW w:w="0" w:type="auto"/>
            <w:shd w:val="clear" w:color="auto" w:fill="auto"/>
          </w:tcPr>
          <w:p w14:paraId="36CA251E" w14:textId="77777777" w:rsidR="00787570" w:rsidRDefault="00787570">
            <w:pPr>
              <w:rPr>
                <w:rFonts w:ascii="宋体"/>
              </w:rPr>
            </w:pPr>
          </w:p>
        </w:tc>
        <w:tc>
          <w:tcPr>
            <w:tcW w:w="0" w:type="auto"/>
            <w:shd w:val="clear" w:color="auto" w:fill="auto"/>
          </w:tcPr>
          <w:p w14:paraId="36CA251F" w14:textId="77777777" w:rsidR="00787570" w:rsidRDefault="00787570">
            <w:pPr>
              <w:rPr>
                <w:rFonts w:ascii="宋体"/>
              </w:rPr>
            </w:pPr>
          </w:p>
        </w:tc>
        <w:tc>
          <w:tcPr>
            <w:tcW w:w="0" w:type="auto"/>
            <w:shd w:val="clear" w:color="auto" w:fill="auto"/>
          </w:tcPr>
          <w:p w14:paraId="36CA2520" w14:textId="77777777" w:rsidR="00787570" w:rsidRDefault="00787570">
            <w:pPr>
              <w:rPr>
                <w:rFonts w:ascii="宋体"/>
              </w:rPr>
            </w:pPr>
          </w:p>
        </w:tc>
        <w:tc>
          <w:tcPr>
            <w:tcW w:w="0" w:type="auto"/>
            <w:shd w:val="clear" w:color="auto" w:fill="auto"/>
          </w:tcPr>
          <w:p w14:paraId="36CA2521" w14:textId="77777777" w:rsidR="00787570" w:rsidRDefault="00787570">
            <w:pPr>
              <w:rPr>
                <w:rFonts w:ascii="宋体"/>
              </w:rPr>
            </w:pPr>
          </w:p>
        </w:tc>
        <w:tc>
          <w:tcPr>
            <w:tcW w:w="0" w:type="auto"/>
            <w:shd w:val="clear" w:color="auto" w:fill="auto"/>
          </w:tcPr>
          <w:p w14:paraId="36CA2522" w14:textId="77777777" w:rsidR="00787570" w:rsidRDefault="00787570">
            <w:pPr>
              <w:rPr>
                <w:rFonts w:ascii="宋体"/>
              </w:rPr>
            </w:pPr>
          </w:p>
        </w:tc>
        <w:tc>
          <w:tcPr>
            <w:tcW w:w="0" w:type="auto"/>
            <w:shd w:val="clear" w:color="auto" w:fill="auto"/>
          </w:tcPr>
          <w:p w14:paraId="36CA2523" w14:textId="77777777" w:rsidR="00787570" w:rsidRDefault="00787570">
            <w:pPr>
              <w:rPr>
                <w:rFonts w:ascii="宋体"/>
              </w:rPr>
            </w:pPr>
          </w:p>
        </w:tc>
        <w:tc>
          <w:tcPr>
            <w:tcW w:w="0" w:type="auto"/>
            <w:shd w:val="clear" w:color="auto" w:fill="auto"/>
          </w:tcPr>
          <w:p w14:paraId="36CA2524" w14:textId="77777777" w:rsidR="00787570" w:rsidRDefault="00787570">
            <w:pPr>
              <w:rPr>
                <w:rFonts w:ascii="宋体"/>
              </w:rPr>
            </w:pPr>
          </w:p>
        </w:tc>
        <w:tc>
          <w:tcPr>
            <w:tcW w:w="0" w:type="auto"/>
            <w:shd w:val="clear" w:color="auto" w:fill="auto"/>
          </w:tcPr>
          <w:p w14:paraId="36CA2525" w14:textId="77777777" w:rsidR="00787570" w:rsidRDefault="00787570">
            <w:pPr>
              <w:rPr>
                <w:rFonts w:ascii="宋体"/>
              </w:rPr>
            </w:pPr>
          </w:p>
        </w:tc>
        <w:tc>
          <w:tcPr>
            <w:tcW w:w="0" w:type="auto"/>
            <w:shd w:val="clear" w:color="auto" w:fill="auto"/>
          </w:tcPr>
          <w:p w14:paraId="36CA2526" w14:textId="77777777" w:rsidR="00787570" w:rsidRDefault="00787570">
            <w:pPr>
              <w:rPr>
                <w:rFonts w:ascii="宋体"/>
              </w:rPr>
            </w:pPr>
          </w:p>
        </w:tc>
      </w:tr>
      <w:tr w:rsidR="00787570" w14:paraId="36CA2541" w14:textId="77777777">
        <w:tc>
          <w:tcPr>
            <w:tcW w:w="0" w:type="auto"/>
            <w:gridSpan w:val="3"/>
            <w:shd w:val="clear" w:color="auto" w:fill="auto"/>
            <w:tcMar>
              <w:top w:w="40" w:type="dxa"/>
              <w:left w:w="20" w:type="dxa"/>
              <w:bottom w:w="40" w:type="dxa"/>
              <w:right w:w="20" w:type="dxa"/>
            </w:tcMar>
            <w:vAlign w:val="bottom"/>
          </w:tcPr>
          <w:p w14:paraId="36CA2528" w14:textId="77777777" w:rsidR="00787570" w:rsidRDefault="000D56E2">
            <w:pPr>
              <w:textAlignment w:val="bottom"/>
            </w:pPr>
            <w:r>
              <w:rPr>
                <w:rFonts w:ascii="Arial" w:eastAsia="宋体" w:hAnsi="Arial" w:cs="Arial"/>
                <w:color w:val="333333"/>
                <w:sz w:val="18"/>
                <w:szCs w:val="18"/>
              </w:rPr>
              <w:t>Restricted stock unit withholdings</w:t>
            </w:r>
          </w:p>
        </w:tc>
        <w:tc>
          <w:tcPr>
            <w:tcW w:w="0" w:type="auto"/>
            <w:gridSpan w:val="3"/>
            <w:shd w:val="clear" w:color="auto" w:fill="auto"/>
            <w:tcMar>
              <w:left w:w="20" w:type="dxa"/>
              <w:right w:w="20" w:type="dxa"/>
            </w:tcMar>
            <w:vAlign w:val="bottom"/>
          </w:tcPr>
          <w:p w14:paraId="36CA2529"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252A" w14:textId="77777777" w:rsidR="00787570" w:rsidRDefault="000D56E2">
            <w:pPr>
              <w:jc w:val="right"/>
              <w:textAlignment w:val="bottom"/>
            </w:pPr>
            <w:r>
              <w:rPr>
                <w:rFonts w:ascii="Arial" w:eastAsia="宋体" w:hAnsi="Arial" w:cs="Arial"/>
                <w:color w:val="0071C5"/>
                <w:sz w:val="18"/>
                <w:szCs w:val="18"/>
              </w:rPr>
              <w:t>(9)</w:t>
            </w:r>
          </w:p>
        </w:tc>
        <w:tc>
          <w:tcPr>
            <w:tcW w:w="0" w:type="auto"/>
            <w:shd w:val="clear" w:color="auto" w:fill="auto"/>
            <w:tcMar>
              <w:top w:w="40" w:type="dxa"/>
              <w:bottom w:w="40" w:type="dxa"/>
              <w:right w:w="20" w:type="dxa"/>
            </w:tcMar>
            <w:vAlign w:val="bottom"/>
          </w:tcPr>
          <w:p w14:paraId="36CA252B"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252C"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252D" w14:textId="77777777" w:rsidR="00787570" w:rsidRDefault="000D56E2">
            <w:pPr>
              <w:jc w:val="right"/>
              <w:textAlignment w:val="bottom"/>
            </w:pPr>
            <w:r>
              <w:rPr>
                <w:rFonts w:ascii="Arial" w:eastAsia="宋体" w:hAnsi="Arial" w:cs="Arial"/>
                <w:color w:val="0071C5"/>
                <w:sz w:val="18"/>
                <w:szCs w:val="18"/>
              </w:rPr>
              <w:t>(325)</w:t>
            </w:r>
          </w:p>
        </w:tc>
        <w:tc>
          <w:tcPr>
            <w:tcW w:w="0" w:type="auto"/>
            <w:shd w:val="clear" w:color="auto" w:fill="auto"/>
            <w:tcMar>
              <w:top w:w="40" w:type="dxa"/>
              <w:bottom w:w="40" w:type="dxa"/>
              <w:right w:w="20" w:type="dxa"/>
            </w:tcMar>
            <w:vAlign w:val="bottom"/>
          </w:tcPr>
          <w:p w14:paraId="36CA252E"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252F"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2530" w14:textId="77777777" w:rsidR="00787570" w:rsidRDefault="000D56E2">
            <w:pPr>
              <w:jc w:val="right"/>
              <w:textAlignment w:val="bottom"/>
            </w:pPr>
            <w:r>
              <w:rPr>
                <w:rFonts w:ascii="Arial" w:eastAsia="宋体" w:hAnsi="Arial" w:cs="Arial"/>
                <w:color w:val="0071C5"/>
                <w:sz w:val="18"/>
                <w:szCs w:val="18"/>
              </w:rPr>
              <w:t>— </w:t>
            </w:r>
          </w:p>
        </w:tc>
        <w:tc>
          <w:tcPr>
            <w:tcW w:w="0" w:type="auto"/>
            <w:shd w:val="clear" w:color="auto" w:fill="auto"/>
            <w:tcMar>
              <w:top w:w="40" w:type="dxa"/>
              <w:bottom w:w="40" w:type="dxa"/>
              <w:right w:w="20" w:type="dxa"/>
            </w:tcMar>
            <w:vAlign w:val="bottom"/>
          </w:tcPr>
          <w:p w14:paraId="36CA2531"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2532"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2533" w14:textId="77777777" w:rsidR="00787570" w:rsidRDefault="000D56E2">
            <w:pPr>
              <w:jc w:val="right"/>
              <w:textAlignment w:val="bottom"/>
            </w:pPr>
            <w:r>
              <w:rPr>
                <w:rFonts w:ascii="Arial" w:eastAsia="宋体" w:hAnsi="Arial" w:cs="Arial"/>
                <w:color w:val="0071C5"/>
                <w:sz w:val="18"/>
                <w:szCs w:val="18"/>
              </w:rPr>
              <w:t>(135)</w:t>
            </w:r>
          </w:p>
        </w:tc>
        <w:tc>
          <w:tcPr>
            <w:tcW w:w="0" w:type="auto"/>
            <w:shd w:val="clear" w:color="auto" w:fill="auto"/>
            <w:tcMar>
              <w:top w:w="40" w:type="dxa"/>
              <w:bottom w:w="40" w:type="dxa"/>
              <w:right w:w="20" w:type="dxa"/>
            </w:tcMar>
            <w:vAlign w:val="bottom"/>
          </w:tcPr>
          <w:p w14:paraId="36CA2534"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2535"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2536" w14:textId="77777777" w:rsidR="00787570" w:rsidRDefault="000D56E2">
            <w:pPr>
              <w:jc w:val="right"/>
              <w:textAlignment w:val="bottom"/>
            </w:pPr>
            <w:r>
              <w:rPr>
                <w:rFonts w:ascii="Arial" w:eastAsia="宋体" w:hAnsi="Arial" w:cs="Arial"/>
                <w:color w:val="0071C5"/>
                <w:sz w:val="18"/>
                <w:szCs w:val="18"/>
              </w:rPr>
              <w:t>(460)</w:t>
            </w:r>
          </w:p>
        </w:tc>
        <w:tc>
          <w:tcPr>
            <w:tcW w:w="0" w:type="auto"/>
            <w:shd w:val="clear" w:color="auto" w:fill="auto"/>
            <w:tcMar>
              <w:top w:w="40" w:type="dxa"/>
              <w:bottom w:w="40" w:type="dxa"/>
              <w:right w:w="20" w:type="dxa"/>
            </w:tcMar>
            <w:vAlign w:val="bottom"/>
          </w:tcPr>
          <w:p w14:paraId="36CA2537" w14:textId="77777777" w:rsidR="00787570" w:rsidRDefault="00787570">
            <w:pPr>
              <w:jc w:val="right"/>
              <w:rPr>
                <w:rFonts w:ascii="宋体"/>
              </w:rPr>
            </w:pPr>
          </w:p>
        </w:tc>
        <w:tc>
          <w:tcPr>
            <w:tcW w:w="0" w:type="auto"/>
            <w:shd w:val="clear" w:color="auto" w:fill="auto"/>
          </w:tcPr>
          <w:p w14:paraId="36CA2538" w14:textId="77777777" w:rsidR="00787570" w:rsidRDefault="00787570">
            <w:pPr>
              <w:rPr>
                <w:rFonts w:ascii="宋体"/>
              </w:rPr>
            </w:pPr>
          </w:p>
        </w:tc>
        <w:tc>
          <w:tcPr>
            <w:tcW w:w="0" w:type="auto"/>
            <w:shd w:val="clear" w:color="auto" w:fill="auto"/>
          </w:tcPr>
          <w:p w14:paraId="36CA2539" w14:textId="77777777" w:rsidR="00787570" w:rsidRDefault="00787570">
            <w:pPr>
              <w:rPr>
                <w:rFonts w:ascii="宋体"/>
              </w:rPr>
            </w:pPr>
          </w:p>
        </w:tc>
        <w:tc>
          <w:tcPr>
            <w:tcW w:w="0" w:type="auto"/>
            <w:shd w:val="clear" w:color="auto" w:fill="auto"/>
          </w:tcPr>
          <w:p w14:paraId="36CA253A" w14:textId="77777777" w:rsidR="00787570" w:rsidRDefault="00787570">
            <w:pPr>
              <w:rPr>
                <w:rFonts w:ascii="宋体"/>
              </w:rPr>
            </w:pPr>
          </w:p>
        </w:tc>
        <w:tc>
          <w:tcPr>
            <w:tcW w:w="0" w:type="auto"/>
            <w:shd w:val="clear" w:color="auto" w:fill="auto"/>
          </w:tcPr>
          <w:p w14:paraId="36CA253B" w14:textId="77777777" w:rsidR="00787570" w:rsidRDefault="00787570">
            <w:pPr>
              <w:rPr>
                <w:rFonts w:ascii="宋体"/>
              </w:rPr>
            </w:pPr>
          </w:p>
        </w:tc>
        <w:tc>
          <w:tcPr>
            <w:tcW w:w="0" w:type="auto"/>
            <w:shd w:val="clear" w:color="auto" w:fill="auto"/>
          </w:tcPr>
          <w:p w14:paraId="36CA253C" w14:textId="77777777" w:rsidR="00787570" w:rsidRDefault="00787570">
            <w:pPr>
              <w:rPr>
                <w:rFonts w:ascii="宋体"/>
              </w:rPr>
            </w:pPr>
          </w:p>
        </w:tc>
        <w:tc>
          <w:tcPr>
            <w:tcW w:w="0" w:type="auto"/>
            <w:shd w:val="clear" w:color="auto" w:fill="auto"/>
          </w:tcPr>
          <w:p w14:paraId="36CA253D" w14:textId="77777777" w:rsidR="00787570" w:rsidRDefault="00787570">
            <w:pPr>
              <w:rPr>
                <w:rFonts w:ascii="宋体"/>
              </w:rPr>
            </w:pPr>
          </w:p>
        </w:tc>
        <w:tc>
          <w:tcPr>
            <w:tcW w:w="0" w:type="auto"/>
            <w:shd w:val="clear" w:color="auto" w:fill="auto"/>
          </w:tcPr>
          <w:p w14:paraId="36CA253E" w14:textId="77777777" w:rsidR="00787570" w:rsidRDefault="00787570">
            <w:pPr>
              <w:rPr>
                <w:rFonts w:ascii="宋体"/>
              </w:rPr>
            </w:pPr>
          </w:p>
        </w:tc>
        <w:tc>
          <w:tcPr>
            <w:tcW w:w="0" w:type="auto"/>
            <w:shd w:val="clear" w:color="auto" w:fill="auto"/>
          </w:tcPr>
          <w:p w14:paraId="36CA253F" w14:textId="77777777" w:rsidR="00787570" w:rsidRDefault="00787570">
            <w:pPr>
              <w:rPr>
                <w:rFonts w:ascii="宋体"/>
              </w:rPr>
            </w:pPr>
          </w:p>
        </w:tc>
        <w:tc>
          <w:tcPr>
            <w:tcW w:w="0" w:type="auto"/>
            <w:shd w:val="clear" w:color="auto" w:fill="auto"/>
          </w:tcPr>
          <w:p w14:paraId="36CA2540" w14:textId="77777777" w:rsidR="00787570" w:rsidRDefault="00787570">
            <w:pPr>
              <w:rPr>
                <w:rFonts w:ascii="宋体"/>
              </w:rPr>
            </w:pPr>
          </w:p>
        </w:tc>
      </w:tr>
      <w:tr w:rsidR="00787570" w14:paraId="36CA255B" w14:textId="77777777">
        <w:tc>
          <w:tcPr>
            <w:tcW w:w="0" w:type="auto"/>
            <w:gridSpan w:val="3"/>
            <w:shd w:val="clear" w:color="auto" w:fill="auto"/>
            <w:tcMar>
              <w:top w:w="40" w:type="dxa"/>
              <w:left w:w="20" w:type="dxa"/>
              <w:bottom w:w="40" w:type="dxa"/>
              <w:right w:w="20" w:type="dxa"/>
            </w:tcMar>
            <w:vAlign w:val="bottom"/>
          </w:tcPr>
          <w:p w14:paraId="36CA2542" w14:textId="77777777" w:rsidR="00787570" w:rsidRDefault="000D56E2">
            <w:pPr>
              <w:textAlignment w:val="bottom"/>
            </w:pPr>
            <w:r>
              <w:rPr>
                <w:rFonts w:ascii="Arial" w:eastAsia="宋体" w:hAnsi="Arial" w:cs="Arial"/>
                <w:color w:val="333333"/>
                <w:sz w:val="18"/>
                <w:szCs w:val="18"/>
              </w:rPr>
              <w:t>Cash dividends declared ($1.32 per share)</w:t>
            </w:r>
          </w:p>
        </w:tc>
        <w:tc>
          <w:tcPr>
            <w:tcW w:w="0" w:type="auto"/>
            <w:gridSpan w:val="3"/>
            <w:shd w:val="clear" w:color="auto" w:fill="auto"/>
            <w:tcMar>
              <w:left w:w="20" w:type="dxa"/>
              <w:right w:w="20" w:type="dxa"/>
            </w:tcMar>
            <w:vAlign w:val="bottom"/>
          </w:tcPr>
          <w:p w14:paraId="36CA2543"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2544" w14:textId="77777777" w:rsidR="00787570" w:rsidRDefault="000D56E2">
            <w:pPr>
              <w:jc w:val="right"/>
              <w:textAlignment w:val="bottom"/>
            </w:pPr>
            <w:r>
              <w:rPr>
                <w:rFonts w:ascii="Arial" w:eastAsia="宋体" w:hAnsi="Arial" w:cs="Arial"/>
                <w:color w:val="0071C5"/>
                <w:sz w:val="18"/>
                <w:szCs w:val="18"/>
              </w:rPr>
              <w:t>— </w:t>
            </w:r>
          </w:p>
        </w:tc>
        <w:tc>
          <w:tcPr>
            <w:tcW w:w="0" w:type="auto"/>
            <w:shd w:val="clear" w:color="auto" w:fill="auto"/>
            <w:tcMar>
              <w:top w:w="40" w:type="dxa"/>
              <w:bottom w:w="40" w:type="dxa"/>
              <w:right w:w="20" w:type="dxa"/>
            </w:tcMar>
            <w:vAlign w:val="bottom"/>
          </w:tcPr>
          <w:p w14:paraId="36CA2545"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2546"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2547" w14:textId="77777777" w:rsidR="00787570" w:rsidRDefault="000D56E2">
            <w:pPr>
              <w:jc w:val="right"/>
              <w:textAlignment w:val="bottom"/>
            </w:pPr>
            <w:r>
              <w:rPr>
                <w:rFonts w:ascii="Arial" w:eastAsia="宋体" w:hAnsi="Arial" w:cs="Arial"/>
                <w:color w:val="0071C5"/>
                <w:sz w:val="18"/>
                <w:szCs w:val="18"/>
              </w:rPr>
              <w:t>— </w:t>
            </w:r>
          </w:p>
        </w:tc>
        <w:tc>
          <w:tcPr>
            <w:tcW w:w="0" w:type="auto"/>
            <w:shd w:val="clear" w:color="auto" w:fill="auto"/>
            <w:tcMar>
              <w:top w:w="40" w:type="dxa"/>
              <w:bottom w:w="40" w:type="dxa"/>
              <w:right w:w="20" w:type="dxa"/>
            </w:tcMar>
            <w:vAlign w:val="bottom"/>
          </w:tcPr>
          <w:p w14:paraId="36CA2548"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2549"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254A" w14:textId="77777777" w:rsidR="00787570" w:rsidRDefault="000D56E2">
            <w:pPr>
              <w:jc w:val="right"/>
              <w:textAlignment w:val="bottom"/>
            </w:pPr>
            <w:r>
              <w:rPr>
                <w:rFonts w:ascii="Arial" w:eastAsia="宋体" w:hAnsi="Arial" w:cs="Arial"/>
                <w:color w:val="0071C5"/>
                <w:sz w:val="18"/>
                <w:szCs w:val="18"/>
              </w:rPr>
              <w:t>— </w:t>
            </w:r>
          </w:p>
        </w:tc>
        <w:tc>
          <w:tcPr>
            <w:tcW w:w="0" w:type="auto"/>
            <w:shd w:val="clear" w:color="auto" w:fill="auto"/>
            <w:tcMar>
              <w:top w:w="40" w:type="dxa"/>
              <w:bottom w:w="40" w:type="dxa"/>
              <w:right w:w="20" w:type="dxa"/>
            </w:tcMar>
            <w:vAlign w:val="bottom"/>
          </w:tcPr>
          <w:p w14:paraId="36CA254B"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254C"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254D" w14:textId="77777777" w:rsidR="00787570" w:rsidRDefault="000D56E2">
            <w:pPr>
              <w:jc w:val="right"/>
              <w:textAlignment w:val="bottom"/>
            </w:pPr>
            <w:r>
              <w:rPr>
                <w:rFonts w:ascii="Arial" w:eastAsia="宋体" w:hAnsi="Arial" w:cs="Arial"/>
                <w:color w:val="0071C5"/>
                <w:sz w:val="18"/>
                <w:szCs w:val="18"/>
              </w:rPr>
              <w:t>(5,575)</w:t>
            </w:r>
          </w:p>
        </w:tc>
        <w:tc>
          <w:tcPr>
            <w:tcW w:w="0" w:type="auto"/>
            <w:shd w:val="clear" w:color="auto" w:fill="auto"/>
            <w:tcMar>
              <w:top w:w="40" w:type="dxa"/>
              <w:bottom w:w="40" w:type="dxa"/>
              <w:right w:w="20" w:type="dxa"/>
            </w:tcMar>
            <w:vAlign w:val="bottom"/>
          </w:tcPr>
          <w:p w14:paraId="36CA254E"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254F"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2550" w14:textId="77777777" w:rsidR="00787570" w:rsidRDefault="000D56E2">
            <w:pPr>
              <w:jc w:val="right"/>
              <w:textAlignment w:val="bottom"/>
            </w:pPr>
            <w:r>
              <w:rPr>
                <w:rFonts w:ascii="Arial" w:eastAsia="宋体" w:hAnsi="Arial" w:cs="Arial"/>
                <w:color w:val="0071C5"/>
                <w:sz w:val="18"/>
                <w:szCs w:val="18"/>
              </w:rPr>
              <w:t>(5,575)</w:t>
            </w:r>
          </w:p>
        </w:tc>
        <w:tc>
          <w:tcPr>
            <w:tcW w:w="0" w:type="auto"/>
            <w:shd w:val="clear" w:color="auto" w:fill="auto"/>
            <w:tcMar>
              <w:top w:w="40" w:type="dxa"/>
              <w:bottom w:w="40" w:type="dxa"/>
              <w:right w:w="20" w:type="dxa"/>
            </w:tcMar>
            <w:vAlign w:val="bottom"/>
          </w:tcPr>
          <w:p w14:paraId="36CA2551" w14:textId="77777777" w:rsidR="00787570" w:rsidRDefault="00787570">
            <w:pPr>
              <w:jc w:val="right"/>
              <w:rPr>
                <w:rFonts w:ascii="宋体"/>
              </w:rPr>
            </w:pPr>
          </w:p>
        </w:tc>
        <w:tc>
          <w:tcPr>
            <w:tcW w:w="0" w:type="auto"/>
            <w:shd w:val="clear" w:color="auto" w:fill="auto"/>
          </w:tcPr>
          <w:p w14:paraId="36CA2552" w14:textId="77777777" w:rsidR="00787570" w:rsidRDefault="00787570">
            <w:pPr>
              <w:rPr>
                <w:rFonts w:ascii="宋体"/>
              </w:rPr>
            </w:pPr>
          </w:p>
        </w:tc>
        <w:tc>
          <w:tcPr>
            <w:tcW w:w="0" w:type="auto"/>
            <w:shd w:val="clear" w:color="auto" w:fill="auto"/>
          </w:tcPr>
          <w:p w14:paraId="36CA2553" w14:textId="77777777" w:rsidR="00787570" w:rsidRDefault="00787570">
            <w:pPr>
              <w:rPr>
                <w:rFonts w:ascii="宋体"/>
              </w:rPr>
            </w:pPr>
          </w:p>
        </w:tc>
        <w:tc>
          <w:tcPr>
            <w:tcW w:w="0" w:type="auto"/>
            <w:shd w:val="clear" w:color="auto" w:fill="auto"/>
          </w:tcPr>
          <w:p w14:paraId="36CA2554" w14:textId="77777777" w:rsidR="00787570" w:rsidRDefault="00787570">
            <w:pPr>
              <w:rPr>
                <w:rFonts w:ascii="宋体"/>
              </w:rPr>
            </w:pPr>
          </w:p>
        </w:tc>
        <w:tc>
          <w:tcPr>
            <w:tcW w:w="0" w:type="auto"/>
            <w:shd w:val="clear" w:color="auto" w:fill="auto"/>
          </w:tcPr>
          <w:p w14:paraId="36CA2555" w14:textId="77777777" w:rsidR="00787570" w:rsidRDefault="00787570">
            <w:pPr>
              <w:rPr>
                <w:rFonts w:ascii="宋体"/>
              </w:rPr>
            </w:pPr>
          </w:p>
        </w:tc>
        <w:tc>
          <w:tcPr>
            <w:tcW w:w="0" w:type="auto"/>
            <w:shd w:val="clear" w:color="auto" w:fill="auto"/>
          </w:tcPr>
          <w:p w14:paraId="36CA2556" w14:textId="77777777" w:rsidR="00787570" w:rsidRDefault="00787570">
            <w:pPr>
              <w:rPr>
                <w:rFonts w:ascii="宋体"/>
              </w:rPr>
            </w:pPr>
          </w:p>
        </w:tc>
        <w:tc>
          <w:tcPr>
            <w:tcW w:w="0" w:type="auto"/>
            <w:shd w:val="clear" w:color="auto" w:fill="auto"/>
          </w:tcPr>
          <w:p w14:paraId="36CA2557" w14:textId="77777777" w:rsidR="00787570" w:rsidRDefault="00787570">
            <w:pPr>
              <w:rPr>
                <w:rFonts w:ascii="宋体"/>
              </w:rPr>
            </w:pPr>
          </w:p>
        </w:tc>
        <w:tc>
          <w:tcPr>
            <w:tcW w:w="0" w:type="auto"/>
            <w:shd w:val="clear" w:color="auto" w:fill="auto"/>
          </w:tcPr>
          <w:p w14:paraId="36CA2558" w14:textId="77777777" w:rsidR="00787570" w:rsidRDefault="00787570">
            <w:pPr>
              <w:rPr>
                <w:rFonts w:ascii="宋体"/>
              </w:rPr>
            </w:pPr>
          </w:p>
        </w:tc>
        <w:tc>
          <w:tcPr>
            <w:tcW w:w="0" w:type="auto"/>
            <w:shd w:val="clear" w:color="auto" w:fill="auto"/>
          </w:tcPr>
          <w:p w14:paraId="36CA2559" w14:textId="77777777" w:rsidR="00787570" w:rsidRDefault="00787570">
            <w:pPr>
              <w:rPr>
                <w:rFonts w:ascii="宋体"/>
              </w:rPr>
            </w:pPr>
          </w:p>
        </w:tc>
        <w:tc>
          <w:tcPr>
            <w:tcW w:w="0" w:type="auto"/>
            <w:shd w:val="clear" w:color="auto" w:fill="auto"/>
          </w:tcPr>
          <w:p w14:paraId="36CA255A" w14:textId="77777777" w:rsidR="00787570" w:rsidRDefault="00787570">
            <w:pPr>
              <w:rPr>
                <w:rFonts w:ascii="宋体"/>
              </w:rPr>
            </w:pPr>
          </w:p>
        </w:tc>
      </w:tr>
      <w:tr w:rsidR="00787570" w14:paraId="36CA2579" w14:textId="77777777">
        <w:tc>
          <w:tcPr>
            <w:tcW w:w="0" w:type="auto"/>
            <w:gridSpan w:val="3"/>
            <w:shd w:val="clear" w:color="auto" w:fill="auto"/>
            <w:tcMar>
              <w:top w:w="40" w:type="dxa"/>
              <w:left w:w="20" w:type="dxa"/>
              <w:bottom w:w="40" w:type="dxa"/>
              <w:right w:w="20" w:type="dxa"/>
            </w:tcMar>
            <w:vAlign w:val="bottom"/>
          </w:tcPr>
          <w:p w14:paraId="36CA255C" w14:textId="77777777" w:rsidR="00787570" w:rsidRDefault="000D56E2">
            <w:pPr>
              <w:textAlignment w:val="bottom"/>
            </w:pPr>
            <w:r>
              <w:rPr>
                <w:rFonts w:ascii="Arial" w:eastAsia="宋体" w:hAnsi="Arial" w:cs="Arial"/>
                <w:b/>
                <w:bCs/>
                <w:color w:val="333333"/>
                <w:sz w:val="18"/>
                <w:szCs w:val="18"/>
              </w:rPr>
              <w:t>Balance as of September 26, 2020</w:t>
            </w:r>
          </w:p>
        </w:tc>
        <w:tc>
          <w:tcPr>
            <w:tcW w:w="0" w:type="auto"/>
            <w:gridSpan w:val="3"/>
            <w:shd w:val="clear" w:color="auto" w:fill="auto"/>
            <w:tcMar>
              <w:left w:w="20" w:type="dxa"/>
              <w:right w:w="20" w:type="dxa"/>
            </w:tcMar>
            <w:vAlign w:val="bottom"/>
          </w:tcPr>
          <w:p w14:paraId="36CA255D" w14:textId="77777777" w:rsidR="00787570" w:rsidRDefault="00787570">
            <w:pPr>
              <w:rPr>
                <w:rFonts w:ascii="宋体"/>
              </w:rPr>
            </w:pPr>
          </w:p>
        </w:tc>
        <w:tc>
          <w:tcPr>
            <w:tcW w:w="0" w:type="auto"/>
            <w:gridSpan w:val="2"/>
            <w:tcBorders>
              <w:top w:val="single" w:sz="8" w:space="0" w:color="333333"/>
            </w:tcBorders>
            <w:shd w:val="clear" w:color="auto" w:fill="auto"/>
            <w:tcMar>
              <w:top w:w="40" w:type="dxa"/>
              <w:left w:w="20" w:type="dxa"/>
              <w:bottom w:w="40" w:type="dxa"/>
              <w:right w:w="0" w:type="dxa"/>
            </w:tcMar>
            <w:vAlign w:val="bottom"/>
          </w:tcPr>
          <w:p w14:paraId="36CA255E" w14:textId="77777777" w:rsidR="00787570" w:rsidRDefault="000D56E2">
            <w:pPr>
              <w:jc w:val="right"/>
              <w:textAlignment w:val="bottom"/>
            </w:pPr>
            <w:r>
              <w:rPr>
                <w:rFonts w:ascii="Arial" w:eastAsia="宋体" w:hAnsi="Arial" w:cs="Arial"/>
                <w:b/>
                <w:bCs/>
                <w:color w:val="0071C5"/>
                <w:sz w:val="18"/>
                <w:szCs w:val="18"/>
              </w:rPr>
              <w:t>4,098</w:t>
            </w:r>
            <w:r>
              <w:rPr>
                <w:rFonts w:ascii="Arial" w:eastAsia="宋体" w:hAnsi="Arial" w:cs="Arial"/>
                <w:color w:val="0071C5"/>
                <w:sz w:val="18"/>
                <w:szCs w:val="18"/>
              </w:rPr>
              <w:t> </w:t>
            </w:r>
          </w:p>
        </w:tc>
        <w:tc>
          <w:tcPr>
            <w:tcW w:w="0" w:type="auto"/>
            <w:tcBorders>
              <w:top w:val="single" w:sz="8" w:space="0" w:color="333333"/>
            </w:tcBorders>
            <w:shd w:val="clear" w:color="auto" w:fill="auto"/>
            <w:tcMar>
              <w:top w:w="40" w:type="dxa"/>
              <w:bottom w:w="40" w:type="dxa"/>
              <w:right w:w="20" w:type="dxa"/>
            </w:tcMar>
            <w:vAlign w:val="bottom"/>
          </w:tcPr>
          <w:p w14:paraId="36CA255F"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2560" w14:textId="77777777" w:rsidR="00787570" w:rsidRDefault="00787570">
            <w:pPr>
              <w:rPr>
                <w:rFonts w:ascii="宋体"/>
              </w:rPr>
            </w:pPr>
          </w:p>
        </w:tc>
        <w:tc>
          <w:tcPr>
            <w:tcW w:w="0" w:type="auto"/>
            <w:tcBorders>
              <w:top w:val="single" w:sz="8" w:space="0" w:color="333333"/>
            </w:tcBorders>
            <w:shd w:val="clear" w:color="auto" w:fill="auto"/>
            <w:tcMar>
              <w:top w:w="40" w:type="dxa"/>
              <w:left w:w="20" w:type="dxa"/>
              <w:bottom w:w="40" w:type="dxa"/>
            </w:tcMar>
            <w:vAlign w:val="bottom"/>
          </w:tcPr>
          <w:p w14:paraId="36CA2561" w14:textId="77777777" w:rsidR="00787570" w:rsidRDefault="000D56E2">
            <w:pPr>
              <w:textAlignment w:val="bottom"/>
            </w:pPr>
            <w:r>
              <w:rPr>
                <w:rFonts w:ascii="Arial" w:eastAsia="宋体" w:hAnsi="Arial" w:cs="Arial"/>
                <w:b/>
                <w:bCs/>
                <w:color w:val="0071C5"/>
                <w:sz w:val="18"/>
                <w:szCs w:val="18"/>
              </w:rPr>
              <w:t>$</w:t>
            </w:r>
          </w:p>
        </w:tc>
        <w:tc>
          <w:tcPr>
            <w:tcW w:w="0" w:type="auto"/>
            <w:tcBorders>
              <w:top w:val="single" w:sz="8" w:space="0" w:color="333333"/>
            </w:tcBorders>
            <w:shd w:val="clear" w:color="auto" w:fill="auto"/>
            <w:tcMar>
              <w:top w:w="40" w:type="dxa"/>
              <w:bottom w:w="40" w:type="dxa"/>
              <w:right w:w="0" w:type="dxa"/>
            </w:tcMar>
            <w:vAlign w:val="bottom"/>
          </w:tcPr>
          <w:p w14:paraId="36CA2562" w14:textId="77777777" w:rsidR="00787570" w:rsidRDefault="000D56E2">
            <w:pPr>
              <w:jc w:val="right"/>
              <w:textAlignment w:val="bottom"/>
            </w:pPr>
            <w:r>
              <w:rPr>
                <w:rFonts w:ascii="Arial" w:eastAsia="宋体" w:hAnsi="Arial" w:cs="Arial"/>
                <w:b/>
                <w:bCs/>
                <w:color w:val="0071C5"/>
                <w:sz w:val="18"/>
                <w:szCs w:val="18"/>
              </w:rPr>
              <w:t>23,335</w:t>
            </w:r>
            <w:r>
              <w:rPr>
                <w:rFonts w:ascii="Arial" w:eastAsia="宋体" w:hAnsi="Arial" w:cs="Arial"/>
                <w:color w:val="0071C5"/>
                <w:sz w:val="18"/>
                <w:szCs w:val="18"/>
              </w:rPr>
              <w:t> </w:t>
            </w:r>
          </w:p>
        </w:tc>
        <w:tc>
          <w:tcPr>
            <w:tcW w:w="0" w:type="auto"/>
            <w:tcBorders>
              <w:top w:val="single" w:sz="8" w:space="0" w:color="333333"/>
            </w:tcBorders>
            <w:shd w:val="clear" w:color="auto" w:fill="auto"/>
            <w:tcMar>
              <w:top w:w="40" w:type="dxa"/>
              <w:bottom w:w="40" w:type="dxa"/>
              <w:right w:w="20" w:type="dxa"/>
            </w:tcMar>
            <w:vAlign w:val="bottom"/>
          </w:tcPr>
          <w:p w14:paraId="36CA2563"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2564" w14:textId="77777777" w:rsidR="00787570" w:rsidRDefault="00787570">
            <w:pPr>
              <w:rPr>
                <w:rFonts w:ascii="宋体"/>
              </w:rPr>
            </w:pPr>
          </w:p>
        </w:tc>
        <w:tc>
          <w:tcPr>
            <w:tcW w:w="0" w:type="auto"/>
            <w:tcBorders>
              <w:top w:val="single" w:sz="8" w:space="0" w:color="333333"/>
            </w:tcBorders>
            <w:shd w:val="clear" w:color="auto" w:fill="auto"/>
            <w:tcMar>
              <w:top w:w="40" w:type="dxa"/>
              <w:left w:w="20" w:type="dxa"/>
              <w:bottom w:w="40" w:type="dxa"/>
            </w:tcMar>
            <w:vAlign w:val="bottom"/>
          </w:tcPr>
          <w:p w14:paraId="36CA2565" w14:textId="77777777" w:rsidR="00787570" w:rsidRDefault="000D56E2">
            <w:pPr>
              <w:textAlignment w:val="bottom"/>
            </w:pPr>
            <w:r>
              <w:rPr>
                <w:rFonts w:ascii="Arial" w:eastAsia="宋体" w:hAnsi="Arial" w:cs="Arial"/>
                <w:b/>
                <w:bCs/>
                <w:color w:val="0071C5"/>
                <w:sz w:val="18"/>
                <w:szCs w:val="18"/>
              </w:rPr>
              <w:t>$</w:t>
            </w:r>
          </w:p>
        </w:tc>
        <w:tc>
          <w:tcPr>
            <w:tcW w:w="0" w:type="auto"/>
            <w:tcBorders>
              <w:top w:val="single" w:sz="8" w:space="0" w:color="333333"/>
            </w:tcBorders>
            <w:shd w:val="clear" w:color="auto" w:fill="auto"/>
            <w:tcMar>
              <w:top w:w="40" w:type="dxa"/>
              <w:bottom w:w="40" w:type="dxa"/>
              <w:right w:w="0" w:type="dxa"/>
            </w:tcMar>
            <w:vAlign w:val="bottom"/>
          </w:tcPr>
          <w:p w14:paraId="36CA2566" w14:textId="77777777" w:rsidR="00787570" w:rsidRDefault="000D56E2">
            <w:pPr>
              <w:jc w:val="right"/>
              <w:textAlignment w:val="bottom"/>
            </w:pPr>
            <w:r>
              <w:rPr>
                <w:rFonts w:ascii="Arial" w:eastAsia="宋体" w:hAnsi="Arial" w:cs="Arial"/>
                <w:b/>
                <w:bCs/>
                <w:color w:val="0071C5"/>
                <w:sz w:val="18"/>
                <w:szCs w:val="18"/>
              </w:rPr>
              <w:t>(940)</w:t>
            </w:r>
          </w:p>
        </w:tc>
        <w:tc>
          <w:tcPr>
            <w:tcW w:w="0" w:type="auto"/>
            <w:tcBorders>
              <w:top w:val="single" w:sz="8" w:space="0" w:color="333333"/>
            </w:tcBorders>
            <w:shd w:val="clear" w:color="auto" w:fill="auto"/>
            <w:tcMar>
              <w:top w:w="40" w:type="dxa"/>
              <w:bottom w:w="40" w:type="dxa"/>
              <w:right w:w="20" w:type="dxa"/>
            </w:tcMar>
            <w:vAlign w:val="bottom"/>
          </w:tcPr>
          <w:p w14:paraId="36CA2567"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2568" w14:textId="77777777" w:rsidR="00787570" w:rsidRDefault="00787570">
            <w:pPr>
              <w:rPr>
                <w:rFonts w:ascii="宋体"/>
              </w:rPr>
            </w:pPr>
          </w:p>
        </w:tc>
        <w:tc>
          <w:tcPr>
            <w:tcW w:w="0" w:type="auto"/>
            <w:tcBorders>
              <w:top w:val="single" w:sz="8" w:space="0" w:color="333333"/>
            </w:tcBorders>
            <w:shd w:val="clear" w:color="auto" w:fill="auto"/>
            <w:tcMar>
              <w:top w:w="40" w:type="dxa"/>
              <w:left w:w="20" w:type="dxa"/>
              <w:bottom w:w="40" w:type="dxa"/>
            </w:tcMar>
            <w:vAlign w:val="bottom"/>
          </w:tcPr>
          <w:p w14:paraId="36CA2569" w14:textId="77777777" w:rsidR="00787570" w:rsidRDefault="000D56E2">
            <w:pPr>
              <w:textAlignment w:val="bottom"/>
            </w:pPr>
            <w:r>
              <w:rPr>
                <w:rFonts w:ascii="Arial" w:eastAsia="宋体" w:hAnsi="Arial" w:cs="Arial"/>
                <w:b/>
                <w:bCs/>
                <w:color w:val="0071C5"/>
                <w:sz w:val="18"/>
                <w:szCs w:val="18"/>
              </w:rPr>
              <w:t>$</w:t>
            </w:r>
          </w:p>
        </w:tc>
        <w:tc>
          <w:tcPr>
            <w:tcW w:w="0" w:type="auto"/>
            <w:tcBorders>
              <w:top w:val="single" w:sz="8" w:space="0" w:color="333333"/>
            </w:tcBorders>
            <w:shd w:val="clear" w:color="auto" w:fill="auto"/>
            <w:tcMar>
              <w:top w:w="40" w:type="dxa"/>
              <w:bottom w:w="40" w:type="dxa"/>
              <w:right w:w="0" w:type="dxa"/>
            </w:tcMar>
            <w:vAlign w:val="bottom"/>
          </w:tcPr>
          <w:p w14:paraId="36CA256A" w14:textId="77777777" w:rsidR="00787570" w:rsidRDefault="000D56E2">
            <w:pPr>
              <w:jc w:val="right"/>
              <w:textAlignment w:val="bottom"/>
            </w:pPr>
            <w:r>
              <w:rPr>
                <w:rFonts w:ascii="Arial" w:eastAsia="宋体" w:hAnsi="Arial" w:cs="Arial"/>
                <w:b/>
                <w:bCs/>
                <w:color w:val="0071C5"/>
                <w:sz w:val="18"/>
                <w:szCs w:val="18"/>
              </w:rPr>
              <w:t>52,159</w:t>
            </w:r>
            <w:r>
              <w:rPr>
                <w:rFonts w:ascii="Arial" w:eastAsia="宋体" w:hAnsi="Arial" w:cs="Arial"/>
                <w:color w:val="0071C5"/>
                <w:sz w:val="18"/>
                <w:szCs w:val="18"/>
              </w:rPr>
              <w:t> </w:t>
            </w:r>
          </w:p>
        </w:tc>
        <w:tc>
          <w:tcPr>
            <w:tcW w:w="0" w:type="auto"/>
            <w:tcBorders>
              <w:top w:val="single" w:sz="8" w:space="0" w:color="333333"/>
            </w:tcBorders>
            <w:shd w:val="clear" w:color="auto" w:fill="auto"/>
            <w:tcMar>
              <w:top w:w="40" w:type="dxa"/>
              <w:bottom w:w="40" w:type="dxa"/>
              <w:right w:w="20" w:type="dxa"/>
            </w:tcMar>
            <w:vAlign w:val="bottom"/>
          </w:tcPr>
          <w:p w14:paraId="36CA256B"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256C" w14:textId="77777777" w:rsidR="00787570" w:rsidRDefault="00787570">
            <w:pPr>
              <w:rPr>
                <w:rFonts w:ascii="宋体"/>
              </w:rPr>
            </w:pPr>
          </w:p>
        </w:tc>
        <w:tc>
          <w:tcPr>
            <w:tcW w:w="0" w:type="auto"/>
            <w:tcBorders>
              <w:top w:val="single" w:sz="8" w:space="0" w:color="333333"/>
            </w:tcBorders>
            <w:shd w:val="clear" w:color="auto" w:fill="auto"/>
            <w:tcMar>
              <w:top w:w="40" w:type="dxa"/>
              <w:left w:w="20" w:type="dxa"/>
              <w:bottom w:w="40" w:type="dxa"/>
            </w:tcMar>
            <w:vAlign w:val="bottom"/>
          </w:tcPr>
          <w:p w14:paraId="36CA256D" w14:textId="77777777" w:rsidR="00787570" w:rsidRDefault="000D56E2">
            <w:pPr>
              <w:textAlignment w:val="bottom"/>
            </w:pPr>
            <w:r>
              <w:rPr>
                <w:rFonts w:ascii="Arial" w:eastAsia="宋体" w:hAnsi="Arial" w:cs="Arial"/>
                <w:b/>
                <w:bCs/>
                <w:color w:val="0071C5"/>
                <w:sz w:val="18"/>
                <w:szCs w:val="18"/>
              </w:rPr>
              <w:t>$</w:t>
            </w:r>
          </w:p>
        </w:tc>
        <w:tc>
          <w:tcPr>
            <w:tcW w:w="0" w:type="auto"/>
            <w:tcBorders>
              <w:top w:val="single" w:sz="8" w:space="0" w:color="333333"/>
            </w:tcBorders>
            <w:shd w:val="clear" w:color="auto" w:fill="auto"/>
            <w:tcMar>
              <w:top w:w="40" w:type="dxa"/>
              <w:bottom w:w="40" w:type="dxa"/>
              <w:right w:w="0" w:type="dxa"/>
            </w:tcMar>
            <w:vAlign w:val="bottom"/>
          </w:tcPr>
          <w:p w14:paraId="36CA256E" w14:textId="77777777" w:rsidR="00787570" w:rsidRDefault="000D56E2">
            <w:pPr>
              <w:jc w:val="right"/>
              <w:textAlignment w:val="bottom"/>
            </w:pPr>
            <w:r>
              <w:rPr>
                <w:rFonts w:ascii="Arial" w:eastAsia="宋体" w:hAnsi="Arial" w:cs="Arial"/>
                <w:b/>
                <w:bCs/>
                <w:color w:val="0071C5"/>
                <w:sz w:val="18"/>
                <w:szCs w:val="18"/>
              </w:rPr>
              <w:t>74,554</w:t>
            </w:r>
            <w:r>
              <w:rPr>
                <w:rFonts w:ascii="Arial" w:eastAsia="宋体" w:hAnsi="Arial" w:cs="Arial"/>
                <w:color w:val="0071C5"/>
                <w:sz w:val="18"/>
                <w:szCs w:val="18"/>
              </w:rPr>
              <w:t> </w:t>
            </w:r>
          </w:p>
        </w:tc>
        <w:tc>
          <w:tcPr>
            <w:tcW w:w="0" w:type="auto"/>
            <w:tcBorders>
              <w:top w:val="single" w:sz="8" w:space="0" w:color="333333"/>
            </w:tcBorders>
            <w:shd w:val="clear" w:color="auto" w:fill="auto"/>
            <w:tcMar>
              <w:top w:w="40" w:type="dxa"/>
              <w:bottom w:w="40" w:type="dxa"/>
              <w:right w:w="20" w:type="dxa"/>
            </w:tcMar>
            <w:vAlign w:val="bottom"/>
          </w:tcPr>
          <w:p w14:paraId="36CA256F" w14:textId="77777777" w:rsidR="00787570" w:rsidRDefault="00787570">
            <w:pPr>
              <w:jc w:val="right"/>
              <w:rPr>
                <w:rFonts w:ascii="宋体"/>
              </w:rPr>
            </w:pPr>
          </w:p>
        </w:tc>
        <w:tc>
          <w:tcPr>
            <w:tcW w:w="0" w:type="auto"/>
            <w:shd w:val="clear" w:color="auto" w:fill="auto"/>
          </w:tcPr>
          <w:p w14:paraId="36CA2570" w14:textId="77777777" w:rsidR="00787570" w:rsidRDefault="00787570">
            <w:pPr>
              <w:rPr>
                <w:rFonts w:ascii="宋体"/>
              </w:rPr>
            </w:pPr>
          </w:p>
        </w:tc>
        <w:tc>
          <w:tcPr>
            <w:tcW w:w="0" w:type="auto"/>
            <w:shd w:val="clear" w:color="auto" w:fill="auto"/>
          </w:tcPr>
          <w:p w14:paraId="36CA2571" w14:textId="77777777" w:rsidR="00787570" w:rsidRDefault="00787570">
            <w:pPr>
              <w:rPr>
                <w:rFonts w:ascii="宋体"/>
              </w:rPr>
            </w:pPr>
          </w:p>
        </w:tc>
        <w:tc>
          <w:tcPr>
            <w:tcW w:w="0" w:type="auto"/>
            <w:shd w:val="clear" w:color="auto" w:fill="auto"/>
          </w:tcPr>
          <w:p w14:paraId="36CA2572" w14:textId="77777777" w:rsidR="00787570" w:rsidRDefault="00787570">
            <w:pPr>
              <w:rPr>
                <w:rFonts w:ascii="宋体"/>
              </w:rPr>
            </w:pPr>
          </w:p>
        </w:tc>
        <w:tc>
          <w:tcPr>
            <w:tcW w:w="0" w:type="auto"/>
            <w:shd w:val="clear" w:color="auto" w:fill="auto"/>
          </w:tcPr>
          <w:p w14:paraId="36CA2573" w14:textId="77777777" w:rsidR="00787570" w:rsidRDefault="00787570">
            <w:pPr>
              <w:rPr>
                <w:rFonts w:ascii="宋体"/>
              </w:rPr>
            </w:pPr>
          </w:p>
        </w:tc>
        <w:tc>
          <w:tcPr>
            <w:tcW w:w="0" w:type="auto"/>
            <w:shd w:val="clear" w:color="auto" w:fill="auto"/>
          </w:tcPr>
          <w:p w14:paraId="36CA2574" w14:textId="77777777" w:rsidR="00787570" w:rsidRDefault="00787570">
            <w:pPr>
              <w:rPr>
                <w:rFonts w:ascii="宋体"/>
              </w:rPr>
            </w:pPr>
          </w:p>
        </w:tc>
        <w:tc>
          <w:tcPr>
            <w:tcW w:w="0" w:type="auto"/>
            <w:shd w:val="clear" w:color="auto" w:fill="auto"/>
          </w:tcPr>
          <w:p w14:paraId="36CA2575" w14:textId="77777777" w:rsidR="00787570" w:rsidRDefault="00787570">
            <w:pPr>
              <w:rPr>
                <w:rFonts w:ascii="宋体"/>
              </w:rPr>
            </w:pPr>
          </w:p>
        </w:tc>
        <w:tc>
          <w:tcPr>
            <w:tcW w:w="0" w:type="auto"/>
            <w:shd w:val="clear" w:color="auto" w:fill="auto"/>
          </w:tcPr>
          <w:p w14:paraId="36CA2576" w14:textId="77777777" w:rsidR="00787570" w:rsidRDefault="00787570">
            <w:pPr>
              <w:rPr>
                <w:rFonts w:ascii="宋体"/>
              </w:rPr>
            </w:pPr>
          </w:p>
        </w:tc>
        <w:tc>
          <w:tcPr>
            <w:tcW w:w="0" w:type="auto"/>
            <w:shd w:val="clear" w:color="auto" w:fill="auto"/>
          </w:tcPr>
          <w:p w14:paraId="36CA2577" w14:textId="77777777" w:rsidR="00787570" w:rsidRDefault="00787570">
            <w:pPr>
              <w:rPr>
                <w:rFonts w:ascii="宋体"/>
              </w:rPr>
            </w:pPr>
          </w:p>
        </w:tc>
        <w:tc>
          <w:tcPr>
            <w:tcW w:w="0" w:type="auto"/>
            <w:shd w:val="clear" w:color="auto" w:fill="auto"/>
          </w:tcPr>
          <w:p w14:paraId="36CA2578" w14:textId="77777777" w:rsidR="00787570" w:rsidRDefault="00787570">
            <w:pPr>
              <w:rPr>
                <w:rFonts w:ascii="宋体"/>
              </w:rPr>
            </w:pPr>
          </w:p>
        </w:tc>
      </w:tr>
      <w:tr w:rsidR="00787570" w14:paraId="36CA258E" w14:textId="77777777">
        <w:trPr>
          <w:trHeight w:val="60"/>
        </w:trPr>
        <w:tc>
          <w:tcPr>
            <w:tcW w:w="0" w:type="auto"/>
            <w:gridSpan w:val="3"/>
            <w:shd w:val="clear" w:color="auto" w:fill="auto"/>
            <w:tcMar>
              <w:left w:w="20" w:type="dxa"/>
              <w:right w:w="20" w:type="dxa"/>
            </w:tcMar>
            <w:vAlign w:val="bottom"/>
          </w:tcPr>
          <w:p w14:paraId="36CA257A"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257B" w14:textId="77777777" w:rsidR="00787570" w:rsidRDefault="00787570">
            <w:pPr>
              <w:rPr>
                <w:rFonts w:ascii="宋体"/>
              </w:rPr>
            </w:pPr>
          </w:p>
        </w:tc>
        <w:tc>
          <w:tcPr>
            <w:tcW w:w="0" w:type="auto"/>
            <w:gridSpan w:val="3"/>
            <w:tcBorders>
              <w:top w:val="double" w:sz="6" w:space="0" w:color="333333"/>
            </w:tcBorders>
            <w:shd w:val="clear" w:color="auto" w:fill="auto"/>
            <w:tcMar>
              <w:left w:w="20" w:type="dxa"/>
              <w:right w:w="20" w:type="dxa"/>
            </w:tcMar>
            <w:vAlign w:val="bottom"/>
          </w:tcPr>
          <w:p w14:paraId="36CA257C"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257D" w14:textId="77777777" w:rsidR="00787570" w:rsidRDefault="00787570">
            <w:pPr>
              <w:rPr>
                <w:rFonts w:ascii="宋体"/>
              </w:rPr>
            </w:pPr>
          </w:p>
        </w:tc>
        <w:tc>
          <w:tcPr>
            <w:tcW w:w="0" w:type="auto"/>
            <w:gridSpan w:val="3"/>
            <w:tcBorders>
              <w:top w:val="double" w:sz="6" w:space="0" w:color="333333"/>
            </w:tcBorders>
            <w:shd w:val="clear" w:color="auto" w:fill="auto"/>
            <w:tcMar>
              <w:left w:w="20" w:type="dxa"/>
              <w:right w:w="20" w:type="dxa"/>
            </w:tcMar>
            <w:vAlign w:val="bottom"/>
          </w:tcPr>
          <w:p w14:paraId="36CA257E"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257F" w14:textId="77777777" w:rsidR="00787570" w:rsidRDefault="00787570">
            <w:pPr>
              <w:rPr>
                <w:rFonts w:ascii="宋体"/>
              </w:rPr>
            </w:pPr>
          </w:p>
        </w:tc>
        <w:tc>
          <w:tcPr>
            <w:tcW w:w="0" w:type="auto"/>
            <w:gridSpan w:val="3"/>
            <w:tcBorders>
              <w:top w:val="double" w:sz="6" w:space="0" w:color="333333"/>
            </w:tcBorders>
            <w:shd w:val="clear" w:color="auto" w:fill="auto"/>
            <w:tcMar>
              <w:left w:w="20" w:type="dxa"/>
              <w:right w:w="20" w:type="dxa"/>
            </w:tcMar>
            <w:vAlign w:val="bottom"/>
          </w:tcPr>
          <w:p w14:paraId="36CA2580"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2581" w14:textId="77777777" w:rsidR="00787570" w:rsidRDefault="00787570">
            <w:pPr>
              <w:rPr>
                <w:rFonts w:ascii="宋体"/>
              </w:rPr>
            </w:pPr>
          </w:p>
        </w:tc>
        <w:tc>
          <w:tcPr>
            <w:tcW w:w="0" w:type="auto"/>
            <w:gridSpan w:val="3"/>
            <w:tcBorders>
              <w:top w:val="double" w:sz="6" w:space="0" w:color="333333"/>
            </w:tcBorders>
            <w:shd w:val="clear" w:color="auto" w:fill="auto"/>
            <w:tcMar>
              <w:left w:w="20" w:type="dxa"/>
              <w:right w:w="20" w:type="dxa"/>
            </w:tcMar>
            <w:vAlign w:val="bottom"/>
          </w:tcPr>
          <w:p w14:paraId="36CA2582"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2583" w14:textId="77777777" w:rsidR="00787570" w:rsidRDefault="00787570">
            <w:pPr>
              <w:rPr>
                <w:rFonts w:ascii="宋体"/>
              </w:rPr>
            </w:pPr>
          </w:p>
        </w:tc>
        <w:tc>
          <w:tcPr>
            <w:tcW w:w="0" w:type="auto"/>
            <w:gridSpan w:val="3"/>
            <w:tcBorders>
              <w:top w:val="double" w:sz="6" w:space="0" w:color="333333"/>
            </w:tcBorders>
            <w:shd w:val="clear" w:color="auto" w:fill="auto"/>
            <w:tcMar>
              <w:left w:w="20" w:type="dxa"/>
              <w:right w:w="20" w:type="dxa"/>
            </w:tcMar>
            <w:vAlign w:val="bottom"/>
          </w:tcPr>
          <w:p w14:paraId="36CA2584" w14:textId="77777777" w:rsidR="00787570" w:rsidRDefault="00787570">
            <w:pPr>
              <w:rPr>
                <w:rFonts w:ascii="宋体"/>
              </w:rPr>
            </w:pPr>
          </w:p>
        </w:tc>
        <w:tc>
          <w:tcPr>
            <w:tcW w:w="0" w:type="auto"/>
            <w:shd w:val="clear" w:color="auto" w:fill="auto"/>
          </w:tcPr>
          <w:p w14:paraId="36CA2585" w14:textId="77777777" w:rsidR="00787570" w:rsidRDefault="00787570">
            <w:pPr>
              <w:rPr>
                <w:rFonts w:ascii="宋体"/>
              </w:rPr>
            </w:pPr>
          </w:p>
        </w:tc>
        <w:tc>
          <w:tcPr>
            <w:tcW w:w="0" w:type="auto"/>
            <w:shd w:val="clear" w:color="auto" w:fill="auto"/>
          </w:tcPr>
          <w:p w14:paraId="36CA2586" w14:textId="77777777" w:rsidR="00787570" w:rsidRDefault="00787570">
            <w:pPr>
              <w:rPr>
                <w:rFonts w:ascii="宋体"/>
              </w:rPr>
            </w:pPr>
          </w:p>
        </w:tc>
        <w:tc>
          <w:tcPr>
            <w:tcW w:w="0" w:type="auto"/>
            <w:shd w:val="clear" w:color="auto" w:fill="auto"/>
          </w:tcPr>
          <w:p w14:paraId="36CA2587" w14:textId="77777777" w:rsidR="00787570" w:rsidRDefault="00787570">
            <w:pPr>
              <w:rPr>
                <w:rFonts w:ascii="宋体"/>
              </w:rPr>
            </w:pPr>
          </w:p>
        </w:tc>
        <w:tc>
          <w:tcPr>
            <w:tcW w:w="0" w:type="auto"/>
            <w:shd w:val="clear" w:color="auto" w:fill="auto"/>
          </w:tcPr>
          <w:p w14:paraId="36CA2588" w14:textId="77777777" w:rsidR="00787570" w:rsidRDefault="00787570">
            <w:pPr>
              <w:rPr>
                <w:rFonts w:ascii="宋体"/>
              </w:rPr>
            </w:pPr>
          </w:p>
        </w:tc>
        <w:tc>
          <w:tcPr>
            <w:tcW w:w="0" w:type="auto"/>
            <w:shd w:val="clear" w:color="auto" w:fill="auto"/>
          </w:tcPr>
          <w:p w14:paraId="36CA2589" w14:textId="77777777" w:rsidR="00787570" w:rsidRDefault="00787570">
            <w:pPr>
              <w:rPr>
                <w:rFonts w:ascii="宋体"/>
              </w:rPr>
            </w:pPr>
          </w:p>
        </w:tc>
        <w:tc>
          <w:tcPr>
            <w:tcW w:w="0" w:type="auto"/>
            <w:shd w:val="clear" w:color="auto" w:fill="auto"/>
          </w:tcPr>
          <w:p w14:paraId="36CA258A" w14:textId="77777777" w:rsidR="00787570" w:rsidRDefault="00787570">
            <w:pPr>
              <w:rPr>
                <w:rFonts w:ascii="宋体"/>
              </w:rPr>
            </w:pPr>
          </w:p>
        </w:tc>
        <w:tc>
          <w:tcPr>
            <w:tcW w:w="0" w:type="auto"/>
            <w:shd w:val="clear" w:color="auto" w:fill="auto"/>
          </w:tcPr>
          <w:p w14:paraId="36CA258B" w14:textId="77777777" w:rsidR="00787570" w:rsidRDefault="00787570">
            <w:pPr>
              <w:rPr>
                <w:rFonts w:ascii="宋体"/>
              </w:rPr>
            </w:pPr>
          </w:p>
        </w:tc>
        <w:tc>
          <w:tcPr>
            <w:tcW w:w="0" w:type="auto"/>
            <w:shd w:val="clear" w:color="auto" w:fill="auto"/>
          </w:tcPr>
          <w:p w14:paraId="36CA258C" w14:textId="77777777" w:rsidR="00787570" w:rsidRDefault="00787570">
            <w:pPr>
              <w:rPr>
                <w:rFonts w:ascii="宋体"/>
              </w:rPr>
            </w:pPr>
          </w:p>
        </w:tc>
        <w:tc>
          <w:tcPr>
            <w:tcW w:w="0" w:type="auto"/>
            <w:shd w:val="clear" w:color="auto" w:fill="auto"/>
          </w:tcPr>
          <w:p w14:paraId="36CA258D" w14:textId="77777777" w:rsidR="00787570" w:rsidRDefault="00787570">
            <w:pPr>
              <w:rPr>
                <w:rFonts w:ascii="宋体"/>
              </w:rPr>
            </w:pPr>
          </w:p>
        </w:tc>
      </w:tr>
      <w:tr w:rsidR="00787570" w14:paraId="36CA25AC" w14:textId="77777777">
        <w:tc>
          <w:tcPr>
            <w:tcW w:w="0" w:type="auto"/>
            <w:gridSpan w:val="3"/>
            <w:shd w:val="clear" w:color="auto" w:fill="auto"/>
            <w:tcMar>
              <w:top w:w="40" w:type="dxa"/>
              <w:left w:w="20" w:type="dxa"/>
              <w:bottom w:w="40" w:type="dxa"/>
              <w:right w:w="20" w:type="dxa"/>
            </w:tcMar>
            <w:vAlign w:val="bottom"/>
          </w:tcPr>
          <w:p w14:paraId="36CA258F" w14:textId="77777777" w:rsidR="00787570" w:rsidRDefault="000D56E2">
            <w:pPr>
              <w:textAlignment w:val="bottom"/>
            </w:pPr>
            <w:r>
              <w:rPr>
                <w:rFonts w:ascii="Arial" w:eastAsia="宋体" w:hAnsi="Arial" w:cs="Arial"/>
                <w:b/>
                <w:bCs/>
                <w:color w:val="333333"/>
                <w:sz w:val="18"/>
                <w:szCs w:val="18"/>
              </w:rPr>
              <w:t>Balance as of December 29, 2018</w:t>
            </w:r>
          </w:p>
        </w:tc>
        <w:tc>
          <w:tcPr>
            <w:tcW w:w="0" w:type="auto"/>
            <w:gridSpan w:val="3"/>
            <w:shd w:val="clear" w:color="auto" w:fill="auto"/>
            <w:tcMar>
              <w:left w:w="20" w:type="dxa"/>
              <w:right w:w="20" w:type="dxa"/>
            </w:tcMar>
            <w:vAlign w:val="bottom"/>
          </w:tcPr>
          <w:p w14:paraId="36CA2590"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2591" w14:textId="77777777" w:rsidR="00787570" w:rsidRDefault="000D56E2">
            <w:pPr>
              <w:jc w:val="right"/>
              <w:textAlignment w:val="bottom"/>
            </w:pPr>
            <w:r>
              <w:rPr>
                <w:rFonts w:ascii="Arial" w:eastAsia="宋体" w:hAnsi="Arial" w:cs="Arial"/>
                <w:b/>
                <w:bCs/>
                <w:color w:val="333333"/>
                <w:sz w:val="18"/>
                <w:szCs w:val="18"/>
              </w:rPr>
              <w:t>4,516</w:t>
            </w:r>
            <w:r>
              <w:rPr>
                <w:rFonts w:ascii="Arial" w:eastAsia="宋体" w:hAnsi="Arial" w:cs="Arial"/>
                <w:color w:val="333333"/>
                <w:sz w:val="18"/>
                <w:szCs w:val="18"/>
              </w:rPr>
              <w:t> </w:t>
            </w:r>
          </w:p>
        </w:tc>
        <w:tc>
          <w:tcPr>
            <w:tcW w:w="0" w:type="auto"/>
            <w:shd w:val="clear" w:color="auto" w:fill="auto"/>
            <w:tcMar>
              <w:top w:w="40" w:type="dxa"/>
              <w:bottom w:w="40" w:type="dxa"/>
              <w:right w:w="20" w:type="dxa"/>
            </w:tcMar>
            <w:vAlign w:val="bottom"/>
          </w:tcPr>
          <w:p w14:paraId="36CA2592"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2593" w14:textId="77777777" w:rsidR="00787570" w:rsidRDefault="00787570">
            <w:pPr>
              <w:rPr>
                <w:rFonts w:ascii="宋体"/>
              </w:rPr>
            </w:pPr>
          </w:p>
        </w:tc>
        <w:tc>
          <w:tcPr>
            <w:tcW w:w="0" w:type="auto"/>
            <w:shd w:val="clear" w:color="auto" w:fill="auto"/>
            <w:tcMar>
              <w:top w:w="40" w:type="dxa"/>
              <w:left w:w="20" w:type="dxa"/>
              <w:bottom w:w="40" w:type="dxa"/>
            </w:tcMar>
            <w:vAlign w:val="bottom"/>
          </w:tcPr>
          <w:p w14:paraId="36CA2594" w14:textId="77777777" w:rsidR="00787570" w:rsidRDefault="000D56E2">
            <w:pPr>
              <w:textAlignment w:val="bottom"/>
            </w:pPr>
            <w:r>
              <w:rPr>
                <w:rFonts w:ascii="Arial" w:eastAsia="宋体" w:hAnsi="Arial" w:cs="Arial"/>
                <w:b/>
                <w:bCs/>
                <w:color w:val="333333"/>
                <w:sz w:val="18"/>
                <w:szCs w:val="18"/>
              </w:rPr>
              <w:t>$</w:t>
            </w:r>
          </w:p>
        </w:tc>
        <w:tc>
          <w:tcPr>
            <w:tcW w:w="0" w:type="auto"/>
            <w:shd w:val="clear" w:color="auto" w:fill="auto"/>
            <w:tcMar>
              <w:top w:w="40" w:type="dxa"/>
              <w:bottom w:w="40" w:type="dxa"/>
              <w:right w:w="0" w:type="dxa"/>
            </w:tcMar>
            <w:vAlign w:val="bottom"/>
          </w:tcPr>
          <w:p w14:paraId="36CA2595" w14:textId="77777777" w:rsidR="00787570" w:rsidRDefault="000D56E2">
            <w:pPr>
              <w:jc w:val="right"/>
              <w:textAlignment w:val="bottom"/>
            </w:pPr>
            <w:r>
              <w:rPr>
                <w:rFonts w:ascii="Arial" w:eastAsia="宋体" w:hAnsi="Arial" w:cs="Arial"/>
                <w:b/>
                <w:bCs/>
                <w:color w:val="333333"/>
                <w:sz w:val="18"/>
                <w:szCs w:val="18"/>
              </w:rPr>
              <w:t>25,365</w:t>
            </w:r>
            <w:r>
              <w:rPr>
                <w:rFonts w:ascii="Arial" w:eastAsia="宋体" w:hAnsi="Arial" w:cs="Arial"/>
                <w:color w:val="333333"/>
                <w:sz w:val="18"/>
                <w:szCs w:val="18"/>
              </w:rPr>
              <w:t> </w:t>
            </w:r>
          </w:p>
        </w:tc>
        <w:tc>
          <w:tcPr>
            <w:tcW w:w="0" w:type="auto"/>
            <w:shd w:val="clear" w:color="auto" w:fill="auto"/>
            <w:tcMar>
              <w:top w:w="40" w:type="dxa"/>
              <w:bottom w:w="40" w:type="dxa"/>
              <w:right w:w="20" w:type="dxa"/>
            </w:tcMar>
            <w:vAlign w:val="bottom"/>
          </w:tcPr>
          <w:p w14:paraId="36CA2596"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2597" w14:textId="77777777" w:rsidR="00787570" w:rsidRDefault="00787570">
            <w:pPr>
              <w:rPr>
                <w:rFonts w:ascii="宋体"/>
              </w:rPr>
            </w:pPr>
          </w:p>
        </w:tc>
        <w:tc>
          <w:tcPr>
            <w:tcW w:w="0" w:type="auto"/>
            <w:shd w:val="clear" w:color="auto" w:fill="auto"/>
            <w:tcMar>
              <w:top w:w="40" w:type="dxa"/>
              <w:left w:w="20" w:type="dxa"/>
              <w:bottom w:w="40" w:type="dxa"/>
            </w:tcMar>
            <w:vAlign w:val="bottom"/>
          </w:tcPr>
          <w:p w14:paraId="36CA2598" w14:textId="77777777" w:rsidR="00787570" w:rsidRDefault="000D56E2">
            <w:pPr>
              <w:textAlignment w:val="bottom"/>
            </w:pPr>
            <w:r>
              <w:rPr>
                <w:rFonts w:ascii="Arial" w:eastAsia="宋体" w:hAnsi="Arial" w:cs="Arial"/>
                <w:b/>
                <w:bCs/>
                <w:color w:val="333333"/>
                <w:sz w:val="18"/>
                <w:szCs w:val="18"/>
              </w:rPr>
              <w:t>$</w:t>
            </w:r>
          </w:p>
        </w:tc>
        <w:tc>
          <w:tcPr>
            <w:tcW w:w="0" w:type="auto"/>
            <w:shd w:val="clear" w:color="auto" w:fill="auto"/>
            <w:tcMar>
              <w:top w:w="40" w:type="dxa"/>
              <w:bottom w:w="40" w:type="dxa"/>
              <w:right w:w="0" w:type="dxa"/>
            </w:tcMar>
            <w:vAlign w:val="bottom"/>
          </w:tcPr>
          <w:p w14:paraId="36CA2599" w14:textId="77777777" w:rsidR="00787570" w:rsidRDefault="000D56E2">
            <w:pPr>
              <w:jc w:val="right"/>
              <w:textAlignment w:val="bottom"/>
            </w:pPr>
            <w:r>
              <w:rPr>
                <w:rFonts w:ascii="Arial" w:eastAsia="宋体" w:hAnsi="Arial" w:cs="Arial"/>
                <w:b/>
                <w:bCs/>
                <w:color w:val="333333"/>
                <w:sz w:val="18"/>
                <w:szCs w:val="18"/>
              </w:rPr>
              <w:t>(974)</w:t>
            </w:r>
          </w:p>
        </w:tc>
        <w:tc>
          <w:tcPr>
            <w:tcW w:w="0" w:type="auto"/>
            <w:shd w:val="clear" w:color="auto" w:fill="auto"/>
            <w:tcMar>
              <w:top w:w="40" w:type="dxa"/>
              <w:bottom w:w="40" w:type="dxa"/>
              <w:right w:w="20" w:type="dxa"/>
            </w:tcMar>
            <w:vAlign w:val="bottom"/>
          </w:tcPr>
          <w:p w14:paraId="36CA259A"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259B" w14:textId="77777777" w:rsidR="00787570" w:rsidRDefault="00787570">
            <w:pPr>
              <w:rPr>
                <w:rFonts w:ascii="宋体"/>
              </w:rPr>
            </w:pPr>
          </w:p>
        </w:tc>
        <w:tc>
          <w:tcPr>
            <w:tcW w:w="0" w:type="auto"/>
            <w:shd w:val="clear" w:color="auto" w:fill="auto"/>
            <w:tcMar>
              <w:top w:w="40" w:type="dxa"/>
              <w:left w:w="20" w:type="dxa"/>
              <w:bottom w:w="40" w:type="dxa"/>
            </w:tcMar>
            <w:vAlign w:val="bottom"/>
          </w:tcPr>
          <w:p w14:paraId="36CA259C" w14:textId="77777777" w:rsidR="00787570" w:rsidRDefault="000D56E2">
            <w:pPr>
              <w:textAlignment w:val="bottom"/>
            </w:pPr>
            <w:r>
              <w:rPr>
                <w:rFonts w:ascii="Arial" w:eastAsia="宋体" w:hAnsi="Arial" w:cs="Arial"/>
                <w:b/>
                <w:bCs/>
                <w:color w:val="333333"/>
                <w:sz w:val="18"/>
                <w:szCs w:val="18"/>
              </w:rPr>
              <w:t>$</w:t>
            </w:r>
          </w:p>
        </w:tc>
        <w:tc>
          <w:tcPr>
            <w:tcW w:w="0" w:type="auto"/>
            <w:shd w:val="clear" w:color="auto" w:fill="auto"/>
            <w:tcMar>
              <w:top w:w="40" w:type="dxa"/>
              <w:bottom w:w="40" w:type="dxa"/>
              <w:right w:w="0" w:type="dxa"/>
            </w:tcMar>
            <w:vAlign w:val="bottom"/>
          </w:tcPr>
          <w:p w14:paraId="36CA259D" w14:textId="77777777" w:rsidR="00787570" w:rsidRDefault="000D56E2">
            <w:pPr>
              <w:jc w:val="right"/>
              <w:textAlignment w:val="bottom"/>
            </w:pPr>
            <w:r>
              <w:rPr>
                <w:rFonts w:ascii="Arial" w:eastAsia="宋体" w:hAnsi="Arial" w:cs="Arial"/>
                <w:b/>
                <w:bCs/>
                <w:color w:val="333333"/>
                <w:sz w:val="18"/>
                <w:szCs w:val="18"/>
              </w:rPr>
              <w:t>50,172</w:t>
            </w:r>
            <w:r>
              <w:rPr>
                <w:rFonts w:ascii="Arial" w:eastAsia="宋体" w:hAnsi="Arial" w:cs="Arial"/>
                <w:color w:val="333333"/>
                <w:sz w:val="18"/>
                <w:szCs w:val="18"/>
              </w:rPr>
              <w:t> </w:t>
            </w:r>
          </w:p>
        </w:tc>
        <w:tc>
          <w:tcPr>
            <w:tcW w:w="0" w:type="auto"/>
            <w:shd w:val="clear" w:color="auto" w:fill="auto"/>
            <w:tcMar>
              <w:top w:w="40" w:type="dxa"/>
              <w:bottom w:w="40" w:type="dxa"/>
              <w:right w:w="20" w:type="dxa"/>
            </w:tcMar>
            <w:vAlign w:val="bottom"/>
          </w:tcPr>
          <w:p w14:paraId="36CA259E"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259F" w14:textId="77777777" w:rsidR="00787570" w:rsidRDefault="00787570">
            <w:pPr>
              <w:rPr>
                <w:rFonts w:ascii="宋体"/>
              </w:rPr>
            </w:pPr>
          </w:p>
        </w:tc>
        <w:tc>
          <w:tcPr>
            <w:tcW w:w="0" w:type="auto"/>
            <w:shd w:val="clear" w:color="auto" w:fill="auto"/>
            <w:tcMar>
              <w:top w:w="40" w:type="dxa"/>
              <w:left w:w="20" w:type="dxa"/>
              <w:bottom w:w="40" w:type="dxa"/>
            </w:tcMar>
            <w:vAlign w:val="bottom"/>
          </w:tcPr>
          <w:p w14:paraId="36CA25A0" w14:textId="77777777" w:rsidR="00787570" w:rsidRDefault="000D56E2">
            <w:pPr>
              <w:textAlignment w:val="bottom"/>
            </w:pPr>
            <w:r>
              <w:rPr>
                <w:rFonts w:ascii="Arial" w:eastAsia="宋体" w:hAnsi="Arial" w:cs="Arial"/>
                <w:b/>
                <w:bCs/>
                <w:color w:val="333333"/>
                <w:sz w:val="18"/>
                <w:szCs w:val="18"/>
              </w:rPr>
              <w:t>$</w:t>
            </w:r>
          </w:p>
        </w:tc>
        <w:tc>
          <w:tcPr>
            <w:tcW w:w="0" w:type="auto"/>
            <w:shd w:val="clear" w:color="auto" w:fill="auto"/>
            <w:tcMar>
              <w:top w:w="40" w:type="dxa"/>
              <w:bottom w:w="40" w:type="dxa"/>
              <w:right w:w="0" w:type="dxa"/>
            </w:tcMar>
            <w:vAlign w:val="bottom"/>
          </w:tcPr>
          <w:p w14:paraId="36CA25A1" w14:textId="77777777" w:rsidR="00787570" w:rsidRDefault="000D56E2">
            <w:pPr>
              <w:jc w:val="right"/>
              <w:textAlignment w:val="bottom"/>
            </w:pPr>
            <w:r>
              <w:rPr>
                <w:rFonts w:ascii="Arial" w:eastAsia="宋体" w:hAnsi="Arial" w:cs="Arial"/>
                <w:b/>
                <w:bCs/>
                <w:color w:val="333333"/>
                <w:sz w:val="18"/>
                <w:szCs w:val="18"/>
              </w:rPr>
              <w:t>74,563</w:t>
            </w:r>
            <w:r>
              <w:rPr>
                <w:rFonts w:ascii="Arial" w:eastAsia="宋体" w:hAnsi="Arial" w:cs="Arial"/>
                <w:color w:val="333333"/>
                <w:sz w:val="18"/>
                <w:szCs w:val="18"/>
              </w:rPr>
              <w:t> </w:t>
            </w:r>
          </w:p>
        </w:tc>
        <w:tc>
          <w:tcPr>
            <w:tcW w:w="0" w:type="auto"/>
            <w:shd w:val="clear" w:color="auto" w:fill="auto"/>
            <w:tcMar>
              <w:top w:w="40" w:type="dxa"/>
              <w:bottom w:w="40" w:type="dxa"/>
              <w:right w:w="20" w:type="dxa"/>
            </w:tcMar>
            <w:vAlign w:val="bottom"/>
          </w:tcPr>
          <w:p w14:paraId="36CA25A2" w14:textId="77777777" w:rsidR="00787570" w:rsidRDefault="00787570">
            <w:pPr>
              <w:jc w:val="right"/>
              <w:rPr>
                <w:rFonts w:ascii="宋体"/>
              </w:rPr>
            </w:pPr>
          </w:p>
        </w:tc>
        <w:tc>
          <w:tcPr>
            <w:tcW w:w="0" w:type="auto"/>
            <w:shd w:val="clear" w:color="auto" w:fill="auto"/>
          </w:tcPr>
          <w:p w14:paraId="36CA25A3" w14:textId="77777777" w:rsidR="00787570" w:rsidRDefault="00787570">
            <w:pPr>
              <w:rPr>
                <w:rFonts w:ascii="宋体"/>
              </w:rPr>
            </w:pPr>
          </w:p>
        </w:tc>
        <w:tc>
          <w:tcPr>
            <w:tcW w:w="0" w:type="auto"/>
            <w:shd w:val="clear" w:color="auto" w:fill="auto"/>
          </w:tcPr>
          <w:p w14:paraId="36CA25A4" w14:textId="77777777" w:rsidR="00787570" w:rsidRDefault="00787570">
            <w:pPr>
              <w:rPr>
                <w:rFonts w:ascii="宋体"/>
              </w:rPr>
            </w:pPr>
          </w:p>
        </w:tc>
        <w:tc>
          <w:tcPr>
            <w:tcW w:w="0" w:type="auto"/>
            <w:shd w:val="clear" w:color="auto" w:fill="auto"/>
          </w:tcPr>
          <w:p w14:paraId="36CA25A5" w14:textId="77777777" w:rsidR="00787570" w:rsidRDefault="00787570">
            <w:pPr>
              <w:rPr>
                <w:rFonts w:ascii="宋体"/>
              </w:rPr>
            </w:pPr>
          </w:p>
        </w:tc>
        <w:tc>
          <w:tcPr>
            <w:tcW w:w="0" w:type="auto"/>
            <w:shd w:val="clear" w:color="auto" w:fill="auto"/>
          </w:tcPr>
          <w:p w14:paraId="36CA25A6" w14:textId="77777777" w:rsidR="00787570" w:rsidRDefault="00787570">
            <w:pPr>
              <w:rPr>
                <w:rFonts w:ascii="宋体"/>
              </w:rPr>
            </w:pPr>
          </w:p>
        </w:tc>
        <w:tc>
          <w:tcPr>
            <w:tcW w:w="0" w:type="auto"/>
            <w:shd w:val="clear" w:color="auto" w:fill="auto"/>
          </w:tcPr>
          <w:p w14:paraId="36CA25A7" w14:textId="77777777" w:rsidR="00787570" w:rsidRDefault="00787570">
            <w:pPr>
              <w:rPr>
                <w:rFonts w:ascii="宋体"/>
              </w:rPr>
            </w:pPr>
          </w:p>
        </w:tc>
        <w:tc>
          <w:tcPr>
            <w:tcW w:w="0" w:type="auto"/>
            <w:shd w:val="clear" w:color="auto" w:fill="auto"/>
          </w:tcPr>
          <w:p w14:paraId="36CA25A8" w14:textId="77777777" w:rsidR="00787570" w:rsidRDefault="00787570">
            <w:pPr>
              <w:rPr>
                <w:rFonts w:ascii="宋体"/>
              </w:rPr>
            </w:pPr>
          </w:p>
        </w:tc>
        <w:tc>
          <w:tcPr>
            <w:tcW w:w="0" w:type="auto"/>
            <w:shd w:val="clear" w:color="auto" w:fill="auto"/>
          </w:tcPr>
          <w:p w14:paraId="36CA25A9" w14:textId="77777777" w:rsidR="00787570" w:rsidRDefault="00787570">
            <w:pPr>
              <w:rPr>
                <w:rFonts w:ascii="宋体"/>
              </w:rPr>
            </w:pPr>
          </w:p>
        </w:tc>
        <w:tc>
          <w:tcPr>
            <w:tcW w:w="0" w:type="auto"/>
            <w:shd w:val="clear" w:color="auto" w:fill="auto"/>
          </w:tcPr>
          <w:p w14:paraId="36CA25AA" w14:textId="77777777" w:rsidR="00787570" w:rsidRDefault="00787570">
            <w:pPr>
              <w:rPr>
                <w:rFonts w:ascii="宋体"/>
              </w:rPr>
            </w:pPr>
          </w:p>
        </w:tc>
        <w:tc>
          <w:tcPr>
            <w:tcW w:w="0" w:type="auto"/>
            <w:shd w:val="clear" w:color="auto" w:fill="auto"/>
          </w:tcPr>
          <w:p w14:paraId="36CA25AB" w14:textId="77777777" w:rsidR="00787570" w:rsidRDefault="00787570">
            <w:pPr>
              <w:rPr>
                <w:rFonts w:ascii="宋体"/>
              </w:rPr>
            </w:pPr>
          </w:p>
        </w:tc>
      </w:tr>
      <w:tr w:rsidR="00787570" w14:paraId="36CA25C6" w14:textId="77777777">
        <w:tc>
          <w:tcPr>
            <w:tcW w:w="0" w:type="auto"/>
            <w:gridSpan w:val="3"/>
            <w:shd w:val="clear" w:color="auto" w:fill="auto"/>
            <w:tcMar>
              <w:top w:w="40" w:type="dxa"/>
              <w:left w:w="20" w:type="dxa"/>
              <w:bottom w:w="40" w:type="dxa"/>
              <w:right w:w="20" w:type="dxa"/>
            </w:tcMar>
            <w:vAlign w:val="bottom"/>
          </w:tcPr>
          <w:p w14:paraId="36CA25AD" w14:textId="77777777" w:rsidR="00787570" w:rsidRDefault="000D56E2">
            <w:pPr>
              <w:textAlignment w:val="bottom"/>
            </w:pPr>
            <w:r>
              <w:rPr>
                <w:rFonts w:ascii="Arial" w:eastAsia="宋体" w:hAnsi="Arial" w:cs="Arial"/>
                <w:color w:val="333333"/>
                <w:sz w:val="18"/>
                <w:szCs w:val="18"/>
              </w:rPr>
              <w:t>Net income</w:t>
            </w:r>
          </w:p>
        </w:tc>
        <w:tc>
          <w:tcPr>
            <w:tcW w:w="0" w:type="auto"/>
            <w:gridSpan w:val="3"/>
            <w:shd w:val="clear" w:color="auto" w:fill="auto"/>
            <w:tcMar>
              <w:left w:w="20" w:type="dxa"/>
              <w:right w:w="20" w:type="dxa"/>
            </w:tcMar>
            <w:vAlign w:val="bottom"/>
          </w:tcPr>
          <w:p w14:paraId="36CA25AE"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25AF" w14:textId="77777777" w:rsidR="00787570" w:rsidRDefault="000D56E2">
            <w:pPr>
              <w:jc w:val="right"/>
              <w:textAlignment w:val="bottom"/>
            </w:pPr>
            <w:r>
              <w:rPr>
                <w:rFonts w:ascii="Arial" w:eastAsia="宋体" w:hAnsi="Arial" w:cs="Arial"/>
                <w:color w:val="333333"/>
                <w:sz w:val="18"/>
                <w:szCs w:val="18"/>
              </w:rPr>
              <w:t>— </w:t>
            </w:r>
          </w:p>
        </w:tc>
        <w:tc>
          <w:tcPr>
            <w:tcW w:w="0" w:type="auto"/>
            <w:shd w:val="clear" w:color="auto" w:fill="auto"/>
            <w:tcMar>
              <w:top w:w="40" w:type="dxa"/>
              <w:bottom w:w="40" w:type="dxa"/>
              <w:right w:w="20" w:type="dxa"/>
            </w:tcMar>
            <w:vAlign w:val="bottom"/>
          </w:tcPr>
          <w:p w14:paraId="36CA25B0"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25B1"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25B2" w14:textId="77777777" w:rsidR="00787570" w:rsidRDefault="000D56E2">
            <w:pPr>
              <w:jc w:val="right"/>
              <w:textAlignment w:val="bottom"/>
            </w:pPr>
            <w:r>
              <w:rPr>
                <w:rFonts w:ascii="Arial" w:eastAsia="宋体" w:hAnsi="Arial" w:cs="Arial"/>
                <w:color w:val="333333"/>
                <w:sz w:val="18"/>
                <w:szCs w:val="18"/>
              </w:rPr>
              <w:t>— </w:t>
            </w:r>
          </w:p>
        </w:tc>
        <w:tc>
          <w:tcPr>
            <w:tcW w:w="0" w:type="auto"/>
            <w:shd w:val="clear" w:color="auto" w:fill="auto"/>
            <w:tcMar>
              <w:top w:w="40" w:type="dxa"/>
              <w:bottom w:w="40" w:type="dxa"/>
              <w:right w:w="20" w:type="dxa"/>
            </w:tcMar>
            <w:vAlign w:val="bottom"/>
          </w:tcPr>
          <w:p w14:paraId="36CA25B3"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25B4"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25B5" w14:textId="77777777" w:rsidR="00787570" w:rsidRDefault="000D56E2">
            <w:pPr>
              <w:jc w:val="right"/>
              <w:textAlignment w:val="bottom"/>
            </w:pPr>
            <w:r>
              <w:rPr>
                <w:rFonts w:ascii="Arial" w:eastAsia="宋体" w:hAnsi="Arial" w:cs="Arial"/>
                <w:color w:val="333333"/>
                <w:sz w:val="18"/>
                <w:szCs w:val="18"/>
              </w:rPr>
              <w:t>— </w:t>
            </w:r>
          </w:p>
        </w:tc>
        <w:tc>
          <w:tcPr>
            <w:tcW w:w="0" w:type="auto"/>
            <w:shd w:val="clear" w:color="auto" w:fill="auto"/>
            <w:tcMar>
              <w:top w:w="40" w:type="dxa"/>
              <w:bottom w:w="40" w:type="dxa"/>
              <w:right w:w="20" w:type="dxa"/>
            </w:tcMar>
            <w:vAlign w:val="bottom"/>
          </w:tcPr>
          <w:p w14:paraId="36CA25B6"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25B7"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25B8" w14:textId="77777777" w:rsidR="00787570" w:rsidRDefault="000D56E2">
            <w:pPr>
              <w:jc w:val="right"/>
              <w:textAlignment w:val="bottom"/>
            </w:pPr>
            <w:r>
              <w:rPr>
                <w:rFonts w:ascii="Arial" w:eastAsia="宋体" w:hAnsi="Arial" w:cs="Arial"/>
                <w:color w:val="333333"/>
                <w:sz w:val="18"/>
                <w:szCs w:val="18"/>
              </w:rPr>
              <w:t>14,143 </w:t>
            </w:r>
          </w:p>
        </w:tc>
        <w:tc>
          <w:tcPr>
            <w:tcW w:w="0" w:type="auto"/>
            <w:shd w:val="clear" w:color="auto" w:fill="auto"/>
            <w:tcMar>
              <w:top w:w="40" w:type="dxa"/>
              <w:bottom w:w="40" w:type="dxa"/>
              <w:right w:w="20" w:type="dxa"/>
            </w:tcMar>
            <w:vAlign w:val="bottom"/>
          </w:tcPr>
          <w:p w14:paraId="36CA25B9"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25BA"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25BB" w14:textId="77777777" w:rsidR="00787570" w:rsidRDefault="000D56E2">
            <w:pPr>
              <w:jc w:val="right"/>
              <w:textAlignment w:val="bottom"/>
            </w:pPr>
            <w:r>
              <w:rPr>
                <w:rFonts w:ascii="Arial" w:eastAsia="宋体" w:hAnsi="Arial" w:cs="Arial"/>
                <w:color w:val="333333"/>
                <w:sz w:val="18"/>
                <w:szCs w:val="18"/>
              </w:rPr>
              <w:t>14,143 </w:t>
            </w:r>
          </w:p>
        </w:tc>
        <w:tc>
          <w:tcPr>
            <w:tcW w:w="0" w:type="auto"/>
            <w:shd w:val="clear" w:color="auto" w:fill="auto"/>
            <w:tcMar>
              <w:top w:w="40" w:type="dxa"/>
              <w:bottom w:w="40" w:type="dxa"/>
              <w:right w:w="20" w:type="dxa"/>
            </w:tcMar>
            <w:vAlign w:val="bottom"/>
          </w:tcPr>
          <w:p w14:paraId="36CA25BC" w14:textId="77777777" w:rsidR="00787570" w:rsidRDefault="00787570">
            <w:pPr>
              <w:jc w:val="right"/>
              <w:rPr>
                <w:rFonts w:ascii="宋体"/>
              </w:rPr>
            </w:pPr>
          </w:p>
        </w:tc>
        <w:tc>
          <w:tcPr>
            <w:tcW w:w="0" w:type="auto"/>
            <w:shd w:val="clear" w:color="auto" w:fill="auto"/>
          </w:tcPr>
          <w:p w14:paraId="36CA25BD" w14:textId="77777777" w:rsidR="00787570" w:rsidRDefault="00787570">
            <w:pPr>
              <w:rPr>
                <w:rFonts w:ascii="宋体"/>
              </w:rPr>
            </w:pPr>
          </w:p>
        </w:tc>
        <w:tc>
          <w:tcPr>
            <w:tcW w:w="0" w:type="auto"/>
            <w:shd w:val="clear" w:color="auto" w:fill="auto"/>
          </w:tcPr>
          <w:p w14:paraId="36CA25BE" w14:textId="77777777" w:rsidR="00787570" w:rsidRDefault="00787570">
            <w:pPr>
              <w:rPr>
                <w:rFonts w:ascii="宋体"/>
              </w:rPr>
            </w:pPr>
          </w:p>
        </w:tc>
        <w:tc>
          <w:tcPr>
            <w:tcW w:w="0" w:type="auto"/>
            <w:shd w:val="clear" w:color="auto" w:fill="auto"/>
          </w:tcPr>
          <w:p w14:paraId="36CA25BF" w14:textId="77777777" w:rsidR="00787570" w:rsidRDefault="00787570">
            <w:pPr>
              <w:rPr>
                <w:rFonts w:ascii="宋体"/>
              </w:rPr>
            </w:pPr>
          </w:p>
        </w:tc>
        <w:tc>
          <w:tcPr>
            <w:tcW w:w="0" w:type="auto"/>
            <w:shd w:val="clear" w:color="auto" w:fill="auto"/>
          </w:tcPr>
          <w:p w14:paraId="36CA25C0" w14:textId="77777777" w:rsidR="00787570" w:rsidRDefault="00787570">
            <w:pPr>
              <w:rPr>
                <w:rFonts w:ascii="宋体"/>
              </w:rPr>
            </w:pPr>
          </w:p>
        </w:tc>
        <w:tc>
          <w:tcPr>
            <w:tcW w:w="0" w:type="auto"/>
            <w:shd w:val="clear" w:color="auto" w:fill="auto"/>
          </w:tcPr>
          <w:p w14:paraId="36CA25C1" w14:textId="77777777" w:rsidR="00787570" w:rsidRDefault="00787570">
            <w:pPr>
              <w:rPr>
                <w:rFonts w:ascii="宋体"/>
              </w:rPr>
            </w:pPr>
          </w:p>
        </w:tc>
        <w:tc>
          <w:tcPr>
            <w:tcW w:w="0" w:type="auto"/>
            <w:shd w:val="clear" w:color="auto" w:fill="auto"/>
          </w:tcPr>
          <w:p w14:paraId="36CA25C2" w14:textId="77777777" w:rsidR="00787570" w:rsidRDefault="00787570">
            <w:pPr>
              <w:rPr>
                <w:rFonts w:ascii="宋体"/>
              </w:rPr>
            </w:pPr>
          </w:p>
        </w:tc>
        <w:tc>
          <w:tcPr>
            <w:tcW w:w="0" w:type="auto"/>
            <w:shd w:val="clear" w:color="auto" w:fill="auto"/>
          </w:tcPr>
          <w:p w14:paraId="36CA25C3" w14:textId="77777777" w:rsidR="00787570" w:rsidRDefault="00787570">
            <w:pPr>
              <w:rPr>
                <w:rFonts w:ascii="宋体"/>
              </w:rPr>
            </w:pPr>
          </w:p>
        </w:tc>
        <w:tc>
          <w:tcPr>
            <w:tcW w:w="0" w:type="auto"/>
            <w:shd w:val="clear" w:color="auto" w:fill="auto"/>
          </w:tcPr>
          <w:p w14:paraId="36CA25C4" w14:textId="77777777" w:rsidR="00787570" w:rsidRDefault="00787570">
            <w:pPr>
              <w:rPr>
                <w:rFonts w:ascii="宋体"/>
              </w:rPr>
            </w:pPr>
          </w:p>
        </w:tc>
        <w:tc>
          <w:tcPr>
            <w:tcW w:w="0" w:type="auto"/>
            <w:shd w:val="clear" w:color="auto" w:fill="auto"/>
          </w:tcPr>
          <w:p w14:paraId="36CA25C5" w14:textId="77777777" w:rsidR="00787570" w:rsidRDefault="00787570">
            <w:pPr>
              <w:rPr>
                <w:rFonts w:ascii="宋体"/>
              </w:rPr>
            </w:pPr>
          </w:p>
        </w:tc>
      </w:tr>
      <w:tr w:rsidR="00787570" w14:paraId="36CA25E0" w14:textId="77777777">
        <w:tc>
          <w:tcPr>
            <w:tcW w:w="0" w:type="auto"/>
            <w:gridSpan w:val="3"/>
            <w:shd w:val="clear" w:color="auto" w:fill="auto"/>
            <w:tcMar>
              <w:top w:w="40" w:type="dxa"/>
              <w:left w:w="20" w:type="dxa"/>
              <w:bottom w:w="40" w:type="dxa"/>
              <w:right w:w="20" w:type="dxa"/>
            </w:tcMar>
            <w:vAlign w:val="bottom"/>
          </w:tcPr>
          <w:p w14:paraId="36CA25C7" w14:textId="77777777" w:rsidR="00787570" w:rsidRDefault="000D56E2">
            <w:pPr>
              <w:textAlignment w:val="bottom"/>
            </w:pPr>
            <w:r>
              <w:rPr>
                <w:rFonts w:ascii="Arial" w:eastAsia="宋体" w:hAnsi="Arial" w:cs="Arial"/>
                <w:color w:val="333333"/>
                <w:sz w:val="18"/>
                <w:szCs w:val="18"/>
              </w:rPr>
              <w:t>Other comprehensive income (loss)</w:t>
            </w:r>
          </w:p>
        </w:tc>
        <w:tc>
          <w:tcPr>
            <w:tcW w:w="0" w:type="auto"/>
            <w:gridSpan w:val="3"/>
            <w:shd w:val="clear" w:color="auto" w:fill="auto"/>
            <w:tcMar>
              <w:left w:w="20" w:type="dxa"/>
              <w:right w:w="20" w:type="dxa"/>
            </w:tcMar>
            <w:vAlign w:val="bottom"/>
          </w:tcPr>
          <w:p w14:paraId="36CA25C8"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25C9" w14:textId="77777777" w:rsidR="00787570" w:rsidRDefault="000D56E2">
            <w:pPr>
              <w:jc w:val="right"/>
              <w:textAlignment w:val="bottom"/>
            </w:pPr>
            <w:r>
              <w:rPr>
                <w:rFonts w:ascii="Arial" w:eastAsia="宋体" w:hAnsi="Arial" w:cs="Arial"/>
                <w:color w:val="333333"/>
                <w:sz w:val="18"/>
                <w:szCs w:val="18"/>
              </w:rPr>
              <w:t>— </w:t>
            </w:r>
          </w:p>
        </w:tc>
        <w:tc>
          <w:tcPr>
            <w:tcW w:w="0" w:type="auto"/>
            <w:shd w:val="clear" w:color="auto" w:fill="auto"/>
            <w:tcMar>
              <w:top w:w="40" w:type="dxa"/>
              <w:bottom w:w="40" w:type="dxa"/>
              <w:right w:w="20" w:type="dxa"/>
            </w:tcMar>
            <w:vAlign w:val="bottom"/>
          </w:tcPr>
          <w:p w14:paraId="36CA25CA"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25CB"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25CC" w14:textId="77777777" w:rsidR="00787570" w:rsidRDefault="000D56E2">
            <w:pPr>
              <w:jc w:val="right"/>
              <w:textAlignment w:val="bottom"/>
            </w:pPr>
            <w:r>
              <w:rPr>
                <w:rFonts w:ascii="Arial" w:eastAsia="宋体" w:hAnsi="Arial" w:cs="Arial"/>
                <w:color w:val="333333"/>
                <w:sz w:val="18"/>
                <w:szCs w:val="18"/>
              </w:rPr>
              <w:t>— </w:t>
            </w:r>
          </w:p>
        </w:tc>
        <w:tc>
          <w:tcPr>
            <w:tcW w:w="0" w:type="auto"/>
            <w:shd w:val="clear" w:color="auto" w:fill="auto"/>
            <w:tcMar>
              <w:top w:w="40" w:type="dxa"/>
              <w:bottom w:w="40" w:type="dxa"/>
              <w:right w:w="20" w:type="dxa"/>
            </w:tcMar>
            <w:vAlign w:val="bottom"/>
          </w:tcPr>
          <w:p w14:paraId="36CA25CD"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25CE"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25CF" w14:textId="77777777" w:rsidR="00787570" w:rsidRDefault="000D56E2">
            <w:pPr>
              <w:jc w:val="right"/>
              <w:textAlignment w:val="bottom"/>
            </w:pPr>
            <w:r>
              <w:rPr>
                <w:rFonts w:ascii="Arial" w:eastAsia="宋体" w:hAnsi="Arial" w:cs="Arial"/>
                <w:color w:val="333333"/>
                <w:sz w:val="18"/>
                <w:szCs w:val="18"/>
              </w:rPr>
              <w:t>252 </w:t>
            </w:r>
          </w:p>
        </w:tc>
        <w:tc>
          <w:tcPr>
            <w:tcW w:w="0" w:type="auto"/>
            <w:shd w:val="clear" w:color="auto" w:fill="auto"/>
            <w:tcMar>
              <w:top w:w="40" w:type="dxa"/>
              <w:bottom w:w="40" w:type="dxa"/>
              <w:right w:w="20" w:type="dxa"/>
            </w:tcMar>
            <w:vAlign w:val="bottom"/>
          </w:tcPr>
          <w:p w14:paraId="36CA25D0"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25D1"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25D2" w14:textId="77777777" w:rsidR="00787570" w:rsidRDefault="000D56E2">
            <w:pPr>
              <w:jc w:val="right"/>
              <w:textAlignment w:val="bottom"/>
            </w:pPr>
            <w:r>
              <w:rPr>
                <w:rFonts w:ascii="Arial" w:eastAsia="宋体" w:hAnsi="Arial" w:cs="Arial"/>
                <w:color w:val="333333"/>
                <w:sz w:val="18"/>
                <w:szCs w:val="18"/>
              </w:rPr>
              <w:t>— </w:t>
            </w:r>
          </w:p>
        </w:tc>
        <w:tc>
          <w:tcPr>
            <w:tcW w:w="0" w:type="auto"/>
            <w:shd w:val="clear" w:color="auto" w:fill="auto"/>
            <w:tcMar>
              <w:top w:w="40" w:type="dxa"/>
              <w:bottom w:w="40" w:type="dxa"/>
              <w:right w:w="20" w:type="dxa"/>
            </w:tcMar>
            <w:vAlign w:val="bottom"/>
          </w:tcPr>
          <w:p w14:paraId="36CA25D3"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25D4"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25D5" w14:textId="77777777" w:rsidR="00787570" w:rsidRDefault="000D56E2">
            <w:pPr>
              <w:jc w:val="right"/>
              <w:textAlignment w:val="bottom"/>
            </w:pPr>
            <w:r>
              <w:rPr>
                <w:rFonts w:ascii="Arial" w:eastAsia="宋体" w:hAnsi="Arial" w:cs="Arial"/>
                <w:color w:val="333333"/>
                <w:sz w:val="18"/>
                <w:szCs w:val="18"/>
              </w:rPr>
              <w:t>252 </w:t>
            </w:r>
          </w:p>
        </w:tc>
        <w:tc>
          <w:tcPr>
            <w:tcW w:w="0" w:type="auto"/>
            <w:shd w:val="clear" w:color="auto" w:fill="auto"/>
            <w:tcMar>
              <w:top w:w="40" w:type="dxa"/>
              <w:bottom w:w="40" w:type="dxa"/>
              <w:right w:w="20" w:type="dxa"/>
            </w:tcMar>
            <w:vAlign w:val="bottom"/>
          </w:tcPr>
          <w:p w14:paraId="36CA25D6" w14:textId="77777777" w:rsidR="00787570" w:rsidRDefault="00787570">
            <w:pPr>
              <w:jc w:val="right"/>
              <w:rPr>
                <w:rFonts w:ascii="宋体"/>
              </w:rPr>
            </w:pPr>
          </w:p>
        </w:tc>
        <w:tc>
          <w:tcPr>
            <w:tcW w:w="0" w:type="auto"/>
            <w:shd w:val="clear" w:color="auto" w:fill="auto"/>
          </w:tcPr>
          <w:p w14:paraId="36CA25D7" w14:textId="77777777" w:rsidR="00787570" w:rsidRDefault="00787570">
            <w:pPr>
              <w:rPr>
                <w:rFonts w:ascii="宋体"/>
              </w:rPr>
            </w:pPr>
          </w:p>
        </w:tc>
        <w:tc>
          <w:tcPr>
            <w:tcW w:w="0" w:type="auto"/>
            <w:shd w:val="clear" w:color="auto" w:fill="auto"/>
          </w:tcPr>
          <w:p w14:paraId="36CA25D8" w14:textId="77777777" w:rsidR="00787570" w:rsidRDefault="00787570">
            <w:pPr>
              <w:rPr>
                <w:rFonts w:ascii="宋体"/>
              </w:rPr>
            </w:pPr>
          </w:p>
        </w:tc>
        <w:tc>
          <w:tcPr>
            <w:tcW w:w="0" w:type="auto"/>
            <w:shd w:val="clear" w:color="auto" w:fill="auto"/>
          </w:tcPr>
          <w:p w14:paraId="36CA25D9" w14:textId="77777777" w:rsidR="00787570" w:rsidRDefault="00787570">
            <w:pPr>
              <w:rPr>
                <w:rFonts w:ascii="宋体"/>
              </w:rPr>
            </w:pPr>
          </w:p>
        </w:tc>
        <w:tc>
          <w:tcPr>
            <w:tcW w:w="0" w:type="auto"/>
            <w:shd w:val="clear" w:color="auto" w:fill="auto"/>
          </w:tcPr>
          <w:p w14:paraId="36CA25DA" w14:textId="77777777" w:rsidR="00787570" w:rsidRDefault="00787570">
            <w:pPr>
              <w:rPr>
                <w:rFonts w:ascii="宋体"/>
              </w:rPr>
            </w:pPr>
          </w:p>
        </w:tc>
        <w:tc>
          <w:tcPr>
            <w:tcW w:w="0" w:type="auto"/>
            <w:shd w:val="clear" w:color="auto" w:fill="auto"/>
          </w:tcPr>
          <w:p w14:paraId="36CA25DB" w14:textId="77777777" w:rsidR="00787570" w:rsidRDefault="00787570">
            <w:pPr>
              <w:rPr>
                <w:rFonts w:ascii="宋体"/>
              </w:rPr>
            </w:pPr>
          </w:p>
        </w:tc>
        <w:tc>
          <w:tcPr>
            <w:tcW w:w="0" w:type="auto"/>
            <w:shd w:val="clear" w:color="auto" w:fill="auto"/>
          </w:tcPr>
          <w:p w14:paraId="36CA25DC" w14:textId="77777777" w:rsidR="00787570" w:rsidRDefault="00787570">
            <w:pPr>
              <w:rPr>
                <w:rFonts w:ascii="宋体"/>
              </w:rPr>
            </w:pPr>
          </w:p>
        </w:tc>
        <w:tc>
          <w:tcPr>
            <w:tcW w:w="0" w:type="auto"/>
            <w:shd w:val="clear" w:color="auto" w:fill="auto"/>
          </w:tcPr>
          <w:p w14:paraId="36CA25DD" w14:textId="77777777" w:rsidR="00787570" w:rsidRDefault="00787570">
            <w:pPr>
              <w:rPr>
                <w:rFonts w:ascii="宋体"/>
              </w:rPr>
            </w:pPr>
          </w:p>
        </w:tc>
        <w:tc>
          <w:tcPr>
            <w:tcW w:w="0" w:type="auto"/>
            <w:shd w:val="clear" w:color="auto" w:fill="auto"/>
          </w:tcPr>
          <w:p w14:paraId="36CA25DE" w14:textId="77777777" w:rsidR="00787570" w:rsidRDefault="00787570">
            <w:pPr>
              <w:rPr>
                <w:rFonts w:ascii="宋体"/>
              </w:rPr>
            </w:pPr>
          </w:p>
        </w:tc>
        <w:tc>
          <w:tcPr>
            <w:tcW w:w="0" w:type="auto"/>
            <w:shd w:val="clear" w:color="auto" w:fill="auto"/>
          </w:tcPr>
          <w:p w14:paraId="36CA25DF" w14:textId="77777777" w:rsidR="00787570" w:rsidRDefault="00787570">
            <w:pPr>
              <w:rPr>
                <w:rFonts w:ascii="宋体"/>
              </w:rPr>
            </w:pPr>
          </w:p>
        </w:tc>
      </w:tr>
      <w:tr w:rsidR="00787570" w14:paraId="36CA25FA" w14:textId="77777777">
        <w:tc>
          <w:tcPr>
            <w:tcW w:w="0" w:type="auto"/>
            <w:gridSpan w:val="3"/>
            <w:shd w:val="clear" w:color="auto" w:fill="auto"/>
            <w:tcMar>
              <w:top w:w="40" w:type="dxa"/>
              <w:left w:w="20" w:type="dxa"/>
              <w:bottom w:w="40" w:type="dxa"/>
              <w:right w:w="20" w:type="dxa"/>
            </w:tcMar>
            <w:vAlign w:val="bottom"/>
          </w:tcPr>
          <w:p w14:paraId="36CA25E1" w14:textId="77777777" w:rsidR="00787570" w:rsidRDefault="000D56E2">
            <w:pPr>
              <w:textAlignment w:val="bottom"/>
            </w:pPr>
            <w:r>
              <w:rPr>
                <w:rFonts w:ascii="Arial" w:eastAsia="宋体" w:hAnsi="Arial" w:cs="Arial"/>
                <w:color w:val="333333"/>
                <w:sz w:val="18"/>
                <w:szCs w:val="18"/>
              </w:rPr>
              <w:t>Employee equity incentive plans and other</w:t>
            </w:r>
          </w:p>
        </w:tc>
        <w:tc>
          <w:tcPr>
            <w:tcW w:w="0" w:type="auto"/>
            <w:gridSpan w:val="3"/>
            <w:shd w:val="clear" w:color="auto" w:fill="auto"/>
            <w:tcMar>
              <w:left w:w="20" w:type="dxa"/>
              <w:right w:w="20" w:type="dxa"/>
            </w:tcMar>
            <w:vAlign w:val="bottom"/>
          </w:tcPr>
          <w:p w14:paraId="36CA25E2"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25E3" w14:textId="77777777" w:rsidR="00787570" w:rsidRDefault="000D56E2">
            <w:pPr>
              <w:jc w:val="right"/>
              <w:textAlignment w:val="bottom"/>
            </w:pPr>
            <w:r>
              <w:rPr>
                <w:rFonts w:ascii="Arial" w:eastAsia="宋体" w:hAnsi="Arial" w:cs="Arial"/>
                <w:color w:val="333333"/>
                <w:sz w:val="18"/>
                <w:szCs w:val="18"/>
              </w:rPr>
              <w:t>52 </w:t>
            </w:r>
          </w:p>
        </w:tc>
        <w:tc>
          <w:tcPr>
            <w:tcW w:w="0" w:type="auto"/>
            <w:shd w:val="clear" w:color="auto" w:fill="auto"/>
            <w:tcMar>
              <w:top w:w="40" w:type="dxa"/>
              <w:bottom w:w="40" w:type="dxa"/>
              <w:right w:w="20" w:type="dxa"/>
            </w:tcMar>
            <w:vAlign w:val="bottom"/>
          </w:tcPr>
          <w:p w14:paraId="36CA25E4"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25E5"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25E6" w14:textId="77777777" w:rsidR="00787570" w:rsidRDefault="000D56E2">
            <w:pPr>
              <w:jc w:val="right"/>
              <w:textAlignment w:val="bottom"/>
            </w:pPr>
            <w:r>
              <w:rPr>
                <w:rFonts w:ascii="Arial" w:eastAsia="宋体" w:hAnsi="Arial" w:cs="Arial"/>
                <w:color w:val="333333"/>
                <w:sz w:val="18"/>
                <w:szCs w:val="18"/>
              </w:rPr>
              <w:t>869 </w:t>
            </w:r>
          </w:p>
        </w:tc>
        <w:tc>
          <w:tcPr>
            <w:tcW w:w="0" w:type="auto"/>
            <w:shd w:val="clear" w:color="auto" w:fill="auto"/>
            <w:tcMar>
              <w:top w:w="40" w:type="dxa"/>
              <w:bottom w:w="40" w:type="dxa"/>
              <w:right w:w="20" w:type="dxa"/>
            </w:tcMar>
            <w:vAlign w:val="bottom"/>
          </w:tcPr>
          <w:p w14:paraId="36CA25E7"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25E8"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25E9" w14:textId="77777777" w:rsidR="00787570" w:rsidRDefault="000D56E2">
            <w:pPr>
              <w:jc w:val="right"/>
              <w:textAlignment w:val="bottom"/>
            </w:pPr>
            <w:r>
              <w:rPr>
                <w:rFonts w:ascii="Arial" w:eastAsia="宋体" w:hAnsi="Arial" w:cs="Arial"/>
                <w:color w:val="333333"/>
                <w:sz w:val="18"/>
                <w:szCs w:val="18"/>
              </w:rPr>
              <w:t>— </w:t>
            </w:r>
          </w:p>
        </w:tc>
        <w:tc>
          <w:tcPr>
            <w:tcW w:w="0" w:type="auto"/>
            <w:shd w:val="clear" w:color="auto" w:fill="auto"/>
            <w:tcMar>
              <w:top w:w="40" w:type="dxa"/>
              <w:bottom w:w="40" w:type="dxa"/>
              <w:right w:w="20" w:type="dxa"/>
            </w:tcMar>
            <w:vAlign w:val="bottom"/>
          </w:tcPr>
          <w:p w14:paraId="36CA25EA"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25EB"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25EC" w14:textId="77777777" w:rsidR="00787570" w:rsidRDefault="000D56E2">
            <w:pPr>
              <w:jc w:val="right"/>
              <w:textAlignment w:val="bottom"/>
            </w:pPr>
            <w:r>
              <w:rPr>
                <w:rFonts w:ascii="Arial" w:eastAsia="宋体" w:hAnsi="Arial" w:cs="Arial"/>
                <w:color w:val="333333"/>
                <w:sz w:val="18"/>
                <w:szCs w:val="18"/>
              </w:rPr>
              <w:t>— </w:t>
            </w:r>
          </w:p>
        </w:tc>
        <w:tc>
          <w:tcPr>
            <w:tcW w:w="0" w:type="auto"/>
            <w:shd w:val="clear" w:color="auto" w:fill="auto"/>
            <w:tcMar>
              <w:top w:w="40" w:type="dxa"/>
              <w:bottom w:w="40" w:type="dxa"/>
              <w:right w:w="20" w:type="dxa"/>
            </w:tcMar>
            <w:vAlign w:val="bottom"/>
          </w:tcPr>
          <w:p w14:paraId="36CA25ED"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25EE"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25EF" w14:textId="77777777" w:rsidR="00787570" w:rsidRDefault="000D56E2">
            <w:pPr>
              <w:jc w:val="right"/>
              <w:textAlignment w:val="bottom"/>
            </w:pPr>
            <w:r>
              <w:rPr>
                <w:rFonts w:ascii="Arial" w:eastAsia="宋体" w:hAnsi="Arial" w:cs="Arial"/>
                <w:color w:val="333333"/>
                <w:sz w:val="18"/>
                <w:szCs w:val="18"/>
              </w:rPr>
              <w:t>869 </w:t>
            </w:r>
          </w:p>
        </w:tc>
        <w:tc>
          <w:tcPr>
            <w:tcW w:w="0" w:type="auto"/>
            <w:shd w:val="clear" w:color="auto" w:fill="auto"/>
            <w:tcMar>
              <w:top w:w="40" w:type="dxa"/>
              <w:bottom w:w="40" w:type="dxa"/>
              <w:right w:w="20" w:type="dxa"/>
            </w:tcMar>
            <w:vAlign w:val="bottom"/>
          </w:tcPr>
          <w:p w14:paraId="36CA25F0" w14:textId="77777777" w:rsidR="00787570" w:rsidRDefault="00787570">
            <w:pPr>
              <w:jc w:val="right"/>
              <w:rPr>
                <w:rFonts w:ascii="宋体"/>
              </w:rPr>
            </w:pPr>
          </w:p>
        </w:tc>
        <w:tc>
          <w:tcPr>
            <w:tcW w:w="0" w:type="auto"/>
            <w:shd w:val="clear" w:color="auto" w:fill="auto"/>
          </w:tcPr>
          <w:p w14:paraId="36CA25F1" w14:textId="77777777" w:rsidR="00787570" w:rsidRDefault="00787570">
            <w:pPr>
              <w:rPr>
                <w:rFonts w:ascii="宋体"/>
              </w:rPr>
            </w:pPr>
          </w:p>
        </w:tc>
        <w:tc>
          <w:tcPr>
            <w:tcW w:w="0" w:type="auto"/>
            <w:shd w:val="clear" w:color="auto" w:fill="auto"/>
          </w:tcPr>
          <w:p w14:paraId="36CA25F2" w14:textId="77777777" w:rsidR="00787570" w:rsidRDefault="00787570">
            <w:pPr>
              <w:rPr>
                <w:rFonts w:ascii="宋体"/>
              </w:rPr>
            </w:pPr>
          </w:p>
        </w:tc>
        <w:tc>
          <w:tcPr>
            <w:tcW w:w="0" w:type="auto"/>
            <w:shd w:val="clear" w:color="auto" w:fill="auto"/>
          </w:tcPr>
          <w:p w14:paraId="36CA25F3" w14:textId="77777777" w:rsidR="00787570" w:rsidRDefault="00787570">
            <w:pPr>
              <w:rPr>
                <w:rFonts w:ascii="宋体"/>
              </w:rPr>
            </w:pPr>
          </w:p>
        </w:tc>
        <w:tc>
          <w:tcPr>
            <w:tcW w:w="0" w:type="auto"/>
            <w:shd w:val="clear" w:color="auto" w:fill="auto"/>
          </w:tcPr>
          <w:p w14:paraId="36CA25F4" w14:textId="77777777" w:rsidR="00787570" w:rsidRDefault="00787570">
            <w:pPr>
              <w:rPr>
                <w:rFonts w:ascii="宋体"/>
              </w:rPr>
            </w:pPr>
          </w:p>
        </w:tc>
        <w:tc>
          <w:tcPr>
            <w:tcW w:w="0" w:type="auto"/>
            <w:shd w:val="clear" w:color="auto" w:fill="auto"/>
          </w:tcPr>
          <w:p w14:paraId="36CA25F5" w14:textId="77777777" w:rsidR="00787570" w:rsidRDefault="00787570">
            <w:pPr>
              <w:rPr>
                <w:rFonts w:ascii="宋体"/>
              </w:rPr>
            </w:pPr>
          </w:p>
        </w:tc>
        <w:tc>
          <w:tcPr>
            <w:tcW w:w="0" w:type="auto"/>
            <w:shd w:val="clear" w:color="auto" w:fill="auto"/>
          </w:tcPr>
          <w:p w14:paraId="36CA25F6" w14:textId="77777777" w:rsidR="00787570" w:rsidRDefault="00787570">
            <w:pPr>
              <w:rPr>
                <w:rFonts w:ascii="宋体"/>
              </w:rPr>
            </w:pPr>
          </w:p>
        </w:tc>
        <w:tc>
          <w:tcPr>
            <w:tcW w:w="0" w:type="auto"/>
            <w:shd w:val="clear" w:color="auto" w:fill="auto"/>
          </w:tcPr>
          <w:p w14:paraId="36CA25F7" w14:textId="77777777" w:rsidR="00787570" w:rsidRDefault="00787570">
            <w:pPr>
              <w:rPr>
                <w:rFonts w:ascii="宋体"/>
              </w:rPr>
            </w:pPr>
          </w:p>
        </w:tc>
        <w:tc>
          <w:tcPr>
            <w:tcW w:w="0" w:type="auto"/>
            <w:shd w:val="clear" w:color="auto" w:fill="auto"/>
          </w:tcPr>
          <w:p w14:paraId="36CA25F8" w14:textId="77777777" w:rsidR="00787570" w:rsidRDefault="00787570">
            <w:pPr>
              <w:rPr>
                <w:rFonts w:ascii="宋体"/>
              </w:rPr>
            </w:pPr>
          </w:p>
        </w:tc>
        <w:tc>
          <w:tcPr>
            <w:tcW w:w="0" w:type="auto"/>
            <w:shd w:val="clear" w:color="auto" w:fill="auto"/>
          </w:tcPr>
          <w:p w14:paraId="36CA25F9" w14:textId="77777777" w:rsidR="00787570" w:rsidRDefault="00787570">
            <w:pPr>
              <w:rPr>
                <w:rFonts w:ascii="宋体"/>
              </w:rPr>
            </w:pPr>
          </w:p>
        </w:tc>
      </w:tr>
      <w:tr w:rsidR="00787570" w14:paraId="36CA2614" w14:textId="77777777">
        <w:tc>
          <w:tcPr>
            <w:tcW w:w="0" w:type="auto"/>
            <w:gridSpan w:val="3"/>
            <w:shd w:val="clear" w:color="auto" w:fill="auto"/>
            <w:tcMar>
              <w:top w:w="40" w:type="dxa"/>
              <w:left w:w="20" w:type="dxa"/>
              <w:bottom w:w="40" w:type="dxa"/>
              <w:right w:w="20" w:type="dxa"/>
            </w:tcMar>
            <w:vAlign w:val="bottom"/>
          </w:tcPr>
          <w:p w14:paraId="36CA25FB" w14:textId="77777777" w:rsidR="00787570" w:rsidRDefault="000D56E2">
            <w:pPr>
              <w:textAlignment w:val="bottom"/>
            </w:pPr>
            <w:r>
              <w:rPr>
                <w:rFonts w:ascii="Arial" w:eastAsia="宋体" w:hAnsi="Arial" w:cs="Arial"/>
                <w:color w:val="333333"/>
                <w:sz w:val="18"/>
                <w:szCs w:val="18"/>
              </w:rPr>
              <w:t>Share-based compensation</w:t>
            </w:r>
          </w:p>
        </w:tc>
        <w:tc>
          <w:tcPr>
            <w:tcW w:w="0" w:type="auto"/>
            <w:gridSpan w:val="3"/>
            <w:shd w:val="clear" w:color="auto" w:fill="auto"/>
            <w:tcMar>
              <w:left w:w="20" w:type="dxa"/>
              <w:right w:w="20" w:type="dxa"/>
            </w:tcMar>
            <w:vAlign w:val="bottom"/>
          </w:tcPr>
          <w:p w14:paraId="36CA25FC"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25FD" w14:textId="77777777" w:rsidR="00787570" w:rsidRDefault="000D56E2">
            <w:pPr>
              <w:jc w:val="right"/>
              <w:textAlignment w:val="bottom"/>
            </w:pPr>
            <w:r>
              <w:rPr>
                <w:rFonts w:ascii="Arial" w:eastAsia="宋体" w:hAnsi="Arial" w:cs="Arial"/>
                <w:color w:val="333333"/>
                <w:sz w:val="18"/>
                <w:szCs w:val="18"/>
              </w:rPr>
              <w:t>— </w:t>
            </w:r>
          </w:p>
        </w:tc>
        <w:tc>
          <w:tcPr>
            <w:tcW w:w="0" w:type="auto"/>
            <w:shd w:val="clear" w:color="auto" w:fill="auto"/>
            <w:tcMar>
              <w:top w:w="40" w:type="dxa"/>
              <w:bottom w:w="40" w:type="dxa"/>
              <w:right w:w="20" w:type="dxa"/>
            </w:tcMar>
            <w:vAlign w:val="bottom"/>
          </w:tcPr>
          <w:p w14:paraId="36CA25FE"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25FF"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2600" w14:textId="77777777" w:rsidR="00787570" w:rsidRDefault="000D56E2">
            <w:pPr>
              <w:jc w:val="right"/>
              <w:textAlignment w:val="bottom"/>
            </w:pPr>
            <w:r>
              <w:rPr>
                <w:rFonts w:ascii="Arial" w:eastAsia="宋体" w:hAnsi="Arial" w:cs="Arial"/>
                <w:color w:val="333333"/>
                <w:sz w:val="18"/>
                <w:szCs w:val="18"/>
              </w:rPr>
              <w:t>1,287 </w:t>
            </w:r>
          </w:p>
        </w:tc>
        <w:tc>
          <w:tcPr>
            <w:tcW w:w="0" w:type="auto"/>
            <w:shd w:val="clear" w:color="auto" w:fill="auto"/>
            <w:tcMar>
              <w:top w:w="40" w:type="dxa"/>
              <w:bottom w:w="40" w:type="dxa"/>
              <w:right w:w="20" w:type="dxa"/>
            </w:tcMar>
            <w:vAlign w:val="bottom"/>
          </w:tcPr>
          <w:p w14:paraId="36CA2601"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2602"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2603" w14:textId="77777777" w:rsidR="00787570" w:rsidRDefault="000D56E2">
            <w:pPr>
              <w:jc w:val="right"/>
              <w:textAlignment w:val="bottom"/>
            </w:pPr>
            <w:r>
              <w:rPr>
                <w:rFonts w:ascii="Arial" w:eastAsia="宋体" w:hAnsi="Arial" w:cs="Arial"/>
                <w:color w:val="333333"/>
                <w:sz w:val="18"/>
                <w:szCs w:val="18"/>
              </w:rPr>
              <w:t>— </w:t>
            </w:r>
          </w:p>
        </w:tc>
        <w:tc>
          <w:tcPr>
            <w:tcW w:w="0" w:type="auto"/>
            <w:shd w:val="clear" w:color="auto" w:fill="auto"/>
            <w:tcMar>
              <w:top w:w="40" w:type="dxa"/>
              <w:bottom w:w="40" w:type="dxa"/>
              <w:right w:w="20" w:type="dxa"/>
            </w:tcMar>
            <w:vAlign w:val="bottom"/>
          </w:tcPr>
          <w:p w14:paraId="36CA2604"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2605"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2606" w14:textId="77777777" w:rsidR="00787570" w:rsidRDefault="000D56E2">
            <w:pPr>
              <w:jc w:val="right"/>
              <w:textAlignment w:val="bottom"/>
            </w:pPr>
            <w:r>
              <w:rPr>
                <w:rFonts w:ascii="Arial" w:eastAsia="宋体" w:hAnsi="Arial" w:cs="Arial"/>
                <w:color w:val="333333"/>
                <w:sz w:val="18"/>
                <w:szCs w:val="18"/>
              </w:rPr>
              <w:t>— </w:t>
            </w:r>
          </w:p>
        </w:tc>
        <w:tc>
          <w:tcPr>
            <w:tcW w:w="0" w:type="auto"/>
            <w:shd w:val="clear" w:color="auto" w:fill="auto"/>
            <w:tcMar>
              <w:top w:w="40" w:type="dxa"/>
              <w:bottom w:w="40" w:type="dxa"/>
              <w:right w:w="20" w:type="dxa"/>
            </w:tcMar>
            <w:vAlign w:val="bottom"/>
          </w:tcPr>
          <w:p w14:paraId="36CA2607"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2608"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2609" w14:textId="77777777" w:rsidR="00787570" w:rsidRDefault="000D56E2">
            <w:pPr>
              <w:jc w:val="right"/>
              <w:textAlignment w:val="bottom"/>
            </w:pPr>
            <w:r>
              <w:rPr>
                <w:rFonts w:ascii="Arial" w:eastAsia="宋体" w:hAnsi="Arial" w:cs="Arial"/>
                <w:color w:val="333333"/>
                <w:sz w:val="18"/>
                <w:szCs w:val="18"/>
              </w:rPr>
              <w:t>1,287 </w:t>
            </w:r>
          </w:p>
        </w:tc>
        <w:tc>
          <w:tcPr>
            <w:tcW w:w="0" w:type="auto"/>
            <w:shd w:val="clear" w:color="auto" w:fill="auto"/>
            <w:tcMar>
              <w:top w:w="40" w:type="dxa"/>
              <w:bottom w:w="40" w:type="dxa"/>
              <w:right w:w="20" w:type="dxa"/>
            </w:tcMar>
            <w:vAlign w:val="bottom"/>
          </w:tcPr>
          <w:p w14:paraId="36CA260A" w14:textId="77777777" w:rsidR="00787570" w:rsidRDefault="00787570">
            <w:pPr>
              <w:jc w:val="right"/>
              <w:rPr>
                <w:rFonts w:ascii="宋体"/>
              </w:rPr>
            </w:pPr>
          </w:p>
        </w:tc>
        <w:tc>
          <w:tcPr>
            <w:tcW w:w="0" w:type="auto"/>
            <w:shd w:val="clear" w:color="auto" w:fill="auto"/>
          </w:tcPr>
          <w:p w14:paraId="36CA260B" w14:textId="77777777" w:rsidR="00787570" w:rsidRDefault="00787570">
            <w:pPr>
              <w:rPr>
                <w:rFonts w:ascii="宋体"/>
              </w:rPr>
            </w:pPr>
          </w:p>
        </w:tc>
        <w:tc>
          <w:tcPr>
            <w:tcW w:w="0" w:type="auto"/>
            <w:shd w:val="clear" w:color="auto" w:fill="auto"/>
          </w:tcPr>
          <w:p w14:paraId="36CA260C" w14:textId="77777777" w:rsidR="00787570" w:rsidRDefault="00787570">
            <w:pPr>
              <w:rPr>
                <w:rFonts w:ascii="宋体"/>
              </w:rPr>
            </w:pPr>
          </w:p>
        </w:tc>
        <w:tc>
          <w:tcPr>
            <w:tcW w:w="0" w:type="auto"/>
            <w:shd w:val="clear" w:color="auto" w:fill="auto"/>
          </w:tcPr>
          <w:p w14:paraId="36CA260D" w14:textId="77777777" w:rsidR="00787570" w:rsidRDefault="00787570">
            <w:pPr>
              <w:rPr>
                <w:rFonts w:ascii="宋体"/>
              </w:rPr>
            </w:pPr>
          </w:p>
        </w:tc>
        <w:tc>
          <w:tcPr>
            <w:tcW w:w="0" w:type="auto"/>
            <w:shd w:val="clear" w:color="auto" w:fill="auto"/>
          </w:tcPr>
          <w:p w14:paraId="36CA260E" w14:textId="77777777" w:rsidR="00787570" w:rsidRDefault="00787570">
            <w:pPr>
              <w:rPr>
                <w:rFonts w:ascii="宋体"/>
              </w:rPr>
            </w:pPr>
          </w:p>
        </w:tc>
        <w:tc>
          <w:tcPr>
            <w:tcW w:w="0" w:type="auto"/>
            <w:shd w:val="clear" w:color="auto" w:fill="auto"/>
          </w:tcPr>
          <w:p w14:paraId="36CA260F" w14:textId="77777777" w:rsidR="00787570" w:rsidRDefault="00787570">
            <w:pPr>
              <w:rPr>
                <w:rFonts w:ascii="宋体"/>
              </w:rPr>
            </w:pPr>
          </w:p>
        </w:tc>
        <w:tc>
          <w:tcPr>
            <w:tcW w:w="0" w:type="auto"/>
            <w:shd w:val="clear" w:color="auto" w:fill="auto"/>
          </w:tcPr>
          <w:p w14:paraId="36CA2610" w14:textId="77777777" w:rsidR="00787570" w:rsidRDefault="00787570">
            <w:pPr>
              <w:rPr>
                <w:rFonts w:ascii="宋体"/>
              </w:rPr>
            </w:pPr>
          </w:p>
        </w:tc>
        <w:tc>
          <w:tcPr>
            <w:tcW w:w="0" w:type="auto"/>
            <w:shd w:val="clear" w:color="auto" w:fill="auto"/>
          </w:tcPr>
          <w:p w14:paraId="36CA2611" w14:textId="77777777" w:rsidR="00787570" w:rsidRDefault="00787570">
            <w:pPr>
              <w:rPr>
                <w:rFonts w:ascii="宋体"/>
              </w:rPr>
            </w:pPr>
          </w:p>
        </w:tc>
        <w:tc>
          <w:tcPr>
            <w:tcW w:w="0" w:type="auto"/>
            <w:shd w:val="clear" w:color="auto" w:fill="auto"/>
          </w:tcPr>
          <w:p w14:paraId="36CA2612" w14:textId="77777777" w:rsidR="00787570" w:rsidRDefault="00787570">
            <w:pPr>
              <w:rPr>
                <w:rFonts w:ascii="宋体"/>
              </w:rPr>
            </w:pPr>
          </w:p>
        </w:tc>
        <w:tc>
          <w:tcPr>
            <w:tcW w:w="0" w:type="auto"/>
            <w:shd w:val="clear" w:color="auto" w:fill="auto"/>
          </w:tcPr>
          <w:p w14:paraId="36CA2613" w14:textId="77777777" w:rsidR="00787570" w:rsidRDefault="00787570">
            <w:pPr>
              <w:rPr>
                <w:rFonts w:ascii="宋体"/>
              </w:rPr>
            </w:pPr>
          </w:p>
        </w:tc>
      </w:tr>
      <w:tr w:rsidR="00787570" w14:paraId="36CA262E" w14:textId="77777777">
        <w:tc>
          <w:tcPr>
            <w:tcW w:w="0" w:type="auto"/>
            <w:gridSpan w:val="3"/>
            <w:shd w:val="clear" w:color="auto" w:fill="auto"/>
            <w:tcMar>
              <w:top w:w="40" w:type="dxa"/>
              <w:left w:w="20" w:type="dxa"/>
              <w:bottom w:w="40" w:type="dxa"/>
              <w:right w:w="20" w:type="dxa"/>
            </w:tcMar>
            <w:vAlign w:val="bottom"/>
          </w:tcPr>
          <w:p w14:paraId="36CA2615" w14:textId="77777777" w:rsidR="00787570" w:rsidRDefault="000D56E2">
            <w:pPr>
              <w:textAlignment w:val="bottom"/>
            </w:pPr>
            <w:r>
              <w:rPr>
                <w:rFonts w:ascii="Arial" w:eastAsia="宋体" w:hAnsi="Arial" w:cs="Arial"/>
                <w:color w:val="333333"/>
                <w:sz w:val="18"/>
                <w:szCs w:val="18"/>
              </w:rPr>
              <w:t>Temporary equity reduction</w:t>
            </w:r>
          </w:p>
        </w:tc>
        <w:tc>
          <w:tcPr>
            <w:tcW w:w="0" w:type="auto"/>
            <w:gridSpan w:val="3"/>
            <w:shd w:val="clear" w:color="auto" w:fill="auto"/>
            <w:tcMar>
              <w:left w:w="20" w:type="dxa"/>
              <w:right w:w="20" w:type="dxa"/>
            </w:tcMar>
            <w:vAlign w:val="bottom"/>
          </w:tcPr>
          <w:p w14:paraId="36CA2616"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2617" w14:textId="77777777" w:rsidR="00787570" w:rsidRDefault="000D56E2">
            <w:pPr>
              <w:jc w:val="right"/>
              <w:textAlignment w:val="bottom"/>
            </w:pPr>
            <w:r>
              <w:rPr>
                <w:rFonts w:ascii="Arial" w:eastAsia="宋体" w:hAnsi="Arial" w:cs="Arial"/>
                <w:color w:val="333333"/>
                <w:sz w:val="18"/>
                <w:szCs w:val="18"/>
              </w:rPr>
              <w:t>— </w:t>
            </w:r>
          </w:p>
        </w:tc>
        <w:tc>
          <w:tcPr>
            <w:tcW w:w="0" w:type="auto"/>
            <w:shd w:val="clear" w:color="auto" w:fill="auto"/>
            <w:tcMar>
              <w:top w:w="40" w:type="dxa"/>
              <w:bottom w:w="40" w:type="dxa"/>
              <w:right w:w="20" w:type="dxa"/>
            </w:tcMar>
            <w:vAlign w:val="bottom"/>
          </w:tcPr>
          <w:p w14:paraId="36CA2618"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2619"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261A" w14:textId="77777777" w:rsidR="00787570" w:rsidRDefault="000D56E2">
            <w:pPr>
              <w:jc w:val="right"/>
              <w:textAlignment w:val="bottom"/>
            </w:pPr>
            <w:r>
              <w:rPr>
                <w:rFonts w:ascii="Arial" w:eastAsia="宋体" w:hAnsi="Arial" w:cs="Arial"/>
                <w:color w:val="333333"/>
                <w:sz w:val="18"/>
                <w:szCs w:val="18"/>
              </w:rPr>
              <w:t>253 </w:t>
            </w:r>
          </w:p>
        </w:tc>
        <w:tc>
          <w:tcPr>
            <w:tcW w:w="0" w:type="auto"/>
            <w:shd w:val="clear" w:color="auto" w:fill="auto"/>
            <w:tcMar>
              <w:top w:w="40" w:type="dxa"/>
              <w:bottom w:w="40" w:type="dxa"/>
              <w:right w:w="20" w:type="dxa"/>
            </w:tcMar>
            <w:vAlign w:val="bottom"/>
          </w:tcPr>
          <w:p w14:paraId="36CA261B"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261C"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261D" w14:textId="77777777" w:rsidR="00787570" w:rsidRDefault="000D56E2">
            <w:pPr>
              <w:jc w:val="right"/>
              <w:textAlignment w:val="bottom"/>
            </w:pPr>
            <w:r>
              <w:rPr>
                <w:rFonts w:ascii="Arial" w:eastAsia="宋体" w:hAnsi="Arial" w:cs="Arial"/>
                <w:color w:val="333333"/>
                <w:sz w:val="18"/>
                <w:szCs w:val="18"/>
              </w:rPr>
              <w:t>— </w:t>
            </w:r>
          </w:p>
        </w:tc>
        <w:tc>
          <w:tcPr>
            <w:tcW w:w="0" w:type="auto"/>
            <w:shd w:val="clear" w:color="auto" w:fill="auto"/>
            <w:tcMar>
              <w:top w:w="40" w:type="dxa"/>
              <w:bottom w:w="40" w:type="dxa"/>
              <w:right w:w="20" w:type="dxa"/>
            </w:tcMar>
            <w:vAlign w:val="bottom"/>
          </w:tcPr>
          <w:p w14:paraId="36CA261E"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261F"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2620" w14:textId="77777777" w:rsidR="00787570" w:rsidRDefault="000D56E2">
            <w:pPr>
              <w:jc w:val="right"/>
              <w:textAlignment w:val="bottom"/>
            </w:pPr>
            <w:r>
              <w:rPr>
                <w:rFonts w:ascii="Arial" w:eastAsia="宋体" w:hAnsi="Arial" w:cs="Arial"/>
                <w:color w:val="333333"/>
                <w:sz w:val="18"/>
                <w:szCs w:val="18"/>
              </w:rPr>
              <w:t>— </w:t>
            </w:r>
          </w:p>
        </w:tc>
        <w:tc>
          <w:tcPr>
            <w:tcW w:w="0" w:type="auto"/>
            <w:shd w:val="clear" w:color="auto" w:fill="auto"/>
            <w:tcMar>
              <w:top w:w="40" w:type="dxa"/>
              <w:bottom w:w="40" w:type="dxa"/>
              <w:right w:w="20" w:type="dxa"/>
            </w:tcMar>
            <w:vAlign w:val="bottom"/>
          </w:tcPr>
          <w:p w14:paraId="36CA2621"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2622"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2623" w14:textId="77777777" w:rsidR="00787570" w:rsidRDefault="000D56E2">
            <w:pPr>
              <w:jc w:val="right"/>
              <w:textAlignment w:val="bottom"/>
            </w:pPr>
            <w:r>
              <w:rPr>
                <w:rFonts w:ascii="Arial" w:eastAsia="宋体" w:hAnsi="Arial" w:cs="Arial"/>
                <w:color w:val="333333"/>
                <w:sz w:val="18"/>
                <w:szCs w:val="18"/>
              </w:rPr>
              <w:t>253 </w:t>
            </w:r>
          </w:p>
        </w:tc>
        <w:tc>
          <w:tcPr>
            <w:tcW w:w="0" w:type="auto"/>
            <w:shd w:val="clear" w:color="auto" w:fill="auto"/>
            <w:tcMar>
              <w:top w:w="40" w:type="dxa"/>
              <w:bottom w:w="40" w:type="dxa"/>
              <w:right w:w="20" w:type="dxa"/>
            </w:tcMar>
            <w:vAlign w:val="bottom"/>
          </w:tcPr>
          <w:p w14:paraId="36CA2624" w14:textId="77777777" w:rsidR="00787570" w:rsidRDefault="00787570">
            <w:pPr>
              <w:jc w:val="right"/>
              <w:rPr>
                <w:rFonts w:ascii="宋体"/>
              </w:rPr>
            </w:pPr>
          </w:p>
        </w:tc>
        <w:tc>
          <w:tcPr>
            <w:tcW w:w="0" w:type="auto"/>
            <w:shd w:val="clear" w:color="auto" w:fill="auto"/>
          </w:tcPr>
          <w:p w14:paraId="36CA2625" w14:textId="77777777" w:rsidR="00787570" w:rsidRDefault="00787570">
            <w:pPr>
              <w:rPr>
                <w:rFonts w:ascii="宋体"/>
              </w:rPr>
            </w:pPr>
          </w:p>
        </w:tc>
        <w:tc>
          <w:tcPr>
            <w:tcW w:w="0" w:type="auto"/>
            <w:shd w:val="clear" w:color="auto" w:fill="auto"/>
          </w:tcPr>
          <w:p w14:paraId="36CA2626" w14:textId="77777777" w:rsidR="00787570" w:rsidRDefault="00787570">
            <w:pPr>
              <w:rPr>
                <w:rFonts w:ascii="宋体"/>
              </w:rPr>
            </w:pPr>
          </w:p>
        </w:tc>
        <w:tc>
          <w:tcPr>
            <w:tcW w:w="0" w:type="auto"/>
            <w:shd w:val="clear" w:color="auto" w:fill="auto"/>
          </w:tcPr>
          <w:p w14:paraId="36CA2627" w14:textId="77777777" w:rsidR="00787570" w:rsidRDefault="00787570">
            <w:pPr>
              <w:rPr>
                <w:rFonts w:ascii="宋体"/>
              </w:rPr>
            </w:pPr>
          </w:p>
        </w:tc>
        <w:tc>
          <w:tcPr>
            <w:tcW w:w="0" w:type="auto"/>
            <w:shd w:val="clear" w:color="auto" w:fill="auto"/>
          </w:tcPr>
          <w:p w14:paraId="36CA2628" w14:textId="77777777" w:rsidR="00787570" w:rsidRDefault="00787570">
            <w:pPr>
              <w:rPr>
                <w:rFonts w:ascii="宋体"/>
              </w:rPr>
            </w:pPr>
          </w:p>
        </w:tc>
        <w:tc>
          <w:tcPr>
            <w:tcW w:w="0" w:type="auto"/>
            <w:shd w:val="clear" w:color="auto" w:fill="auto"/>
          </w:tcPr>
          <w:p w14:paraId="36CA2629" w14:textId="77777777" w:rsidR="00787570" w:rsidRDefault="00787570">
            <w:pPr>
              <w:rPr>
                <w:rFonts w:ascii="宋体"/>
              </w:rPr>
            </w:pPr>
          </w:p>
        </w:tc>
        <w:tc>
          <w:tcPr>
            <w:tcW w:w="0" w:type="auto"/>
            <w:shd w:val="clear" w:color="auto" w:fill="auto"/>
          </w:tcPr>
          <w:p w14:paraId="36CA262A" w14:textId="77777777" w:rsidR="00787570" w:rsidRDefault="00787570">
            <w:pPr>
              <w:rPr>
                <w:rFonts w:ascii="宋体"/>
              </w:rPr>
            </w:pPr>
          </w:p>
        </w:tc>
        <w:tc>
          <w:tcPr>
            <w:tcW w:w="0" w:type="auto"/>
            <w:shd w:val="clear" w:color="auto" w:fill="auto"/>
          </w:tcPr>
          <w:p w14:paraId="36CA262B" w14:textId="77777777" w:rsidR="00787570" w:rsidRDefault="00787570">
            <w:pPr>
              <w:rPr>
                <w:rFonts w:ascii="宋体"/>
              </w:rPr>
            </w:pPr>
          </w:p>
        </w:tc>
        <w:tc>
          <w:tcPr>
            <w:tcW w:w="0" w:type="auto"/>
            <w:shd w:val="clear" w:color="auto" w:fill="auto"/>
          </w:tcPr>
          <w:p w14:paraId="36CA262C" w14:textId="77777777" w:rsidR="00787570" w:rsidRDefault="00787570">
            <w:pPr>
              <w:rPr>
                <w:rFonts w:ascii="宋体"/>
              </w:rPr>
            </w:pPr>
          </w:p>
        </w:tc>
        <w:tc>
          <w:tcPr>
            <w:tcW w:w="0" w:type="auto"/>
            <w:shd w:val="clear" w:color="auto" w:fill="auto"/>
          </w:tcPr>
          <w:p w14:paraId="36CA262D" w14:textId="77777777" w:rsidR="00787570" w:rsidRDefault="00787570">
            <w:pPr>
              <w:rPr>
                <w:rFonts w:ascii="宋体"/>
              </w:rPr>
            </w:pPr>
          </w:p>
        </w:tc>
      </w:tr>
      <w:tr w:rsidR="00787570" w14:paraId="36CA2648" w14:textId="77777777">
        <w:tc>
          <w:tcPr>
            <w:tcW w:w="0" w:type="auto"/>
            <w:gridSpan w:val="3"/>
            <w:shd w:val="clear" w:color="auto" w:fill="auto"/>
            <w:tcMar>
              <w:top w:w="40" w:type="dxa"/>
              <w:left w:w="20" w:type="dxa"/>
              <w:bottom w:w="40" w:type="dxa"/>
              <w:right w:w="20" w:type="dxa"/>
            </w:tcMar>
            <w:vAlign w:val="bottom"/>
          </w:tcPr>
          <w:p w14:paraId="36CA262F" w14:textId="77777777" w:rsidR="00787570" w:rsidRDefault="000D56E2">
            <w:pPr>
              <w:textAlignment w:val="bottom"/>
            </w:pPr>
            <w:r>
              <w:rPr>
                <w:rFonts w:ascii="Arial" w:eastAsia="宋体" w:hAnsi="Arial" w:cs="Arial"/>
                <w:color w:val="333333"/>
                <w:sz w:val="18"/>
                <w:szCs w:val="18"/>
              </w:rPr>
              <w:t>Convertible debt</w:t>
            </w:r>
          </w:p>
        </w:tc>
        <w:tc>
          <w:tcPr>
            <w:tcW w:w="0" w:type="auto"/>
            <w:gridSpan w:val="3"/>
            <w:shd w:val="clear" w:color="auto" w:fill="auto"/>
            <w:tcMar>
              <w:left w:w="20" w:type="dxa"/>
              <w:right w:w="20" w:type="dxa"/>
            </w:tcMar>
            <w:vAlign w:val="bottom"/>
          </w:tcPr>
          <w:p w14:paraId="36CA2630"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2631" w14:textId="77777777" w:rsidR="00787570" w:rsidRDefault="000D56E2">
            <w:pPr>
              <w:jc w:val="right"/>
              <w:textAlignment w:val="bottom"/>
            </w:pPr>
            <w:r>
              <w:rPr>
                <w:rFonts w:ascii="Arial" w:eastAsia="宋体" w:hAnsi="Arial" w:cs="Arial"/>
                <w:color w:val="333333"/>
                <w:sz w:val="18"/>
                <w:szCs w:val="18"/>
              </w:rPr>
              <w:t>— </w:t>
            </w:r>
          </w:p>
        </w:tc>
        <w:tc>
          <w:tcPr>
            <w:tcW w:w="0" w:type="auto"/>
            <w:shd w:val="clear" w:color="auto" w:fill="auto"/>
            <w:tcMar>
              <w:top w:w="40" w:type="dxa"/>
              <w:bottom w:w="40" w:type="dxa"/>
              <w:right w:w="20" w:type="dxa"/>
            </w:tcMar>
            <w:vAlign w:val="bottom"/>
          </w:tcPr>
          <w:p w14:paraId="36CA2632"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2633"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2634" w14:textId="77777777" w:rsidR="00787570" w:rsidRDefault="000D56E2">
            <w:pPr>
              <w:jc w:val="right"/>
              <w:textAlignment w:val="bottom"/>
            </w:pPr>
            <w:r>
              <w:rPr>
                <w:rFonts w:ascii="Arial" w:eastAsia="宋体" w:hAnsi="Arial" w:cs="Arial"/>
                <w:color w:val="333333"/>
                <w:sz w:val="18"/>
                <w:szCs w:val="18"/>
              </w:rPr>
              <w:t>(990)</w:t>
            </w:r>
          </w:p>
        </w:tc>
        <w:tc>
          <w:tcPr>
            <w:tcW w:w="0" w:type="auto"/>
            <w:shd w:val="clear" w:color="auto" w:fill="auto"/>
            <w:tcMar>
              <w:top w:w="40" w:type="dxa"/>
              <w:bottom w:w="40" w:type="dxa"/>
              <w:right w:w="20" w:type="dxa"/>
            </w:tcMar>
            <w:vAlign w:val="bottom"/>
          </w:tcPr>
          <w:p w14:paraId="36CA2635"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2636"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2637" w14:textId="77777777" w:rsidR="00787570" w:rsidRDefault="000D56E2">
            <w:pPr>
              <w:jc w:val="right"/>
              <w:textAlignment w:val="bottom"/>
            </w:pPr>
            <w:r>
              <w:rPr>
                <w:rFonts w:ascii="Arial" w:eastAsia="宋体" w:hAnsi="Arial" w:cs="Arial"/>
                <w:color w:val="333333"/>
                <w:sz w:val="18"/>
                <w:szCs w:val="18"/>
              </w:rPr>
              <w:t>— </w:t>
            </w:r>
          </w:p>
        </w:tc>
        <w:tc>
          <w:tcPr>
            <w:tcW w:w="0" w:type="auto"/>
            <w:shd w:val="clear" w:color="auto" w:fill="auto"/>
            <w:tcMar>
              <w:top w:w="40" w:type="dxa"/>
              <w:bottom w:w="40" w:type="dxa"/>
              <w:right w:w="20" w:type="dxa"/>
            </w:tcMar>
            <w:vAlign w:val="bottom"/>
          </w:tcPr>
          <w:p w14:paraId="36CA2638"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2639"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263A" w14:textId="77777777" w:rsidR="00787570" w:rsidRDefault="000D56E2">
            <w:pPr>
              <w:jc w:val="right"/>
              <w:textAlignment w:val="bottom"/>
            </w:pPr>
            <w:r>
              <w:rPr>
                <w:rFonts w:ascii="Arial" w:eastAsia="宋体" w:hAnsi="Arial" w:cs="Arial"/>
                <w:color w:val="333333"/>
                <w:sz w:val="18"/>
                <w:szCs w:val="18"/>
              </w:rPr>
              <w:t>— </w:t>
            </w:r>
          </w:p>
        </w:tc>
        <w:tc>
          <w:tcPr>
            <w:tcW w:w="0" w:type="auto"/>
            <w:shd w:val="clear" w:color="auto" w:fill="auto"/>
            <w:tcMar>
              <w:top w:w="40" w:type="dxa"/>
              <w:bottom w:w="40" w:type="dxa"/>
              <w:right w:w="20" w:type="dxa"/>
            </w:tcMar>
            <w:vAlign w:val="bottom"/>
          </w:tcPr>
          <w:p w14:paraId="36CA263B"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263C"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263D" w14:textId="77777777" w:rsidR="00787570" w:rsidRDefault="000D56E2">
            <w:pPr>
              <w:jc w:val="right"/>
              <w:textAlignment w:val="bottom"/>
            </w:pPr>
            <w:r>
              <w:rPr>
                <w:rFonts w:ascii="Arial" w:eastAsia="宋体" w:hAnsi="Arial" w:cs="Arial"/>
                <w:color w:val="333333"/>
                <w:sz w:val="18"/>
                <w:szCs w:val="18"/>
              </w:rPr>
              <w:t>(990)</w:t>
            </w:r>
          </w:p>
        </w:tc>
        <w:tc>
          <w:tcPr>
            <w:tcW w:w="0" w:type="auto"/>
            <w:shd w:val="clear" w:color="auto" w:fill="auto"/>
            <w:tcMar>
              <w:top w:w="40" w:type="dxa"/>
              <w:bottom w:w="40" w:type="dxa"/>
              <w:right w:w="20" w:type="dxa"/>
            </w:tcMar>
            <w:vAlign w:val="bottom"/>
          </w:tcPr>
          <w:p w14:paraId="36CA263E" w14:textId="77777777" w:rsidR="00787570" w:rsidRDefault="00787570">
            <w:pPr>
              <w:jc w:val="right"/>
              <w:rPr>
                <w:rFonts w:ascii="宋体"/>
              </w:rPr>
            </w:pPr>
          </w:p>
        </w:tc>
        <w:tc>
          <w:tcPr>
            <w:tcW w:w="0" w:type="auto"/>
            <w:shd w:val="clear" w:color="auto" w:fill="auto"/>
          </w:tcPr>
          <w:p w14:paraId="36CA263F" w14:textId="77777777" w:rsidR="00787570" w:rsidRDefault="00787570">
            <w:pPr>
              <w:rPr>
                <w:rFonts w:ascii="宋体"/>
              </w:rPr>
            </w:pPr>
          </w:p>
        </w:tc>
        <w:tc>
          <w:tcPr>
            <w:tcW w:w="0" w:type="auto"/>
            <w:shd w:val="clear" w:color="auto" w:fill="auto"/>
          </w:tcPr>
          <w:p w14:paraId="36CA2640" w14:textId="77777777" w:rsidR="00787570" w:rsidRDefault="00787570">
            <w:pPr>
              <w:rPr>
                <w:rFonts w:ascii="宋体"/>
              </w:rPr>
            </w:pPr>
          </w:p>
        </w:tc>
        <w:tc>
          <w:tcPr>
            <w:tcW w:w="0" w:type="auto"/>
            <w:shd w:val="clear" w:color="auto" w:fill="auto"/>
          </w:tcPr>
          <w:p w14:paraId="36CA2641" w14:textId="77777777" w:rsidR="00787570" w:rsidRDefault="00787570">
            <w:pPr>
              <w:rPr>
                <w:rFonts w:ascii="宋体"/>
              </w:rPr>
            </w:pPr>
          </w:p>
        </w:tc>
        <w:tc>
          <w:tcPr>
            <w:tcW w:w="0" w:type="auto"/>
            <w:shd w:val="clear" w:color="auto" w:fill="auto"/>
          </w:tcPr>
          <w:p w14:paraId="36CA2642" w14:textId="77777777" w:rsidR="00787570" w:rsidRDefault="00787570">
            <w:pPr>
              <w:rPr>
                <w:rFonts w:ascii="宋体"/>
              </w:rPr>
            </w:pPr>
          </w:p>
        </w:tc>
        <w:tc>
          <w:tcPr>
            <w:tcW w:w="0" w:type="auto"/>
            <w:shd w:val="clear" w:color="auto" w:fill="auto"/>
          </w:tcPr>
          <w:p w14:paraId="36CA2643" w14:textId="77777777" w:rsidR="00787570" w:rsidRDefault="00787570">
            <w:pPr>
              <w:rPr>
                <w:rFonts w:ascii="宋体"/>
              </w:rPr>
            </w:pPr>
          </w:p>
        </w:tc>
        <w:tc>
          <w:tcPr>
            <w:tcW w:w="0" w:type="auto"/>
            <w:shd w:val="clear" w:color="auto" w:fill="auto"/>
          </w:tcPr>
          <w:p w14:paraId="36CA2644" w14:textId="77777777" w:rsidR="00787570" w:rsidRDefault="00787570">
            <w:pPr>
              <w:rPr>
                <w:rFonts w:ascii="宋体"/>
              </w:rPr>
            </w:pPr>
          </w:p>
        </w:tc>
        <w:tc>
          <w:tcPr>
            <w:tcW w:w="0" w:type="auto"/>
            <w:shd w:val="clear" w:color="auto" w:fill="auto"/>
          </w:tcPr>
          <w:p w14:paraId="36CA2645" w14:textId="77777777" w:rsidR="00787570" w:rsidRDefault="00787570">
            <w:pPr>
              <w:rPr>
                <w:rFonts w:ascii="宋体"/>
              </w:rPr>
            </w:pPr>
          </w:p>
        </w:tc>
        <w:tc>
          <w:tcPr>
            <w:tcW w:w="0" w:type="auto"/>
            <w:shd w:val="clear" w:color="auto" w:fill="auto"/>
          </w:tcPr>
          <w:p w14:paraId="36CA2646" w14:textId="77777777" w:rsidR="00787570" w:rsidRDefault="00787570">
            <w:pPr>
              <w:rPr>
                <w:rFonts w:ascii="宋体"/>
              </w:rPr>
            </w:pPr>
          </w:p>
        </w:tc>
        <w:tc>
          <w:tcPr>
            <w:tcW w:w="0" w:type="auto"/>
            <w:shd w:val="clear" w:color="auto" w:fill="auto"/>
          </w:tcPr>
          <w:p w14:paraId="36CA2647" w14:textId="77777777" w:rsidR="00787570" w:rsidRDefault="00787570">
            <w:pPr>
              <w:rPr>
                <w:rFonts w:ascii="宋体"/>
              </w:rPr>
            </w:pPr>
          </w:p>
        </w:tc>
      </w:tr>
      <w:tr w:rsidR="00787570" w14:paraId="36CA2662" w14:textId="77777777">
        <w:tc>
          <w:tcPr>
            <w:tcW w:w="0" w:type="auto"/>
            <w:gridSpan w:val="3"/>
            <w:shd w:val="clear" w:color="auto" w:fill="auto"/>
            <w:tcMar>
              <w:top w:w="40" w:type="dxa"/>
              <w:left w:w="20" w:type="dxa"/>
              <w:bottom w:w="40" w:type="dxa"/>
              <w:right w:w="20" w:type="dxa"/>
            </w:tcMar>
            <w:vAlign w:val="bottom"/>
          </w:tcPr>
          <w:p w14:paraId="36CA2649" w14:textId="77777777" w:rsidR="00787570" w:rsidRDefault="000D56E2">
            <w:pPr>
              <w:textAlignment w:val="bottom"/>
            </w:pPr>
            <w:r>
              <w:rPr>
                <w:rFonts w:ascii="Arial" w:eastAsia="宋体" w:hAnsi="Arial" w:cs="Arial"/>
                <w:color w:val="333333"/>
                <w:sz w:val="18"/>
                <w:szCs w:val="18"/>
              </w:rPr>
              <w:t>Repurchase of common stock</w:t>
            </w:r>
          </w:p>
        </w:tc>
        <w:tc>
          <w:tcPr>
            <w:tcW w:w="0" w:type="auto"/>
            <w:gridSpan w:val="3"/>
            <w:shd w:val="clear" w:color="auto" w:fill="auto"/>
            <w:tcMar>
              <w:left w:w="20" w:type="dxa"/>
              <w:right w:w="20" w:type="dxa"/>
            </w:tcMar>
            <w:vAlign w:val="bottom"/>
          </w:tcPr>
          <w:p w14:paraId="36CA264A" w14:textId="77777777" w:rsidR="00787570" w:rsidRDefault="00787570">
            <w:pPr>
              <w:rPr>
                <w:rFonts w:ascii="宋体"/>
              </w:rPr>
            </w:pPr>
          </w:p>
        </w:tc>
        <w:tc>
          <w:tcPr>
            <w:tcW w:w="0" w:type="auto"/>
            <w:gridSpan w:val="2"/>
            <w:shd w:val="clear" w:color="auto" w:fill="FFFFFF"/>
            <w:tcMar>
              <w:top w:w="40" w:type="dxa"/>
              <w:left w:w="20" w:type="dxa"/>
              <w:bottom w:w="40" w:type="dxa"/>
              <w:right w:w="0" w:type="dxa"/>
            </w:tcMar>
            <w:vAlign w:val="bottom"/>
          </w:tcPr>
          <w:p w14:paraId="36CA264B" w14:textId="77777777" w:rsidR="00787570" w:rsidRDefault="000D56E2">
            <w:pPr>
              <w:jc w:val="right"/>
              <w:textAlignment w:val="bottom"/>
            </w:pPr>
            <w:r>
              <w:rPr>
                <w:rFonts w:ascii="Arial" w:eastAsia="宋体" w:hAnsi="Arial" w:cs="Arial"/>
                <w:color w:val="000000"/>
                <w:sz w:val="18"/>
                <w:szCs w:val="18"/>
              </w:rPr>
              <w:t>(209)</w:t>
            </w:r>
          </w:p>
        </w:tc>
        <w:tc>
          <w:tcPr>
            <w:tcW w:w="0" w:type="auto"/>
            <w:shd w:val="clear" w:color="auto" w:fill="FFFFFF"/>
            <w:tcMar>
              <w:top w:w="40" w:type="dxa"/>
              <w:bottom w:w="40" w:type="dxa"/>
              <w:right w:w="20" w:type="dxa"/>
            </w:tcMar>
            <w:vAlign w:val="bottom"/>
          </w:tcPr>
          <w:p w14:paraId="36CA264C"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264D"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264E" w14:textId="77777777" w:rsidR="00787570" w:rsidRDefault="000D56E2">
            <w:pPr>
              <w:jc w:val="right"/>
              <w:textAlignment w:val="bottom"/>
            </w:pPr>
            <w:r>
              <w:rPr>
                <w:rFonts w:ascii="Arial" w:eastAsia="宋体" w:hAnsi="Arial" w:cs="Arial"/>
                <w:color w:val="333333"/>
                <w:sz w:val="18"/>
                <w:szCs w:val="18"/>
              </w:rPr>
              <w:t>(1,182)</w:t>
            </w:r>
          </w:p>
        </w:tc>
        <w:tc>
          <w:tcPr>
            <w:tcW w:w="0" w:type="auto"/>
            <w:shd w:val="clear" w:color="auto" w:fill="auto"/>
            <w:tcMar>
              <w:top w:w="40" w:type="dxa"/>
              <w:bottom w:w="40" w:type="dxa"/>
              <w:right w:w="20" w:type="dxa"/>
            </w:tcMar>
            <w:vAlign w:val="bottom"/>
          </w:tcPr>
          <w:p w14:paraId="36CA264F"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2650"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2651" w14:textId="77777777" w:rsidR="00787570" w:rsidRDefault="000D56E2">
            <w:pPr>
              <w:jc w:val="right"/>
              <w:textAlignment w:val="bottom"/>
            </w:pPr>
            <w:r>
              <w:rPr>
                <w:rFonts w:ascii="Arial" w:eastAsia="宋体" w:hAnsi="Arial" w:cs="Arial"/>
                <w:color w:val="333333"/>
                <w:sz w:val="18"/>
                <w:szCs w:val="18"/>
              </w:rPr>
              <w:t>— </w:t>
            </w:r>
          </w:p>
        </w:tc>
        <w:tc>
          <w:tcPr>
            <w:tcW w:w="0" w:type="auto"/>
            <w:shd w:val="clear" w:color="auto" w:fill="auto"/>
            <w:tcMar>
              <w:top w:w="40" w:type="dxa"/>
              <w:bottom w:w="40" w:type="dxa"/>
              <w:right w:w="20" w:type="dxa"/>
            </w:tcMar>
            <w:vAlign w:val="bottom"/>
          </w:tcPr>
          <w:p w14:paraId="36CA2652"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2653"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2654" w14:textId="77777777" w:rsidR="00787570" w:rsidRDefault="000D56E2">
            <w:pPr>
              <w:jc w:val="right"/>
              <w:textAlignment w:val="bottom"/>
            </w:pPr>
            <w:r>
              <w:rPr>
                <w:rFonts w:ascii="Arial" w:eastAsia="宋体" w:hAnsi="Arial" w:cs="Arial"/>
                <w:color w:val="333333"/>
                <w:sz w:val="18"/>
                <w:szCs w:val="18"/>
              </w:rPr>
              <w:t>(8,902)</w:t>
            </w:r>
          </w:p>
        </w:tc>
        <w:tc>
          <w:tcPr>
            <w:tcW w:w="0" w:type="auto"/>
            <w:shd w:val="clear" w:color="auto" w:fill="auto"/>
            <w:tcMar>
              <w:top w:w="40" w:type="dxa"/>
              <w:bottom w:w="40" w:type="dxa"/>
              <w:right w:w="20" w:type="dxa"/>
            </w:tcMar>
            <w:vAlign w:val="bottom"/>
          </w:tcPr>
          <w:p w14:paraId="36CA2655"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2656"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2657" w14:textId="77777777" w:rsidR="00787570" w:rsidRDefault="000D56E2">
            <w:pPr>
              <w:jc w:val="right"/>
              <w:textAlignment w:val="bottom"/>
            </w:pPr>
            <w:r>
              <w:rPr>
                <w:rFonts w:ascii="Arial" w:eastAsia="宋体" w:hAnsi="Arial" w:cs="Arial"/>
                <w:color w:val="333333"/>
                <w:sz w:val="18"/>
                <w:szCs w:val="18"/>
              </w:rPr>
              <w:t>(10,084)</w:t>
            </w:r>
          </w:p>
        </w:tc>
        <w:tc>
          <w:tcPr>
            <w:tcW w:w="0" w:type="auto"/>
            <w:shd w:val="clear" w:color="auto" w:fill="auto"/>
            <w:tcMar>
              <w:top w:w="40" w:type="dxa"/>
              <w:bottom w:w="40" w:type="dxa"/>
              <w:right w:w="20" w:type="dxa"/>
            </w:tcMar>
            <w:vAlign w:val="bottom"/>
          </w:tcPr>
          <w:p w14:paraId="36CA2658" w14:textId="77777777" w:rsidR="00787570" w:rsidRDefault="00787570">
            <w:pPr>
              <w:jc w:val="right"/>
              <w:rPr>
                <w:rFonts w:ascii="宋体"/>
              </w:rPr>
            </w:pPr>
          </w:p>
        </w:tc>
        <w:tc>
          <w:tcPr>
            <w:tcW w:w="0" w:type="auto"/>
            <w:shd w:val="clear" w:color="auto" w:fill="auto"/>
          </w:tcPr>
          <w:p w14:paraId="36CA2659" w14:textId="77777777" w:rsidR="00787570" w:rsidRDefault="00787570">
            <w:pPr>
              <w:rPr>
                <w:rFonts w:ascii="宋体"/>
              </w:rPr>
            </w:pPr>
          </w:p>
        </w:tc>
        <w:tc>
          <w:tcPr>
            <w:tcW w:w="0" w:type="auto"/>
            <w:shd w:val="clear" w:color="auto" w:fill="auto"/>
          </w:tcPr>
          <w:p w14:paraId="36CA265A" w14:textId="77777777" w:rsidR="00787570" w:rsidRDefault="00787570">
            <w:pPr>
              <w:rPr>
                <w:rFonts w:ascii="宋体"/>
              </w:rPr>
            </w:pPr>
          </w:p>
        </w:tc>
        <w:tc>
          <w:tcPr>
            <w:tcW w:w="0" w:type="auto"/>
            <w:shd w:val="clear" w:color="auto" w:fill="auto"/>
          </w:tcPr>
          <w:p w14:paraId="36CA265B" w14:textId="77777777" w:rsidR="00787570" w:rsidRDefault="00787570">
            <w:pPr>
              <w:rPr>
                <w:rFonts w:ascii="宋体"/>
              </w:rPr>
            </w:pPr>
          </w:p>
        </w:tc>
        <w:tc>
          <w:tcPr>
            <w:tcW w:w="0" w:type="auto"/>
            <w:shd w:val="clear" w:color="auto" w:fill="auto"/>
          </w:tcPr>
          <w:p w14:paraId="36CA265C" w14:textId="77777777" w:rsidR="00787570" w:rsidRDefault="00787570">
            <w:pPr>
              <w:rPr>
                <w:rFonts w:ascii="宋体"/>
              </w:rPr>
            </w:pPr>
          </w:p>
        </w:tc>
        <w:tc>
          <w:tcPr>
            <w:tcW w:w="0" w:type="auto"/>
            <w:shd w:val="clear" w:color="auto" w:fill="auto"/>
          </w:tcPr>
          <w:p w14:paraId="36CA265D" w14:textId="77777777" w:rsidR="00787570" w:rsidRDefault="00787570">
            <w:pPr>
              <w:rPr>
                <w:rFonts w:ascii="宋体"/>
              </w:rPr>
            </w:pPr>
          </w:p>
        </w:tc>
        <w:tc>
          <w:tcPr>
            <w:tcW w:w="0" w:type="auto"/>
            <w:shd w:val="clear" w:color="auto" w:fill="auto"/>
          </w:tcPr>
          <w:p w14:paraId="36CA265E" w14:textId="77777777" w:rsidR="00787570" w:rsidRDefault="00787570">
            <w:pPr>
              <w:rPr>
                <w:rFonts w:ascii="宋体"/>
              </w:rPr>
            </w:pPr>
          </w:p>
        </w:tc>
        <w:tc>
          <w:tcPr>
            <w:tcW w:w="0" w:type="auto"/>
            <w:shd w:val="clear" w:color="auto" w:fill="auto"/>
          </w:tcPr>
          <w:p w14:paraId="36CA265F" w14:textId="77777777" w:rsidR="00787570" w:rsidRDefault="00787570">
            <w:pPr>
              <w:rPr>
                <w:rFonts w:ascii="宋体"/>
              </w:rPr>
            </w:pPr>
          </w:p>
        </w:tc>
        <w:tc>
          <w:tcPr>
            <w:tcW w:w="0" w:type="auto"/>
            <w:shd w:val="clear" w:color="auto" w:fill="auto"/>
          </w:tcPr>
          <w:p w14:paraId="36CA2660" w14:textId="77777777" w:rsidR="00787570" w:rsidRDefault="00787570">
            <w:pPr>
              <w:rPr>
                <w:rFonts w:ascii="宋体"/>
              </w:rPr>
            </w:pPr>
          </w:p>
        </w:tc>
        <w:tc>
          <w:tcPr>
            <w:tcW w:w="0" w:type="auto"/>
            <w:shd w:val="clear" w:color="auto" w:fill="auto"/>
          </w:tcPr>
          <w:p w14:paraId="36CA2661" w14:textId="77777777" w:rsidR="00787570" w:rsidRDefault="00787570">
            <w:pPr>
              <w:rPr>
                <w:rFonts w:ascii="宋体"/>
              </w:rPr>
            </w:pPr>
          </w:p>
        </w:tc>
      </w:tr>
      <w:tr w:rsidR="00787570" w14:paraId="36CA267C" w14:textId="77777777">
        <w:tc>
          <w:tcPr>
            <w:tcW w:w="0" w:type="auto"/>
            <w:gridSpan w:val="3"/>
            <w:shd w:val="clear" w:color="auto" w:fill="auto"/>
            <w:tcMar>
              <w:top w:w="40" w:type="dxa"/>
              <w:left w:w="20" w:type="dxa"/>
              <w:bottom w:w="40" w:type="dxa"/>
              <w:right w:w="20" w:type="dxa"/>
            </w:tcMar>
            <w:vAlign w:val="bottom"/>
          </w:tcPr>
          <w:p w14:paraId="36CA2663" w14:textId="77777777" w:rsidR="00787570" w:rsidRDefault="000D56E2">
            <w:pPr>
              <w:textAlignment w:val="bottom"/>
            </w:pPr>
            <w:r>
              <w:rPr>
                <w:rFonts w:ascii="Arial" w:eastAsia="宋体" w:hAnsi="Arial" w:cs="Arial"/>
                <w:color w:val="333333"/>
                <w:sz w:val="18"/>
                <w:szCs w:val="18"/>
              </w:rPr>
              <w:t>Restricted stock unit withholdings</w:t>
            </w:r>
          </w:p>
        </w:tc>
        <w:tc>
          <w:tcPr>
            <w:tcW w:w="0" w:type="auto"/>
            <w:gridSpan w:val="3"/>
            <w:shd w:val="clear" w:color="auto" w:fill="auto"/>
            <w:tcMar>
              <w:left w:w="20" w:type="dxa"/>
              <w:right w:w="20" w:type="dxa"/>
            </w:tcMar>
            <w:vAlign w:val="bottom"/>
          </w:tcPr>
          <w:p w14:paraId="36CA2664"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2665" w14:textId="77777777" w:rsidR="00787570" w:rsidRDefault="000D56E2">
            <w:pPr>
              <w:jc w:val="right"/>
              <w:textAlignment w:val="bottom"/>
            </w:pPr>
            <w:r>
              <w:rPr>
                <w:rFonts w:ascii="Arial" w:eastAsia="宋体" w:hAnsi="Arial" w:cs="Arial"/>
                <w:color w:val="333333"/>
                <w:sz w:val="18"/>
                <w:szCs w:val="18"/>
              </w:rPr>
              <w:t>(9)</w:t>
            </w:r>
          </w:p>
        </w:tc>
        <w:tc>
          <w:tcPr>
            <w:tcW w:w="0" w:type="auto"/>
            <w:shd w:val="clear" w:color="auto" w:fill="auto"/>
            <w:tcMar>
              <w:top w:w="40" w:type="dxa"/>
              <w:bottom w:w="40" w:type="dxa"/>
              <w:right w:w="20" w:type="dxa"/>
            </w:tcMar>
            <w:vAlign w:val="bottom"/>
          </w:tcPr>
          <w:p w14:paraId="36CA2666"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2667"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2668" w14:textId="77777777" w:rsidR="00787570" w:rsidRDefault="000D56E2">
            <w:pPr>
              <w:jc w:val="right"/>
              <w:textAlignment w:val="bottom"/>
            </w:pPr>
            <w:r>
              <w:rPr>
                <w:rFonts w:ascii="Arial" w:eastAsia="宋体" w:hAnsi="Arial" w:cs="Arial"/>
                <w:color w:val="333333"/>
                <w:sz w:val="18"/>
                <w:szCs w:val="18"/>
              </w:rPr>
              <w:t>(312)</w:t>
            </w:r>
          </w:p>
        </w:tc>
        <w:tc>
          <w:tcPr>
            <w:tcW w:w="0" w:type="auto"/>
            <w:shd w:val="clear" w:color="auto" w:fill="auto"/>
            <w:tcMar>
              <w:top w:w="40" w:type="dxa"/>
              <w:bottom w:w="40" w:type="dxa"/>
              <w:right w:w="20" w:type="dxa"/>
            </w:tcMar>
            <w:vAlign w:val="bottom"/>
          </w:tcPr>
          <w:p w14:paraId="36CA2669"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266A"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266B" w14:textId="77777777" w:rsidR="00787570" w:rsidRDefault="000D56E2">
            <w:pPr>
              <w:jc w:val="right"/>
              <w:textAlignment w:val="bottom"/>
            </w:pPr>
            <w:r>
              <w:rPr>
                <w:rFonts w:ascii="Arial" w:eastAsia="宋体" w:hAnsi="Arial" w:cs="Arial"/>
                <w:color w:val="333333"/>
                <w:sz w:val="18"/>
                <w:szCs w:val="18"/>
              </w:rPr>
              <w:t>— </w:t>
            </w:r>
          </w:p>
        </w:tc>
        <w:tc>
          <w:tcPr>
            <w:tcW w:w="0" w:type="auto"/>
            <w:shd w:val="clear" w:color="auto" w:fill="auto"/>
            <w:tcMar>
              <w:top w:w="40" w:type="dxa"/>
              <w:bottom w:w="40" w:type="dxa"/>
              <w:right w:w="20" w:type="dxa"/>
            </w:tcMar>
            <w:vAlign w:val="bottom"/>
          </w:tcPr>
          <w:p w14:paraId="36CA266C"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266D"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266E" w14:textId="77777777" w:rsidR="00787570" w:rsidRDefault="000D56E2">
            <w:pPr>
              <w:jc w:val="right"/>
              <w:textAlignment w:val="bottom"/>
            </w:pPr>
            <w:r>
              <w:rPr>
                <w:rFonts w:ascii="Arial" w:eastAsia="宋体" w:hAnsi="Arial" w:cs="Arial"/>
                <w:color w:val="333333"/>
                <w:sz w:val="18"/>
                <w:szCs w:val="18"/>
              </w:rPr>
              <w:t>(137)</w:t>
            </w:r>
          </w:p>
        </w:tc>
        <w:tc>
          <w:tcPr>
            <w:tcW w:w="0" w:type="auto"/>
            <w:shd w:val="clear" w:color="auto" w:fill="auto"/>
            <w:tcMar>
              <w:top w:w="40" w:type="dxa"/>
              <w:bottom w:w="40" w:type="dxa"/>
              <w:right w:w="20" w:type="dxa"/>
            </w:tcMar>
            <w:vAlign w:val="bottom"/>
          </w:tcPr>
          <w:p w14:paraId="36CA266F"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2670"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2671" w14:textId="77777777" w:rsidR="00787570" w:rsidRDefault="000D56E2">
            <w:pPr>
              <w:jc w:val="right"/>
              <w:textAlignment w:val="bottom"/>
            </w:pPr>
            <w:r>
              <w:rPr>
                <w:rFonts w:ascii="Arial" w:eastAsia="宋体" w:hAnsi="Arial" w:cs="Arial"/>
                <w:color w:val="333333"/>
                <w:sz w:val="18"/>
                <w:szCs w:val="18"/>
              </w:rPr>
              <w:t>(449)</w:t>
            </w:r>
          </w:p>
        </w:tc>
        <w:tc>
          <w:tcPr>
            <w:tcW w:w="0" w:type="auto"/>
            <w:shd w:val="clear" w:color="auto" w:fill="auto"/>
            <w:tcMar>
              <w:top w:w="40" w:type="dxa"/>
              <w:bottom w:w="40" w:type="dxa"/>
              <w:right w:w="20" w:type="dxa"/>
            </w:tcMar>
            <w:vAlign w:val="bottom"/>
          </w:tcPr>
          <w:p w14:paraId="36CA2672" w14:textId="77777777" w:rsidR="00787570" w:rsidRDefault="00787570">
            <w:pPr>
              <w:jc w:val="right"/>
              <w:rPr>
                <w:rFonts w:ascii="宋体"/>
              </w:rPr>
            </w:pPr>
          </w:p>
        </w:tc>
        <w:tc>
          <w:tcPr>
            <w:tcW w:w="0" w:type="auto"/>
            <w:shd w:val="clear" w:color="auto" w:fill="auto"/>
          </w:tcPr>
          <w:p w14:paraId="36CA2673" w14:textId="77777777" w:rsidR="00787570" w:rsidRDefault="00787570">
            <w:pPr>
              <w:rPr>
                <w:rFonts w:ascii="宋体"/>
              </w:rPr>
            </w:pPr>
          </w:p>
        </w:tc>
        <w:tc>
          <w:tcPr>
            <w:tcW w:w="0" w:type="auto"/>
            <w:shd w:val="clear" w:color="auto" w:fill="auto"/>
          </w:tcPr>
          <w:p w14:paraId="36CA2674" w14:textId="77777777" w:rsidR="00787570" w:rsidRDefault="00787570">
            <w:pPr>
              <w:rPr>
                <w:rFonts w:ascii="宋体"/>
              </w:rPr>
            </w:pPr>
          </w:p>
        </w:tc>
        <w:tc>
          <w:tcPr>
            <w:tcW w:w="0" w:type="auto"/>
            <w:shd w:val="clear" w:color="auto" w:fill="auto"/>
          </w:tcPr>
          <w:p w14:paraId="36CA2675" w14:textId="77777777" w:rsidR="00787570" w:rsidRDefault="00787570">
            <w:pPr>
              <w:rPr>
                <w:rFonts w:ascii="宋体"/>
              </w:rPr>
            </w:pPr>
          </w:p>
        </w:tc>
        <w:tc>
          <w:tcPr>
            <w:tcW w:w="0" w:type="auto"/>
            <w:shd w:val="clear" w:color="auto" w:fill="auto"/>
          </w:tcPr>
          <w:p w14:paraId="36CA2676" w14:textId="77777777" w:rsidR="00787570" w:rsidRDefault="00787570">
            <w:pPr>
              <w:rPr>
                <w:rFonts w:ascii="宋体"/>
              </w:rPr>
            </w:pPr>
          </w:p>
        </w:tc>
        <w:tc>
          <w:tcPr>
            <w:tcW w:w="0" w:type="auto"/>
            <w:shd w:val="clear" w:color="auto" w:fill="auto"/>
          </w:tcPr>
          <w:p w14:paraId="36CA2677" w14:textId="77777777" w:rsidR="00787570" w:rsidRDefault="00787570">
            <w:pPr>
              <w:rPr>
                <w:rFonts w:ascii="宋体"/>
              </w:rPr>
            </w:pPr>
          </w:p>
        </w:tc>
        <w:tc>
          <w:tcPr>
            <w:tcW w:w="0" w:type="auto"/>
            <w:shd w:val="clear" w:color="auto" w:fill="auto"/>
          </w:tcPr>
          <w:p w14:paraId="36CA2678" w14:textId="77777777" w:rsidR="00787570" w:rsidRDefault="00787570">
            <w:pPr>
              <w:rPr>
                <w:rFonts w:ascii="宋体"/>
              </w:rPr>
            </w:pPr>
          </w:p>
        </w:tc>
        <w:tc>
          <w:tcPr>
            <w:tcW w:w="0" w:type="auto"/>
            <w:shd w:val="clear" w:color="auto" w:fill="auto"/>
          </w:tcPr>
          <w:p w14:paraId="36CA2679" w14:textId="77777777" w:rsidR="00787570" w:rsidRDefault="00787570">
            <w:pPr>
              <w:rPr>
                <w:rFonts w:ascii="宋体"/>
              </w:rPr>
            </w:pPr>
          </w:p>
        </w:tc>
        <w:tc>
          <w:tcPr>
            <w:tcW w:w="0" w:type="auto"/>
            <w:shd w:val="clear" w:color="auto" w:fill="auto"/>
          </w:tcPr>
          <w:p w14:paraId="36CA267A" w14:textId="77777777" w:rsidR="00787570" w:rsidRDefault="00787570">
            <w:pPr>
              <w:rPr>
                <w:rFonts w:ascii="宋体"/>
              </w:rPr>
            </w:pPr>
          </w:p>
        </w:tc>
        <w:tc>
          <w:tcPr>
            <w:tcW w:w="0" w:type="auto"/>
            <w:shd w:val="clear" w:color="auto" w:fill="auto"/>
          </w:tcPr>
          <w:p w14:paraId="36CA267B" w14:textId="77777777" w:rsidR="00787570" w:rsidRDefault="00787570">
            <w:pPr>
              <w:rPr>
                <w:rFonts w:ascii="宋体"/>
              </w:rPr>
            </w:pPr>
          </w:p>
        </w:tc>
      </w:tr>
      <w:tr w:rsidR="00787570" w14:paraId="36CA2696" w14:textId="77777777">
        <w:tc>
          <w:tcPr>
            <w:tcW w:w="0" w:type="auto"/>
            <w:gridSpan w:val="3"/>
            <w:shd w:val="clear" w:color="auto" w:fill="auto"/>
            <w:tcMar>
              <w:top w:w="40" w:type="dxa"/>
              <w:left w:w="20" w:type="dxa"/>
              <w:bottom w:w="40" w:type="dxa"/>
              <w:right w:w="20" w:type="dxa"/>
            </w:tcMar>
            <w:vAlign w:val="bottom"/>
          </w:tcPr>
          <w:p w14:paraId="36CA267D" w14:textId="77777777" w:rsidR="00787570" w:rsidRDefault="000D56E2">
            <w:pPr>
              <w:textAlignment w:val="bottom"/>
            </w:pPr>
            <w:r>
              <w:rPr>
                <w:rFonts w:ascii="Arial" w:eastAsia="宋体" w:hAnsi="Arial" w:cs="Arial"/>
                <w:color w:val="333333"/>
                <w:sz w:val="18"/>
                <w:szCs w:val="18"/>
              </w:rPr>
              <w:t>Cash dividends declared ($1.26 per share)</w:t>
            </w:r>
          </w:p>
        </w:tc>
        <w:tc>
          <w:tcPr>
            <w:tcW w:w="0" w:type="auto"/>
            <w:gridSpan w:val="3"/>
            <w:shd w:val="clear" w:color="auto" w:fill="auto"/>
            <w:tcMar>
              <w:left w:w="20" w:type="dxa"/>
              <w:right w:w="20" w:type="dxa"/>
            </w:tcMar>
            <w:vAlign w:val="bottom"/>
          </w:tcPr>
          <w:p w14:paraId="36CA267E"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267F" w14:textId="77777777" w:rsidR="00787570" w:rsidRDefault="000D56E2">
            <w:pPr>
              <w:jc w:val="right"/>
              <w:textAlignment w:val="bottom"/>
            </w:pPr>
            <w:r>
              <w:rPr>
                <w:rFonts w:ascii="Arial" w:eastAsia="宋体" w:hAnsi="Arial" w:cs="Arial"/>
                <w:color w:val="333333"/>
                <w:sz w:val="18"/>
                <w:szCs w:val="18"/>
              </w:rPr>
              <w:t>— </w:t>
            </w:r>
          </w:p>
        </w:tc>
        <w:tc>
          <w:tcPr>
            <w:tcW w:w="0" w:type="auto"/>
            <w:shd w:val="clear" w:color="auto" w:fill="auto"/>
            <w:tcMar>
              <w:top w:w="40" w:type="dxa"/>
              <w:bottom w:w="40" w:type="dxa"/>
              <w:right w:w="20" w:type="dxa"/>
            </w:tcMar>
            <w:vAlign w:val="bottom"/>
          </w:tcPr>
          <w:p w14:paraId="36CA2680"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2681"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2682" w14:textId="77777777" w:rsidR="00787570" w:rsidRDefault="000D56E2">
            <w:pPr>
              <w:jc w:val="right"/>
              <w:textAlignment w:val="bottom"/>
            </w:pPr>
            <w:r>
              <w:rPr>
                <w:rFonts w:ascii="Arial" w:eastAsia="宋体" w:hAnsi="Arial" w:cs="Arial"/>
                <w:color w:val="333333"/>
                <w:sz w:val="18"/>
                <w:szCs w:val="18"/>
              </w:rPr>
              <w:t>— </w:t>
            </w:r>
          </w:p>
        </w:tc>
        <w:tc>
          <w:tcPr>
            <w:tcW w:w="0" w:type="auto"/>
            <w:shd w:val="clear" w:color="auto" w:fill="auto"/>
            <w:tcMar>
              <w:top w:w="40" w:type="dxa"/>
              <w:bottom w:w="40" w:type="dxa"/>
              <w:right w:w="20" w:type="dxa"/>
            </w:tcMar>
            <w:vAlign w:val="bottom"/>
          </w:tcPr>
          <w:p w14:paraId="36CA2683"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2684"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2685" w14:textId="77777777" w:rsidR="00787570" w:rsidRDefault="000D56E2">
            <w:pPr>
              <w:jc w:val="right"/>
              <w:textAlignment w:val="bottom"/>
            </w:pPr>
            <w:r>
              <w:rPr>
                <w:rFonts w:ascii="Arial" w:eastAsia="宋体" w:hAnsi="Arial" w:cs="Arial"/>
                <w:color w:val="333333"/>
                <w:sz w:val="18"/>
                <w:szCs w:val="18"/>
              </w:rPr>
              <w:t>— </w:t>
            </w:r>
          </w:p>
        </w:tc>
        <w:tc>
          <w:tcPr>
            <w:tcW w:w="0" w:type="auto"/>
            <w:shd w:val="clear" w:color="auto" w:fill="auto"/>
            <w:tcMar>
              <w:top w:w="40" w:type="dxa"/>
              <w:bottom w:w="40" w:type="dxa"/>
              <w:right w:w="20" w:type="dxa"/>
            </w:tcMar>
            <w:vAlign w:val="bottom"/>
          </w:tcPr>
          <w:p w14:paraId="36CA2686"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2687"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2688" w14:textId="77777777" w:rsidR="00787570" w:rsidRDefault="000D56E2">
            <w:pPr>
              <w:jc w:val="right"/>
              <w:textAlignment w:val="bottom"/>
            </w:pPr>
            <w:r>
              <w:rPr>
                <w:rFonts w:ascii="Arial" w:eastAsia="宋体" w:hAnsi="Arial" w:cs="Arial"/>
                <w:color w:val="333333"/>
                <w:sz w:val="18"/>
                <w:szCs w:val="18"/>
              </w:rPr>
              <w:t>(5,602)</w:t>
            </w:r>
          </w:p>
        </w:tc>
        <w:tc>
          <w:tcPr>
            <w:tcW w:w="0" w:type="auto"/>
            <w:shd w:val="clear" w:color="auto" w:fill="auto"/>
            <w:tcMar>
              <w:top w:w="40" w:type="dxa"/>
              <w:bottom w:w="40" w:type="dxa"/>
              <w:right w:w="20" w:type="dxa"/>
            </w:tcMar>
            <w:vAlign w:val="bottom"/>
          </w:tcPr>
          <w:p w14:paraId="36CA2689"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268A"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268B" w14:textId="77777777" w:rsidR="00787570" w:rsidRDefault="000D56E2">
            <w:pPr>
              <w:jc w:val="right"/>
              <w:textAlignment w:val="bottom"/>
            </w:pPr>
            <w:r>
              <w:rPr>
                <w:rFonts w:ascii="Arial" w:eastAsia="宋体" w:hAnsi="Arial" w:cs="Arial"/>
                <w:color w:val="333333"/>
                <w:sz w:val="18"/>
                <w:szCs w:val="18"/>
              </w:rPr>
              <w:t>(5,602)</w:t>
            </w:r>
          </w:p>
        </w:tc>
        <w:tc>
          <w:tcPr>
            <w:tcW w:w="0" w:type="auto"/>
            <w:shd w:val="clear" w:color="auto" w:fill="auto"/>
            <w:tcMar>
              <w:top w:w="40" w:type="dxa"/>
              <w:bottom w:w="40" w:type="dxa"/>
              <w:right w:w="20" w:type="dxa"/>
            </w:tcMar>
            <w:vAlign w:val="bottom"/>
          </w:tcPr>
          <w:p w14:paraId="36CA268C" w14:textId="77777777" w:rsidR="00787570" w:rsidRDefault="00787570">
            <w:pPr>
              <w:jc w:val="right"/>
              <w:rPr>
                <w:rFonts w:ascii="宋体"/>
              </w:rPr>
            </w:pPr>
          </w:p>
        </w:tc>
        <w:tc>
          <w:tcPr>
            <w:tcW w:w="0" w:type="auto"/>
            <w:shd w:val="clear" w:color="auto" w:fill="auto"/>
          </w:tcPr>
          <w:p w14:paraId="36CA268D" w14:textId="77777777" w:rsidR="00787570" w:rsidRDefault="00787570">
            <w:pPr>
              <w:rPr>
                <w:rFonts w:ascii="宋体"/>
              </w:rPr>
            </w:pPr>
          </w:p>
        </w:tc>
        <w:tc>
          <w:tcPr>
            <w:tcW w:w="0" w:type="auto"/>
            <w:shd w:val="clear" w:color="auto" w:fill="auto"/>
          </w:tcPr>
          <w:p w14:paraId="36CA268E" w14:textId="77777777" w:rsidR="00787570" w:rsidRDefault="00787570">
            <w:pPr>
              <w:rPr>
                <w:rFonts w:ascii="宋体"/>
              </w:rPr>
            </w:pPr>
          </w:p>
        </w:tc>
        <w:tc>
          <w:tcPr>
            <w:tcW w:w="0" w:type="auto"/>
            <w:shd w:val="clear" w:color="auto" w:fill="auto"/>
          </w:tcPr>
          <w:p w14:paraId="36CA268F" w14:textId="77777777" w:rsidR="00787570" w:rsidRDefault="00787570">
            <w:pPr>
              <w:rPr>
                <w:rFonts w:ascii="宋体"/>
              </w:rPr>
            </w:pPr>
          </w:p>
        </w:tc>
        <w:tc>
          <w:tcPr>
            <w:tcW w:w="0" w:type="auto"/>
            <w:shd w:val="clear" w:color="auto" w:fill="auto"/>
          </w:tcPr>
          <w:p w14:paraId="36CA2690" w14:textId="77777777" w:rsidR="00787570" w:rsidRDefault="00787570">
            <w:pPr>
              <w:rPr>
                <w:rFonts w:ascii="宋体"/>
              </w:rPr>
            </w:pPr>
          </w:p>
        </w:tc>
        <w:tc>
          <w:tcPr>
            <w:tcW w:w="0" w:type="auto"/>
            <w:shd w:val="clear" w:color="auto" w:fill="auto"/>
          </w:tcPr>
          <w:p w14:paraId="36CA2691" w14:textId="77777777" w:rsidR="00787570" w:rsidRDefault="00787570">
            <w:pPr>
              <w:rPr>
                <w:rFonts w:ascii="宋体"/>
              </w:rPr>
            </w:pPr>
          </w:p>
        </w:tc>
        <w:tc>
          <w:tcPr>
            <w:tcW w:w="0" w:type="auto"/>
            <w:shd w:val="clear" w:color="auto" w:fill="auto"/>
          </w:tcPr>
          <w:p w14:paraId="36CA2692" w14:textId="77777777" w:rsidR="00787570" w:rsidRDefault="00787570">
            <w:pPr>
              <w:rPr>
                <w:rFonts w:ascii="宋体"/>
              </w:rPr>
            </w:pPr>
          </w:p>
        </w:tc>
        <w:tc>
          <w:tcPr>
            <w:tcW w:w="0" w:type="auto"/>
            <w:shd w:val="clear" w:color="auto" w:fill="auto"/>
          </w:tcPr>
          <w:p w14:paraId="36CA2693" w14:textId="77777777" w:rsidR="00787570" w:rsidRDefault="00787570">
            <w:pPr>
              <w:rPr>
                <w:rFonts w:ascii="宋体"/>
              </w:rPr>
            </w:pPr>
          </w:p>
        </w:tc>
        <w:tc>
          <w:tcPr>
            <w:tcW w:w="0" w:type="auto"/>
            <w:shd w:val="clear" w:color="auto" w:fill="auto"/>
          </w:tcPr>
          <w:p w14:paraId="36CA2694" w14:textId="77777777" w:rsidR="00787570" w:rsidRDefault="00787570">
            <w:pPr>
              <w:rPr>
                <w:rFonts w:ascii="宋体"/>
              </w:rPr>
            </w:pPr>
          </w:p>
        </w:tc>
        <w:tc>
          <w:tcPr>
            <w:tcW w:w="0" w:type="auto"/>
            <w:shd w:val="clear" w:color="auto" w:fill="auto"/>
          </w:tcPr>
          <w:p w14:paraId="36CA2695" w14:textId="77777777" w:rsidR="00787570" w:rsidRDefault="00787570">
            <w:pPr>
              <w:rPr>
                <w:rFonts w:ascii="宋体"/>
              </w:rPr>
            </w:pPr>
          </w:p>
        </w:tc>
      </w:tr>
      <w:tr w:rsidR="00787570" w14:paraId="36CA26B4" w14:textId="77777777">
        <w:tc>
          <w:tcPr>
            <w:tcW w:w="0" w:type="auto"/>
            <w:gridSpan w:val="3"/>
            <w:shd w:val="clear" w:color="auto" w:fill="auto"/>
            <w:tcMar>
              <w:top w:w="40" w:type="dxa"/>
              <w:left w:w="20" w:type="dxa"/>
              <w:bottom w:w="40" w:type="dxa"/>
              <w:right w:w="20" w:type="dxa"/>
            </w:tcMar>
            <w:vAlign w:val="bottom"/>
          </w:tcPr>
          <w:p w14:paraId="36CA2697" w14:textId="77777777" w:rsidR="00787570" w:rsidRDefault="000D56E2">
            <w:pPr>
              <w:textAlignment w:val="bottom"/>
            </w:pPr>
            <w:r>
              <w:rPr>
                <w:rFonts w:ascii="Arial" w:eastAsia="宋体" w:hAnsi="Arial" w:cs="Arial"/>
                <w:b/>
                <w:bCs/>
                <w:color w:val="333333"/>
                <w:sz w:val="18"/>
                <w:szCs w:val="18"/>
              </w:rPr>
              <w:t>Balance as of September 28, 2019</w:t>
            </w:r>
          </w:p>
        </w:tc>
        <w:tc>
          <w:tcPr>
            <w:tcW w:w="0" w:type="auto"/>
            <w:gridSpan w:val="3"/>
            <w:shd w:val="clear" w:color="auto" w:fill="auto"/>
            <w:tcMar>
              <w:left w:w="20" w:type="dxa"/>
              <w:right w:w="20" w:type="dxa"/>
            </w:tcMar>
            <w:vAlign w:val="bottom"/>
          </w:tcPr>
          <w:p w14:paraId="36CA2698" w14:textId="77777777" w:rsidR="00787570" w:rsidRDefault="00787570">
            <w:pPr>
              <w:rPr>
                <w:rFonts w:ascii="宋体"/>
              </w:rPr>
            </w:pPr>
          </w:p>
        </w:tc>
        <w:tc>
          <w:tcPr>
            <w:tcW w:w="0" w:type="auto"/>
            <w:gridSpan w:val="2"/>
            <w:tcBorders>
              <w:top w:val="single" w:sz="8" w:space="0" w:color="333333"/>
              <w:bottom w:val="double" w:sz="6" w:space="0" w:color="000000"/>
            </w:tcBorders>
            <w:shd w:val="clear" w:color="auto" w:fill="auto"/>
            <w:tcMar>
              <w:top w:w="40" w:type="dxa"/>
              <w:left w:w="20" w:type="dxa"/>
              <w:bottom w:w="40" w:type="dxa"/>
              <w:right w:w="0" w:type="dxa"/>
            </w:tcMar>
            <w:vAlign w:val="bottom"/>
          </w:tcPr>
          <w:p w14:paraId="36CA2699" w14:textId="77777777" w:rsidR="00787570" w:rsidRDefault="000D56E2">
            <w:pPr>
              <w:jc w:val="right"/>
              <w:textAlignment w:val="bottom"/>
            </w:pPr>
            <w:r>
              <w:rPr>
                <w:rFonts w:ascii="Arial" w:eastAsia="宋体" w:hAnsi="Arial" w:cs="Arial"/>
                <w:b/>
                <w:bCs/>
                <w:color w:val="333333"/>
                <w:sz w:val="18"/>
                <w:szCs w:val="18"/>
              </w:rPr>
              <w:t>4,350</w:t>
            </w:r>
            <w:r>
              <w:rPr>
                <w:rFonts w:ascii="Arial" w:eastAsia="宋体" w:hAnsi="Arial" w:cs="Arial"/>
                <w:color w:val="333333"/>
                <w:sz w:val="18"/>
                <w:szCs w:val="18"/>
              </w:rPr>
              <w:t> </w:t>
            </w:r>
          </w:p>
        </w:tc>
        <w:tc>
          <w:tcPr>
            <w:tcW w:w="0" w:type="auto"/>
            <w:tcBorders>
              <w:top w:val="single" w:sz="8" w:space="0" w:color="333333"/>
              <w:bottom w:val="double" w:sz="6" w:space="0" w:color="000000"/>
            </w:tcBorders>
            <w:shd w:val="clear" w:color="auto" w:fill="auto"/>
            <w:tcMar>
              <w:top w:w="40" w:type="dxa"/>
              <w:bottom w:w="40" w:type="dxa"/>
              <w:right w:w="20" w:type="dxa"/>
            </w:tcMar>
            <w:vAlign w:val="bottom"/>
          </w:tcPr>
          <w:p w14:paraId="36CA269A"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269B" w14:textId="77777777" w:rsidR="00787570" w:rsidRDefault="00787570">
            <w:pPr>
              <w:rPr>
                <w:rFonts w:ascii="宋体"/>
              </w:rPr>
            </w:pPr>
          </w:p>
        </w:tc>
        <w:tc>
          <w:tcPr>
            <w:tcW w:w="0" w:type="auto"/>
            <w:tcBorders>
              <w:top w:val="single" w:sz="8" w:space="0" w:color="333333"/>
              <w:bottom w:val="double" w:sz="6" w:space="0" w:color="000000"/>
            </w:tcBorders>
            <w:shd w:val="clear" w:color="auto" w:fill="auto"/>
            <w:tcMar>
              <w:top w:w="40" w:type="dxa"/>
              <w:left w:w="20" w:type="dxa"/>
              <w:bottom w:w="40" w:type="dxa"/>
            </w:tcMar>
            <w:vAlign w:val="bottom"/>
          </w:tcPr>
          <w:p w14:paraId="36CA269C" w14:textId="77777777" w:rsidR="00787570" w:rsidRDefault="000D56E2">
            <w:pPr>
              <w:textAlignment w:val="bottom"/>
            </w:pPr>
            <w:r>
              <w:rPr>
                <w:rFonts w:ascii="Arial" w:eastAsia="宋体" w:hAnsi="Arial" w:cs="Arial"/>
                <w:b/>
                <w:bCs/>
                <w:color w:val="333333"/>
                <w:sz w:val="18"/>
                <w:szCs w:val="18"/>
              </w:rPr>
              <w:t>$</w:t>
            </w:r>
          </w:p>
        </w:tc>
        <w:tc>
          <w:tcPr>
            <w:tcW w:w="0" w:type="auto"/>
            <w:tcBorders>
              <w:top w:val="single" w:sz="8" w:space="0" w:color="333333"/>
              <w:bottom w:val="double" w:sz="6" w:space="0" w:color="000000"/>
            </w:tcBorders>
            <w:shd w:val="clear" w:color="auto" w:fill="auto"/>
            <w:tcMar>
              <w:top w:w="40" w:type="dxa"/>
              <w:bottom w:w="40" w:type="dxa"/>
              <w:right w:w="0" w:type="dxa"/>
            </w:tcMar>
            <w:vAlign w:val="bottom"/>
          </w:tcPr>
          <w:p w14:paraId="36CA269D" w14:textId="77777777" w:rsidR="00787570" w:rsidRDefault="000D56E2">
            <w:pPr>
              <w:jc w:val="right"/>
              <w:textAlignment w:val="bottom"/>
            </w:pPr>
            <w:r>
              <w:rPr>
                <w:rFonts w:ascii="Arial" w:eastAsia="宋体" w:hAnsi="Arial" w:cs="Arial"/>
                <w:b/>
                <w:bCs/>
                <w:color w:val="333333"/>
                <w:sz w:val="18"/>
                <w:szCs w:val="18"/>
              </w:rPr>
              <w:t>25,290</w:t>
            </w:r>
            <w:r>
              <w:rPr>
                <w:rFonts w:ascii="Arial" w:eastAsia="宋体" w:hAnsi="Arial" w:cs="Arial"/>
                <w:color w:val="333333"/>
                <w:sz w:val="18"/>
                <w:szCs w:val="18"/>
              </w:rPr>
              <w:t> </w:t>
            </w:r>
          </w:p>
        </w:tc>
        <w:tc>
          <w:tcPr>
            <w:tcW w:w="0" w:type="auto"/>
            <w:tcBorders>
              <w:top w:val="single" w:sz="8" w:space="0" w:color="333333"/>
              <w:bottom w:val="double" w:sz="6" w:space="0" w:color="000000"/>
            </w:tcBorders>
            <w:shd w:val="clear" w:color="auto" w:fill="auto"/>
            <w:tcMar>
              <w:top w:w="40" w:type="dxa"/>
              <w:bottom w:w="40" w:type="dxa"/>
              <w:right w:w="20" w:type="dxa"/>
            </w:tcMar>
            <w:vAlign w:val="bottom"/>
          </w:tcPr>
          <w:p w14:paraId="36CA269E"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269F" w14:textId="77777777" w:rsidR="00787570" w:rsidRDefault="00787570">
            <w:pPr>
              <w:rPr>
                <w:rFonts w:ascii="宋体"/>
              </w:rPr>
            </w:pPr>
          </w:p>
        </w:tc>
        <w:tc>
          <w:tcPr>
            <w:tcW w:w="0" w:type="auto"/>
            <w:tcBorders>
              <w:top w:val="single" w:sz="8" w:space="0" w:color="333333"/>
              <w:bottom w:val="double" w:sz="6" w:space="0" w:color="000000"/>
            </w:tcBorders>
            <w:shd w:val="clear" w:color="auto" w:fill="auto"/>
            <w:tcMar>
              <w:top w:w="40" w:type="dxa"/>
              <w:left w:w="20" w:type="dxa"/>
              <w:bottom w:w="40" w:type="dxa"/>
            </w:tcMar>
            <w:vAlign w:val="bottom"/>
          </w:tcPr>
          <w:p w14:paraId="36CA26A0" w14:textId="77777777" w:rsidR="00787570" w:rsidRDefault="000D56E2">
            <w:pPr>
              <w:textAlignment w:val="bottom"/>
            </w:pPr>
            <w:r>
              <w:rPr>
                <w:rFonts w:ascii="Arial" w:eastAsia="宋体" w:hAnsi="Arial" w:cs="Arial"/>
                <w:b/>
                <w:bCs/>
                <w:color w:val="333333"/>
                <w:sz w:val="18"/>
                <w:szCs w:val="18"/>
              </w:rPr>
              <w:t>$</w:t>
            </w:r>
          </w:p>
        </w:tc>
        <w:tc>
          <w:tcPr>
            <w:tcW w:w="0" w:type="auto"/>
            <w:tcBorders>
              <w:top w:val="single" w:sz="8" w:space="0" w:color="333333"/>
              <w:bottom w:val="double" w:sz="6" w:space="0" w:color="000000"/>
            </w:tcBorders>
            <w:shd w:val="clear" w:color="auto" w:fill="auto"/>
            <w:tcMar>
              <w:top w:w="40" w:type="dxa"/>
              <w:bottom w:w="40" w:type="dxa"/>
              <w:right w:w="0" w:type="dxa"/>
            </w:tcMar>
            <w:vAlign w:val="bottom"/>
          </w:tcPr>
          <w:p w14:paraId="36CA26A1" w14:textId="77777777" w:rsidR="00787570" w:rsidRDefault="000D56E2">
            <w:pPr>
              <w:jc w:val="right"/>
              <w:textAlignment w:val="bottom"/>
            </w:pPr>
            <w:r>
              <w:rPr>
                <w:rFonts w:ascii="Arial" w:eastAsia="宋体" w:hAnsi="Arial" w:cs="Arial"/>
                <w:b/>
                <w:bCs/>
                <w:color w:val="333333"/>
                <w:sz w:val="18"/>
                <w:szCs w:val="18"/>
              </w:rPr>
              <w:t>(722)</w:t>
            </w:r>
          </w:p>
        </w:tc>
        <w:tc>
          <w:tcPr>
            <w:tcW w:w="0" w:type="auto"/>
            <w:tcBorders>
              <w:top w:val="single" w:sz="8" w:space="0" w:color="333333"/>
              <w:bottom w:val="double" w:sz="6" w:space="0" w:color="000000"/>
            </w:tcBorders>
            <w:shd w:val="clear" w:color="auto" w:fill="auto"/>
            <w:tcMar>
              <w:top w:w="40" w:type="dxa"/>
              <w:bottom w:w="40" w:type="dxa"/>
              <w:right w:w="20" w:type="dxa"/>
            </w:tcMar>
            <w:vAlign w:val="bottom"/>
          </w:tcPr>
          <w:p w14:paraId="36CA26A2"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26A3" w14:textId="77777777" w:rsidR="00787570" w:rsidRDefault="00787570">
            <w:pPr>
              <w:rPr>
                <w:rFonts w:ascii="宋体"/>
              </w:rPr>
            </w:pPr>
          </w:p>
        </w:tc>
        <w:tc>
          <w:tcPr>
            <w:tcW w:w="0" w:type="auto"/>
            <w:tcBorders>
              <w:top w:val="single" w:sz="8" w:space="0" w:color="333333"/>
              <w:bottom w:val="double" w:sz="6" w:space="0" w:color="000000"/>
            </w:tcBorders>
            <w:shd w:val="clear" w:color="auto" w:fill="auto"/>
            <w:tcMar>
              <w:top w:w="40" w:type="dxa"/>
              <w:left w:w="20" w:type="dxa"/>
              <w:bottom w:w="40" w:type="dxa"/>
            </w:tcMar>
            <w:vAlign w:val="bottom"/>
          </w:tcPr>
          <w:p w14:paraId="36CA26A4" w14:textId="77777777" w:rsidR="00787570" w:rsidRDefault="000D56E2">
            <w:pPr>
              <w:textAlignment w:val="bottom"/>
            </w:pPr>
            <w:r>
              <w:rPr>
                <w:rFonts w:ascii="Arial" w:eastAsia="宋体" w:hAnsi="Arial" w:cs="Arial"/>
                <w:b/>
                <w:bCs/>
                <w:color w:val="333333"/>
                <w:sz w:val="18"/>
                <w:szCs w:val="18"/>
              </w:rPr>
              <w:t>$</w:t>
            </w:r>
          </w:p>
        </w:tc>
        <w:tc>
          <w:tcPr>
            <w:tcW w:w="0" w:type="auto"/>
            <w:tcBorders>
              <w:top w:val="single" w:sz="8" w:space="0" w:color="333333"/>
              <w:bottom w:val="double" w:sz="6" w:space="0" w:color="000000"/>
            </w:tcBorders>
            <w:shd w:val="clear" w:color="auto" w:fill="auto"/>
            <w:tcMar>
              <w:top w:w="40" w:type="dxa"/>
              <w:bottom w:w="40" w:type="dxa"/>
              <w:right w:w="0" w:type="dxa"/>
            </w:tcMar>
            <w:vAlign w:val="bottom"/>
          </w:tcPr>
          <w:p w14:paraId="36CA26A5" w14:textId="77777777" w:rsidR="00787570" w:rsidRDefault="000D56E2">
            <w:pPr>
              <w:jc w:val="right"/>
              <w:textAlignment w:val="bottom"/>
            </w:pPr>
            <w:r>
              <w:rPr>
                <w:rFonts w:ascii="Arial" w:eastAsia="宋体" w:hAnsi="Arial" w:cs="Arial"/>
                <w:b/>
                <w:bCs/>
                <w:color w:val="333333"/>
                <w:sz w:val="18"/>
                <w:szCs w:val="18"/>
              </w:rPr>
              <w:t>49,674</w:t>
            </w:r>
            <w:r>
              <w:rPr>
                <w:rFonts w:ascii="Arial" w:eastAsia="宋体" w:hAnsi="Arial" w:cs="Arial"/>
                <w:color w:val="333333"/>
                <w:sz w:val="18"/>
                <w:szCs w:val="18"/>
              </w:rPr>
              <w:t> </w:t>
            </w:r>
          </w:p>
        </w:tc>
        <w:tc>
          <w:tcPr>
            <w:tcW w:w="0" w:type="auto"/>
            <w:tcBorders>
              <w:top w:val="single" w:sz="8" w:space="0" w:color="333333"/>
              <w:bottom w:val="double" w:sz="6" w:space="0" w:color="000000"/>
            </w:tcBorders>
            <w:shd w:val="clear" w:color="auto" w:fill="auto"/>
            <w:tcMar>
              <w:top w:w="40" w:type="dxa"/>
              <w:bottom w:w="40" w:type="dxa"/>
              <w:right w:w="20" w:type="dxa"/>
            </w:tcMar>
            <w:vAlign w:val="bottom"/>
          </w:tcPr>
          <w:p w14:paraId="36CA26A6"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26A7" w14:textId="77777777" w:rsidR="00787570" w:rsidRDefault="00787570">
            <w:pPr>
              <w:rPr>
                <w:rFonts w:ascii="宋体"/>
              </w:rPr>
            </w:pPr>
          </w:p>
        </w:tc>
        <w:tc>
          <w:tcPr>
            <w:tcW w:w="0" w:type="auto"/>
            <w:tcBorders>
              <w:top w:val="single" w:sz="8" w:space="0" w:color="333333"/>
              <w:bottom w:val="double" w:sz="6" w:space="0" w:color="000000"/>
            </w:tcBorders>
            <w:shd w:val="clear" w:color="auto" w:fill="auto"/>
            <w:tcMar>
              <w:top w:w="40" w:type="dxa"/>
              <w:left w:w="20" w:type="dxa"/>
              <w:bottom w:w="40" w:type="dxa"/>
            </w:tcMar>
            <w:vAlign w:val="bottom"/>
          </w:tcPr>
          <w:p w14:paraId="36CA26A8" w14:textId="77777777" w:rsidR="00787570" w:rsidRDefault="000D56E2">
            <w:pPr>
              <w:textAlignment w:val="bottom"/>
            </w:pPr>
            <w:r>
              <w:rPr>
                <w:rFonts w:ascii="Arial" w:eastAsia="宋体" w:hAnsi="Arial" w:cs="Arial"/>
                <w:b/>
                <w:bCs/>
                <w:color w:val="333333"/>
                <w:sz w:val="18"/>
                <w:szCs w:val="18"/>
              </w:rPr>
              <w:t>$</w:t>
            </w:r>
          </w:p>
        </w:tc>
        <w:tc>
          <w:tcPr>
            <w:tcW w:w="0" w:type="auto"/>
            <w:tcBorders>
              <w:top w:val="single" w:sz="8" w:space="0" w:color="333333"/>
              <w:bottom w:val="double" w:sz="6" w:space="0" w:color="000000"/>
            </w:tcBorders>
            <w:shd w:val="clear" w:color="auto" w:fill="auto"/>
            <w:tcMar>
              <w:top w:w="40" w:type="dxa"/>
              <w:bottom w:w="40" w:type="dxa"/>
              <w:right w:w="0" w:type="dxa"/>
            </w:tcMar>
            <w:vAlign w:val="bottom"/>
          </w:tcPr>
          <w:p w14:paraId="36CA26A9" w14:textId="77777777" w:rsidR="00787570" w:rsidRDefault="000D56E2">
            <w:pPr>
              <w:jc w:val="right"/>
              <w:textAlignment w:val="bottom"/>
            </w:pPr>
            <w:r>
              <w:rPr>
                <w:rFonts w:ascii="Arial" w:eastAsia="宋体" w:hAnsi="Arial" w:cs="Arial"/>
                <w:b/>
                <w:bCs/>
                <w:color w:val="333333"/>
                <w:sz w:val="18"/>
                <w:szCs w:val="18"/>
              </w:rPr>
              <w:t>74,242</w:t>
            </w:r>
            <w:r>
              <w:rPr>
                <w:rFonts w:ascii="Arial" w:eastAsia="宋体" w:hAnsi="Arial" w:cs="Arial"/>
                <w:color w:val="333333"/>
                <w:sz w:val="18"/>
                <w:szCs w:val="18"/>
              </w:rPr>
              <w:t> </w:t>
            </w:r>
          </w:p>
        </w:tc>
        <w:tc>
          <w:tcPr>
            <w:tcW w:w="0" w:type="auto"/>
            <w:tcBorders>
              <w:top w:val="single" w:sz="8" w:space="0" w:color="333333"/>
              <w:bottom w:val="double" w:sz="6" w:space="0" w:color="000000"/>
            </w:tcBorders>
            <w:shd w:val="clear" w:color="auto" w:fill="auto"/>
            <w:tcMar>
              <w:top w:w="40" w:type="dxa"/>
              <w:bottom w:w="40" w:type="dxa"/>
              <w:right w:w="20" w:type="dxa"/>
            </w:tcMar>
            <w:vAlign w:val="bottom"/>
          </w:tcPr>
          <w:p w14:paraId="36CA26AA" w14:textId="77777777" w:rsidR="00787570" w:rsidRDefault="00787570">
            <w:pPr>
              <w:jc w:val="right"/>
              <w:rPr>
                <w:rFonts w:ascii="宋体"/>
              </w:rPr>
            </w:pPr>
          </w:p>
        </w:tc>
        <w:tc>
          <w:tcPr>
            <w:tcW w:w="0" w:type="auto"/>
            <w:shd w:val="clear" w:color="auto" w:fill="auto"/>
          </w:tcPr>
          <w:p w14:paraId="36CA26AB" w14:textId="77777777" w:rsidR="00787570" w:rsidRDefault="00787570">
            <w:pPr>
              <w:rPr>
                <w:rFonts w:ascii="宋体"/>
              </w:rPr>
            </w:pPr>
          </w:p>
        </w:tc>
        <w:tc>
          <w:tcPr>
            <w:tcW w:w="0" w:type="auto"/>
            <w:shd w:val="clear" w:color="auto" w:fill="auto"/>
          </w:tcPr>
          <w:p w14:paraId="36CA26AC" w14:textId="77777777" w:rsidR="00787570" w:rsidRDefault="00787570">
            <w:pPr>
              <w:rPr>
                <w:rFonts w:ascii="宋体"/>
              </w:rPr>
            </w:pPr>
          </w:p>
        </w:tc>
        <w:tc>
          <w:tcPr>
            <w:tcW w:w="0" w:type="auto"/>
            <w:shd w:val="clear" w:color="auto" w:fill="auto"/>
          </w:tcPr>
          <w:p w14:paraId="36CA26AD" w14:textId="77777777" w:rsidR="00787570" w:rsidRDefault="00787570">
            <w:pPr>
              <w:rPr>
                <w:rFonts w:ascii="宋体"/>
              </w:rPr>
            </w:pPr>
          </w:p>
        </w:tc>
        <w:tc>
          <w:tcPr>
            <w:tcW w:w="0" w:type="auto"/>
            <w:shd w:val="clear" w:color="auto" w:fill="auto"/>
          </w:tcPr>
          <w:p w14:paraId="36CA26AE" w14:textId="77777777" w:rsidR="00787570" w:rsidRDefault="00787570">
            <w:pPr>
              <w:rPr>
                <w:rFonts w:ascii="宋体"/>
              </w:rPr>
            </w:pPr>
          </w:p>
        </w:tc>
        <w:tc>
          <w:tcPr>
            <w:tcW w:w="0" w:type="auto"/>
            <w:shd w:val="clear" w:color="auto" w:fill="auto"/>
          </w:tcPr>
          <w:p w14:paraId="36CA26AF" w14:textId="77777777" w:rsidR="00787570" w:rsidRDefault="00787570">
            <w:pPr>
              <w:rPr>
                <w:rFonts w:ascii="宋体"/>
              </w:rPr>
            </w:pPr>
          </w:p>
        </w:tc>
        <w:tc>
          <w:tcPr>
            <w:tcW w:w="0" w:type="auto"/>
            <w:shd w:val="clear" w:color="auto" w:fill="auto"/>
          </w:tcPr>
          <w:p w14:paraId="36CA26B0" w14:textId="77777777" w:rsidR="00787570" w:rsidRDefault="00787570">
            <w:pPr>
              <w:rPr>
                <w:rFonts w:ascii="宋体"/>
              </w:rPr>
            </w:pPr>
          </w:p>
        </w:tc>
        <w:tc>
          <w:tcPr>
            <w:tcW w:w="0" w:type="auto"/>
            <w:shd w:val="clear" w:color="auto" w:fill="auto"/>
          </w:tcPr>
          <w:p w14:paraId="36CA26B1" w14:textId="77777777" w:rsidR="00787570" w:rsidRDefault="00787570">
            <w:pPr>
              <w:rPr>
                <w:rFonts w:ascii="宋体"/>
              </w:rPr>
            </w:pPr>
          </w:p>
        </w:tc>
        <w:tc>
          <w:tcPr>
            <w:tcW w:w="0" w:type="auto"/>
            <w:shd w:val="clear" w:color="auto" w:fill="auto"/>
          </w:tcPr>
          <w:p w14:paraId="36CA26B2" w14:textId="77777777" w:rsidR="00787570" w:rsidRDefault="00787570">
            <w:pPr>
              <w:rPr>
                <w:rFonts w:ascii="宋体"/>
              </w:rPr>
            </w:pPr>
          </w:p>
        </w:tc>
        <w:tc>
          <w:tcPr>
            <w:tcW w:w="0" w:type="auto"/>
            <w:shd w:val="clear" w:color="auto" w:fill="auto"/>
          </w:tcPr>
          <w:p w14:paraId="36CA26B3" w14:textId="77777777" w:rsidR="00787570" w:rsidRDefault="00787570">
            <w:pPr>
              <w:rPr>
                <w:rFonts w:ascii="宋体"/>
              </w:rPr>
            </w:pPr>
          </w:p>
        </w:tc>
      </w:tr>
    </w:tbl>
    <w:p w14:paraId="36CA26B5" w14:textId="77777777" w:rsidR="00787570" w:rsidRDefault="000D56E2">
      <w:pPr>
        <w:ind w:hanging="180"/>
      </w:pPr>
      <w:r>
        <w:rPr>
          <w:rFonts w:ascii="Arial" w:eastAsia="宋体" w:hAnsi="Arial" w:cs="Arial"/>
          <w:i/>
          <w:iCs/>
          <w:color w:val="333333"/>
          <w:sz w:val="16"/>
          <w:szCs w:val="16"/>
        </w:rPr>
        <w:t>See accompanying note</w:t>
      </w:r>
      <w:r>
        <w:rPr>
          <w:rFonts w:ascii="Arial" w:eastAsia="宋体" w:hAnsi="Arial" w:cs="Arial"/>
          <w:i/>
          <w:iCs/>
          <w:color w:val="333333"/>
          <w:sz w:val="16"/>
          <w:szCs w:val="16"/>
        </w:rPr>
        <w:t>s.</w:t>
      </w:r>
    </w:p>
    <w:tbl>
      <w:tblPr>
        <w:tblW w:w="5000" w:type="pct"/>
        <w:tblCellMar>
          <w:top w:w="15" w:type="dxa"/>
          <w:left w:w="15" w:type="dxa"/>
          <w:bottom w:w="15" w:type="dxa"/>
          <w:right w:w="15" w:type="dxa"/>
        </w:tblCellMar>
        <w:tblLook w:val="04A0" w:firstRow="1" w:lastRow="0" w:firstColumn="1" w:lastColumn="0" w:noHBand="0" w:noVBand="1"/>
      </w:tblPr>
      <w:tblGrid>
        <w:gridCol w:w="86"/>
        <w:gridCol w:w="426"/>
        <w:gridCol w:w="36"/>
        <w:gridCol w:w="62"/>
        <w:gridCol w:w="1676"/>
        <w:gridCol w:w="36"/>
        <w:gridCol w:w="62"/>
        <w:gridCol w:w="3655"/>
        <w:gridCol w:w="36"/>
        <w:gridCol w:w="63"/>
        <w:gridCol w:w="2162"/>
        <w:gridCol w:w="36"/>
      </w:tblGrid>
      <w:tr w:rsidR="00787570" w14:paraId="36CA26C2" w14:textId="77777777">
        <w:tc>
          <w:tcPr>
            <w:tcW w:w="50" w:type="pct"/>
            <w:shd w:val="clear" w:color="auto" w:fill="auto"/>
            <w:vAlign w:val="bottom"/>
          </w:tcPr>
          <w:p w14:paraId="36CA26B6" w14:textId="77777777" w:rsidR="00787570" w:rsidRDefault="00787570">
            <w:pPr>
              <w:rPr>
                <w:rFonts w:ascii="宋体"/>
              </w:rPr>
            </w:pPr>
          </w:p>
        </w:tc>
        <w:tc>
          <w:tcPr>
            <w:tcW w:w="248" w:type="pct"/>
            <w:shd w:val="clear" w:color="auto" w:fill="auto"/>
            <w:vAlign w:val="bottom"/>
          </w:tcPr>
          <w:p w14:paraId="36CA26B7" w14:textId="77777777" w:rsidR="00787570" w:rsidRDefault="00787570">
            <w:pPr>
              <w:rPr>
                <w:rFonts w:ascii="宋体"/>
              </w:rPr>
            </w:pPr>
          </w:p>
        </w:tc>
        <w:tc>
          <w:tcPr>
            <w:tcW w:w="5" w:type="pct"/>
            <w:shd w:val="clear" w:color="auto" w:fill="auto"/>
            <w:vAlign w:val="bottom"/>
          </w:tcPr>
          <w:p w14:paraId="36CA26B8" w14:textId="77777777" w:rsidR="00787570" w:rsidRDefault="00787570">
            <w:pPr>
              <w:rPr>
                <w:rFonts w:ascii="宋体"/>
              </w:rPr>
            </w:pPr>
          </w:p>
        </w:tc>
        <w:tc>
          <w:tcPr>
            <w:tcW w:w="50" w:type="pct"/>
            <w:shd w:val="clear" w:color="auto" w:fill="auto"/>
            <w:vAlign w:val="bottom"/>
          </w:tcPr>
          <w:p w14:paraId="36CA26B9" w14:textId="77777777" w:rsidR="00787570" w:rsidRDefault="00787570">
            <w:pPr>
              <w:rPr>
                <w:rFonts w:ascii="宋体"/>
              </w:rPr>
            </w:pPr>
          </w:p>
        </w:tc>
        <w:tc>
          <w:tcPr>
            <w:tcW w:w="1018" w:type="pct"/>
            <w:shd w:val="clear" w:color="auto" w:fill="auto"/>
            <w:vAlign w:val="bottom"/>
          </w:tcPr>
          <w:p w14:paraId="36CA26BA" w14:textId="77777777" w:rsidR="00787570" w:rsidRDefault="00787570">
            <w:pPr>
              <w:rPr>
                <w:rFonts w:ascii="宋体"/>
              </w:rPr>
            </w:pPr>
          </w:p>
        </w:tc>
        <w:tc>
          <w:tcPr>
            <w:tcW w:w="5" w:type="pct"/>
            <w:shd w:val="clear" w:color="auto" w:fill="auto"/>
            <w:vAlign w:val="bottom"/>
          </w:tcPr>
          <w:p w14:paraId="36CA26BB" w14:textId="77777777" w:rsidR="00787570" w:rsidRDefault="00787570">
            <w:pPr>
              <w:rPr>
                <w:rFonts w:ascii="宋体"/>
              </w:rPr>
            </w:pPr>
          </w:p>
        </w:tc>
        <w:tc>
          <w:tcPr>
            <w:tcW w:w="50" w:type="pct"/>
            <w:shd w:val="clear" w:color="auto" w:fill="auto"/>
            <w:vAlign w:val="bottom"/>
          </w:tcPr>
          <w:p w14:paraId="36CA26BC" w14:textId="77777777" w:rsidR="00787570" w:rsidRDefault="00787570">
            <w:pPr>
              <w:rPr>
                <w:rFonts w:ascii="宋体"/>
              </w:rPr>
            </w:pPr>
          </w:p>
        </w:tc>
        <w:tc>
          <w:tcPr>
            <w:tcW w:w="2204" w:type="pct"/>
            <w:shd w:val="clear" w:color="auto" w:fill="auto"/>
            <w:vAlign w:val="bottom"/>
          </w:tcPr>
          <w:p w14:paraId="36CA26BD" w14:textId="77777777" w:rsidR="00787570" w:rsidRDefault="00787570">
            <w:pPr>
              <w:rPr>
                <w:rFonts w:ascii="宋体"/>
              </w:rPr>
            </w:pPr>
          </w:p>
        </w:tc>
        <w:tc>
          <w:tcPr>
            <w:tcW w:w="5" w:type="pct"/>
            <w:shd w:val="clear" w:color="auto" w:fill="auto"/>
            <w:vAlign w:val="bottom"/>
          </w:tcPr>
          <w:p w14:paraId="36CA26BE" w14:textId="77777777" w:rsidR="00787570" w:rsidRDefault="00787570">
            <w:pPr>
              <w:rPr>
                <w:rFonts w:ascii="宋体"/>
              </w:rPr>
            </w:pPr>
          </w:p>
        </w:tc>
        <w:tc>
          <w:tcPr>
            <w:tcW w:w="50" w:type="pct"/>
            <w:shd w:val="clear" w:color="auto" w:fill="auto"/>
            <w:vAlign w:val="bottom"/>
          </w:tcPr>
          <w:p w14:paraId="36CA26BF" w14:textId="77777777" w:rsidR="00787570" w:rsidRDefault="00787570">
            <w:pPr>
              <w:rPr>
                <w:rFonts w:ascii="宋体"/>
              </w:rPr>
            </w:pPr>
          </w:p>
        </w:tc>
        <w:tc>
          <w:tcPr>
            <w:tcW w:w="1308" w:type="pct"/>
            <w:shd w:val="clear" w:color="auto" w:fill="auto"/>
            <w:vAlign w:val="bottom"/>
          </w:tcPr>
          <w:p w14:paraId="36CA26C0" w14:textId="77777777" w:rsidR="00787570" w:rsidRDefault="00787570">
            <w:pPr>
              <w:rPr>
                <w:rFonts w:ascii="宋体"/>
              </w:rPr>
            </w:pPr>
          </w:p>
        </w:tc>
        <w:tc>
          <w:tcPr>
            <w:tcW w:w="5" w:type="pct"/>
            <w:shd w:val="clear" w:color="auto" w:fill="auto"/>
            <w:vAlign w:val="bottom"/>
          </w:tcPr>
          <w:p w14:paraId="36CA26C1" w14:textId="77777777" w:rsidR="00787570" w:rsidRDefault="00787570">
            <w:pPr>
              <w:rPr>
                <w:rFonts w:ascii="宋体"/>
              </w:rPr>
            </w:pPr>
          </w:p>
        </w:tc>
      </w:tr>
      <w:tr w:rsidR="00787570" w14:paraId="36CA26C7" w14:textId="77777777">
        <w:tc>
          <w:tcPr>
            <w:tcW w:w="0" w:type="auto"/>
            <w:gridSpan w:val="3"/>
            <w:tcBorders>
              <w:top w:val="single" w:sz="8" w:space="0" w:color="0071C5"/>
            </w:tcBorders>
            <w:shd w:val="clear" w:color="auto" w:fill="auto"/>
            <w:tcMar>
              <w:left w:w="20" w:type="dxa"/>
              <w:right w:w="20" w:type="dxa"/>
            </w:tcMar>
            <w:vAlign w:val="center"/>
          </w:tcPr>
          <w:p w14:paraId="36CA26C3" w14:textId="77777777" w:rsidR="00787570" w:rsidRDefault="000D56E2">
            <w:pPr>
              <w:textAlignment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Viewer9_files/intc-20200926_g2.jpg"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36CA5C00" wp14:editId="36CA5C01">
                  <wp:extent cx="304800" cy="304800"/>
                  <wp:effectExtent l="0" t="0" r="0" b="0"/>
                  <wp:docPr id="111" name="图片 57" descr="IMG_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图片 57" descr="IMG_329"/>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8" w:space="0" w:color="0071C5"/>
            </w:tcBorders>
            <w:shd w:val="clear" w:color="auto" w:fill="auto"/>
            <w:tcMar>
              <w:top w:w="40" w:type="dxa"/>
              <w:left w:w="20" w:type="dxa"/>
              <w:bottom w:w="40" w:type="dxa"/>
              <w:right w:w="20" w:type="dxa"/>
            </w:tcMar>
            <w:vAlign w:val="center"/>
          </w:tcPr>
          <w:p w14:paraId="36CA26C4" w14:textId="77777777" w:rsidR="00787570" w:rsidRDefault="000D56E2">
            <w:pPr>
              <w:textAlignment w:val="center"/>
            </w:pPr>
            <w:r>
              <w:rPr>
                <w:rFonts w:ascii="Arial" w:eastAsia="宋体" w:hAnsi="Arial" w:cs="Arial"/>
                <w:color w:val="333333"/>
                <w:sz w:val="16"/>
                <w:szCs w:val="16"/>
              </w:rPr>
              <w:t> FINANCIAL STATEMENTS</w:t>
            </w:r>
          </w:p>
        </w:tc>
        <w:tc>
          <w:tcPr>
            <w:tcW w:w="0" w:type="auto"/>
            <w:gridSpan w:val="3"/>
            <w:tcBorders>
              <w:top w:val="single" w:sz="8" w:space="0" w:color="0071C5"/>
              <w:left w:val="single" w:sz="24" w:space="0" w:color="0071C5"/>
            </w:tcBorders>
            <w:shd w:val="clear" w:color="auto" w:fill="auto"/>
            <w:tcMar>
              <w:top w:w="40" w:type="dxa"/>
              <w:left w:w="20" w:type="dxa"/>
              <w:bottom w:w="40" w:type="dxa"/>
              <w:right w:w="20" w:type="dxa"/>
            </w:tcMar>
            <w:vAlign w:val="center"/>
          </w:tcPr>
          <w:p w14:paraId="36CA26C5" w14:textId="77777777" w:rsidR="00787570" w:rsidRDefault="000D56E2">
            <w:pPr>
              <w:textAlignment w:val="center"/>
            </w:pPr>
            <w:r>
              <w:rPr>
                <w:rFonts w:ascii="Arial" w:eastAsia="宋体" w:hAnsi="Arial" w:cs="Arial"/>
                <w:color w:val="333333"/>
                <w:sz w:val="16"/>
                <w:szCs w:val="16"/>
              </w:rPr>
              <w:t>  Consolidated Condensed Statements of Stockholders' Equity</w:t>
            </w:r>
          </w:p>
        </w:tc>
        <w:tc>
          <w:tcPr>
            <w:tcW w:w="0" w:type="auto"/>
            <w:gridSpan w:val="3"/>
            <w:tcBorders>
              <w:top w:val="single" w:sz="8" w:space="0" w:color="0071C5"/>
            </w:tcBorders>
            <w:shd w:val="clear" w:color="auto" w:fill="auto"/>
            <w:tcMar>
              <w:top w:w="40" w:type="dxa"/>
              <w:left w:w="20" w:type="dxa"/>
              <w:bottom w:w="40" w:type="dxa"/>
              <w:right w:w="20" w:type="dxa"/>
            </w:tcMar>
            <w:vAlign w:val="center"/>
          </w:tcPr>
          <w:p w14:paraId="36CA26C6" w14:textId="77777777" w:rsidR="00787570" w:rsidRDefault="000D56E2">
            <w:pPr>
              <w:jc w:val="right"/>
              <w:textAlignment w:val="center"/>
            </w:pPr>
            <w:r>
              <w:rPr>
                <w:rFonts w:ascii="Arial" w:eastAsia="宋体" w:hAnsi="Arial" w:cs="Arial"/>
                <w:color w:val="333333"/>
                <w:sz w:val="16"/>
                <w:szCs w:val="16"/>
              </w:rPr>
              <w:t>9</w:t>
            </w:r>
          </w:p>
        </w:tc>
      </w:tr>
    </w:tbl>
    <w:p w14:paraId="36CA26C8" w14:textId="77777777" w:rsidR="00787570" w:rsidRDefault="000D56E2">
      <w:r>
        <w:pict w14:anchorId="36CA5C02">
          <v:rect id="_x0000_i1035" style="width:415.3pt;height:1.5pt" o:hralign="center" o:hrstd="t" o:hr="t" fillcolor="#a0a0a0" stroked="f"/>
        </w:pict>
      </w:r>
    </w:p>
    <w:p w14:paraId="36CA26C9" w14:textId="77777777" w:rsidR="00787570" w:rsidRDefault="000D56E2">
      <w:pPr>
        <w:spacing w:after="180"/>
        <w:jc w:val="right"/>
      </w:pPr>
      <w:hyperlink r:id="rId37" w:anchor="i32771df14e9449d2bec5be911426bf04_7" w:history="1">
        <w:r>
          <w:rPr>
            <w:rStyle w:val="a5"/>
            <w:rFonts w:ascii="Arial" w:eastAsia="宋体" w:hAnsi="Arial" w:cs="Arial"/>
            <w:b/>
            <w:bCs/>
            <w:sz w:val="16"/>
            <w:szCs w:val="16"/>
          </w:rPr>
          <w:t>Table of Contents</w:t>
        </w:r>
      </w:hyperlink>
    </w:p>
    <w:p w14:paraId="36CA26CA" w14:textId="77777777" w:rsidR="00787570" w:rsidRDefault="00787570">
      <w:pPr>
        <w:spacing w:after="180"/>
        <w:jc w:val="right"/>
      </w:pP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8231"/>
        <w:gridCol w:w="36"/>
      </w:tblGrid>
      <w:tr w:rsidR="00787570" w14:paraId="36CA26CE" w14:textId="77777777">
        <w:trPr>
          <w:jc w:val="center"/>
        </w:trPr>
        <w:tc>
          <w:tcPr>
            <w:tcW w:w="50" w:type="pct"/>
            <w:shd w:val="clear" w:color="auto" w:fill="auto"/>
          </w:tcPr>
          <w:p w14:paraId="36CA26CB" w14:textId="77777777" w:rsidR="00787570" w:rsidRDefault="00787570">
            <w:pPr>
              <w:rPr>
                <w:rFonts w:ascii="宋体"/>
              </w:rPr>
            </w:pPr>
          </w:p>
        </w:tc>
        <w:tc>
          <w:tcPr>
            <w:tcW w:w="4945" w:type="pct"/>
            <w:shd w:val="clear" w:color="auto" w:fill="auto"/>
          </w:tcPr>
          <w:p w14:paraId="36CA26CC" w14:textId="77777777" w:rsidR="00787570" w:rsidRDefault="00787570">
            <w:pPr>
              <w:rPr>
                <w:rFonts w:ascii="宋体"/>
              </w:rPr>
            </w:pPr>
          </w:p>
        </w:tc>
        <w:tc>
          <w:tcPr>
            <w:tcW w:w="5" w:type="pct"/>
            <w:shd w:val="clear" w:color="auto" w:fill="auto"/>
          </w:tcPr>
          <w:p w14:paraId="36CA26CD" w14:textId="77777777" w:rsidR="00787570" w:rsidRDefault="00787570">
            <w:pPr>
              <w:rPr>
                <w:rFonts w:ascii="宋体"/>
              </w:rPr>
            </w:pPr>
          </w:p>
        </w:tc>
      </w:tr>
      <w:tr w:rsidR="00787570" w14:paraId="36CA26D0" w14:textId="77777777">
        <w:trPr>
          <w:jc w:val="center"/>
        </w:trPr>
        <w:tc>
          <w:tcPr>
            <w:tcW w:w="0" w:type="auto"/>
            <w:gridSpan w:val="3"/>
            <w:shd w:val="clear" w:color="auto" w:fill="0071C5"/>
            <w:tcMar>
              <w:top w:w="40" w:type="dxa"/>
              <w:left w:w="20" w:type="dxa"/>
              <w:bottom w:w="40" w:type="dxa"/>
              <w:right w:w="20" w:type="dxa"/>
            </w:tcMar>
            <w:vAlign w:val="center"/>
          </w:tcPr>
          <w:p w14:paraId="36CA26CF" w14:textId="77777777" w:rsidR="00787570" w:rsidRDefault="000D56E2">
            <w:pPr>
              <w:textAlignment w:val="center"/>
            </w:pPr>
            <w:r>
              <w:rPr>
                <w:rFonts w:ascii="Arial" w:eastAsia="宋体" w:hAnsi="Arial" w:cs="Arial"/>
                <w:b/>
                <w:bCs/>
                <w:color w:val="FFFFFF"/>
                <w:sz w:val="28"/>
                <w:szCs w:val="28"/>
              </w:rPr>
              <w:t xml:space="preserve">NOTES TO CONSOLIDATED CONDENSED FINANCIAL STATEMENTS </w:t>
            </w:r>
          </w:p>
        </w:tc>
      </w:tr>
    </w:tbl>
    <w:p w14:paraId="36CA26D1" w14:textId="77777777" w:rsidR="00787570" w:rsidRDefault="00787570">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998"/>
        <w:gridCol w:w="36"/>
        <w:gridCol w:w="69"/>
        <w:gridCol w:w="7128"/>
        <w:gridCol w:w="36"/>
      </w:tblGrid>
      <w:tr w:rsidR="00787570" w14:paraId="36CA26D8" w14:textId="77777777">
        <w:tc>
          <w:tcPr>
            <w:tcW w:w="50" w:type="pct"/>
            <w:shd w:val="clear" w:color="auto" w:fill="auto"/>
          </w:tcPr>
          <w:p w14:paraId="36CA26D2" w14:textId="77777777" w:rsidR="00787570" w:rsidRDefault="00787570">
            <w:pPr>
              <w:rPr>
                <w:rFonts w:ascii="宋体"/>
              </w:rPr>
            </w:pPr>
          </w:p>
        </w:tc>
        <w:tc>
          <w:tcPr>
            <w:tcW w:w="607" w:type="pct"/>
            <w:shd w:val="clear" w:color="auto" w:fill="auto"/>
          </w:tcPr>
          <w:p w14:paraId="36CA26D3" w14:textId="77777777" w:rsidR="00787570" w:rsidRDefault="00787570">
            <w:pPr>
              <w:rPr>
                <w:rFonts w:ascii="宋体"/>
              </w:rPr>
            </w:pPr>
          </w:p>
        </w:tc>
        <w:tc>
          <w:tcPr>
            <w:tcW w:w="5" w:type="pct"/>
            <w:shd w:val="clear" w:color="auto" w:fill="auto"/>
          </w:tcPr>
          <w:p w14:paraId="36CA26D4" w14:textId="77777777" w:rsidR="00787570" w:rsidRDefault="00787570">
            <w:pPr>
              <w:rPr>
                <w:rFonts w:ascii="宋体"/>
              </w:rPr>
            </w:pPr>
          </w:p>
        </w:tc>
        <w:tc>
          <w:tcPr>
            <w:tcW w:w="50" w:type="pct"/>
            <w:shd w:val="clear" w:color="auto" w:fill="auto"/>
          </w:tcPr>
          <w:p w14:paraId="36CA26D5" w14:textId="77777777" w:rsidR="00787570" w:rsidRDefault="00787570">
            <w:pPr>
              <w:rPr>
                <w:rFonts w:ascii="宋体"/>
              </w:rPr>
            </w:pPr>
          </w:p>
        </w:tc>
        <w:tc>
          <w:tcPr>
            <w:tcW w:w="4282" w:type="pct"/>
            <w:shd w:val="clear" w:color="auto" w:fill="auto"/>
          </w:tcPr>
          <w:p w14:paraId="36CA26D6" w14:textId="77777777" w:rsidR="00787570" w:rsidRDefault="00787570">
            <w:pPr>
              <w:rPr>
                <w:rFonts w:ascii="宋体"/>
              </w:rPr>
            </w:pPr>
          </w:p>
        </w:tc>
        <w:tc>
          <w:tcPr>
            <w:tcW w:w="5" w:type="pct"/>
            <w:shd w:val="clear" w:color="auto" w:fill="auto"/>
          </w:tcPr>
          <w:p w14:paraId="36CA26D7" w14:textId="77777777" w:rsidR="00787570" w:rsidRDefault="00787570">
            <w:pPr>
              <w:rPr>
                <w:rFonts w:ascii="宋体"/>
              </w:rPr>
            </w:pPr>
          </w:p>
        </w:tc>
      </w:tr>
      <w:tr w:rsidR="00787570" w14:paraId="36CA26DB" w14:textId="77777777">
        <w:tc>
          <w:tcPr>
            <w:tcW w:w="0" w:type="auto"/>
            <w:gridSpan w:val="3"/>
            <w:tcBorders>
              <w:bottom w:val="single" w:sz="8" w:space="0" w:color="0071C5"/>
            </w:tcBorders>
            <w:shd w:val="clear" w:color="auto" w:fill="0071C5"/>
            <w:tcMar>
              <w:top w:w="40" w:type="dxa"/>
              <w:left w:w="20" w:type="dxa"/>
              <w:bottom w:w="40" w:type="dxa"/>
              <w:right w:w="20" w:type="dxa"/>
            </w:tcMar>
            <w:vAlign w:val="bottom"/>
          </w:tcPr>
          <w:p w14:paraId="36CA26D9" w14:textId="77777777" w:rsidR="00787570" w:rsidRDefault="000D56E2">
            <w:pPr>
              <w:textAlignment w:val="bottom"/>
            </w:pPr>
            <w:r>
              <w:rPr>
                <w:rFonts w:ascii="Arial" w:eastAsia="宋体" w:hAnsi="Arial" w:cs="Arial"/>
                <w:b/>
                <w:bCs/>
                <w:color w:val="FFFFFF"/>
                <w:sz w:val="28"/>
                <w:szCs w:val="28"/>
              </w:rPr>
              <w:t xml:space="preserve">NOTE 1 : </w:t>
            </w:r>
          </w:p>
        </w:tc>
        <w:tc>
          <w:tcPr>
            <w:tcW w:w="0" w:type="auto"/>
            <w:gridSpan w:val="3"/>
            <w:tcBorders>
              <w:bottom w:val="single" w:sz="8" w:space="0" w:color="0071C5"/>
            </w:tcBorders>
            <w:shd w:val="clear" w:color="auto" w:fill="auto"/>
            <w:tcMar>
              <w:top w:w="40" w:type="dxa"/>
              <w:left w:w="20" w:type="dxa"/>
              <w:bottom w:w="40" w:type="dxa"/>
              <w:right w:w="20" w:type="dxa"/>
            </w:tcMar>
            <w:vAlign w:val="bottom"/>
          </w:tcPr>
          <w:p w14:paraId="36CA26DA" w14:textId="77777777" w:rsidR="00787570" w:rsidRDefault="000D56E2">
            <w:pPr>
              <w:textAlignment w:val="bottom"/>
            </w:pPr>
            <w:r>
              <w:rPr>
                <w:rFonts w:ascii="Arial" w:eastAsia="宋体" w:hAnsi="Arial" w:cs="Arial"/>
                <w:b/>
                <w:bCs/>
                <w:color w:val="0071C5"/>
                <w:sz w:val="28"/>
                <w:szCs w:val="28"/>
              </w:rPr>
              <w:t>BASIS OF PRESENTATION</w:t>
            </w:r>
          </w:p>
        </w:tc>
      </w:tr>
    </w:tbl>
    <w:p w14:paraId="36CA26DC" w14:textId="77777777" w:rsidR="00787570" w:rsidRDefault="000D56E2">
      <w:pPr>
        <w:spacing w:after="180"/>
      </w:pPr>
      <w:r>
        <w:rPr>
          <w:rFonts w:ascii="Arial" w:eastAsia="宋体" w:hAnsi="Arial" w:cs="Arial"/>
          <w:color w:val="333333"/>
          <w:sz w:val="18"/>
          <w:szCs w:val="18"/>
        </w:rPr>
        <w:t xml:space="preserve">We prepared our interim Consolidated Condensed Financial Statements that accompany these notes in conformity with U.S. GAAP, consistent in all material </w:t>
      </w:r>
      <w:r>
        <w:rPr>
          <w:rFonts w:ascii="Arial" w:eastAsia="宋体" w:hAnsi="Arial" w:cs="Arial"/>
          <w:color w:val="333333"/>
          <w:sz w:val="18"/>
          <w:szCs w:val="18"/>
        </w:rPr>
        <w:t>respects with those applied in our 2019 Form 10-K.</w:t>
      </w:r>
    </w:p>
    <w:p w14:paraId="36CA26DD" w14:textId="77777777" w:rsidR="00787570" w:rsidRDefault="000D56E2">
      <w:pPr>
        <w:spacing w:after="180"/>
      </w:pPr>
      <w:r>
        <w:rPr>
          <w:rFonts w:ascii="Arial" w:eastAsia="宋体" w:hAnsi="Arial" w:cs="Arial"/>
          <w:color w:val="333333"/>
          <w:sz w:val="18"/>
          <w:szCs w:val="18"/>
        </w:rPr>
        <w:t>We have made estimates and judgments affecting the amounts reported in our Consolidated Condensed Financial Statements and the accompanying notes. The inputs into our judgments and estimates consider the e</w:t>
      </w:r>
      <w:r>
        <w:rPr>
          <w:rFonts w:ascii="Arial" w:eastAsia="宋体" w:hAnsi="Arial" w:cs="Arial"/>
          <w:color w:val="333333"/>
          <w:sz w:val="18"/>
          <w:szCs w:val="18"/>
        </w:rPr>
        <w:t xml:space="preserve">conomic implications of COVID-19 on our critical and significant accounting estimates. The actual results that we experience may differ materially from our estimates. The interim financial information is unaudited, and reflects all normal adjustments that </w:t>
      </w:r>
      <w:r>
        <w:rPr>
          <w:rFonts w:ascii="Arial" w:eastAsia="宋体" w:hAnsi="Arial" w:cs="Arial"/>
          <w:color w:val="333333"/>
          <w:sz w:val="18"/>
          <w:szCs w:val="18"/>
        </w:rPr>
        <w:t>are, in our opinion, necessary to provide a fair statement of results for the interim periods presented. This report should be read in conjunction with the Consolidated Financial Statements in our 2019 Form 10-K where we include additional information abou</w:t>
      </w:r>
      <w:r>
        <w:rPr>
          <w:rFonts w:ascii="Arial" w:eastAsia="宋体" w:hAnsi="Arial" w:cs="Arial"/>
          <w:color w:val="333333"/>
          <w:sz w:val="18"/>
          <w:szCs w:val="18"/>
        </w:rPr>
        <w:t>t our policies and the methods and assumptions used in our estimates.</w:t>
      </w:r>
    </w:p>
    <w:tbl>
      <w:tblPr>
        <w:tblW w:w="5000" w:type="pct"/>
        <w:tblCellMar>
          <w:top w:w="15" w:type="dxa"/>
          <w:left w:w="15" w:type="dxa"/>
          <w:bottom w:w="15" w:type="dxa"/>
          <w:right w:w="15" w:type="dxa"/>
        </w:tblCellMar>
        <w:tblLook w:val="04A0" w:firstRow="1" w:lastRow="0" w:firstColumn="1" w:lastColumn="0" w:noHBand="0" w:noVBand="1"/>
      </w:tblPr>
      <w:tblGrid>
        <w:gridCol w:w="69"/>
        <w:gridCol w:w="998"/>
        <w:gridCol w:w="36"/>
        <w:gridCol w:w="69"/>
        <w:gridCol w:w="7128"/>
        <w:gridCol w:w="36"/>
      </w:tblGrid>
      <w:tr w:rsidR="00787570" w14:paraId="36CA26E4" w14:textId="77777777">
        <w:tc>
          <w:tcPr>
            <w:tcW w:w="50" w:type="pct"/>
            <w:shd w:val="clear" w:color="auto" w:fill="auto"/>
          </w:tcPr>
          <w:p w14:paraId="36CA26DE" w14:textId="77777777" w:rsidR="00787570" w:rsidRDefault="00787570">
            <w:pPr>
              <w:rPr>
                <w:rFonts w:ascii="宋体"/>
              </w:rPr>
            </w:pPr>
          </w:p>
        </w:tc>
        <w:tc>
          <w:tcPr>
            <w:tcW w:w="607" w:type="pct"/>
            <w:shd w:val="clear" w:color="auto" w:fill="auto"/>
          </w:tcPr>
          <w:p w14:paraId="36CA26DF" w14:textId="77777777" w:rsidR="00787570" w:rsidRDefault="00787570">
            <w:pPr>
              <w:rPr>
                <w:rFonts w:ascii="宋体"/>
              </w:rPr>
            </w:pPr>
          </w:p>
        </w:tc>
        <w:tc>
          <w:tcPr>
            <w:tcW w:w="5" w:type="pct"/>
            <w:shd w:val="clear" w:color="auto" w:fill="auto"/>
          </w:tcPr>
          <w:p w14:paraId="36CA26E0" w14:textId="77777777" w:rsidR="00787570" w:rsidRDefault="00787570">
            <w:pPr>
              <w:rPr>
                <w:rFonts w:ascii="宋体"/>
              </w:rPr>
            </w:pPr>
          </w:p>
        </w:tc>
        <w:tc>
          <w:tcPr>
            <w:tcW w:w="50" w:type="pct"/>
            <w:shd w:val="clear" w:color="auto" w:fill="auto"/>
          </w:tcPr>
          <w:p w14:paraId="36CA26E1" w14:textId="77777777" w:rsidR="00787570" w:rsidRDefault="00787570">
            <w:pPr>
              <w:rPr>
                <w:rFonts w:ascii="宋体"/>
              </w:rPr>
            </w:pPr>
          </w:p>
        </w:tc>
        <w:tc>
          <w:tcPr>
            <w:tcW w:w="4282" w:type="pct"/>
            <w:shd w:val="clear" w:color="auto" w:fill="auto"/>
          </w:tcPr>
          <w:p w14:paraId="36CA26E2" w14:textId="77777777" w:rsidR="00787570" w:rsidRDefault="00787570">
            <w:pPr>
              <w:rPr>
                <w:rFonts w:ascii="宋体"/>
              </w:rPr>
            </w:pPr>
          </w:p>
        </w:tc>
        <w:tc>
          <w:tcPr>
            <w:tcW w:w="5" w:type="pct"/>
            <w:shd w:val="clear" w:color="auto" w:fill="auto"/>
          </w:tcPr>
          <w:p w14:paraId="36CA26E3" w14:textId="77777777" w:rsidR="00787570" w:rsidRDefault="00787570">
            <w:pPr>
              <w:rPr>
                <w:rFonts w:ascii="宋体"/>
              </w:rPr>
            </w:pPr>
          </w:p>
        </w:tc>
      </w:tr>
      <w:tr w:rsidR="00787570" w14:paraId="36CA26E7" w14:textId="77777777">
        <w:tc>
          <w:tcPr>
            <w:tcW w:w="0" w:type="auto"/>
            <w:gridSpan w:val="3"/>
            <w:tcBorders>
              <w:bottom w:val="single" w:sz="8" w:space="0" w:color="0071C5"/>
            </w:tcBorders>
            <w:shd w:val="clear" w:color="auto" w:fill="0071C5"/>
            <w:tcMar>
              <w:top w:w="40" w:type="dxa"/>
              <w:left w:w="20" w:type="dxa"/>
              <w:bottom w:w="40" w:type="dxa"/>
              <w:right w:w="20" w:type="dxa"/>
            </w:tcMar>
            <w:vAlign w:val="bottom"/>
          </w:tcPr>
          <w:p w14:paraId="36CA26E5" w14:textId="77777777" w:rsidR="00787570" w:rsidRDefault="000D56E2">
            <w:pPr>
              <w:textAlignment w:val="bottom"/>
            </w:pPr>
            <w:r>
              <w:rPr>
                <w:rFonts w:ascii="Arial" w:eastAsia="宋体" w:hAnsi="Arial" w:cs="Arial"/>
                <w:b/>
                <w:bCs/>
                <w:color w:val="FFFFFF"/>
                <w:sz w:val="28"/>
                <w:szCs w:val="28"/>
              </w:rPr>
              <w:t xml:space="preserve">NOTE 2 : </w:t>
            </w:r>
          </w:p>
        </w:tc>
        <w:tc>
          <w:tcPr>
            <w:tcW w:w="0" w:type="auto"/>
            <w:gridSpan w:val="3"/>
            <w:tcBorders>
              <w:bottom w:val="single" w:sz="8" w:space="0" w:color="0071C5"/>
            </w:tcBorders>
            <w:shd w:val="clear" w:color="auto" w:fill="auto"/>
            <w:tcMar>
              <w:top w:w="40" w:type="dxa"/>
              <w:left w:w="20" w:type="dxa"/>
              <w:bottom w:w="40" w:type="dxa"/>
              <w:right w:w="20" w:type="dxa"/>
            </w:tcMar>
            <w:vAlign w:val="bottom"/>
          </w:tcPr>
          <w:p w14:paraId="36CA26E6" w14:textId="77777777" w:rsidR="00787570" w:rsidRDefault="000D56E2">
            <w:pPr>
              <w:textAlignment w:val="bottom"/>
            </w:pPr>
            <w:r>
              <w:rPr>
                <w:rFonts w:ascii="Arial" w:eastAsia="宋体" w:hAnsi="Arial" w:cs="Arial"/>
                <w:b/>
                <w:bCs/>
                <w:color w:val="0071C5"/>
                <w:sz w:val="28"/>
                <w:szCs w:val="28"/>
              </w:rPr>
              <w:t>OPERATING SEGMENTS</w:t>
            </w:r>
          </w:p>
        </w:tc>
      </w:tr>
    </w:tbl>
    <w:p w14:paraId="36CA26E8" w14:textId="77777777" w:rsidR="00787570" w:rsidRDefault="000D56E2">
      <w:pPr>
        <w:spacing w:before="180" w:after="120"/>
      </w:pPr>
      <w:r>
        <w:rPr>
          <w:rFonts w:ascii="Arial" w:eastAsia="宋体" w:hAnsi="Arial" w:cs="Arial"/>
          <w:color w:val="333333"/>
          <w:sz w:val="18"/>
          <w:szCs w:val="18"/>
        </w:rPr>
        <w:t>We manage our business through the following operating segments:</w:t>
      </w:r>
    </w:p>
    <w:p w14:paraId="36CA26E9" w14:textId="77777777" w:rsidR="00787570" w:rsidRDefault="000D56E2">
      <w:pPr>
        <w:spacing w:after="60"/>
        <w:ind w:hanging="360"/>
      </w:pPr>
      <w:r>
        <w:rPr>
          <w:rFonts w:ascii="Arial" w:eastAsia="宋体" w:hAnsi="Arial" w:cs="Arial"/>
          <w:b/>
          <w:bCs/>
          <w:color w:val="0071C5"/>
          <w:sz w:val="20"/>
          <w:szCs w:val="20"/>
        </w:rPr>
        <w:t>•</w:t>
      </w:r>
      <w:r>
        <w:rPr>
          <w:rFonts w:ascii="Arial" w:eastAsia="宋体" w:hAnsi="Arial" w:cs="Arial"/>
          <w:color w:val="333333"/>
          <w:sz w:val="18"/>
          <w:szCs w:val="18"/>
        </w:rPr>
        <w:t>DCG</w:t>
      </w:r>
    </w:p>
    <w:p w14:paraId="36CA26EA" w14:textId="77777777" w:rsidR="00787570" w:rsidRDefault="000D56E2">
      <w:pPr>
        <w:spacing w:after="60"/>
        <w:ind w:hanging="360"/>
      </w:pPr>
      <w:r>
        <w:rPr>
          <w:rFonts w:ascii="Arial" w:eastAsia="宋体" w:hAnsi="Arial" w:cs="Arial"/>
          <w:b/>
          <w:bCs/>
          <w:color w:val="0071C5"/>
          <w:sz w:val="20"/>
          <w:szCs w:val="20"/>
        </w:rPr>
        <w:t>•</w:t>
      </w:r>
      <w:r>
        <w:rPr>
          <w:rFonts w:ascii="Arial" w:eastAsia="宋体" w:hAnsi="Arial" w:cs="Arial"/>
          <w:color w:val="333333"/>
          <w:sz w:val="18"/>
          <w:szCs w:val="18"/>
        </w:rPr>
        <w:t>IOTG</w:t>
      </w:r>
    </w:p>
    <w:p w14:paraId="36CA26EB" w14:textId="77777777" w:rsidR="00787570" w:rsidRDefault="000D56E2">
      <w:pPr>
        <w:spacing w:after="60"/>
        <w:ind w:hanging="360"/>
      </w:pPr>
      <w:r>
        <w:rPr>
          <w:rFonts w:ascii="Arial" w:eastAsia="宋体" w:hAnsi="Arial" w:cs="Arial"/>
          <w:b/>
          <w:bCs/>
          <w:color w:val="0071C5"/>
          <w:sz w:val="20"/>
          <w:szCs w:val="20"/>
        </w:rPr>
        <w:t>•</w:t>
      </w:r>
      <w:r>
        <w:rPr>
          <w:rFonts w:ascii="Arial" w:eastAsia="宋体" w:hAnsi="Arial" w:cs="Arial"/>
          <w:color w:val="333333"/>
          <w:sz w:val="18"/>
          <w:szCs w:val="18"/>
        </w:rPr>
        <w:t xml:space="preserve">Mobileye </w:t>
      </w:r>
    </w:p>
    <w:p w14:paraId="36CA26EC" w14:textId="77777777" w:rsidR="00787570" w:rsidRDefault="000D56E2">
      <w:pPr>
        <w:spacing w:after="60"/>
        <w:ind w:hanging="360"/>
      </w:pPr>
      <w:r>
        <w:rPr>
          <w:rFonts w:ascii="Arial" w:eastAsia="宋体" w:hAnsi="Arial" w:cs="Arial"/>
          <w:b/>
          <w:bCs/>
          <w:color w:val="0071C5"/>
          <w:sz w:val="20"/>
          <w:szCs w:val="20"/>
        </w:rPr>
        <w:t>•</w:t>
      </w:r>
      <w:r>
        <w:rPr>
          <w:rFonts w:ascii="Arial" w:eastAsia="宋体" w:hAnsi="Arial" w:cs="Arial"/>
          <w:color w:val="333333"/>
          <w:sz w:val="18"/>
          <w:szCs w:val="18"/>
        </w:rPr>
        <w:t>NSG</w:t>
      </w:r>
    </w:p>
    <w:p w14:paraId="36CA26ED" w14:textId="77777777" w:rsidR="00787570" w:rsidRDefault="000D56E2">
      <w:pPr>
        <w:spacing w:after="60"/>
        <w:ind w:hanging="360"/>
      </w:pPr>
      <w:r>
        <w:rPr>
          <w:rFonts w:ascii="Arial" w:eastAsia="宋体" w:hAnsi="Arial" w:cs="Arial"/>
          <w:b/>
          <w:bCs/>
          <w:color w:val="0071C5"/>
          <w:sz w:val="20"/>
          <w:szCs w:val="20"/>
        </w:rPr>
        <w:t>•</w:t>
      </w:r>
      <w:r>
        <w:rPr>
          <w:rFonts w:ascii="Arial" w:eastAsia="宋体" w:hAnsi="Arial" w:cs="Arial"/>
          <w:color w:val="333333"/>
          <w:sz w:val="18"/>
          <w:szCs w:val="18"/>
        </w:rPr>
        <w:t>PSG</w:t>
      </w:r>
    </w:p>
    <w:p w14:paraId="36CA26EE" w14:textId="77777777" w:rsidR="00787570" w:rsidRDefault="000D56E2">
      <w:pPr>
        <w:spacing w:after="180"/>
        <w:ind w:hanging="360"/>
      </w:pPr>
      <w:r>
        <w:rPr>
          <w:rFonts w:ascii="Arial" w:eastAsia="宋体" w:hAnsi="Arial" w:cs="Arial"/>
          <w:b/>
          <w:bCs/>
          <w:color w:val="0071C5"/>
          <w:sz w:val="20"/>
          <w:szCs w:val="20"/>
        </w:rPr>
        <w:t>•</w:t>
      </w:r>
      <w:r>
        <w:rPr>
          <w:rFonts w:ascii="Arial" w:eastAsia="宋体" w:hAnsi="Arial" w:cs="Arial"/>
          <w:color w:val="333333"/>
          <w:sz w:val="18"/>
          <w:szCs w:val="18"/>
        </w:rPr>
        <w:t>CCG</w:t>
      </w:r>
    </w:p>
    <w:p w14:paraId="36CA26EF" w14:textId="77777777" w:rsidR="00787570" w:rsidRDefault="000D56E2">
      <w:pPr>
        <w:spacing w:after="180"/>
      </w:pPr>
      <w:r>
        <w:rPr>
          <w:rFonts w:ascii="Arial" w:eastAsia="宋体" w:hAnsi="Arial" w:cs="Arial"/>
          <w:color w:val="333333"/>
          <w:sz w:val="18"/>
          <w:szCs w:val="18"/>
        </w:rPr>
        <w:t>We derive a substantial majority of our revenue from platform products, which are our principal products and considered as one class of product. We offer platform products that incorporate various components and technologies, including a microprocessor and</w:t>
      </w:r>
      <w:r>
        <w:rPr>
          <w:rFonts w:ascii="Arial" w:eastAsia="宋体" w:hAnsi="Arial" w:cs="Arial"/>
          <w:color w:val="333333"/>
          <w:sz w:val="18"/>
          <w:szCs w:val="18"/>
        </w:rPr>
        <w:t xml:space="preserve"> chipset, a stand-alone SoC, or a multichip package. Platform products are used in various form factors across our DCG, IOTG, and CCG operating segments. Our non-platform, or adjacent products, can be combined with platform products to form comprehensive p</w:t>
      </w:r>
      <w:r>
        <w:rPr>
          <w:rFonts w:ascii="Arial" w:eastAsia="宋体" w:hAnsi="Arial" w:cs="Arial"/>
          <w:color w:val="333333"/>
          <w:sz w:val="18"/>
          <w:szCs w:val="18"/>
        </w:rPr>
        <w:t xml:space="preserve">latform solutions to meet customer needs. </w:t>
      </w:r>
    </w:p>
    <w:p w14:paraId="36CA26F0" w14:textId="77777777" w:rsidR="00787570" w:rsidRDefault="000D56E2">
      <w:pPr>
        <w:spacing w:after="180"/>
      </w:pPr>
      <w:r>
        <w:rPr>
          <w:rFonts w:ascii="Arial" w:eastAsia="宋体" w:hAnsi="Arial" w:cs="Arial"/>
          <w:color w:val="333333"/>
          <w:sz w:val="18"/>
          <w:szCs w:val="18"/>
        </w:rPr>
        <w:t>DCG and CCG are our reportable operating segments. IOTG, Mobileye, NSG, and PSG do not meet the quantitative thresholds to qualify as reportable operating segments; however, we have elected to disclose the results</w:t>
      </w:r>
      <w:r>
        <w:rPr>
          <w:rFonts w:ascii="Arial" w:eastAsia="宋体" w:hAnsi="Arial" w:cs="Arial"/>
          <w:color w:val="333333"/>
          <w:sz w:val="18"/>
          <w:szCs w:val="18"/>
        </w:rPr>
        <w:t xml:space="preserve"> of these non-reportable operating segments. Our Internet of Things portfolio, presented as Internet of Things, is comprised of IOTG and Mobileye operating segments. </w:t>
      </w:r>
    </w:p>
    <w:p w14:paraId="36CA26F1" w14:textId="77777777" w:rsidR="00787570" w:rsidRDefault="000D56E2">
      <w:pPr>
        <w:spacing w:after="120"/>
      </w:pPr>
      <w:r>
        <w:rPr>
          <w:rFonts w:ascii="Arial" w:eastAsia="宋体" w:hAnsi="Arial" w:cs="Arial"/>
          <w:color w:val="333333"/>
          <w:sz w:val="18"/>
          <w:szCs w:val="18"/>
        </w:rPr>
        <w:t>We have an “all other” category that includes revenue, expenses, and charges such as:</w:t>
      </w:r>
    </w:p>
    <w:p w14:paraId="36CA26F2" w14:textId="77777777" w:rsidR="00787570" w:rsidRDefault="000D56E2">
      <w:pPr>
        <w:spacing w:after="60"/>
        <w:ind w:hanging="360"/>
      </w:pPr>
      <w:r>
        <w:rPr>
          <w:rFonts w:ascii="Arial" w:eastAsia="宋体" w:hAnsi="Arial" w:cs="Arial"/>
          <w:b/>
          <w:bCs/>
          <w:color w:val="0071C5"/>
          <w:sz w:val="20"/>
          <w:szCs w:val="20"/>
        </w:rPr>
        <w:t>•</w:t>
      </w:r>
      <w:r>
        <w:rPr>
          <w:rFonts w:ascii="Arial" w:eastAsia="宋体" w:hAnsi="Arial" w:cs="Arial"/>
          <w:color w:val="333333"/>
          <w:sz w:val="18"/>
          <w:szCs w:val="18"/>
        </w:rPr>
        <w:t>re</w:t>
      </w:r>
      <w:r>
        <w:rPr>
          <w:rFonts w:ascii="Arial" w:eastAsia="宋体" w:hAnsi="Arial" w:cs="Arial"/>
          <w:color w:val="333333"/>
          <w:sz w:val="18"/>
          <w:szCs w:val="18"/>
        </w:rPr>
        <w:t>sults of operations from non-reportable segments not otherwise presented;</w:t>
      </w:r>
    </w:p>
    <w:p w14:paraId="36CA26F3" w14:textId="77777777" w:rsidR="00787570" w:rsidRDefault="000D56E2">
      <w:pPr>
        <w:spacing w:after="60"/>
        <w:ind w:hanging="360"/>
      </w:pPr>
      <w:r>
        <w:rPr>
          <w:rFonts w:ascii="Arial" w:eastAsia="宋体" w:hAnsi="Arial" w:cs="Arial"/>
          <w:b/>
          <w:bCs/>
          <w:color w:val="0071C5"/>
          <w:sz w:val="20"/>
          <w:szCs w:val="20"/>
        </w:rPr>
        <w:t>•</w:t>
      </w:r>
      <w:r>
        <w:rPr>
          <w:rFonts w:ascii="Arial" w:eastAsia="宋体" w:hAnsi="Arial" w:cs="Arial"/>
          <w:color w:val="333333"/>
          <w:sz w:val="18"/>
          <w:szCs w:val="18"/>
        </w:rPr>
        <w:t xml:space="preserve">historical results of operations from divested businesses; </w:t>
      </w:r>
    </w:p>
    <w:p w14:paraId="36CA26F4" w14:textId="77777777" w:rsidR="00787570" w:rsidRDefault="000D56E2">
      <w:pPr>
        <w:spacing w:after="60"/>
        <w:ind w:hanging="360"/>
      </w:pPr>
      <w:r>
        <w:rPr>
          <w:rFonts w:ascii="Arial" w:eastAsia="宋体" w:hAnsi="Arial" w:cs="Arial"/>
          <w:b/>
          <w:bCs/>
          <w:color w:val="0071C5"/>
          <w:sz w:val="20"/>
          <w:szCs w:val="20"/>
        </w:rPr>
        <w:t>•</w:t>
      </w:r>
      <w:r>
        <w:rPr>
          <w:rFonts w:ascii="Arial" w:eastAsia="宋体" w:hAnsi="Arial" w:cs="Arial"/>
          <w:color w:val="333333"/>
          <w:sz w:val="18"/>
          <w:szCs w:val="18"/>
        </w:rPr>
        <w:t xml:space="preserve">results of operations of start-up businesses that support our initiatives, including our foundry business; </w:t>
      </w:r>
    </w:p>
    <w:p w14:paraId="36CA26F5" w14:textId="77777777" w:rsidR="00787570" w:rsidRDefault="000D56E2">
      <w:pPr>
        <w:spacing w:after="60"/>
        <w:ind w:hanging="360"/>
      </w:pPr>
      <w:r>
        <w:rPr>
          <w:rFonts w:ascii="Arial" w:eastAsia="宋体" w:hAnsi="Arial" w:cs="Arial"/>
          <w:b/>
          <w:bCs/>
          <w:color w:val="0071C5"/>
          <w:sz w:val="20"/>
          <w:szCs w:val="20"/>
        </w:rPr>
        <w:t>•</w:t>
      </w:r>
      <w:r>
        <w:rPr>
          <w:rFonts w:ascii="Arial" w:eastAsia="宋体" w:hAnsi="Arial" w:cs="Arial"/>
          <w:color w:val="333333"/>
          <w:sz w:val="18"/>
          <w:szCs w:val="18"/>
        </w:rPr>
        <w:t>amounts inc</w:t>
      </w:r>
      <w:r>
        <w:rPr>
          <w:rFonts w:ascii="Arial" w:eastAsia="宋体" w:hAnsi="Arial" w:cs="Arial"/>
          <w:color w:val="333333"/>
          <w:sz w:val="18"/>
          <w:szCs w:val="18"/>
        </w:rPr>
        <w:t xml:space="preserve">luded within restructuring and other charges; </w:t>
      </w:r>
    </w:p>
    <w:p w14:paraId="36CA26F6" w14:textId="77777777" w:rsidR="00787570" w:rsidRDefault="000D56E2">
      <w:pPr>
        <w:spacing w:after="60"/>
        <w:ind w:hanging="360"/>
      </w:pPr>
      <w:r>
        <w:rPr>
          <w:rFonts w:ascii="Arial" w:eastAsia="宋体" w:hAnsi="Arial" w:cs="Arial"/>
          <w:b/>
          <w:bCs/>
          <w:color w:val="0071C5"/>
          <w:sz w:val="20"/>
          <w:szCs w:val="20"/>
        </w:rPr>
        <w:t>•</w:t>
      </w:r>
      <w:r>
        <w:rPr>
          <w:rFonts w:ascii="Arial" w:eastAsia="宋体" w:hAnsi="Arial" w:cs="Arial"/>
          <w:color w:val="333333"/>
          <w:sz w:val="18"/>
          <w:szCs w:val="18"/>
        </w:rPr>
        <w:t xml:space="preserve">a portion of employee benefits, compensation, and other expenses not allocated to the operating segments; and </w:t>
      </w:r>
    </w:p>
    <w:p w14:paraId="36CA26F7" w14:textId="77777777" w:rsidR="00787570" w:rsidRDefault="000D56E2">
      <w:pPr>
        <w:spacing w:after="180"/>
        <w:ind w:hanging="360"/>
      </w:pPr>
      <w:r>
        <w:rPr>
          <w:rFonts w:ascii="Arial" w:eastAsia="宋体" w:hAnsi="Arial" w:cs="Arial"/>
          <w:b/>
          <w:bCs/>
          <w:color w:val="0071C5"/>
          <w:sz w:val="20"/>
          <w:szCs w:val="20"/>
        </w:rPr>
        <w:t>•</w:t>
      </w:r>
      <w:r>
        <w:rPr>
          <w:rFonts w:ascii="Arial" w:eastAsia="宋体" w:hAnsi="Arial" w:cs="Arial"/>
          <w:color w:val="333333"/>
          <w:sz w:val="18"/>
          <w:szCs w:val="18"/>
        </w:rPr>
        <w:t>acquisition-related costs, including amortization and any impairment of acquisition-related inta</w:t>
      </w:r>
      <w:r>
        <w:rPr>
          <w:rFonts w:ascii="Arial" w:eastAsia="宋体" w:hAnsi="Arial" w:cs="Arial"/>
          <w:color w:val="333333"/>
          <w:sz w:val="18"/>
          <w:szCs w:val="18"/>
        </w:rPr>
        <w:t xml:space="preserve">ngibles and goodwill. </w:t>
      </w:r>
    </w:p>
    <w:p w14:paraId="36CA26F8" w14:textId="77777777" w:rsidR="00787570" w:rsidRDefault="000D56E2">
      <w:pPr>
        <w:spacing w:after="180"/>
      </w:pPr>
      <w:r>
        <w:rPr>
          <w:rFonts w:ascii="Arial" w:eastAsia="宋体" w:hAnsi="Arial" w:cs="Arial"/>
          <w:color w:val="333333"/>
          <w:sz w:val="18"/>
          <w:szCs w:val="18"/>
        </w:rPr>
        <w:t xml:space="preserve">The CODM, who is our CEO, does not evaluate operating segments using discrete asset information. Operating segments do not record inter-segment revenue. We do not allocate gains and losses from equity investments, interest and other </w:t>
      </w:r>
      <w:r>
        <w:rPr>
          <w:rFonts w:ascii="Arial" w:eastAsia="宋体" w:hAnsi="Arial" w:cs="Arial"/>
          <w:color w:val="333333"/>
          <w:sz w:val="18"/>
          <w:szCs w:val="18"/>
        </w:rPr>
        <w:t>income, or taxes to operating segments. Although the CODM uses operating income to evaluate the segments, operating costs included in one segment may benefit other segments. The accounting policies for segment reporting are the same as for Intel as a whole</w:t>
      </w:r>
      <w:r>
        <w:rPr>
          <w:rFonts w:ascii="Arial" w:eastAsia="宋体" w:hAnsi="Arial" w:cs="Arial"/>
          <w:color w:val="333333"/>
          <w:sz w:val="18"/>
          <w:szCs w:val="18"/>
        </w:rPr>
        <w:t>.</w:t>
      </w:r>
    </w:p>
    <w:p w14:paraId="36CA26F9" w14:textId="77777777" w:rsidR="00787570" w:rsidRDefault="00787570">
      <w:pPr>
        <w:spacing w:after="180"/>
      </w:pPr>
    </w:p>
    <w:p w14:paraId="36CA26FA" w14:textId="77777777" w:rsidR="00787570" w:rsidRDefault="00787570">
      <w:pPr>
        <w:spacing w:after="180"/>
      </w:pPr>
    </w:p>
    <w:p w14:paraId="36CA26FB" w14:textId="77777777" w:rsidR="00787570" w:rsidRDefault="00787570">
      <w:pPr>
        <w:spacing w:after="180"/>
      </w:pPr>
    </w:p>
    <w:p w14:paraId="36CA26FC" w14:textId="77777777" w:rsidR="00787570" w:rsidRDefault="00787570">
      <w:pPr>
        <w:spacing w:after="180"/>
      </w:pPr>
    </w:p>
    <w:p w14:paraId="36CA26FD" w14:textId="77777777" w:rsidR="00787570" w:rsidRDefault="00787570">
      <w:pPr>
        <w:spacing w:after="180"/>
      </w:pPr>
    </w:p>
    <w:p w14:paraId="36CA26FE" w14:textId="77777777" w:rsidR="00787570" w:rsidRDefault="00787570">
      <w:pPr>
        <w:spacing w:after="180"/>
      </w:pPr>
    </w:p>
    <w:p w14:paraId="36CA26FF" w14:textId="77777777" w:rsidR="00787570" w:rsidRDefault="00787570">
      <w:pPr>
        <w:spacing w:after="180"/>
      </w:pPr>
    </w:p>
    <w:p w14:paraId="36CA2700" w14:textId="77777777" w:rsidR="00787570" w:rsidRDefault="00787570">
      <w:pPr>
        <w:spacing w:after="180"/>
      </w:pPr>
    </w:p>
    <w:tbl>
      <w:tblPr>
        <w:tblW w:w="5000" w:type="pct"/>
        <w:tblCellMar>
          <w:top w:w="15" w:type="dxa"/>
          <w:left w:w="15" w:type="dxa"/>
          <w:bottom w:w="15" w:type="dxa"/>
          <w:right w:w="15" w:type="dxa"/>
        </w:tblCellMar>
        <w:tblLook w:val="04A0" w:firstRow="1" w:lastRow="0" w:firstColumn="1" w:lastColumn="0" w:noHBand="0" w:noVBand="1"/>
      </w:tblPr>
      <w:tblGrid>
        <w:gridCol w:w="86"/>
        <w:gridCol w:w="426"/>
        <w:gridCol w:w="36"/>
        <w:gridCol w:w="62"/>
        <w:gridCol w:w="1676"/>
        <w:gridCol w:w="36"/>
        <w:gridCol w:w="62"/>
        <w:gridCol w:w="3655"/>
        <w:gridCol w:w="36"/>
        <w:gridCol w:w="63"/>
        <w:gridCol w:w="2162"/>
        <w:gridCol w:w="36"/>
      </w:tblGrid>
      <w:tr w:rsidR="00787570" w14:paraId="36CA270D" w14:textId="77777777">
        <w:tc>
          <w:tcPr>
            <w:tcW w:w="50" w:type="pct"/>
            <w:shd w:val="clear" w:color="auto" w:fill="auto"/>
            <w:vAlign w:val="bottom"/>
          </w:tcPr>
          <w:p w14:paraId="36CA2701" w14:textId="77777777" w:rsidR="00787570" w:rsidRDefault="00787570">
            <w:pPr>
              <w:rPr>
                <w:rFonts w:ascii="宋体"/>
              </w:rPr>
            </w:pPr>
          </w:p>
        </w:tc>
        <w:tc>
          <w:tcPr>
            <w:tcW w:w="248" w:type="pct"/>
            <w:shd w:val="clear" w:color="auto" w:fill="auto"/>
            <w:vAlign w:val="bottom"/>
          </w:tcPr>
          <w:p w14:paraId="36CA2702" w14:textId="77777777" w:rsidR="00787570" w:rsidRDefault="00787570">
            <w:pPr>
              <w:rPr>
                <w:rFonts w:ascii="宋体"/>
              </w:rPr>
            </w:pPr>
          </w:p>
        </w:tc>
        <w:tc>
          <w:tcPr>
            <w:tcW w:w="5" w:type="pct"/>
            <w:shd w:val="clear" w:color="auto" w:fill="auto"/>
            <w:vAlign w:val="bottom"/>
          </w:tcPr>
          <w:p w14:paraId="36CA2703" w14:textId="77777777" w:rsidR="00787570" w:rsidRDefault="00787570">
            <w:pPr>
              <w:rPr>
                <w:rFonts w:ascii="宋体"/>
              </w:rPr>
            </w:pPr>
          </w:p>
        </w:tc>
        <w:tc>
          <w:tcPr>
            <w:tcW w:w="50" w:type="pct"/>
            <w:shd w:val="clear" w:color="auto" w:fill="auto"/>
            <w:vAlign w:val="bottom"/>
          </w:tcPr>
          <w:p w14:paraId="36CA2704" w14:textId="77777777" w:rsidR="00787570" w:rsidRDefault="00787570">
            <w:pPr>
              <w:rPr>
                <w:rFonts w:ascii="宋体"/>
              </w:rPr>
            </w:pPr>
          </w:p>
        </w:tc>
        <w:tc>
          <w:tcPr>
            <w:tcW w:w="1018" w:type="pct"/>
            <w:shd w:val="clear" w:color="auto" w:fill="auto"/>
            <w:vAlign w:val="bottom"/>
          </w:tcPr>
          <w:p w14:paraId="36CA2705" w14:textId="77777777" w:rsidR="00787570" w:rsidRDefault="00787570">
            <w:pPr>
              <w:rPr>
                <w:rFonts w:ascii="宋体"/>
              </w:rPr>
            </w:pPr>
          </w:p>
        </w:tc>
        <w:tc>
          <w:tcPr>
            <w:tcW w:w="5" w:type="pct"/>
            <w:shd w:val="clear" w:color="auto" w:fill="auto"/>
            <w:vAlign w:val="bottom"/>
          </w:tcPr>
          <w:p w14:paraId="36CA2706" w14:textId="77777777" w:rsidR="00787570" w:rsidRDefault="00787570">
            <w:pPr>
              <w:rPr>
                <w:rFonts w:ascii="宋体"/>
              </w:rPr>
            </w:pPr>
          </w:p>
        </w:tc>
        <w:tc>
          <w:tcPr>
            <w:tcW w:w="50" w:type="pct"/>
            <w:shd w:val="clear" w:color="auto" w:fill="auto"/>
            <w:vAlign w:val="bottom"/>
          </w:tcPr>
          <w:p w14:paraId="36CA2707" w14:textId="77777777" w:rsidR="00787570" w:rsidRDefault="00787570">
            <w:pPr>
              <w:rPr>
                <w:rFonts w:ascii="宋体"/>
              </w:rPr>
            </w:pPr>
          </w:p>
        </w:tc>
        <w:tc>
          <w:tcPr>
            <w:tcW w:w="2204" w:type="pct"/>
            <w:shd w:val="clear" w:color="auto" w:fill="auto"/>
            <w:vAlign w:val="bottom"/>
          </w:tcPr>
          <w:p w14:paraId="36CA2708" w14:textId="77777777" w:rsidR="00787570" w:rsidRDefault="00787570">
            <w:pPr>
              <w:rPr>
                <w:rFonts w:ascii="宋体"/>
              </w:rPr>
            </w:pPr>
          </w:p>
        </w:tc>
        <w:tc>
          <w:tcPr>
            <w:tcW w:w="5" w:type="pct"/>
            <w:shd w:val="clear" w:color="auto" w:fill="auto"/>
            <w:vAlign w:val="bottom"/>
          </w:tcPr>
          <w:p w14:paraId="36CA2709" w14:textId="77777777" w:rsidR="00787570" w:rsidRDefault="00787570">
            <w:pPr>
              <w:rPr>
                <w:rFonts w:ascii="宋体"/>
              </w:rPr>
            </w:pPr>
          </w:p>
        </w:tc>
        <w:tc>
          <w:tcPr>
            <w:tcW w:w="50" w:type="pct"/>
            <w:shd w:val="clear" w:color="auto" w:fill="auto"/>
            <w:vAlign w:val="bottom"/>
          </w:tcPr>
          <w:p w14:paraId="36CA270A" w14:textId="77777777" w:rsidR="00787570" w:rsidRDefault="00787570">
            <w:pPr>
              <w:rPr>
                <w:rFonts w:ascii="宋体"/>
              </w:rPr>
            </w:pPr>
          </w:p>
        </w:tc>
        <w:tc>
          <w:tcPr>
            <w:tcW w:w="1308" w:type="pct"/>
            <w:shd w:val="clear" w:color="auto" w:fill="auto"/>
            <w:vAlign w:val="bottom"/>
          </w:tcPr>
          <w:p w14:paraId="36CA270B" w14:textId="77777777" w:rsidR="00787570" w:rsidRDefault="00787570">
            <w:pPr>
              <w:rPr>
                <w:rFonts w:ascii="宋体"/>
              </w:rPr>
            </w:pPr>
          </w:p>
        </w:tc>
        <w:tc>
          <w:tcPr>
            <w:tcW w:w="5" w:type="pct"/>
            <w:shd w:val="clear" w:color="auto" w:fill="auto"/>
            <w:vAlign w:val="bottom"/>
          </w:tcPr>
          <w:p w14:paraId="36CA270C" w14:textId="77777777" w:rsidR="00787570" w:rsidRDefault="00787570">
            <w:pPr>
              <w:rPr>
                <w:rFonts w:ascii="宋体"/>
              </w:rPr>
            </w:pPr>
          </w:p>
        </w:tc>
      </w:tr>
      <w:tr w:rsidR="00787570" w14:paraId="36CA2712" w14:textId="77777777">
        <w:tc>
          <w:tcPr>
            <w:tcW w:w="0" w:type="auto"/>
            <w:gridSpan w:val="3"/>
            <w:tcBorders>
              <w:top w:val="single" w:sz="8" w:space="0" w:color="0071C5"/>
            </w:tcBorders>
            <w:shd w:val="clear" w:color="auto" w:fill="auto"/>
            <w:tcMar>
              <w:left w:w="20" w:type="dxa"/>
              <w:right w:w="20" w:type="dxa"/>
            </w:tcMar>
            <w:vAlign w:val="center"/>
          </w:tcPr>
          <w:p w14:paraId="36CA270E" w14:textId="77777777" w:rsidR="00787570" w:rsidRDefault="000D56E2">
            <w:pPr>
              <w:textAlignment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Viewer9_files/intc-20200926_g2.jpg"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36CA5C03" wp14:editId="36CA5C04">
                  <wp:extent cx="304800" cy="304800"/>
                  <wp:effectExtent l="0" t="0" r="0" b="0"/>
                  <wp:docPr id="3" name="图片 59" descr="IMG_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59" descr="IMG_329"/>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8" w:space="0" w:color="0071C5"/>
            </w:tcBorders>
            <w:shd w:val="clear" w:color="auto" w:fill="auto"/>
            <w:tcMar>
              <w:top w:w="40" w:type="dxa"/>
              <w:left w:w="20" w:type="dxa"/>
              <w:bottom w:w="40" w:type="dxa"/>
              <w:right w:w="20" w:type="dxa"/>
            </w:tcMar>
            <w:vAlign w:val="center"/>
          </w:tcPr>
          <w:p w14:paraId="36CA270F" w14:textId="77777777" w:rsidR="00787570" w:rsidRDefault="000D56E2">
            <w:pPr>
              <w:textAlignment w:val="center"/>
            </w:pPr>
            <w:r>
              <w:rPr>
                <w:rFonts w:ascii="Arial" w:eastAsia="宋体" w:hAnsi="Arial" w:cs="Arial"/>
                <w:color w:val="333333"/>
                <w:sz w:val="16"/>
                <w:szCs w:val="16"/>
              </w:rPr>
              <w:t> FINANCIAL STATEMENTS</w:t>
            </w:r>
          </w:p>
        </w:tc>
        <w:tc>
          <w:tcPr>
            <w:tcW w:w="0" w:type="auto"/>
            <w:gridSpan w:val="3"/>
            <w:tcBorders>
              <w:top w:val="single" w:sz="8" w:space="0" w:color="0071C5"/>
              <w:left w:val="single" w:sz="24" w:space="0" w:color="0071C5"/>
            </w:tcBorders>
            <w:shd w:val="clear" w:color="auto" w:fill="auto"/>
            <w:tcMar>
              <w:top w:w="40" w:type="dxa"/>
              <w:left w:w="20" w:type="dxa"/>
              <w:bottom w:w="40" w:type="dxa"/>
              <w:right w:w="20" w:type="dxa"/>
            </w:tcMar>
            <w:vAlign w:val="center"/>
          </w:tcPr>
          <w:p w14:paraId="36CA2710" w14:textId="77777777" w:rsidR="00787570" w:rsidRDefault="000D56E2">
            <w:pPr>
              <w:textAlignment w:val="center"/>
            </w:pPr>
            <w:r>
              <w:rPr>
                <w:rFonts w:ascii="Arial" w:eastAsia="宋体" w:hAnsi="Arial" w:cs="Arial"/>
                <w:color w:val="333333"/>
                <w:sz w:val="16"/>
                <w:szCs w:val="16"/>
              </w:rPr>
              <w:t>  Notes to Financial Statements</w:t>
            </w:r>
          </w:p>
        </w:tc>
        <w:tc>
          <w:tcPr>
            <w:tcW w:w="0" w:type="auto"/>
            <w:gridSpan w:val="3"/>
            <w:tcBorders>
              <w:top w:val="single" w:sz="8" w:space="0" w:color="0071C5"/>
            </w:tcBorders>
            <w:shd w:val="clear" w:color="auto" w:fill="auto"/>
            <w:tcMar>
              <w:top w:w="40" w:type="dxa"/>
              <w:left w:w="20" w:type="dxa"/>
              <w:bottom w:w="40" w:type="dxa"/>
              <w:right w:w="20" w:type="dxa"/>
            </w:tcMar>
            <w:vAlign w:val="center"/>
          </w:tcPr>
          <w:p w14:paraId="36CA2711" w14:textId="77777777" w:rsidR="00787570" w:rsidRDefault="000D56E2">
            <w:pPr>
              <w:jc w:val="right"/>
              <w:textAlignment w:val="center"/>
            </w:pPr>
            <w:r>
              <w:rPr>
                <w:rFonts w:ascii="Arial" w:eastAsia="宋体" w:hAnsi="Arial" w:cs="Arial"/>
                <w:color w:val="333333"/>
                <w:sz w:val="16"/>
                <w:szCs w:val="16"/>
              </w:rPr>
              <w:t>10</w:t>
            </w:r>
          </w:p>
        </w:tc>
      </w:tr>
    </w:tbl>
    <w:p w14:paraId="36CA2713" w14:textId="77777777" w:rsidR="00787570" w:rsidRDefault="000D56E2">
      <w:r>
        <w:pict w14:anchorId="36CA5C05">
          <v:rect id="_x0000_i1036" style="width:415.3pt;height:1.5pt" o:hralign="center" o:hrstd="t" o:hr="t" fillcolor="#a0a0a0" stroked="f"/>
        </w:pict>
      </w:r>
    </w:p>
    <w:p w14:paraId="36CA2714" w14:textId="77777777" w:rsidR="00787570" w:rsidRDefault="000D56E2">
      <w:pPr>
        <w:spacing w:after="180"/>
        <w:jc w:val="right"/>
      </w:pPr>
      <w:hyperlink r:id="rId38" w:anchor="i32771df14e9449d2bec5be911426bf04_7" w:history="1">
        <w:r>
          <w:rPr>
            <w:rStyle w:val="a5"/>
            <w:rFonts w:ascii="Arial" w:eastAsia="宋体" w:hAnsi="Arial" w:cs="Arial"/>
            <w:b/>
            <w:bCs/>
            <w:sz w:val="16"/>
            <w:szCs w:val="16"/>
          </w:rPr>
          <w:t>Table of Contents</w:t>
        </w:r>
      </w:hyperlink>
    </w:p>
    <w:p w14:paraId="36CA2715" w14:textId="77777777" w:rsidR="00787570" w:rsidRDefault="00787570">
      <w:pPr>
        <w:spacing w:after="180"/>
        <w:jc w:val="right"/>
      </w:pPr>
    </w:p>
    <w:p w14:paraId="36CA2716" w14:textId="77777777" w:rsidR="00787570" w:rsidRDefault="000D56E2">
      <w:pPr>
        <w:spacing w:after="120"/>
      </w:pPr>
      <w:r>
        <w:rPr>
          <w:rFonts w:ascii="Arial" w:eastAsia="宋体" w:hAnsi="Arial" w:cs="Arial"/>
          <w:color w:val="333333"/>
          <w:sz w:val="18"/>
          <w:szCs w:val="18"/>
        </w:rPr>
        <w:t>Net revenue and operating income (loss) for each period were as follows:</w:t>
      </w:r>
    </w:p>
    <w:tbl>
      <w:tblPr>
        <w:tblW w:w="5000" w:type="pct"/>
        <w:tblCellMar>
          <w:top w:w="15" w:type="dxa"/>
          <w:left w:w="15" w:type="dxa"/>
          <w:bottom w:w="15" w:type="dxa"/>
          <w:right w:w="15" w:type="dxa"/>
        </w:tblCellMar>
        <w:tblLook w:val="04A0" w:firstRow="1" w:lastRow="0" w:firstColumn="1" w:lastColumn="0" w:noHBand="0" w:noVBand="1"/>
      </w:tblPr>
      <w:tblGrid>
        <w:gridCol w:w="41"/>
        <w:gridCol w:w="3758"/>
        <w:gridCol w:w="40"/>
        <w:gridCol w:w="36"/>
        <w:gridCol w:w="36"/>
        <w:gridCol w:w="36"/>
        <w:gridCol w:w="136"/>
        <w:gridCol w:w="730"/>
        <w:gridCol w:w="41"/>
        <w:gridCol w:w="36"/>
        <w:gridCol w:w="36"/>
        <w:gridCol w:w="36"/>
        <w:gridCol w:w="136"/>
        <w:gridCol w:w="731"/>
        <w:gridCol w:w="41"/>
        <w:gridCol w:w="36"/>
        <w:gridCol w:w="36"/>
        <w:gridCol w:w="36"/>
        <w:gridCol w:w="136"/>
        <w:gridCol w:w="732"/>
        <w:gridCol w:w="41"/>
        <w:gridCol w:w="36"/>
        <w:gridCol w:w="36"/>
        <w:gridCol w:w="36"/>
        <w:gridCol w:w="136"/>
        <w:gridCol w:w="732"/>
        <w:gridCol w:w="41"/>
        <w:gridCol w:w="36"/>
        <w:gridCol w:w="36"/>
        <w:gridCol w:w="36"/>
        <w:gridCol w:w="36"/>
        <w:gridCol w:w="36"/>
        <w:gridCol w:w="36"/>
        <w:gridCol w:w="36"/>
        <w:gridCol w:w="36"/>
        <w:gridCol w:w="36"/>
        <w:gridCol w:w="36"/>
        <w:gridCol w:w="36"/>
        <w:gridCol w:w="36"/>
      </w:tblGrid>
      <w:tr w:rsidR="00787570" w14:paraId="36CA2732" w14:textId="77777777">
        <w:trPr>
          <w:gridAfter w:val="12"/>
        </w:trPr>
        <w:tc>
          <w:tcPr>
            <w:tcW w:w="50" w:type="pct"/>
            <w:shd w:val="clear" w:color="auto" w:fill="auto"/>
          </w:tcPr>
          <w:p w14:paraId="36CA2717" w14:textId="77777777" w:rsidR="00787570" w:rsidRDefault="00787570">
            <w:pPr>
              <w:rPr>
                <w:rFonts w:ascii="宋体"/>
              </w:rPr>
            </w:pPr>
          </w:p>
        </w:tc>
        <w:tc>
          <w:tcPr>
            <w:tcW w:w="2431" w:type="pct"/>
            <w:shd w:val="clear" w:color="auto" w:fill="auto"/>
          </w:tcPr>
          <w:p w14:paraId="36CA2718" w14:textId="77777777" w:rsidR="00787570" w:rsidRDefault="00787570">
            <w:pPr>
              <w:rPr>
                <w:rFonts w:ascii="宋体"/>
              </w:rPr>
            </w:pPr>
          </w:p>
        </w:tc>
        <w:tc>
          <w:tcPr>
            <w:tcW w:w="5" w:type="pct"/>
            <w:shd w:val="clear" w:color="auto" w:fill="auto"/>
          </w:tcPr>
          <w:p w14:paraId="36CA2719" w14:textId="77777777" w:rsidR="00787570" w:rsidRDefault="00787570">
            <w:pPr>
              <w:rPr>
                <w:rFonts w:ascii="宋体"/>
              </w:rPr>
            </w:pPr>
          </w:p>
        </w:tc>
        <w:tc>
          <w:tcPr>
            <w:tcW w:w="5" w:type="pct"/>
            <w:shd w:val="clear" w:color="auto" w:fill="auto"/>
          </w:tcPr>
          <w:p w14:paraId="36CA271A" w14:textId="77777777" w:rsidR="00787570" w:rsidRDefault="00787570">
            <w:pPr>
              <w:rPr>
                <w:rFonts w:ascii="宋体"/>
              </w:rPr>
            </w:pPr>
          </w:p>
        </w:tc>
        <w:tc>
          <w:tcPr>
            <w:tcW w:w="24" w:type="pct"/>
            <w:shd w:val="clear" w:color="auto" w:fill="auto"/>
          </w:tcPr>
          <w:p w14:paraId="36CA271B" w14:textId="77777777" w:rsidR="00787570" w:rsidRDefault="00787570">
            <w:pPr>
              <w:rPr>
                <w:rFonts w:ascii="宋体"/>
              </w:rPr>
            </w:pPr>
          </w:p>
        </w:tc>
        <w:tc>
          <w:tcPr>
            <w:tcW w:w="5" w:type="pct"/>
            <w:shd w:val="clear" w:color="auto" w:fill="auto"/>
          </w:tcPr>
          <w:p w14:paraId="36CA271C" w14:textId="77777777" w:rsidR="00787570" w:rsidRDefault="00787570">
            <w:pPr>
              <w:rPr>
                <w:rFonts w:ascii="宋体"/>
              </w:rPr>
            </w:pPr>
          </w:p>
        </w:tc>
        <w:tc>
          <w:tcPr>
            <w:tcW w:w="50" w:type="pct"/>
            <w:shd w:val="clear" w:color="auto" w:fill="auto"/>
          </w:tcPr>
          <w:p w14:paraId="36CA271D" w14:textId="77777777" w:rsidR="00787570" w:rsidRDefault="00787570">
            <w:pPr>
              <w:rPr>
                <w:rFonts w:ascii="宋体"/>
              </w:rPr>
            </w:pPr>
          </w:p>
        </w:tc>
        <w:tc>
          <w:tcPr>
            <w:tcW w:w="539" w:type="pct"/>
            <w:shd w:val="clear" w:color="auto" w:fill="auto"/>
          </w:tcPr>
          <w:p w14:paraId="36CA271E" w14:textId="77777777" w:rsidR="00787570" w:rsidRDefault="00787570">
            <w:pPr>
              <w:rPr>
                <w:rFonts w:ascii="宋体"/>
              </w:rPr>
            </w:pPr>
          </w:p>
        </w:tc>
        <w:tc>
          <w:tcPr>
            <w:tcW w:w="5" w:type="pct"/>
            <w:shd w:val="clear" w:color="auto" w:fill="auto"/>
          </w:tcPr>
          <w:p w14:paraId="36CA271F" w14:textId="77777777" w:rsidR="00787570" w:rsidRDefault="00787570">
            <w:pPr>
              <w:rPr>
                <w:rFonts w:ascii="宋体"/>
              </w:rPr>
            </w:pPr>
          </w:p>
        </w:tc>
        <w:tc>
          <w:tcPr>
            <w:tcW w:w="5" w:type="pct"/>
            <w:shd w:val="clear" w:color="auto" w:fill="auto"/>
          </w:tcPr>
          <w:p w14:paraId="36CA2720" w14:textId="77777777" w:rsidR="00787570" w:rsidRDefault="00787570">
            <w:pPr>
              <w:rPr>
                <w:rFonts w:ascii="宋体"/>
              </w:rPr>
            </w:pPr>
          </w:p>
        </w:tc>
        <w:tc>
          <w:tcPr>
            <w:tcW w:w="24" w:type="pct"/>
            <w:shd w:val="clear" w:color="auto" w:fill="auto"/>
          </w:tcPr>
          <w:p w14:paraId="36CA2721" w14:textId="77777777" w:rsidR="00787570" w:rsidRDefault="00787570">
            <w:pPr>
              <w:rPr>
                <w:rFonts w:ascii="宋体"/>
              </w:rPr>
            </w:pPr>
          </w:p>
        </w:tc>
        <w:tc>
          <w:tcPr>
            <w:tcW w:w="5" w:type="pct"/>
            <w:shd w:val="clear" w:color="auto" w:fill="auto"/>
          </w:tcPr>
          <w:p w14:paraId="36CA2722" w14:textId="77777777" w:rsidR="00787570" w:rsidRDefault="00787570">
            <w:pPr>
              <w:rPr>
                <w:rFonts w:ascii="宋体"/>
              </w:rPr>
            </w:pPr>
          </w:p>
        </w:tc>
        <w:tc>
          <w:tcPr>
            <w:tcW w:w="50" w:type="pct"/>
            <w:shd w:val="clear" w:color="auto" w:fill="auto"/>
          </w:tcPr>
          <w:p w14:paraId="36CA2723" w14:textId="77777777" w:rsidR="00787570" w:rsidRDefault="00787570">
            <w:pPr>
              <w:rPr>
                <w:rFonts w:ascii="宋体"/>
              </w:rPr>
            </w:pPr>
          </w:p>
        </w:tc>
        <w:tc>
          <w:tcPr>
            <w:tcW w:w="539" w:type="pct"/>
            <w:shd w:val="clear" w:color="auto" w:fill="auto"/>
          </w:tcPr>
          <w:p w14:paraId="36CA2724" w14:textId="77777777" w:rsidR="00787570" w:rsidRDefault="00787570">
            <w:pPr>
              <w:rPr>
                <w:rFonts w:ascii="宋体"/>
              </w:rPr>
            </w:pPr>
          </w:p>
        </w:tc>
        <w:tc>
          <w:tcPr>
            <w:tcW w:w="5" w:type="pct"/>
            <w:shd w:val="clear" w:color="auto" w:fill="auto"/>
          </w:tcPr>
          <w:p w14:paraId="36CA2725" w14:textId="77777777" w:rsidR="00787570" w:rsidRDefault="00787570">
            <w:pPr>
              <w:rPr>
                <w:rFonts w:ascii="宋体"/>
              </w:rPr>
            </w:pPr>
          </w:p>
        </w:tc>
        <w:tc>
          <w:tcPr>
            <w:tcW w:w="5" w:type="pct"/>
            <w:shd w:val="clear" w:color="auto" w:fill="auto"/>
          </w:tcPr>
          <w:p w14:paraId="36CA2726" w14:textId="77777777" w:rsidR="00787570" w:rsidRDefault="00787570">
            <w:pPr>
              <w:rPr>
                <w:rFonts w:ascii="宋体"/>
              </w:rPr>
            </w:pPr>
          </w:p>
        </w:tc>
        <w:tc>
          <w:tcPr>
            <w:tcW w:w="24" w:type="pct"/>
            <w:shd w:val="clear" w:color="auto" w:fill="auto"/>
          </w:tcPr>
          <w:p w14:paraId="36CA2727" w14:textId="77777777" w:rsidR="00787570" w:rsidRDefault="00787570">
            <w:pPr>
              <w:rPr>
                <w:rFonts w:ascii="宋体"/>
              </w:rPr>
            </w:pPr>
          </w:p>
        </w:tc>
        <w:tc>
          <w:tcPr>
            <w:tcW w:w="5" w:type="pct"/>
            <w:shd w:val="clear" w:color="auto" w:fill="auto"/>
          </w:tcPr>
          <w:p w14:paraId="36CA2728" w14:textId="77777777" w:rsidR="00787570" w:rsidRDefault="00787570">
            <w:pPr>
              <w:rPr>
                <w:rFonts w:ascii="宋体"/>
              </w:rPr>
            </w:pPr>
          </w:p>
        </w:tc>
        <w:tc>
          <w:tcPr>
            <w:tcW w:w="50" w:type="pct"/>
            <w:shd w:val="clear" w:color="auto" w:fill="auto"/>
          </w:tcPr>
          <w:p w14:paraId="36CA2729" w14:textId="77777777" w:rsidR="00787570" w:rsidRDefault="00787570">
            <w:pPr>
              <w:rPr>
                <w:rFonts w:ascii="宋体"/>
              </w:rPr>
            </w:pPr>
          </w:p>
        </w:tc>
        <w:tc>
          <w:tcPr>
            <w:tcW w:w="539" w:type="pct"/>
            <w:shd w:val="clear" w:color="auto" w:fill="auto"/>
          </w:tcPr>
          <w:p w14:paraId="36CA272A" w14:textId="77777777" w:rsidR="00787570" w:rsidRDefault="00787570">
            <w:pPr>
              <w:rPr>
                <w:rFonts w:ascii="宋体"/>
              </w:rPr>
            </w:pPr>
          </w:p>
        </w:tc>
        <w:tc>
          <w:tcPr>
            <w:tcW w:w="5" w:type="pct"/>
            <w:shd w:val="clear" w:color="auto" w:fill="auto"/>
          </w:tcPr>
          <w:p w14:paraId="36CA272B" w14:textId="77777777" w:rsidR="00787570" w:rsidRDefault="00787570">
            <w:pPr>
              <w:rPr>
                <w:rFonts w:ascii="宋体"/>
              </w:rPr>
            </w:pPr>
          </w:p>
        </w:tc>
        <w:tc>
          <w:tcPr>
            <w:tcW w:w="5" w:type="pct"/>
            <w:shd w:val="clear" w:color="auto" w:fill="auto"/>
          </w:tcPr>
          <w:p w14:paraId="36CA272C" w14:textId="77777777" w:rsidR="00787570" w:rsidRDefault="00787570">
            <w:pPr>
              <w:rPr>
                <w:rFonts w:ascii="宋体"/>
              </w:rPr>
            </w:pPr>
          </w:p>
        </w:tc>
        <w:tc>
          <w:tcPr>
            <w:tcW w:w="24" w:type="pct"/>
            <w:shd w:val="clear" w:color="auto" w:fill="auto"/>
          </w:tcPr>
          <w:p w14:paraId="36CA272D" w14:textId="77777777" w:rsidR="00787570" w:rsidRDefault="00787570">
            <w:pPr>
              <w:rPr>
                <w:rFonts w:ascii="宋体"/>
              </w:rPr>
            </w:pPr>
          </w:p>
        </w:tc>
        <w:tc>
          <w:tcPr>
            <w:tcW w:w="5" w:type="pct"/>
            <w:shd w:val="clear" w:color="auto" w:fill="auto"/>
          </w:tcPr>
          <w:p w14:paraId="36CA272E" w14:textId="77777777" w:rsidR="00787570" w:rsidRDefault="00787570">
            <w:pPr>
              <w:rPr>
                <w:rFonts w:ascii="宋体"/>
              </w:rPr>
            </w:pPr>
          </w:p>
        </w:tc>
        <w:tc>
          <w:tcPr>
            <w:tcW w:w="50" w:type="pct"/>
            <w:shd w:val="clear" w:color="auto" w:fill="auto"/>
          </w:tcPr>
          <w:p w14:paraId="36CA272F" w14:textId="77777777" w:rsidR="00787570" w:rsidRDefault="00787570">
            <w:pPr>
              <w:rPr>
                <w:rFonts w:ascii="宋体"/>
              </w:rPr>
            </w:pPr>
          </w:p>
        </w:tc>
        <w:tc>
          <w:tcPr>
            <w:tcW w:w="539" w:type="pct"/>
            <w:shd w:val="clear" w:color="auto" w:fill="auto"/>
          </w:tcPr>
          <w:p w14:paraId="36CA2730" w14:textId="77777777" w:rsidR="00787570" w:rsidRDefault="00787570">
            <w:pPr>
              <w:rPr>
                <w:rFonts w:ascii="宋体"/>
              </w:rPr>
            </w:pPr>
          </w:p>
        </w:tc>
        <w:tc>
          <w:tcPr>
            <w:tcW w:w="5" w:type="pct"/>
            <w:shd w:val="clear" w:color="auto" w:fill="auto"/>
          </w:tcPr>
          <w:p w14:paraId="36CA2731" w14:textId="77777777" w:rsidR="00787570" w:rsidRDefault="00787570">
            <w:pPr>
              <w:rPr>
                <w:rFonts w:ascii="宋体"/>
              </w:rPr>
            </w:pPr>
          </w:p>
        </w:tc>
      </w:tr>
      <w:tr w:rsidR="00787570" w14:paraId="36CA273C" w14:textId="77777777">
        <w:tc>
          <w:tcPr>
            <w:tcW w:w="0" w:type="auto"/>
            <w:gridSpan w:val="3"/>
            <w:shd w:val="clear" w:color="auto" w:fill="auto"/>
            <w:tcMar>
              <w:left w:w="20" w:type="dxa"/>
              <w:right w:w="20" w:type="dxa"/>
            </w:tcMar>
            <w:vAlign w:val="bottom"/>
          </w:tcPr>
          <w:p w14:paraId="36CA2733"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2734" w14:textId="77777777" w:rsidR="00787570" w:rsidRDefault="00787570">
            <w:pPr>
              <w:rPr>
                <w:rFonts w:ascii="宋体"/>
              </w:rPr>
            </w:pPr>
          </w:p>
        </w:tc>
        <w:tc>
          <w:tcPr>
            <w:tcW w:w="0" w:type="auto"/>
            <w:gridSpan w:val="9"/>
            <w:shd w:val="clear" w:color="auto" w:fill="auto"/>
            <w:tcMar>
              <w:top w:w="40" w:type="dxa"/>
              <w:left w:w="20" w:type="dxa"/>
              <w:bottom w:w="40" w:type="dxa"/>
              <w:right w:w="20" w:type="dxa"/>
            </w:tcMar>
            <w:vAlign w:val="bottom"/>
          </w:tcPr>
          <w:p w14:paraId="36CA2735" w14:textId="77777777" w:rsidR="00787570" w:rsidRDefault="000D56E2">
            <w:pPr>
              <w:jc w:val="center"/>
              <w:textAlignment w:val="bottom"/>
            </w:pPr>
            <w:r>
              <w:rPr>
                <w:rFonts w:ascii="Arial" w:eastAsia="宋体" w:hAnsi="Arial" w:cs="Arial"/>
                <w:b/>
                <w:bCs/>
                <w:color w:val="333333"/>
                <w:sz w:val="18"/>
                <w:szCs w:val="18"/>
              </w:rPr>
              <w:t>Three Months Ended</w:t>
            </w:r>
          </w:p>
        </w:tc>
        <w:tc>
          <w:tcPr>
            <w:tcW w:w="0" w:type="auto"/>
            <w:gridSpan w:val="3"/>
            <w:shd w:val="clear" w:color="auto" w:fill="auto"/>
          </w:tcPr>
          <w:p w14:paraId="36CA2736" w14:textId="77777777" w:rsidR="00787570" w:rsidRDefault="00787570">
            <w:pPr>
              <w:rPr>
                <w:rFonts w:ascii="宋体"/>
                <w:vanish/>
              </w:rPr>
            </w:pPr>
          </w:p>
        </w:tc>
        <w:tc>
          <w:tcPr>
            <w:tcW w:w="0" w:type="auto"/>
            <w:gridSpan w:val="3"/>
            <w:shd w:val="clear" w:color="auto" w:fill="auto"/>
          </w:tcPr>
          <w:p w14:paraId="36CA2737" w14:textId="77777777" w:rsidR="00787570" w:rsidRDefault="00787570">
            <w:pPr>
              <w:rPr>
                <w:rFonts w:ascii="宋体"/>
                <w:vanish/>
              </w:rPr>
            </w:pPr>
          </w:p>
        </w:tc>
        <w:tc>
          <w:tcPr>
            <w:tcW w:w="0" w:type="auto"/>
            <w:gridSpan w:val="3"/>
            <w:shd w:val="clear" w:color="auto" w:fill="auto"/>
            <w:tcMar>
              <w:left w:w="20" w:type="dxa"/>
              <w:right w:w="20" w:type="dxa"/>
            </w:tcMar>
            <w:vAlign w:val="bottom"/>
          </w:tcPr>
          <w:p w14:paraId="36CA2738" w14:textId="77777777" w:rsidR="00787570" w:rsidRDefault="00787570">
            <w:pPr>
              <w:rPr>
                <w:rFonts w:ascii="宋体"/>
              </w:rPr>
            </w:pPr>
          </w:p>
        </w:tc>
        <w:tc>
          <w:tcPr>
            <w:tcW w:w="0" w:type="auto"/>
            <w:gridSpan w:val="9"/>
            <w:shd w:val="clear" w:color="auto" w:fill="auto"/>
            <w:tcMar>
              <w:top w:w="40" w:type="dxa"/>
              <w:left w:w="20" w:type="dxa"/>
              <w:bottom w:w="40" w:type="dxa"/>
              <w:right w:w="20" w:type="dxa"/>
            </w:tcMar>
            <w:vAlign w:val="bottom"/>
          </w:tcPr>
          <w:p w14:paraId="36CA2739" w14:textId="77777777" w:rsidR="00787570" w:rsidRDefault="000D56E2">
            <w:pPr>
              <w:jc w:val="center"/>
              <w:textAlignment w:val="bottom"/>
            </w:pPr>
            <w:r>
              <w:rPr>
                <w:rFonts w:ascii="Arial" w:eastAsia="宋体" w:hAnsi="Arial" w:cs="Arial"/>
                <w:b/>
                <w:bCs/>
                <w:color w:val="333333"/>
                <w:sz w:val="18"/>
                <w:szCs w:val="18"/>
              </w:rPr>
              <w:t>Nine Months Ended</w:t>
            </w:r>
          </w:p>
        </w:tc>
        <w:tc>
          <w:tcPr>
            <w:tcW w:w="0" w:type="auto"/>
            <w:gridSpan w:val="3"/>
            <w:shd w:val="clear" w:color="auto" w:fill="auto"/>
          </w:tcPr>
          <w:p w14:paraId="36CA273A" w14:textId="77777777" w:rsidR="00787570" w:rsidRDefault="00787570">
            <w:pPr>
              <w:rPr>
                <w:rFonts w:ascii="宋体"/>
                <w:vanish/>
              </w:rPr>
            </w:pPr>
          </w:p>
        </w:tc>
        <w:tc>
          <w:tcPr>
            <w:tcW w:w="0" w:type="auto"/>
            <w:gridSpan w:val="3"/>
            <w:shd w:val="clear" w:color="auto" w:fill="auto"/>
          </w:tcPr>
          <w:p w14:paraId="36CA273B" w14:textId="77777777" w:rsidR="00787570" w:rsidRDefault="00787570">
            <w:pPr>
              <w:rPr>
                <w:rFonts w:ascii="宋体"/>
                <w:vanish/>
              </w:rPr>
            </w:pPr>
          </w:p>
        </w:tc>
      </w:tr>
      <w:tr w:rsidR="00787570" w14:paraId="36CA2752" w14:textId="77777777">
        <w:tc>
          <w:tcPr>
            <w:tcW w:w="0" w:type="auto"/>
            <w:gridSpan w:val="3"/>
            <w:shd w:val="clear" w:color="auto" w:fill="auto"/>
            <w:tcMar>
              <w:top w:w="40" w:type="dxa"/>
              <w:left w:w="20" w:type="dxa"/>
              <w:bottom w:w="40" w:type="dxa"/>
              <w:right w:w="20" w:type="dxa"/>
            </w:tcMar>
            <w:vAlign w:val="bottom"/>
          </w:tcPr>
          <w:p w14:paraId="36CA273D" w14:textId="77777777" w:rsidR="00787570" w:rsidRDefault="000D56E2">
            <w:pPr>
              <w:ind w:hanging="180"/>
              <w:textAlignment w:val="bottom"/>
            </w:pPr>
            <w:r>
              <w:rPr>
                <w:rFonts w:ascii="Arial" w:eastAsia="宋体" w:hAnsi="Arial" w:cs="Arial"/>
                <w:b/>
                <w:bCs/>
                <w:color w:val="333333"/>
                <w:sz w:val="18"/>
                <w:szCs w:val="18"/>
              </w:rPr>
              <w:t>(In Millions)</w:t>
            </w:r>
          </w:p>
        </w:tc>
        <w:tc>
          <w:tcPr>
            <w:tcW w:w="0" w:type="auto"/>
            <w:gridSpan w:val="3"/>
            <w:shd w:val="clear" w:color="auto" w:fill="auto"/>
            <w:tcMar>
              <w:left w:w="20" w:type="dxa"/>
              <w:right w:w="20" w:type="dxa"/>
            </w:tcMar>
            <w:vAlign w:val="bottom"/>
          </w:tcPr>
          <w:p w14:paraId="36CA273E" w14:textId="77777777" w:rsidR="00787570" w:rsidRDefault="00787570">
            <w:pPr>
              <w:rPr>
                <w:rFonts w:ascii="宋体"/>
              </w:rPr>
            </w:pPr>
          </w:p>
        </w:tc>
        <w:tc>
          <w:tcPr>
            <w:tcW w:w="0" w:type="auto"/>
            <w:gridSpan w:val="3"/>
            <w:tcBorders>
              <w:top w:val="single" w:sz="8" w:space="0" w:color="0071C5"/>
            </w:tcBorders>
            <w:shd w:val="clear" w:color="auto" w:fill="auto"/>
            <w:tcMar>
              <w:top w:w="40" w:type="dxa"/>
              <w:left w:w="20" w:type="dxa"/>
              <w:bottom w:w="40" w:type="dxa"/>
              <w:right w:w="20" w:type="dxa"/>
            </w:tcMar>
            <w:vAlign w:val="bottom"/>
          </w:tcPr>
          <w:p w14:paraId="36CA273F" w14:textId="77777777" w:rsidR="00787570" w:rsidRDefault="000D56E2">
            <w:pPr>
              <w:jc w:val="center"/>
              <w:textAlignment w:val="bottom"/>
            </w:pPr>
            <w:r>
              <w:rPr>
                <w:rFonts w:ascii="Arial" w:eastAsia="宋体" w:hAnsi="Arial" w:cs="Arial"/>
                <w:b/>
                <w:bCs/>
                <w:color w:val="333333"/>
                <w:sz w:val="18"/>
                <w:szCs w:val="18"/>
              </w:rPr>
              <w:t>Sep 26, 2020</w:t>
            </w:r>
          </w:p>
        </w:tc>
        <w:tc>
          <w:tcPr>
            <w:tcW w:w="0" w:type="auto"/>
            <w:gridSpan w:val="3"/>
            <w:tcBorders>
              <w:top w:val="single" w:sz="8" w:space="0" w:color="0071C5"/>
            </w:tcBorders>
            <w:shd w:val="clear" w:color="auto" w:fill="auto"/>
            <w:tcMar>
              <w:left w:w="20" w:type="dxa"/>
              <w:right w:w="20" w:type="dxa"/>
            </w:tcMar>
            <w:vAlign w:val="bottom"/>
          </w:tcPr>
          <w:p w14:paraId="36CA2740" w14:textId="77777777" w:rsidR="00787570" w:rsidRDefault="00787570">
            <w:pPr>
              <w:rPr>
                <w:rFonts w:ascii="宋体"/>
              </w:rPr>
            </w:pPr>
          </w:p>
        </w:tc>
        <w:tc>
          <w:tcPr>
            <w:tcW w:w="0" w:type="auto"/>
            <w:gridSpan w:val="3"/>
            <w:tcBorders>
              <w:top w:val="single" w:sz="8" w:space="0" w:color="0071C5"/>
            </w:tcBorders>
            <w:shd w:val="clear" w:color="auto" w:fill="auto"/>
            <w:tcMar>
              <w:top w:w="40" w:type="dxa"/>
              <w:left w:w="20" w:type="dxa"/>
              <w:bottom w:w="40" w:type="dxa"/>
              <w:right w:w="20" w:type="dxa"/>
            </w:tcMar>
            <w:vAlign w:val="bottom"/>
          </w:tcPr>
          <w:p w14:paraId="36CA2741" w14:textId="77777777" w:rsidR="00787570" w:rsidRDefault="000D56E2">
            <w:pPr>
              <w:jc w:val="center"/>
              <w:textAlignment w:val="bottom"/>
            </w:pPr>
            <w:r>
              <w:rPr>
                <w:rFonts w:ascii="Arial" w:eastAsia="宋体" w:hAnsi="Arial" w:cs="Arial"/>
                <w:b/>
                <w:bCs/>
                <w:color w:val="333333"/>
                <w:sz w:val="18"/>
                <w:szCs w:val="18"/>
              </w:rPr>
              <w:t>Sep 28, 2019</w:t>
            </w:r>
          </w:p>
        </w:tc>
        <w:tc>
          <w:tcPr>
            <w:tcW w:w="0" w:type="auto"/>
            <w:gridSpan w:val="3"/>
            <w:shd w:val="clear" w:color="auto" w:fill="auto"/>
            <w:tcMar>
              <w:left w:w="20" w:type="dxa"/>
              <w:right w:w="20" w:type="dxa"/>
            </w:tcMar>
            <w:vAlign w:val="bottom"/>
          </w:tcPr>
          <w:p w14:paraId="36CA2742" w14:textId="77777777" w:rsidR="00787570" w:rsidRDefault="00787570">
            <w:pPr>
              <w:rPr>
                <w:rFonts w:ascii="宋体"/>
              </w:rPr>
            </w:pPr>
          </w:p>
        </w:tc>
        <w:tc>
          <w:tcPr>
            <w:tcW w:w="0" w:type="auto"/>
            <w:gridSpan w:val="3"/>
            <w:tcBorders>
              <w:top w:val="single" w:sz="8" w:space="0" w:color="0071C5"/>
            </w:tcBorders>
            <w:shd w:val="clear" w:color="auto" w:fill="auto"/>
            <w:tcMar>
              <w:top w:w="40" w:type="dxa"/>
              <w:left w:w="20" w:type="dxa"/>
              <w:bottom w:w="40" w:type="dxa"/>
              <w:right w:w="20" w:type="dxa"/>
            </w:tcMar>
            <w:vAlign w:val="bottom"/>
          </w:tcPr>
          <w:p w14:paraId="36CA2743" w14:textId="77777777" w:rsidR="00787570" w:rsidRDefault="000D56E2">
            <w:pPr>
              <w:jc w:val="center"/>
              <w:textAlignment w:val="bottom"/>
            </w:pPr>
            <w:r>
              <w:rPr>
                <w:rFonts w:ascii="Arial" w:eastAsia="宋体" w:hAnsi="Arial" w:cs="Arial"/>
                <w:b/>
                <w:bCs/>
                <w:color w:val="333333"/>
                <w:sz w:val="18"/>
                <w:szCs w:val="18"/>
              </w:rPr>
              <w:t>Sep 26, 2020</w:t>
            </w:r>
          </w:p>
        </w:tc>
        <w:tc>
          <w:tcPr>
            <w:tcW w:w="0" w:type="auto"/>
            <w:gridSpan w:val="3"/>
            <w:tcBorders>
              <w:top w:val="single" w:sz="8" w:space="0" w:color="0071C5"/>
            </w:tcBorders>
            <w:shd w:val="clear" w:color="auto" w:fill="auto"/>
            <w:tcMar>
              <w:left w:w="20" w:type="dxa"/>
              <w:right w:w="20" w:type="dxa"/>
            </w:tcMar>
            <w:vAlign w:val="bottom"/>
          </w:tcPr>
          <w:p w14:paraId="36CA2744" w14:textId="77777777" w:rsidR="00787570" w:rsidRDefault="00787570">
            <w:pPr>
              <w:rPr>
                <w:rFonts w:ascii="宋体"/>
              </w:rPr>
            </w:pPr>
          </w:p>
        </w:tc>
        <w:tc>
          <w:tcPr>
            <w:tcW w:w="0" w:type="auto"/>
            <w:gridSpan w:val="3"/>
            <w:tcBorders>
              <w:top w:val="single" w:sz="8" w:space="0" w:color="0071C5"/>
            </w:tcBorders>
            <w:shd w:val="clear" w:color="auto" w:fill="auto"/>
            <w:tcMar>
              <w:top w:w="40" w:type="dxa"/>
              <w:left w:w="20" w:type="dxa"/>
              <w:bottom w:w="40" w:type="dxa"/>
              <w:right w:w="20" w:type="dxa"/>
            </w:tcMar>
            <w:vAlign w:val="bottom"/>
          </w:tcPr>
          <w:p w14:paraId="36CA2745" w14:textId="77777777" w:rsidR="00787570" w:rsidRDefault="000D56E2">
            <w:pPr>
              <w:jc w:val="center"/>
              <w:textAlignment w:val="bottom"/>
            </w:pPr>
            <w:r>
              <w:rPr>
                <w:rFonts w:ascii="Arial" w:eastAsia="宋体" w:hAnsi="Arial" w:cs="Arial"/>
                <w:b/>
                <w:bCs/>
                <w:color w:val="333333"/>
                <w:sz w:val="18"/>
                <w:szCs w:val="18"/>
              </w:rPr>
              <w:t>Sep 28, 2019</w:t>
            </w:r>
          </w:p>
        </w:tc>
        <w:tc>
          <w:tcPr>
            <w:tcW w:w="0" w:type="auto"/>
            <w:shd w:val="clear" w:color="auto" w:fill="auto"/>
          </w:tcPr>
          <w:p w14:paraId="36CA2746" w14:textId="77777777" w:rsidR="00787570" w:rsidRDefault="00787570">
            <w:pPr>
              <w:rPr>
                <w:rFonts w:ascii="宋体"/>
              </w:rPr>
            </w:pPr>
          </w:p>
        </w:tc>
        <w:tc>
          <w:tcPr>
            <w:tcW w:w="0" w:type="auto"/>
            <w:shd w:val="clear" w:color="auto" w:fill="auto"/>
          </w:tcPr>
          <w:p w14:paraId="36CA2747" w14:textId="77777777" w:rsidR="00787570" w:rsidRDefault="00787570">
            <w:pPr>
              <w:rPr>
                <w:rFonts w:ascii="宋体"/>
              </w:rPr>
            </w:pPr>
          </w:p>
        </w:tc>
        <w:tc>
          <w:tcPr>
            <w:tcW w:w="0" w:type="auto"/>
            <w:shd w:val="clear" w:color="auto" w:fill="auto"/>
          </w:tcPr>
          <w:p w14:paraId="36CA2748" w14:textId="77777777" w:rsidR="00787570" w:rsidRDefault="00787570">
            <w:pPr>
              <w:rPr>
                <w:rFonts w:ascii="宋体"/>
              </w:rPr>
            </w:pPr>
          </w:p>
        </w:tc>
        <w:tc>
          <w:tcPr>
            <w:tcW w:w="0" w:type="auto"/>
            <w:shd w:val="clear" w:color="auto" w:fill="auto"/>
          </w:tcPr>
          <w:p w14:paraId="36CA2749" w14:textId="77777777" w:rsidR="00787570" w:rsidRDefault="00787570">
            <w:pPr>
              <w:rPr>
                <w:rFonts w:ascii="宋体"/>
              </w:rPr>
            </w:pPr>
          </w:p>
        </w:tc>
        <w:tc>
          <w:tcPr>
            <w:tcW w:w="0" w:type="auto"/>
            <w:shd w:val="clear" w:color="auto" w:fill="auto"/>
          </w:tcPr>
          <w:p w14:paraId="36CA274A" w14:textId="77777777" w:rsidR="00787570" w:rsidRDefault="00787570">
            <w:pPr>
              <w:rPr>
                <w:rFonts w:ascii="宋体"/>
              </w:rPr>
            </w:pPr>
          </w:p>
        </w:tc>
        <w:tc>
          <w:tcPr>
            <w:tcW w:w="0" w:type="auto"/>
            <w:shd w:val="clear" w:color="auto" w:fill="auto"/>
          </w:tcPr>
          <w:p w14:paraId="36CA274B" w14:textId="77777777" w:rsidR="00787570" w:rsidRDefault="00787570">
            <w:pPr>
              <w:rPr>
                <w:rFonts w:ascii="宋体"/>
              </w:rPr>
            </w:pPr>
          </w:p>
        </w:tc>
        <w:tc>
          <w:tcPr>
            <w:tcW w:w="0" w:type="auto"/>
            <w:shd w:val="clear" w:color="auto" w:fill="auto"/>
          </w:tcPr>
          <w:p w14:paraId="36CA274C" w14:textId="77777777" w:rsidR="00787570" w:rsidRDefault="00787570">
            <w:pPr>
              <w:rPr>
                <w:rFonts w:ascii="宋体"/>
              </w:rPr>
            </w:pPr>
          </w:p>
        </w:tc>
        <w:tc>
          <w:tcPr>
            <w:tcW w:w="0" w:type="auto"/>
            <w:shd w:val="clear" w:color="auto" w:fill="auto"/>
          </w:tcPr>
          <w:p w14:paraId="36CA274D" w14:textId="77777777" w:rsidR="00787570" w:rsidRDefault="00787570">
            <w:pPr>
              <w:rPr>
                <w:rFonts w:ascii="宋体"/>
              </w:rPr>
            </w:pPr>
          </w:p>
        </w:tc>
        <w:tc>
          <w:tcPr>
            <w:tcW w:w="0" w:type="auto"/>
            <w:shd w:val="clear" w:color="auto" w:fill="auto"/>
          </w:tcPr>
          <w:p w14:paraId="36CA274E" w14:textId="77777777" w:rsidR="00787570" w:rsidRDefault="00787570">
            <w:pPr>
              <w:rPr>
                <w:rFonts w:ascii="宋体"/>
              </w:rPr>
            </w:pPr>
          </w:p>
        </w:tc>
        <w:tc>
          <w:tcPr>
            <w:tcW w:w="0" w:type="auto"/>
            <w:shd w:val="clear" w:color="auto" w:fill="auto"/>
          </w:tcPr>
          <w:p w14:paraId="36CA274F" w14:textId="77777777" w:rsidR="00787570" w:rsidRDefault="00787570">
            <w:pPr>
              <w:rPr>
                <w:rFonts w:ascii="宋体"/>
              </w:rPr>
            </w:pPr>
          </w:p>
        </w:tc>
        <w:tc>
          <w:tcPr>
            <w:tcW w:w="0" w:type="auto"/>
            <w:shd w:val="clear" w:color="auto" w:fill="auto"/>
          </w:tcPr>
          <w:p w14:paraId="36CA2750" w14:textId="77777777" w:rsidR="00787570" w:rsidRDefault="00787570">
            <w:pPr>
              <w:rPr>
                <w:rFonts w:ascii="宋体"/>
              </w:rPr>
            </w:pPr>
          </w:p>
        </w:tc>
        <w:tc>
          <w:tcPr>
            <w:tcW w:w="0" w:type="auto"/>
            <w:shd w:val="clear" w:color="auto" w:fill="auto"/>
          </w:tcPr>
          <w:p w14:paraId="36CA2751" w14:textId="77777777" w:rsidR="00787570" w:rsidRDefault="00787570">
            <w:pPr>
              <w:rPr>
                <w:rFonts w:ascii="宋体"/>
              </w:rPr>
            </w:pPr>
          </w:p>
        </w:tc>
      </w:tr>
      <w:tr w:rsidR="00787570" w14:paraId="36CA2768" w14:textId="77777777">
        <w:tc>
          <w:tcPr>
            <w:tcW w:w="0" w:type="auto"/>
            <w:gridSpan w:val="3"/>
            <w:tcBorders>
              <w:top w:val="single" w:sz="8" w:space="0" w:color="0071C5"/>
            </w:tcBorders>
            <w:shd w:val="clear" w:color="auto" w:fill="auto"/>
            <w:tcMar>
              <w:top w:w="40" w:type="dxa"/>
              <w:left w:w="20" w:type="dxa"/>
              <w:bottom w:w="40" w:type="dxa"/>
              <w:right w:w="20" w:type="dxa"/>
            </w:tcMar>
            <w:vAlign w:val="bottom"/>
          </w:tcPr>
          <w:p w14:paraId="36CA2753" w14:textId="77777777" w:rsidR="00787570" w:rsidRDefault="000D56E2">
            <w:pPr>
              <w:textAlignment w:val="bottom"/>
            </w:pPr>
            <w:r>
              <w:rPr>
                <w:rFonts w:ascii="Arial" w:eastAsia="宋体" w:hAnsi="Arial" w:cs="Arial"/>
                <w:b/>
                <w:bCs/>
                <w:color w:val="333333"/>
                <w:sz w:val="18"/>
                <w:szCs w:val="18"/>
              </w:rPr>
              <w:t>Net rev</w:t>
            </w:r>
            <w:r>
              <w:rPr>
                <w:rFonts w:ascii="Arial" w:eastAsia="宋体" w:hAnsi="Arial" w:cs="Arial"/>
                <w:b/>
                <w:bCs/>
                <w:color w:val="333333"/>
                <w:sz w:val="18"/>
                <w:szCs w:val="18"/>
              </w:rPr>
              <w:t>enue:</w:t>
            </w:r>
          </w:p>
        </w:tc>
        <w:tc>
          <w:tcPr>
            <w:tcW w:w="0" w:type="auto"/>
            <w:gridSpan w:val="3"/>
            <w:shd w:val="clear" w:color="auto" w:fill="auto"/>
            <w:tcMar>
              <w:left w:w="20" w:type="dxa"/>
              <w:right w:w="20" w:type="dxa"/>
            </w:tcMar>
            <w:vAlign w:val="bottom"/>
          </w:tcPr>
          <w:p w14:paraId="36CA2754" w14:textId="77777777" w:rsidR="00787570" w:rsidRDefault="00787570">
            <w:pPr>
              <w:rPr>
                <w:rFonts w:ascii="宋体"/>
              </w:rPr>
            </w:pPr>
          </w:p>
        </w:tc>
        <w:tc>
          <w:tcPr>
            <w:tcW w:w="0" w:type="auto"/>
            <w:gridSpan w:val="3"/>
            <w:tcBorders>
              <w:top w:val="single" w:sz="8" w:space="0" w:color="0071C5"/>
            </w:tcBorders>
            <w:shd w:val="clear" w:color="auto" w:fill="auto"/>
            <w:tcMar>
              <w:left w:w="20" w:type="dxa"/>
              <w:right w:w="20" w:type="dxa"/>
            </w:tcMar>
            <w:vAlign w:val="bottom"/>
          </w:tcPr>
          <w:p w14:paraId="36CA2755"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2756" w14:textId="77777777" w:rsidR="00787570" w:rsidRDefault="00787570">
            <w:pPr>
              <w:rPr>
                <w:rFonts w:ascii="宋体"/>
              </w:rPr>
            </w:pPr>
          </w:p>
        </w:tc>
        <w:tc>
          <w:tcPr>
            <w:tcW w:w="0" w:type="auto"/>
            <w:gridSpan w:val="3"/>
            <w:tcBorders>
              <w:top w:val="single" w:sz="8" w:space="0" w:color="0071C5"/>
            </w:tcBorders>
            <w:shd w:val="clear" w:color="auto" w:fill="auto"/>
            <w:tcMar>
              <w:left w:w="20" w:type="dxa"/>
              <w:right w:w="20" w:type="dxa"/>
            </w:tcMar>
            <w:vAlign w:val="bottom"/>
          </w:tcPr>
          <w:p w14:paraId="36CA2757"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2758" w14:textId="77777777" w:rsidR="00787570" w:rsidRDefault="00787570">
            <w:pPr>
              <w:rPr>
                <w:rFonts w:ascii="宋体"/>
              </w:rPr>
            </w:pPr>
          </w:p>
        </w:tc>
        <w:tc>
          <w:tcPr>
            <w:tcW w:w="0" w:type="auto"/>
            <w:gridSpan w:val="3"/>
            <w:tcBorders>
              <w:top w:val="single" w:sz="8" w:space="0" w:color="0071C5"/>
            </w:tcBorders>
            <w:shd w:val="clear" w:color="auto" w:fill="auto"/>
            <w:tcMar>
              <w:left w:w="20" w:type="dxa"/>
              <w:right w:w="20" w:type="dxa"/>
            </w:tcMar>
            <w:vAlign w:val="bottom"/>
          </w:tcPr>
          <w:p w14:paraId="36CA2759"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275A" w14:textId="77777777" w:rsidR="00787570" w:rsidRDefault="00787570">
            <w:pPr>
              <w:rPr>
                <w:rFonts w:ascii="宋体"/>
              </w:rPr>
            </w:pPr>
          </w:p>
        </w:tc>
        <w:tc>
          <w:tcPr>
            <w:tcW w:w="0" w:type="auto"/>
            <w:gridSpan w:val="3"/>
            <w:tcBorders>
              <w:top w:val="single" w:sz="8" w:space="0" w:color="0071C5"/>
            </w:tcBorders>
            <w:shd w:val="clear" w:color="auto" w:fill="auto"/>
            <w:tcMar>
              <w:left w:w="20" w:type="dxa"/>
              <w:right w:w="20" w:type="dxa"/>
            </w:tcMar>
            <w:vAlign w:val="bottom"/>
          </w:tcPr>
          <w:p w14:paraId="36CA275B" w14:textId="77777777" w:rsidR="00787570" w:rsidRDefault="00787570">
            <w:pPr>
              <w:rPr>
                <w:rFonts w:ascii="宋体"/>
              </w:rPr>
            </w:pPr>
          </w:p>
        </w:tc>
        <w:tc>
          <w:tcPr>
            <w:tcW w:w="0" w:type="auto"/>
            <w:shd w:val="clear" w:color="auto" w:fill="auto"/>
          </w:tcPr>
          <w:p w14:paraId="36CA275C" w14:textId="77777777" w:rsidR="00787570" w:rsidRDefault="00787570">
            <w:pPr>
              <w:rPr>
                <w:rFonts w:ascii="宋体"/>
              </w:rPr>
            </w:pPr>
          </w:p>
        </w:tc>
        <w:tc>
          <w:tcPr>
            <w:tcW w:w="0" w:type="auto"/>
            <w:shd w:val="clear" w:color="auto" w:fill="auto"/>
          </w:tcPr>
          <w:p w14:paraId="36CA275D" w14:textId="77777777" w:rsidR="00787570" w:rsidRDefault="00787570">
            <w:pPr>
              <w:rPr>
                <w:rFonts w:ascii="宋体"/>
              </w:rPr>
            </w:pPr>
          </w:p>
        </w:tc>
        <w:tc>
          <w:tcPr>
            <w:tcW w:w="0" w:type="auto"/>
            <w:shd w:val="clear" w:color="auto" w:fill="auto"/>
          </w:tcPr>
          <w:p w14:paraId="36CA275E" w14:textId="77777777" w:rsidR="00787570" w:rsidRDefault="00787570">
            <w:pPr>
              <w:rPr>
                <w:rFonts w:ascii="宋体"/>
              </w:rPr>
            </w:pPr>
          </w:p>
        </w:tc>
        <w:tc>
          <w:tcPr>
            <w:tcW w:w="0" w:type="auto"/>
            <w:shd w:val="clear" w:color="auto" w:fill="auto"/>
          </w:tcPr>
          <w:p w14:paraId="36CA275F" w14:textId="77777777" w:rsidR="00787570" w:rsidRDefault="00787570">
            <w:pPr>
              <w:rPr>
                <w:rFonts w:ascii="宋体"/>
              </w:rPr>
            </w:pPr>
          </w:p>
        </w:tc>
        <w:tc>
          <w:tcPr>
            <w:tcW w:w="0" w:type="auto"/>
            <w:shd w:val="clear" w:color="auto" w:fill="auto"/>
          </w:tcPr>
          <w:p w14:paraId="36CA2760" w14:textId="77777777" w:rsidR="00787570" w:rsidRDefault="00787570">
            <w:pPr>
              <w:rPr>
                <w:rFonts w:ascii="宋体"/>
              </w:rPr>
            </w:pPr>
          </w:p>
        </w:tc>
        <w:tc>
          <w:tcPr>
            <w:tcW w:w="0" w:type="auto"/>
            <w:shd w:val="clear" w:color="auto" w:fill="auto"/>
          </w:tcPr>
          <w:p w14:paraId="36CA2761" w14:textId="77777777" w:rsidR="00787570" w:rsidRDefault="00787570">
            <w:pPr>
              <w:rPr>
                <w:rFonts w:ascii="宋体"/>
              </w:rPr>
            </w:pPr>
          </w:p>
        </w:tc>
        <w:tc>
          <w:tcPr>
            <w:tcW w:w="0" w:type="auto"/>
            <w:shd w:val="clear" w:color="auto" w:fill="auto"/>
          </w:tcPr>
          <w:p w14:paraId="36CA2762" w14:textId="77777777" w:rsidR="00787570" w:rsidRDefault="00787570">
            <w:pPr>
              <w:rPr>
                <w:rFonts w:ascii="宋体"/>
              </w:rPr>
            </w:pPr>
          </w:p>
        </w:tc>
        <w:tc>
          <w:tcPr>
            <w:tcW w:w="0" w:type="auto"/>
            <w:shd w:val="clear" w:color="auto" w:fill="auto"/>
          </w:tcPr>
          <w:p w14:paraId="36CA2763" w14:textId="77777777" w:rsidR="00787570" w:rsidRDefault="00787570">
            <w:pPr>
              <w:rPr>
                <w:rFonts w:ascii="宋体"/>
              </w:rPr>
            </w:pPr>
          </w:p>
        </w:tc>
        <w:tc>
          <w:tcPr>
            <w:tcW w:w="0" w:type="auto"/>
            <w:shd w:val="clear" w:color="auto" w:fill="auto"/>
          </w:tcPr>
          <w:p w14:paraId="36CA2764" w14:textId="77777777" w:rsidR="00787570" w:rsidRDefault="00787570">
            <w:pPr>
              <w:rPr>
                <w:rFonts w:ascii="宋体"/>
              </w:rPr>
            </w:pPr>
          </w:p>
        </w:tc>
        <w:tc>
          <w:tcPr>
            <w:tcW w:w="0" w:type="auto"/>
            <w:shd w:val="clear" w:color="auto" w:fill="auto"/>
          </w:tcPr>
          <w:p w14:paraId="36CA2765" w14:textId="77777777" w:rsidR="00787570" w:rsidRDefault="00787570">
            <w:pPr>
              <w:rPr>
                <w:rFonts w:ascii="宋体"/>
              </w:rPr>
            </w:pPr>
          </w:p>
        </w:tc>
        <w:tc>
          <w:tcPr>
            <w:tcW w:w="0" w:type="auto"/>
            <w:shd w:val="clear" w:color="auto" w:fill="auto"/>
          </w:tcPr>
          <w:p w14:paraId="36CA2766" w14:textId="77777777" w:rsidR="00787570" w:rsidRDefault="00787570">
            <w:pPr>
              <w:rPr>
                <w:rFonts w:ascii="宋体"/>
              </w:rPr>
            </w:pPr>
          </w:p>
        </w:tc>
        <w:tc>
          <w:tcPr>
            <w:tcW w:w="0" w:type="auto"/>
            <w:shd w:val="clear" w:color="auto" w:fill="auto"/>
          </w:tcPr>
          <w:p w14:paraId="36CA2767" w14:textId="77777777" w:rsidR="00787570" w:rsidRDefault="00787570">
            <w:pPr>
              <w:rPr>
                <w:rFonts w:ascii="宋体"/>
              </w:rPr>
            </w:pPr>
          </w:p>
        </w:tc>
      </w:tr>
      <w:tr w:rsidR="00787570" w14:paraId="36CA277E" w14:textId="77777777">
        <w:tc>
          <w:tcPr>
            <w:tcW w:w="0" w:type="auto"/>
            <w:gridSpan w:val="3"/>
            <w:shd w:val="clear" w:color="auto" w:fill="auto"/>
            <w:tcMar>
              <w:top w:w="40" w:type="dxa"/>
              <w:left w:w="195" w:type="dxa"/>
              <w:bottom w:w="40" w:type="dxa"/>
              <w:right w:w="20" w:type="dxa"/>
            </w:tcMar>
            <w:vAlign w:val="bottom"/>
          </w:tcPr>
          <w:p w14:paraId="36CA2769" w14:textId="77777777" w:rsidR="00787570" w:rsidRDefault="000D56E2">
            <w:pPr>
              <w:textAlignment w:val="bottom"/>
            </w:pPr>
            <w:r>
              <w:rPr>
                <w:rFonts w:ascii="Arial" w:eastAsia="宋体" w:hAnsi="Arial" w:cs="Arial"/>
                <w:b/>
                <w:bCs/>
                <w:color w:val="333333"/>
                <w:sz w:val="18"/>
                <w:szCs w:val="18"/>
              </w:rPr>
              <w:t>Data Center Group</w:t>
            </w:r>
          </w:p>
        </w:tc>
        <w:tc>
          <w:tcPr>
            <w:tcW w:w="0" w:type="auto"/>
            <w:gridSpan w:val="3"/>
            <w:shd w:val="clear" w:color="auto" w:fill="auto"/>
            <w:tcMar>
              <w:left w:w="20" w:type="dxa"/>
              <w:right w:w="20" w:type="dxa"/>
            </w:tcMar>
            <w:vAlign w:val="bottom"/>
          </w:tcPr>
          <w:p w14:paraId="36CA276A"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276B"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276C"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276D"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276E"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276F"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2770"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2771" w14:textId="77777777" w:rsidR="00787570" w:rsidRDefault="00787570">
            <w:pPr>
              <w:rPr>
                <w:rFonts w:ascii="宋体"/>
              </w:rPr>
            </w:pPr>
          </w:p>
        </w:tc>
        <w:tc>
          <w:tcPr>
            <w:tcW w:w="0" w:type="auto"/>
            <w:shd w:val="clear" w:color="auto" w:fill="auto"/>
          </w:tcPr>
          <w:p w14:paraId="36CA2772" w14:textId="77777777" w:rsidR="00787570" w:rsidRDefault="00787570">
            <w:pPr>
              <w:rPr>
                <w:rFonts w:ascii="宋体"/>
              </w:rPr>
            </w:pPr>
          </w:p>
        </w:tc>
        <w:tc>
          <w:tcPr>
            <w:tcW w:w="0" w:type="auto"/>
            <w:shd w:val="clear" w:color="auto" w:fill="auto"/>
          </w:tcPr>
          <w:p w14:paraId="36CA2773" w14:textId="77777777" w:rsidR="00787570" w:rsidRDefault="00787570">
            <w:pPr>
              <w:rPr>
                <w:rFonts w:ascii="宋体"/>
              </w:rPr>
            </w:pPr>
          </w:p>
        </w:tc>
        <w:tc>
          <w:tcPr>
            <w:tcW w:w="0" w:type="auto"/>
            <w:shd w:val="clear" w:color="auto" w:fill="auto"/>
          </w:tcPr>
          <w:p w14:paraId="36CA2774" w14:textId="77777777" w:rsidR="00787570" w:rsidRDefault="00787570">
            <w:pPr>
              <w:rPr>
                <w:rFonts w:ascii="宋体"/>
              </w:rPr>
            </w:pPr>
          </w:p>
        </w:tc>
        <w:tc>
          <w:tcPr>
            <w:tcW w:w="0" w:type="auto"/>
            <w:shd w:val="clear" w:color="auto" w:fill="auto"/>
          </w:tcPr>
          <w:p w14:paraId="36CA2775" w14:textId="77777777" w:rsidR="00787570" w:rsidRDefault="00787570">
            <w:pPr>
              <w:rPr>
                <w:rFonts w:ascii="宋体"/>
              </w:rPr>
            </w:pPr>
          </w:p>
        </w:tc>
        <w:tc>
          <w:tcPr>
            <w:tcW w:w="0" w:type="auto"/>
            <w:shd w:val="clear" w:color="auto" w:fill="auto"/>
          </w:tcPr>
          <w:p w14:paraId="36CA2776" w14:textId="77777777" w:rsidR="00787570" w:rsidRDefault="00787570">
            <w:pPr>
              <w:rPr>
                <w:rFonts w:ascii="宋体"/>
              </w:rPr>
            </w:pPr>
          </w:p>
        </w:tc>
        <w:tc>
          <w:tcPr>
            <w:tcW w:w="0" w:type="auto"/>
            <w:shd w:val="clear" w:color="auto" w:fill="auto"/>
          </w:tcPr>
          <w:p w14:paraId="36CA2777" w14:textId="77777777" w:rsidR="00787570" w:rsidRDefault="00787570">
            <w:pPr>
              <w:rPr>
                <w:rFonts w:ascii="宋体"/>
              </w:rPr>
            </w:pPr>
          </w:p>
        </w:tc>
        <w:tc>
          <w:tcPr>
            <w:tcW w:w="0" w:type="auto"/>
            <w:shd w:val="clear" w:color="auto" w:fill="auto"/>
          </w:tcPr>
          <w:p w14:paraId="36CA2778" w14:textId="77777777" w:rsidR="00787570" w:rsidRDefault="00787570">
            <w:pPr>
              <w:rPr>
                <w:rFonts w:ascii="宋体"/>
              </w:rPr>
            </w:pPr>
          </w:p>
        </w:tc>
        <w:tc>
          <w:tcPr>
            <w:tcW w:w="0" w:type="auto"/>
            <w:shd w:val="clear" w:color="auto" w:fill="auto"/>
          </w:tcPr>
          <w:p w14:paraId="36CA2779" w14:textId="77777777" w:rsidR="00787570" w:rsidRDefault="00787570">
            <w:pPr>
              <w:rPr>
                <w:rFonts w:ascii="宋体"/>
              </w:rPr>
            </w:pPr>
          </w:p>
        </w:tc>
        <w:tc>
          <w:tcPr>
            <w:tcW w:w="0" w:type="auto"/>
            <w:shd w:val="clear" w:color="auto" w:fill="auto"/>
          </w:tcPr>
          <w:p w14:paraId="36CA277A" w14:textId="77777777" w:rsidR="00787570" w:rsidRDefault="00787570">
            <w:pPr>
              <w:rPr>
                <w:rFonts w:ascii="宋体"/>
              </w:rPr>
            </w:pPr>
          </w:p>
        </w:tc>
        <w:tc>
          <w:tcPr>
            <w:tcW w:w="0" w:type="auto"/>
            <w:shd w:val="clear" w:color="auto" w:fill="auto"/>
          </w:tcPr>
          <w:p w14:paraId="36CA277B" w14:textId="77777777" w:rsidR="00787570" w:rsidRDefault="00787570">
            <w:pPr>
              <w:rPr>
                <w:rFonts w:ascii="宋体"/>
              </w:rPr>
            </w:pPr>
          </w:p>
        </w:tc>
        <w:tc>
          <w:tcPr>
            <w:tcW w:w="0" w:type="auto"/>
            <w:shd w:val="clear" w:color="auto" w:fill="auto"/>
          </w:tcPr>
          <w:p w14:paraId="36CA277C" w14:textId="77777777" w:rsidR="00787570" w:rsidRDefault="00787570">
            <w:pPr>
              <w:rPr>
                <w:rFonts w:ascii="宋体"/>
              </w:rPr>
            </w:pPr>
          </w:p>
        </w:tc>
        <w:tc>
          <w:tcPr>
            <w:tcW w:w="0" w:type="auto"/>
            <w:shd w:val="clear" w:color="auto" w:fill="auto"/>
          </w:tcPr>
          <w:p w14:paraId="36CA277D" w14:textId="77777777" w:rsidR="00787570" w:rsidRDefault="00787570">
            <w:pPr>
              <w:rPr>
                <w:rFonts w:ascii="宋体"/>
              </w:rPr>
            </w:pPr>
          </w:p>
        </w:tc>
      </w:tr>
      <w:tr w:rsidR="00787570" w14:paraId="36CA279C" w14:textId="77777777">
        <w:tc>
          <w:tcPr>
            <w:tcW w:w="0" w:type="auto"/>
            <w:gridSpan w:val="3"/>
            <w:shd w:val="clear" w:color="auto" w:fill="auto"/>
            <w:tcMar>
              <w:top w:w="40" w:type="dxa"/>
              <w:left w:w="285" w:type="dxa"/>
              <w:bottom w:w="40" w:type="dxa"/>
              <w:right w:w="20" w:type="dxa"/>
            </w:tcMar>
            <w:vAlign w:val="bottom"/>
          </w:tcPr>
          <w:p w14:paraId="36CA277F" w14:textId="77777777" w:rsidR="00787570" w:rsidRDefault="000D56E2">
            <w:pPr>
              <w:textAlignment w:val="bottom"/>
            </w:pPr>
            <w:r>
              <w:rPr>
                <w:rFonts w:ascii="Arial" w:eastAsia="宋体" w:hAnsi="Arial" w:cs="Arial"/>
                <w:color w:val="333333"/>
                <w:sz w:val="18"/>
                <w:szCs w:val="18"/>
              </w:rPr>
              <w:t>Platform</w:t>
            </w:r>
          </w:p>
        </w:tc>
        <w:tc>
          <w:tcPr>
            <w:tcW w:w="0" w:type="auto"/>
            <w:gridSpan w:val="3"/>
            <w:shd w:val="clear" w:color="auto" w:fill="auto"/>
            <w:tcMar>
              <w:left w:w="20" w:type="dxa"/>
              <w:right w:w="20" w:type="dxa"/>
            </w:tcMar>
            <w:vAlign w:val="bottom"/>
          </w:tcPr>
          <w:p w14:paraId="36CA2780" w14:textId="77777777" w:rsidR="00787570" w:rsidRDefault="00787570">
            <w:pPr>
              <w:rPr>
                <w:rFonts w:ascii="宋体"/>
              </w:rPr>
            </w:pPr>
          </w:p>
        </w:tc>
        <w:tc>
          <w:tcPr>
            <w:tcW w:w="0" w:type="auto"/>
            <w:shd w:val="clear" w:color="auto" w:fill="auto"/>
            <w:tcMar>
              <w:top w:w="40" w:type="dxa"/>
              <w:left w:w="20" w:type="dxa"/>
              <w:bottom w:w="40" w:type="dxa"/>
            </w:tcMar>
            <w:vAlign w:val="bottom"/>
          </w:tcPr>
          <w:p w14:paraId="36CA2781" w14:textId="77777777" w:rsidR="00787570" w:rsidRDefault="000D56E2">
            <w:pPr>
              <w:textAlignment w:val="bottom"/>
            </w:pPr>
            <w:r>
              <w:rPr>
                <w:rFonts w:ascii="Arial" w:eastAsia="宋体" w:hAnsi="Arial" w:cs="Arial"/>
                <w:color w:val="0071C5"/>
                <w:sz w:val="18"/>
                <w:szCs w:val="18"/>
              </w:rPr>
              <w:t>$</w:t>
            </w:r>
          </w:p>
        </w:tc>
        <w:tc>
          <w:tcPr>
            <w:tcW w:w="0" w:type="auto"/>
            <w:shd w:val="clear" w:color="auto" w:fill="auto"/>
            <w:tcMar>
              <w:top w:w="40" w:type="dxa"/>
              <w:bottom w:w="40" w:type="dxa"/>
              <w:right w:w="0" w:type="dxa"/>
            </w:tcMar>
            <w:vAlign w:val="bottom"/>
          </w:tcPr>
          <w:p w14:paraId="36CA2782" w14:textId="77777777" w:rsidR="00787570" w:rsidRDefault="000D56E2">
            <w:pPr>
              <w:jc w:val="right"/>
              <w:textAlignment w:val="bottom"/>
            </w:pPr>
            <w:r>
              <w:rPr>
                <w:rFonts w:ascii="Arial" w:eastAsia="宋体" w:hAnsi="Arial" w:cs="Arial"/>
                <w:color w:val="0071C5"/>
                <w:sz w:val="18"/>
                <w:szCs w:val="18"/>
              </w:rPr>
              <w:t>5,151 </w:t>
            </w:r>
          </w:p>
        </w:tc>
        <w:tc>
          <w:tcPr>
            <w:tcW w:w="0" w:type="auto"/>
            <w:shd w:val="clear" w:color="auto" w:fill="auto"/>
            <w:tcMar>
              <w:top w:w="40" w:type="dxa"/>
              <w:bottom w:w="40" w:type="dxa"/>
              <w:right w:w="20" w:type="dxa"/>
            </w:tcMar>
            <w:vAlign w:val="bottom"/>
          </w:tcPr>
          <w:p w14:paraId="36CA2783"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2784" w14:textId="77777777" w:rsidR="00787570" w:rsidRDefault="00787570">
            <w:pPr>
              <w:rPr>
                <w:rFonts w:ascii="宋体"/>
              </w:rPr>
            </w:pPr>
          </w:p>
        </w:tc>
        <w:tc>
          <w:tcPr>
            <w:tcW w:w="0" w:type="auto"/>
            <w:shd w:val="clear" w:color="auto" w:fill="auto"/>
            <w:tcMar>
              <w:top w:w="40" w:type="dxa"/>
              <w:left w:w="20" w:type="dxa"/>
              <w:bottom w:w="40" w:type="dxa"/>
            </w:tcMar>
            <w:vAlign w:val="bottom"/>
          </w:tcPr>
          <w:p w14:paraId="36CA2785" w14:textId="77777777" w:rsidR="00787570" w:rsidRDefault="000D56E2">
            <w:pPr>
              <w:textAlignment w:val="bottom"/>
            </w:pPr>
            <w:r>
              <w:rPr>
                <w:rFonts w:ascii="Arial" w:eastAsia="宋体" w:hAnsi="Arial" w:cs="Arial"/>
                <w:color w:val="333333"/>
                <w:sz w:val="18"/>
                <w:szCs w:val="18"/>
              </w:rPr>
              <w:t>$</w:t>
            </w:r>
          </w:p>
        </w:tc>
        <w:tc>
          <w:tcPr>
            <w:tcW w:w="0" w:type="auto"/>
            <w:shd w:val="clear" w:color="auto" w:fill="auto"/>
            <w:tcMar>
              <w:top w:w="40" w:type="dxa"/>
              <w:bottom w:w="40" w:type="dxa"/>
              <w:right w:w="0" w:type="dxa"/>
            </w:tcMar>
            <w:vAlign w:val="bottom"/>
          </w:tcPr>
          <w:p w14:paraId="36CA2786" w14:textId="77777777" w:rsidR="00787570" w:rsidRDefault="000D56E2">
            <w:pPr>
              <w:jc w:val="right"/>
              <w:textAlignment w:val="bottom"/>
            </w:pPr>
            <w:r>
              <w:rPr>
                <w:rFonts w:ascii="Arial" w:eastAsia="宋体" w:hAnsi="Arial" w:cs="Arial"/>
                <w:color w:val="333333"/>
                <w:sz w:val="18"/>
                <w:szCs w:val="18"/>
              </w:rPr>
              <w:t>5,819 </w:t>
            </w:r>
          </w:p>
        </w:tc>
        <w:tc>
          <w:tcPr>
            <w:tcW w:w="0" w:type="auto"/>
            <w:shd w:val="clear" w:color="auto" w:fill="auto"/>
            <w:tcMar>
              <w:top w:w="40" w:type="dxa"/>
              <w:bottom w:w="40" w:type="dxa"/>
              <w:right w:w="20" w:type="dxa"/>
            </w:tcMar>
            <w:vAlign w:val="bottom"/>
          </w:tcPr>
          <w:p w14:paraId="36CA2787"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2788" w14:textId="77777777" w:rsidR="00787570" w:rsidRDefault="00787570">
            <w:pPr>
              <w:rPr>
                <w:rFonts w:ascii="宋体"/>
              </w:rPr>
            </w:pPr>
          </w:p>
        </w:tc>
        <w:tc>
          <w:tcPr>
            <w:tcW w:w="0" w:type="auto"/>
            <w:shd w:val="clear" w:color="auto" w:fill="auto"/>
            <w:tcMar>
              <w:top w:w="40" w:type="dxa"/>
              <w:left w:w="20" w:type="dxa"/>
              <w:bottom w:w="40" w:type="dxa"/>
            </w:tcMar>
            <w:vAlign w:val="bottom"/>
          </w:tcPr>
          <w:p w14:paraId="36CA2789" w14:textId="77777777" w:rsidR="00787570" w:rsidRDefault="000D56E2">
            <w:pPr>
              <w:textAlignment w:val="bottom"/>
            </w:pPr>
            <w:r>
              <w:rPr>
                <w:rFonts w:ascii="Arial" w:eastAsia="宋体" w:hAnsi="Arial" w:cs="Arial"/>
                <w:color w:val="0071C5"/>
                <w:sz w:val="18"/>
                <w:szCs w:val="18"/>
              </w:rPr>
              <w:t>$</w:t>
            </w:r>
          </w:p>
        </w:tc>
        <w:tc>
          <w:tcPr>
            <w:tcW w:w="0" w:type="auto"/>
            <w:shd w:val="clear" w:color="auto" w:fill="auto"/>
            <w:tcMar>
              <w:top w:w="40" w:type="dxa"/>
              <w:bottom w:w="40" w:type="dxa"/>
              <w:right w:w="0" w:type="dxa"/>
            </w:tcMar>
            <w:vAlign w:val="bottom"/>
          </w:tcPr>
          <w:p w14:paraId="36CA278A" w14:textId="77777777" w:rsidR="00787570" w:rsidRDefault="000D56E2">
            <w:pPr>
              <w:jc w:val="right"/>
              <w:textAlignment w:val="bottom"/>
            </w:pPr>
            <w:r>
              <w:rPr>
                <w:rFonts w:ascii="Arial" w:eastAsia="宋体" w:hAnsi="Arial" w:cs="Arial"/>
                <w:color w:val="0071C5"/>
                <w:sz w:val="18"/>
                <w:szCs w:val="18"/>
              </w:rPr>
              <w:t>17,759 </w:t>
            </w:r>
          </w:p>
        </w:tc>
        <w:tc>
          <w:tcPr>
            <w:tcW w:w="0" w:type="auto"/>
            <w:shd w:val="clear" w:color="auto" w:fill="auto"/>
            <w:tcMar>
              <w:top w:w="40" w:type="dxa"/>
              <w:bottom w:w="40" w:type="dxa"/>
              <w:right w:w="20" w:type="dxa"/>
            </w:tcMar>
            <w:vAlign w:val="bottom"/>
          </w:tcPr>
          <w:p w14:paraId="36CA278B"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278C" w14:textId="77777777" w:rsidR="00787570" w:rsidRDefault="00787570">
            <w:pPr>
              <w:rPr>
                <w:rFonts w:ascii="宋体"/>
              </w:rPr>
            </w:pPr>
          </w:p>
        </w:tc>
        <w:tc>
          <w:tcPr>
            <w:tcW w:w="0" w:type="auto"/>
            <w:shd w:val="clear" w:color="auto" w:fill="auto"/>
            <w:tcMar>
              <w:top w:w="40" w:type="dxa"/>
              <w:left w:w="20" w:type="dxa"/>
              <w:bottom w:w="40" w:type="dxa"/>
            </w:tcMar>
            <w:vAlign w:val="bottom"/>
          </w:tcPr>
          <w:p w14:paraId="36CA278D" w14:textId="77777777" w:rsidR="00787570" w:rsidRDefault="000D56E2">
            <w:pPr>
              <w:textAlignment w:val="bottom"/>
            </w:pPr>
            <w:r>
              <w:rPr>
                <w:rFonts w:ascii="Arial" w:eastAsia="宋体" w:hAnsi="Arial" w:cs="Arial"/>
                <w:color w:val="333333"/>
                <w:sz w:val="18"/>
                <w:szCs w:val="18"/>
              </w:rPr>
              <w:t>$</w:t>
            </w:r>
          </w:p>
        </w:tc>
        <w:tc>
          <w:tcPr>
            <w:tcW w:w="0" w:type="auto"/>
            <w:shd w:val="clear" w:color="auto" w:fill="auto"/>
            <w:tcMar>
              <w:top w:w="40" w:type="dxa"/>
              <w:bottom w:w="40" w:type="dxa"/>
              <w:right w:w="0" w:type="dxa"/>
            </w:tcMar>
            <w:vAlign w:val="bottom"/>
          </w:tcPr>
          <w:p w14:paraId="36CA278E" w14:textId="77777777" w:rsidR="00787570" w:rsidRDefault="000D56E2">
            <w:pPr>
              <w:jc w:val="right"/>
              <w:textAlignment w:val="bottom"/>
            </w:pPr>
            <w:r>
              <w:rPr>
                <w:rFonts w:ascii="Arial" w:eastAsia="宋体" w:hAnsi="Arial" w:cs="Arial"/>
                <w:color w:val="333333"/>
                <w:sz w:val="18"/>
                <w:szCs w:val="18"/>
              </w:rPr>
              <w:t>14,854 </w:t>
            </w:r>
          </w:p>
        </w:tc>
        <w:tc>
          <w:tcPr>
            <w:tcW w:w="0" w:type="auto"/>
            <w:shd w:val="clear" w:color="auto" w:fill="auto"/>
            <w:tcMar>
              <w:top w:w="40" w:type="dxa"/>
              <w:bottom w:w="40" w:type="dxa"/>
              <w:right w:w="20" w:type="dxa"/>
            </w:tcMar>
            <w:vAlign w:val="bottom"/>
          </w:tcPr>
          <w:p w14:paraId="36CA278F" w14:textId="77777777" w:rsidR="00787570" w:rsidRDefault="00787570">
            <w:pPr>
              <w:jc w:val="right"/>
              <w:rPr>
                <w:rFonts w:ascii="宋体"/>
              </w:rPr>
            </w:pPr>
          </w:p>
        </w:tc>
        <w:tc>
          <w:tcPr>
            <w:tcW w:w="0" w:type="auto"/>
            <w:shd w:val="clear" w:color="auto" w:fill="auto"/>
          </w:tcPr>
          <w:p w14:paraId="36CA2790" w14:textId="77777777" w:rsidR="00787570" w:rsidRDefault="00787570">
            <w:pPr>
              <w:rPr>
                <w:rFonts w:ascii="宋体"/>
              </w:rPr>
            </w:pPr>
          </w:p>
        </w:tc>
        <w:tc>
          <w:tcPr>
            <w:tcW w:w="0" w:type="auto"/>
            <w:shd w:val="clear" w:color="auto" w:fill="auto"/>
          </w:tcPr>
          <w:p w14:paraId="36CA2791" w14:textId="77777777" w:rsidR="00787570" w:rsidRDefault="00787570">
            <w:pPr>
              <w:rPr>
                <w:rFonts w:ascii="宋体"/>
              </w:rPr>
            </w:pPr>
          </w:p>
        </w:tc>
        <w:tc>
          <w:tcPr>
            <w:tcW w:w="0" w:type="auto"/>
            <w:shd w:val="clear" w:color="auto" w:fill="auto"/>
          </w:tcPr>
          <w:p w14:paraId="36CA2792" w14:textId="77777777" w:rsidR="00787570" w:rsidRDefault="00787570">
            <w:pPr>
              <w:rPr>
                <w:rFonts w:ascii="宋体"/>
              </w:rPr>
            </w:pPr>
          </w:p>
        </w:tc>
        <w:tc>
          <w:tcPr>
            <w:tcW w:w="0" w:type="auto"/>
            <w:shd w:val="clear" w:color="auto" w:fill="auto"/>
          </w:tcPr>
          <w:p w14:paraId="36CA2793" w14:textId="77777777" w:rsidR="00787570" w:rsidRDefault="00787570">
            <w:pPr>
              <w:rPr>
                <w:rFonts w:ascii="宋体"/>
              </w:rPr>
            </w:pPr>
          </w:p>
        </w:tc>
        <w:tc>
          <w:tcPr>
            <w:tcW w:w="0" w:type="auto"/>
            <w:shd w:val="clear" w:color="auto" w:fill="auto"/>
          </w:tcPr>
          <w:p w14:paraId="36CA2794" w14:textId="77777777" w:rsidR="00787570" w:rsidRDefault="00787570">
            <w:pPr>
              <w:rPr>
                <w:rFonts w:ascii="宋体"/>
              </w:rPr>
            </w:pPr>
          </w:p>
        </w:tc>
        <w:tc>
          <w:tcPr>
            <w:tcW w:w="0" w:type="auto"/>
            <w:shd w:val="clear" w:color="auto" w:fill="auto"/>
          </w:tcPr>
          <w:p w14:paraId="36CA2795" w14:textId="77777777" w:rsidR="00787570" w:rsidRDefault="00787570">
            <w:pPr>
              <w:rPr>
                <w:rFonts w:ascii="宋体"/>
              </w:rPr>
            </w:pPr>
          </w:p>
        </w:tc>
        <w:tc>
          <w:tcPr>
            <w:tcW w:w="0" w:type="auto"/>
            <w:shd w:val="clear" w:color="auto" w:fill="auto"/>
          </w:tcPr>
          <w:p w14:paraId="36CA2796" w14:textId="77777777" w:rsidR="00787570" w:rsidRDefault="00787570">
            <w:pPr>
              <w:rPr>
                <w:rFonts w:ascii="宋体"/>
              </w:rPr>
            </w:pPr>
          </w:p>
        </w:tc>
        <w:tc>
          <w:tcPr>
            <w:tcW w:w="0" w:type="auto"/>
            <w:shd w:val="clear" w:color="auto" w:fill="auto"/>
          </w:tcPr>
          <w:p w14:paraId="36CA2797" w14:textId="77777777" w:rsidR="00787570" w:rsidRDefault="00787570">
            <w:pPr>
              <w:rPr>
                <w:rFonts w:ascii="宋体"/>
              </w:rPr>
            </w:pPr>
          </w:p>
        </w:tc>
        <w:tc>
          <w:tcPr>
            <w:tcW w:w="0" w:type="auto"/>
            <w:shd w:val="clear" w:color="auto" w:fill="auto"/>
          </w:tcPr>
          <w:p w14:paraId="36CA2798" w14:textId="77777777" w:rsidR="00787570" w:rsidRDefault="00787570">
            <w:pPr>
              <w:rPr>
                <w:rFonts w:ascii="宋体"/>
              </w:rPr>
            </w:pPr>
          </w:p>
        </w:tc>
        <w:tc>
          <w:tcPr>
            <w:tcW w:w="0" w:type="auto"/>
            <w:shd w:val="clear" w:color="auto" w:fill="auto"/>
          </w:tcPr>
          <w:p w14:paraId="36CA2799" w14:textId="77777777" w:rsidR="00787570" w:rsidRDefault="00787570">
            <w:pPr>
              <w:rPr>
                <w:rFonts w:ascii="宋体"/>
              </w:rPr>
            </w:pPr>
          </w:p>
        </w:tc>
        <w:tc>
          <w:tcPr>
            <w:tcW w:w="0" w:type="auto"/>
            <w:shd w:val="clear" w:color="auto" w:fill="auto"/>
          </w:tcPr>
          <w:p w14:paraId="36CA279A" w14:textId="77777777" w:rsidR="00787570" w:rsidRDefault="00787570">
            <w:pPr>
              <w:rPr>
                <w:rFonts w:ascii="宋体"/>
              </w:rPr>
            </w:pPr>
          </w:p>
        </w:tc>
        <w:tc>
          <w:tcPr>
            <w:tcW w:w="0" w:type="auto"/>
            <w:shd w:val="clear" w:color="auto" w:fill="auto"/>
          </w:tcPr>
          <w:p w14:paraId="36CA279B" w14:textId="77777777" w:rsidR="00787570" w:rsidRDefault="00787570">
            <w:pPr>
              <w:rPr>
                <w:rFonts w:ascii="宋体"/>
              </w:rPr>
            </w:pPr>
          </w:p>
        </w:tc>
      </w:tr>
      <w:tr w:rsidR="00787570" w14:paraId="36CA27B6" w14:textId="77777777">
        <w:tc>
          <w:tcPr>
            <w:tcW w:w="0" w:type="auto"/>
            <w:gridSpan w:val="3"/>
            <w:shd w:val="clear" w:color="auto" w:fill="auto"/>
            <w:tcMar>
              <w:top w:w="40" w:type="dxa"/>
              <w:left w:w="285" w:type="dxa"/>
              <w:bottom w:w="40" w:type="dxa"/>
              <w:right w:w="20" w:type="dxa"/>
            </w:tcMar>
            <w:vAlign w:val="bottom"/>
          </w:tcPr>
          <w:p w14:paraId="36CA279D" w14:textId="77777777" w:rsidR="00787570" w:rsidRDefault="000D56E2">
            <w:pPr>
              <w:textAlignment w:val="bottom"/>
            </w:pPr>
            <w:r>
              <w:rPr>
                <w:rFonts w:ascii="Arial" w:eastAsia="宋体" w:hAnsi="Arial" w:cs="Arial"/>
                <w:color w:val="333333"/>
                <w:sz w:val="18"/>
                <w:szCs w:val="18"/>
              </w:rPr>
              <w:t>Adjacent</w:t>
            </w:r>
          </w:p>
        </w:tc>
        <w:tc>
          <w:tcPr>
            <w:tcW w:w="0" w:type="auto"/>
            <w:gridSpan w:val="3"/>
            <w:shd w:val="clear" w:color="auto" w:fill="auto"/>
            <w:tcMar>
              <w:left w:w="20" w:type="dxa"/>
              <w:right w:w="20" w:type="dxa"/>
            </w:tcMar>
            <w:vAlign w:val="bottom"/>
          </w:tcPr>
          <w:p w14:paraId="36CA279E"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279F" w14:textId="77777777" w:rsidR="00787570" w:rsidRDefault="000D56E2">
            <w:pPr>
              <w:jc w:val="right"/>
              <w:textAlignment w:val="bottom"/>
            </w:pPr>
            <w:r>
              <w:rPr>
                <w:rFonts w:ascii="Arial" w:eastAsia="宋体" w:hAnsi="Arial" w:cs="Arial"/>
                <w:color w:val="0071C5"/>
                <w:sz w:val="18"/>
                <w:szCs w:val="18"/>
              </w:rPr>
              <w:t>754 </w:t>
            </w:r>
          </w:p>
        </w:tc>
        <w:tc>
          <w:tcPr>
            <w:tcW w:w="0" w:type="auto"/>
            <w:shd w:val="clear" w:color="auto" w:fill="auto"/>
            <w:tcMar>
              <w:top w:w="40" w:type="dxa"/>
              <w:bottom w:w="40" w:type="dxa"/>
              <w:right w:w="20" w:type="dxa"/>
            </w:tcMar>
            <w:vAlign w:val="bottom"/>
          </w:tcPr>
          <w:p w14:paraId="36CA27A0"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27A1"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27A2" w14:textId="77777777" w:rsidR="00787570" w:rsidRDefault="000D56E2">
            <w:pPr>
              <w:jc w:val="right"/>
              <w:textAlignment w:val="bottom"/>
            </w:pPr>
            <w:r>
              <w:rPr>
                <w:rFonts w:ascii="Arial" w:eastAsia="宋体" w:hAnsi="Arial" w:cs="Arial"/>
                <w:color w:val="333333"/>
                <w:sz w:val="18"/>
                <w:szCs w:val="18"/>
              </w:rPr>
              <w:t>564 </w:t>
            </w:r>
          </w:p>
        </w:tc>
        <w:tc>
          <w:tcPr>
            <w:tcW w:w="0" w:type="auto"/>
            <w:shd w:val="clear" w:color="auto" w:fill="auto"/>
            <w:tcMar>
              <w:top w:w="40" w:type="dxa"/>
              <w:bottom w:w="40" w:type="dxa"/>
              <w:right w:w="20" w:type="dxa"/>
            </w:tcMar>
            <w:vAlign w:val="bottom"/>
          </w:tcPr>
          <w:p w14:paraId="36CA27A3"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27A4"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27A5" w14:textId="77777777" w:rsidR="00787570" w:rsidRDefault="000D56E2">
            <w:pPr>
              <w:jc w:val="right"/>
              <w:textAlignment w:val="bottom"/>
            </w:pPr>
            <w:r>
              <w:rPr>
                <w:rFonts w:ascii="Arial" w:eastAsia="宋体" w:hAnsi="Arial" w:cs="Arial"/>
                <w:color w:val="0071C5"/>
                <w:sz w:val="18"/>
                <w:szCs w:val="18"/>
              </w:rPr>
              <w:t>2,256 </w:t>
            </w:r>
          </w:p>
        </w:tc>
        <w:tc>
          <w:tcPr>
            <w:tcW w:w="0" w:type="auto"/>
            <w:shd w:val="clear" w:color="auto" w:fill="auto"/>
            <w:tcMar>
              <w:top w:w="40" w:type="dxa"/>
              <w:bottom w:w="40" w:type="dxa"/>
              <w:right w:w="20" w:type="dxa"/>
            </w:tcMar>
            <w:vAlign w:val="bottom"/>
          </w:tcPr>
          <w:p w14:paraId="36CA27A6"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27A7"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27A8" w14:textId="77777777" w:rsidR="00787570" w:rsidRDefault="000D56E2">
            <w:pPr>
              <w:jc w:val="right"/>
              <w:textAlignment w:val="bottom"/>
            </w:pPr>
            <w:r>
              <w:rPr>
                <w:rFonts w:ascii="Arial" w:eastAsia="宋体" w:hAnsi="Arial" w:cs="Arial"/>
                <w:color w:val="333333"/>
                <w:sz w:val="18"/>
                <w:szCs w:val="18"/>
              </w:rPr>
              <w:t>1,414 </w:t>
            </w:r>
          </w:p>
        </w:tc>
        <w:tc>
          <w:tcPr>
            <w:tcW w:w="0" w:type="auto"/>
            <w:shd w:val="clear" w:color="auto" w:fill="auto"/>
            <w:tcMar>
              <w:top w:w="40" w:type="dxa"/>
              <w:bottom w:w="40" w:type="dxa"/>
              <w:right w:w="20" w:type="dxa"/>
            </w:tcMar>
            <w:vAlign w:val="bottom"/>
          </w:tcPr>
          <w:p w14:paraId="36CA27A9" w14:textId="77777777" w:rsidR="00787570" w:rsidRDefault="00787570">
            <w:pPr>
              <w:jc w:val="right"/>
              <w:rPr>
                <w:rFonts w:ascii="宋体"/>
              </w:rPr>
            </w:pPr>
          </w:p>
        </w:tc>
        <w:tc>
          <w:tcPr>
            <w:tcW w:w="0" w:type="auto"/>
            <w:shd w:val="clear" w:color="auto" w:fill="auto"/>
          </w:tcPr>
          <w:p w14:paraId="36CA27AA" w14:textId="77777777" w:rsidR="00787570" w:rsidRDefault="00787570">
            <w:pPr>
              <w:rPr>
                <w:rFonts w:ascii="宋体"/>
              </w:rPr>
            </w:pPr>
          </w:p>
        </w:tc>
        <w:tc>
          <w:tcPr>
            <w:tcW w:w="0" w:type="auto"/>
            <w:shd w:val="clear" w:color="auto" w:fill="auto"/>
          </w:tcPr>
          <w:p w14:paraId="36CA27AB" w14:textId="77777777" w:rsidR="00787570" w:rsidRDefault="00787570">
            <w:pPr>
              <w:rPr>
                <w:rFonts w:ascii="宋体"/>
              </w:rPr>
            </w:pPr>
          </w:p>
        </w:tc>
        <w:tc>
          <w:tcPr>
            <w:tcW w:w="0" w:type="auto"/>
            <w:shd w:val="clear" w:color="auto" w:fill="auto"/>
          </w:tcPr>
          <w:p w14:paraId="36CA27AC" w14:textId="77777777" w:rsidR="00787570" w:rsidRDefault="00787570">
            <w:pPr>
              <w:rPr>
                <w:rFonts w:ascii="宋体"/>
              </w:rPr>
            </w:pPr>
          </w:p>
        </w:tc>
        <w:tc>
          <w:tcPr>
            <w:tcW w:w="0" w:type="auto"/>
            <w:shd w:val="clear" w:color="auto" w:fill="auto"/>
          </w:tcPr>
          <w:p w14:paraId="36CA27AD" w14:textId="77777777" w:rsidR="00787570" w:rsidRDefault="00787570">
            <w:pPr>
              <w:rPr>
                <w:rFonts w:ascii="宋体"/>
              </w:rPr>
            </w:pPr>
          </w:p>
        </w:tc>
        <w:tc>
          <w:tcPr>
            <w:tcW w:w="0" w:type="auto"/>
            <w:shd w:val="clear" w:color="auto" w:fill="auto"/>
          </w:tcPr>
          <w:p w14:paraId="36CA27AE" w14:textId="77777777" w:rsidR="00787570" w:rsidRDefault="00787570">
            <w:pPr>
              <w:rPr>
                <w:rFonts w:ascii="宋体"/>
              </w:rPr>
            </w:pPr>
          </w:p>
        </w:tc>
        <w:tc>
          <w:tcPr>
            <w:tcW w:w="0" w:type="auto"/>
            <w:shd w:val="clear" w:color="auto" w:fill="auto"/>
          </w:tcPr>
          <w:p w14:paraId="36CA27AF" w14:textId="77777777" w:rsidR="00787570" w:rsidRDefault="00787570">
            <w:pPr>
              <w:rPr>
                <w:rFonts w:ascii="宋体"/>
              </w:rPr>
            </w:pPr>
          </w:p>
        </w:tc>
        <w:tc>
          <w:tcPr>
            <w:tcW w:w="0" w:type="auto"/>
            <w:shd w:val="clear" w:color="auto" w:fill="auto"/>
          </w:tcPr>
          <w:p w14:paraId="36CA27B0" w14:textId="77777777" w:rsidR="00787570" w:rsidRDefault="00787570">
            <w:pPr>
              <w:rPr>
                <w:rFonts w:ascii="宋体"/>
              </w:rPr>
            </w:pPr>
          </w:p>
        </w:tc>
        <w:tc>
          <w:tcPr>
            <w:tcW w:w="0" w:type="auto"/>
            <w:shd w:val="clear" w:color="auto" w:fill="auto"/>
          </w:tcPr>
          <w:p w14:paraId="36CA27B1" w14:textId="77777777" w:rsidR="00787570" w:rsidRDefault="00787570">
            <w:pPr>
              <w:rPr>
                <w:rFonts w:ascii="宋体"/>
              </w:rPr>
            </w:pPr>
          </w:p>
        </w:tc>
        <w:tc>
          <w:tcPr>
            <w:tcW w:w="0" w:type="auto"/>
            <w:shd w:val="clear" w:color="auto" w:fill="auto"/>
          </w:tcPr>
          <w:p w14:paraId="36CA27B2" w14:textId="77777777" w:rsidR="00787570" w:rsidRDefault="00787570">
            <w:pPr>
              <w:rPr>
                <w:rFonts w:ascii="宋体"/>
              </w:rPr>
            </w:pPr>
          </w:p>
        </w:tc>
        <w:tc>
          <w:tcPr>
            <w:tcW w:w="0" w:type="auto"/>
            <w:shd w:val="clear" w:color="auto" w:fill="auto"/>
          </w:tcPr>
          <w:p w14:paraId="36CA27B3" w14:textId="77777777" w:rsidR="00787570" w:rsidRDefault="00787570">
            <w:pPr>
              <w:rPr>
                <w:rFonts w:ascii="宋体"/>
              </w:rPr>
            </w:pPr>
          </w:p>
        </w:tc>
        <w:tc>
          <w:tcPr>
            <w:tcW w:w="0" w:type="auto"/>
            <w:shd w:val="clear" w:color="auto" w:fill="auto"/>
          </w:tcPr>
          <w:p w14:paraId="36CA27B4" w14:textId="77777777" w:rsidR="00787570" w:rsidRDefault="00787570">
            <w:pPr>
              <w:rPr>
                <w:rFonts w:ascii="宋体"/>
              </w:rPr>
            </w:pPr>
          </w:p>
        </w:tc>
        <w:tc>
          <w:tcPr>
            <w:tcW w:w="0" w:type="auto"/>
            <w:shd w:val="clear" w:color="auto" w:fill="auto"/>
          </w:tcPr>
          <w:p w14:paraId="36CA27B5" w14:textId="77777777" w:rsidR="00787570" w:rsidRDefault="00787570">
            <w:pPr>
              <w:rPr>
                <w:rFonts w:ascii="宋体"/>
              </w:rPr>
            </w:pPr>
          </w:p>
        </w:tc>
      </w:tr>
      <w:tr w:rsidR="00787570" w14:paraId="36CA27D0" w14:textId="77777777">
        <w:tc>
          <w:tcPr>
            <w:tcW w:w="0" w:type="auto"/>
            <w:gridSpan w:val="3"/>
            <w:shd w:val="clear" w:color="auto" w:fill="auto"/>
            <w:tcMar>
              <w:left w:w="20" w:type="dxa"/>
              <w:right w:w="20" w:type="dxa"/>
            </w:tcMar>
            <w:vAlign w:val="bottom"/>
          </w:tcPr>
          <w:p w14:paraId="36CA27B7"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27B8" w14:textId="77777777" w:rsidR="00787570" w:rsidRDefault="00787570">
            <w:pPr>
              <w:rPr>
                <w:rFonts w:ascii="宋体"/>
              </w:rPr>
            </w:pPr>
          </w:p>
        </w:tc>
        <w:tc>
          <w:tcPr>
            <w:tcW w:w="0" w:type="auto"/>
            <w:gridSpan w:val="2"/>
            <w:tcBorders>
              <w:top w:val="single" w:sz="8" w:space="0" w:color="333333"/>
            </w:tcBorders>
            <w:shd w:val="clear" w:color="auto" w:fill="auto"/>
            <w:tcMar>
              <w:top w:w="40" w:type="dxa"/>
              <w:left w:w="20" w:type="dxa"/>
              <w:bottom w:w="40" w:type="dxa"/>
              <w:right w:w="0" w:type="dxa"/>
            </w:tcMar>
            <w:vAlign w:val="bottom"/>
          </w:tcPr>
          <w:p w14:paraId="36CA27B9" w14:textId="77777777" w:rsidR="00787570" w:rsidRDefault="000D56E2">
            <w:pPr>
              <w:jc w:val="right"/>
              <w:textAlignment w:val="bottom"/>
            </w:pPr>
            <w:r>
              <w:rPr>
                <w:rFonts w:ascii="Arial" w:eastAsia="宋体" w:hAnsi="Arial" w:cs="Arial"/>
                <w:b/>
                <w:bCs/>
                <w:color w:val="0071C5"/>
                <w:sz w:val="18"/>
                <w:szCs w:val="18"/>
              </w:rPr>
              <w:t>5,905</w:t>
            </w:r>
            <w:r>
              <w:rPr>
                <w:rFonts w:ascii="Arial" w:eastAsia="宋体" w:hAnsi="Arial" w:cs="Arial"/>
                <w:color w:val="0071C5"/>
                <w:sz w:val="18"/>
                <w:szCs w:val="18"/>
              </w:rPr>
              <w:t> </w:t>
            </w:r>
          </w:p>
        </w:tc>
        <w:tc>
          <w:tcPr>
            <w:tcW w:w="0" w:type="auto"/>
            <w:tcBorders>
              <w:top w:val="single" w:sz="8" w:space="0" w:color="333333"/>
            </w:tcBorders>
            <w:shd w:val="clear" w:color="auto" w:fill="auto"/>
            <w:tcMar>
              <w:top w:w="40" w:type="dxa"/>
              <w:bottom w:w="40" w:type="dxa"/>
              <w:right w:w="20" w:type="dxa"/>
            </w:tcMar>
            <w:vAlign w:val="bottom"/>
          </w:tcPr>
          <w:p w14:paraId="36CA27BA"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27BB" w14:textId="77777777" w:rsidR="00787570" w:rsidRDefault="00787570">
            <w:pPr>
              <w:rPr>
                <w:rFonts w:ascii="宋体"/>
              </w:rPr>
            </w:pPr>
          </w:p>
        </w:tc>
        <w:tc>
          <w:tcPr>
            <w:tcW w:w="0" w:type="auto"/>
            <w:gridSpan w:val="2"/>
            <w:tcBorders>
              <w:top w:val="single" w:sz="8" w:space="0" w:color="333333"/>
            </w:tcBorders>
            <w:shd w:val="clear" w:color="auto" w:fill="auto"/>
            <w:tcMar>
              <w:top w:w="40" w:type="dxa"/>
              <w:left w:w="20" w:type="dxa"/>
              <w:bottom w:w="40" w:type="dxa"/>
              <w:right w:w="0" w:type="dxa"/>
            </w:tcMar>
            <w:vAlign w:val="bottom"/>
          </w:tcPr>
          <w:p w14:paraId="36CA27BC" w14:textId="77777777" w:rsidR="00787570" w:rsidRDefault="000D56E2">
            <w:pPr>
              <w:jc w:val="right"/>
              <w:textAlignment w:val="bottom"/>
            </w:pPr>
            <w:r>
              <w:rPr>
                <w:rFonts w:ascii="Arial" w:eastAsia="宋体" w:hAnsi="Arial" w:cs="Arial"/>
                <w:b/>
                <w:bCs/>
                <w:color w:val="333333"/>
                <w:sz w:val="18"/>
                <w:szCs w:val="18"/>
              </w:rPr>
              <w:t>6,383</w:t>
            </w:r>
            <w:r>
              <w:rPr>
                <w:rFonts w:ascii="Arial" w:eastAsia="宋体" w:hAnsi="Arial" w:cs="Arial"/>
                <w:color w:val="333333"/>
                <w:sz w:val="18"/>
                <w:szCs w:val="18"/>
              </w:rPr>
              <w:t> </w:t>
            </w:r>
          </w:p>
        </w:tc>
        <w:tc>
          <w:tcPr>
            <w:tcW w:w="0" w:type="auto"/>
            <w:tcBorders>
              <w:top w:val="single" w:sz="8" w:space="0" w:color="333333"/>
            </w:tcBorders>
            <w:shd w:val="clear" w:color="auto" w:fill="auto"/>
            <w:tcMar>
              <w:top w:w="40" w:type="dxa"/>
              <w:bottom w:w="40" w:type="dxa"/>
              <w:right w:w="20" w:type="dxa"/>
            </w:tcMar>
            <w:vAlign w:val="bottom"/>
          </w:tcPr>
          <w:p w14:paraId="36CA27BD"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27BE" w14:textId="77777777" w:rsidR="00787570" w:rsidRDefault="00787570">
            <w:pPr>
              <w:rPr>
                <w:rFonts w:ascii="宋体"/>
              </w:rPr>
            </w:pPr>
          </w:p>
        </w:tc>
        <w:tc>
          <w:tcPr>
            <w:tcW w:w="0" w:type="auto"/>
            <w:gridSpan w:val="2"/>
            <w:tcBorders>
              <w:top w:val="single" w:sz="8" w:space="0" w:color="333333"/>
            </w:tcBorders>
            <w:shd w:val="clear" w:color="auto" w:fill="auto"/>
            <w:tcMar>
              <w:top w:w="40" w:type="dxa"/>
              <w:left w:w="20" w:type="dxa"/>
              <w:bottom w:w="40" w:type="dxa"/>
              <w:right w:w="0" w:type="dxa"/>
            </w:tcMar>
            <w:vAlign w:val="bottom"/>
          </w:tcPr>
          <w:p w14:paraId="36CA27BF" w14:textId="77777777" w:rsidR="00787570" w:rsidRDefault="000D56E2">
            <w:pPr>
              <w:jc w:val="right"/>
              <w:textAlignment w:val="bottom"/>
            </w:pPr>
            <w:r>
              <w:rPr>
                <w:rFonts w:ascii="Arial" w:eastAsia="宋体" w:hAnsi="Arial" w:cs="Arial"/>
                <w:b/>
                <w:bCs/>
                <w:color w:val="0071C5"/>
                <w:sz w:val="18"/>
                <w:szCs w:val="18"/>
              </w:rPr>
              <w:t>20,015</w:t>
            </w:r>
            <w:r>
              <w:rPr>
                <w:rFonts w:ascii="Arial" w:eastAsia="宋体" w:hAnsi="Arial" w:cs="Arial"/>
                <w:color w:val="0071C5"/>
                <w:sz w:val="18"/>
                <w:szCs w:val="18"/>
              </w:rPr>
              <w:t> </w:t>
            </w:r>
          </w:p>
        </w:tc>
        <w:tc>
          <w:tcPr>
            <w:tcW w:w="0" w:type="auto"/>
            <w:tcBorders>
              <w:top w:val="single" w:sz="8" w:space="0" w:color="333333"/>
            </w:tcBorders>
            <w:shd w:val="clear" w:color="auto" w:fill="auto"/>
            <w:tcMar>
              <w:top w:w="40" w:type="dxa"/>
              <w:bottom w:w="40" w:type="dxa"/>
              <w:right w:w="20" w:type="dxa"/>
            </w:tcMar>
            <w:vAlign w:val="bottom"/>
          </w:tcPr>
          <w:p w14:paraId="36CA27C0"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27C1" w14:textId="77777777" w:rsidR="00787570" w:rsidRDefault="00787570">
            <w:pPr>
              <w:rPr>
                <w:rFonts w:ascii="宋体"/>
              </w:rPr>
            </w:pPr>
          </w:p>
        </w:tc>
        <w:tc>
          <w:tcPr>
            <w:tcW w:w="0" w:type="auto"/>
            <w:gridSpan w:val="2"/>
            <w:tcBorders>
              <w:top w:val="single" w:sz="8" w:space="0" w:color="333333"/>
            </w:tcBorders>
            <w:shd w:val="clear" w:color="auto" w:fill="auto"/>
            <w:tcMar>
              <w:top w:w="40" w:type="dxa"/>
              <w:left w:w="20" w:type="dxa"/>
              <w:bottom w:w="40" w:type="dxa"/>
              <w:right w:w="0" w:type="dxa"/>
            </w:tcMar>
            <w:vAlign w:val="bottom"/>
          </w:tcPr>
          <w:p w14:paraId="36CA27C2" w14:textId="77777777" w:rsidR="00787570" w:rsidRDefault="000D56E2">
            <w:pPr>
              <w:jc w:val="right"/>
              <w:textAlignment w:val="bottom"/>
            </w:pPr>
            <w:r>
              <w:rPr>
                <w:rFonts w:ascii="Arial" w:eastAsia="宋体" w:hAnsi="Arial" w:cs="Arial"/>
                <w:b/>
                <w:bCs/>
                <w:color w:val="333333"/>
                <w:sz w:val="18"/>
                <w:szCs w:val="18"/>
              </w:rPr>
              <w:t>16,268</w:t>
            </w:r>
            <w:r>
              <w:rPr>
                <w:rFonts w:ascii="Arial" w:eastAsia="宋体" w:hAnsi="Arial" w:cs="Arial"/>
                <w:color w:val="333333"/>
                <w:sz w:val="18"/>
                <w:szCs w:val="18"/>
              </w:rPr>
              <w:t> </w:t>
            </w:r>
          </w:p>
        </w:tc>
        <w:tc>
          <w:tcPr>
            <w:tcW w:w="0" w:type="auto"/>
            <w:tcBorders>
              <w:top w:val="single" w:sz="8" w:space="0" w:color="333333"/>
            </w:tcBorders>
            <w:shd w:val="clear" w:color="auto" w:fill="auto"/>
            <w:tcMar>
              <w:top w:w="40" w:type="dxa"/>
              <w:bottom w:w="40" w:type="dxa"/>
              <w:right w:w="20" w:type="dxa"/>
            </w:tcMar>
            <w:vAlign w:val="bottom"/>
          </w:tcPr>
          <w:p w14:paraId="36CA27C3" w14:textId="77777777" w:rsidR="00787570" w:rsidRDefault="00787570">
            <w:pPr>
              <w:jc w:val="right"/>
              <w:rPr>
                <w:rFonts w:ascii="宋体"/>
              </w:rPr>
            </w:pPr>
          </w:p>
        </w:tc>
        <w:tc>
          <w:tcPr>
            <w:tcW w:w="0" w:type="auto"/>
            <w:shd w:val="clear" w:color="auto" w:fill="auto"/>
          </w:tcPr>
          <w:p w14:paraId="36CA27C4" w14:textId="77777777" w:rsidR="00787570" w:rsidRDefault="00787570">
            <w:pPr>
              <w:rPr>
                <w:rFonts w:ascii="宋体"/>
              </w:rPr>
            </w:pPr>
          </w:p>
        </w:tc>
        <w:tc>
          <w:tcPr>
            <w:tcW w:w="0" w:type="auto"/>
            <w:shd w:val="clear" w:color="auto" w:fill="auto"/>
          </w:tcPr>
          <w:p w14:paraId="36CA27C5" w14:textId="77777777" w:rsidR="00787570" w:rsidRDefault="00787570">
            <w:pPr>
              <w:rPr>
                <w:rFonts w:ascii="宋体"/>
              </w:rPr>
            </w:pPr>
          </w:p>
        </w:tc>
        <w:tc>
          <w:tcPr>
            <w:tcW w:w="0" w:type="auto"/>
            <w:shd w:val="clear" w:color="auto" w:fill="auto"/>
          </w:tcPr>
          <w:p w14:paraId="36CA27C6" w14:textId="77777777" w:rsidR="00787570" w:rsidRDefault="00787570">
            <w:pPr>
              <w:rPr>
                <w:rFonts w:ascii="宋体"/>
              </w:rPr>
            </w:pPr>
          </w:p>
        </w:tc>
        <w:tc>
          <w:tcPr>
            <w:tcW w:w="0" w:type="auto"/>
            <w:shd w:val="clear" w:color="auto" w:fill="auto"/>
          </w:tcPr>
          <w:p w14:paraId="36CA27C7" w14:textId="77777777" w:rsidR="00787570" w:rsidRDefault="00787570">
            <w:pPr>
              <w:rPr>
                <w:rFonts w:ascii="宋体"/>
              </w:rPr>
            </w:pPr>
          </w:p>
        </w:tc>
        <w:tc>
          <w:tcPr>
            <w:tcW w:w="0" w:type="auto"/>
            <w:shd w:val="clear" w:color="auto" w:fill="auto"/>
          </w:tcPr>
          <w:p w14:paraId="36CA27C8" w14:textId="77777777" w:rsidR="00787570" w:rsidRDefault="00787570">
            <w:pPr>
              <w:rPr>
                <w:rFonts w:ascii="宋体"/>
              </w:rPr>
            </w:pPr>
          </w:p>
        </w:tc>
        <w:tc>
          <w:tcPr>
            <w:tcW w:w="0" w:type="auto"/>
            <w:shd w:val="clear" w:color="auto" w:fill="auto"/>
          </w:tcPr>
          <w:p w14:paraId="36CA27C9" w14:textId="77777777" w:rsidR="00787570" w:rsidRDefault="00787570">
            <w:pPr>
              <w:rPr>
                <w:rFonts w:ascii="宋体"/>
              </w:rPr>
            </w:pPr>
          </w:p>
        </w:tc>
        <w:tc>
          <w:tcPr>
            <w:tcW w:w="0" w:type="auto"/>
            <w:shd w:val="clear" w:color="auto" w:fill="auto"/>
          </w:tcPr>
          <w:p w14:paraId="36CA27CA" w14:textId="77777777" w:rsidR="00787570" w:rsidRDefault="00787570">
            <w:pPr>
              <w:rPr>
                <w:rFonts w:ascii="宋体"/>
              </w:rPr>
            </w:pPr>
          </w:p>
        </w:tc>
        <w:tc>
          <w:tcPr>
            <w:tcW w:w="0" w:type="auto"/>
            <w:shd w:val="clear" w:color="auto" w:fill="auto"/>
          </w:tcPr>
          <w:p w14:paraId="36CA27CB" w14:textId="77777777" w:rsidR="00787570" w:rsidRDefault="00787570">
            <w:pPr>
              <w:rPr>
                <w:rFonts w:ascii="宋体"/>
              </w:rPr>
            </w:pPr>
          </w:p>
        </w:tc>
        <w:tc>
          <w:tcPr>
            <w:tcW w:w="0" w:type="auto"/>
            <w:shd w:val="clear" w:color="auto" w:fill="auto"/>
          </w:tcPr>
          <w:p w14:paraId="36CA27CC" w14:textId="77777777" w:rsidR="00787570" w:rsidRDefault="00787570">
            <w:pPr>
              <w:rPr>
                <w:rFonts w:ascii="宋体"/>
              </w:rPr>
            </w:pPr>
          </w:p>
        </w:tc>
        <w:tc>
          <w:tcPr>
            <w:tcW w:w="0" w:type="auto"/>
            <w:shd w:val="clear" w:color="auto" w:fill="auto"/>
          </w:tcPr>
          <w:p w14:paraId="36CA27CD" w14:textId="77777777" w:rsidR="00787570" w:rsidRDefault="00787570">
            <w:pPr>
              <w:rPr>
                <w:rFonts w:ascii="宋体"/>
              </w:rPr>
            </w:pPr>
          </w:p>
        </w:tc>
        <w:tc>
          <w:tcPr>
            <w:tcW w:w="0" w:type="auto"/>
            <w:shd w:val="clear" w:color="auto" w:fill="auto"/>
          </w:tcPr>
          <w:p w14:paraId="36CA27CE" w14:textId="77777777" w:rsidR="00787570" w:rsidRDefault="00787570">
            <w:pPr>
              <w:rPr>
                <w:rFonts w:ascii="宋体"/>
              </w:rPr>
            </w:pPr>
          </w:p>
        </w:tc>
        <w:tc>
          <w:tcPr>
            <w:tcW w:w="0" w:type="auto"/>
            <w:shd w:val="clear" w:color="auto" w:fill="auto"/>
          </w:tcPr>
          <w:p w14:paraId="36CA27CF" w14:textId="77777777" w:rsidR="00787570" w:rsidRDefault="00787570">
            <w:pPr>
              <w:rPr>
                <w:rFonts w:ascii="宋体"/>
              </w:rPr>
            </w:pPr>
          </w:p>
        </w:tc>
      </w:tr>
      <w:tr w:rsidR="00787570" w14:paraId="36CA27E6" w14:textId="77777777">
        <w:tc>
          <w:tcPr>
            <w:tcW w:w="0" w:type="auto"/>
            <w:gridSpan w:val="3"/>
            <w:shd w:val="clear" w:color="auto" w:fill="auto"/>
            <w:tcMar>
              <w:top w:w="40" w:type="dxa"/>
              <w:left w:w="195" w:type="dxa"/>
              <w:bottom w:w="40" w:type="dxa"/>
              <w:right w:w="20" w:type="dxa"/>
            </w:tcMar>
            <w:vAlign w:val="bottom"/>
          </w:tcPr>
          <w:p w14:paraId="36CA27D1" w14:textId="77777777" w:rsidR="00787570" w:rsidRDefault="000D56E2">
            <w:pPr>
              <w:textAlignment w:val="bottom"/>
            </w:pPr>
            <w:r>
              <w:rPr>
                <w:rFonts w:ascii="Arial" w:eastAsia="宋体" w:hAnsi="Arial" w:cs="Arial"/>
                <w:b/>
                <w:bCs/>
                <w:color w:val="333333"/>
                <w:sz w:val="18"/>
                <w:szCs w:val="18"/>
              </w:rPr>
              <w:t>Internet of Things</w:t>
            </w:r>
          </w:p>
        </w:tc>
        <w:tc>
          <w:tcPr>
            <w:tcW w:w="0" w:type="auto"/>
            <w:gridSpan w:val="3"/>
            <w:shd w:val="clear" w:color="auto" w:fill="auto"/>
            <w:tcMar>
              <w:left w:w="20" w:type="dxa"/>
              <w:right w:w="20" w:type="dxa"/>
            </w:tcMar>
            <w:vAlign w:val="bottom"/>
          </w:tcPr>
          <w:p w14:paraId="36CA27D2"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27D3"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27D4"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27D5"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27D6"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27D7"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27D8"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27D9" w14:textId="77777777" w:rsidR="00787570" w:rsidRDefault="00787570">
            <w:pPr>
              <w:rPr>
                <w:rFonts w:ascii="宋体"/>
              </w:rPr>
            </w:pPr>
          </w:p>
        </w:tc>
        <w:tc>
          <w:tcPr>
            <w:tcW w:w="0" w:type="auto"/>
            <w:shd w:val="clear" w:color="auto" w:fill="auto"/>
          </w:tcPr>
          <w:p w14:paraId="36CA27DA" w14:textId="77777777" w:rsidR="00787570" w:rsidRDefault="00787570">
            <w:pPr>
              <w:rPr>
                <w:rFonts w:ascii="宋体"/>
              </w:rPr>
            </w:pPr>
          </w:p>
        </w:tc>
        <w:tc>
          <w:tcPr>
            <w:tcW w:w="0" w:type="auto"/>
            <w:shd w:val="clear" w:color="auto" w:fill="auto"/>
          </w:tcPr>
          <w:p w14:paraId="36CA27DB" w14:textId="77777777" w:rsidR="00787570" w:rsidRDefault="00787570">
            <w:pPr>
              <w:rPr>
                <w:rFonts w:ascii="宋体"/>
              </w:rPr>
            </w:pPr>
          </w:p>
        </w:tc>
        <w:tc>
          <w:tcPr>
            <w:tcW w:w="0" w:type="auto"/>
            <w:shd w:val="clear" w:color="auto" w:fill="auto"/>
          </w:tcPr>
          <w:p w14:paraId="36CA27DC" w14:textId="77777777" w:rsidR="00787570" w:rsidRDefault="00787570">
            <w:pPr>
              <w:rPr>
                <w:rFonts w:ascii="宋体"/>
              </w:rPr>
            </w:pPr>
          </w:p>
        </w:tc>
        <w:tc>
          <w:tcPr>
            <w:tcW w:w="0" w:type="auto"/>
            <w:shd w:val="clear" w:color="auto" w:fill="auto"/>
          </w:tcPr>
          <w:p w14:paraId="36CA27DD" w14:textId="77777777" w:rsidR="00787570" w:rsidRDefault="00787570">
            <w:pPr>
              <w:rPr>
                <w:rFonts w:ascii="宋体"/>
              </w:rPr>
            </w:pPr>
          </w:p>
        </w:tc>
        <w:tc>
          <w:tcPr>
            <w:tcW w:w="0" w:type="auto"/>
            <w:shd w:val="clear" w:color="auto" w:fill="auto"/>
          </w:tcPr>
          <w:p w14:paraId="36CA27DE" w14:textId="77777777" w:rsidR="00787570" w:rsidRDefault="00787570">
            <w:pPr>
              <w:rPr>
                <w:rFonts w:ascii="宋体"/>
              </w:rPr>
            </w:pPr>
          </w:p>
        </w:tc>
        <w:tc>
          <w:tcPr>
            <w:tcW w:w="0" w:type="auto"/>
            <w:shd w:val="clear" w:color="auto" w:fill="auto"/>
          </w:tcPr>
          <w:p w14:paraId="36CA27DF" w14:textId="77777777" w:rsidR="00787570" w:rsidRDefault="00787570">
            <w:pPr>
              <w:rPr>
                <w:rFonts w:ascii="宋体"/>
              </w:rPr>
            </w:pPr>
          </w:p>
        </w:tc>
        <w:tc>
          <w:tcPr>
            <w:tcW w:w="0" w:type="auto"/>
            <w:shd w:val="clear" w:color="auto" w:fill="auto"/>
          </w:tcPr>
          <w:p w14:paraId="36CA27E0" w14:textId="77777777" w:rsidR="00787570" w:rsidRDefault="00787570">
            <w:pPr>
              <w:rPr>
                <w:rFonts w:ascii="宋体"/>
              </w:rPr>
            </w:pPr>
          </w:p>
        </w:tc>
        <w:tc>
          <w:tcPr>
            <w:tcW w:w="0" w:type="auto"/>
            <w:shd w:val="clear" w:color="auto" w:fill="auto"/>
          </w:tcPr>
          <w:p w14:paraId="36CA27E1" w14:textId="77777777" w:rsidR="00787570" w:rsidRDefault="00787570">
            <w:pPr>
              <w:rPr>
                <w:rFonts w:ascii="宋体"/>
              </w:rPr>
            </w:pPr>
          </w:p>
        </w:tc>
        <w:tc>
          <w:tcPr>
            <w:tcW w:w="0" w:type="auto"/>
            <w:shd w:val="clear" w:color="auto" w:fill="auto"/>
          </w:tcPr>
          <w:p w14:paraId="36CA27E2" w14:textId="77777777" w:rsidR="00787570" w:rsidRDefault="00787570">
            <w:pPr>
              <w:rPr>
                <w:rFonts w:ascii="宋体"/>
              </w:rPr>
            </w:pPr>
          </w:p>
        </w:tc>
        <w:tc>
          <w:tcPr>
            <w:tcW w:w="0" w:type="auto"/>
            <w:shd w:val="clear" w:color="auto" w:fill="auto"/>
          </w:tcPr>
          <w:p w14:paraId="36CA27E3" w14:textId="77777777" w:rsidR="00787570" w:rsidRDefault="00787570">
            <w:pPr>
              <w:rPr>
                <w:rFonts w:ascii="宋体"/>
              </w:rPr>
            </w:pPr>
          </w:p>
        </w:tc>
        <w:tc>
          <w:tcPr>
            <w:tcW w:w="0" w:type="auto"/>
            <w:shd w:val="clear" w:color="auto" w:fill="auto"/>
          </w:tcPr>
          <w:p w14:paraId="36CA27E4" w14:textId="77777777" w:rsidR="00787570" w:rsidRDefault="00787570">
            <w:pPr>
              <w:rPr>
                <w:rFonts w:ascii="宋体"/>
              </w:rPr>
            </w:pPr>
          </w:p>
        </w:tc>
        <w:tc>
          <w:tcPr>
            <w:tcW w:w="0" w:type="auto"/>
            <w:shd w:val="clear" w:color="auto" w:fill="auto"/>
          </w:tcPr>
          <w:p w14:paraId="36CA27E5" w14:textId="77777777" w:rsidR="00787570" w:rsidRDefault="00787570">
            <w:pPr>
              <w:rPr>
                <w:rFonts w:ascii="宋体"/>
              </w:rPr>
            </w:pPr>
          </w:p>
        </w:tc>
      </w:tr>
      <w:tr w:rsidR="00787570" w14:paraId="36CA2800" w14:textId="77777777">
        <w:tc>
          <w:tcPr>
            <w:tcW w:w="0" w:type="auto"/>
            <w:gridSpan w:val="3"/>
            <w:shd w:val="clear" w:color="auto" w:fill="auto"/>
            <w:tcMar>
              <w:top w:w="40" w:type="dxa"/>
              <w:left w:w="285" w:type="dxa"/>
              <w:bottom w:w="40" w:type="dxa"/>
              <w:right w:w="20" w:type="dxa"/>
            </w:tcMar>
            <w:vAlign w:val="bottom"/>
          </w:tcPr>
          <w:p w14:paraId="36CA27E7" w14:textId="77777777" w:rsidR="00787570" w:rsidRDefault="000D56E2">
            <w:pPr>
              <w:textAlignment w:val="bottom"/>
            </w:pPr>
            <w:r>
              <w:rPr>
                <w:rFonts w:ascii="Arial" w:eastAsia="宋体" w:hAnsi="Arial" w:cs="Arial"/>
                <w:color w:val="333333"/>
                <w:sz w:val="18"/>
                <w:szCs w:val="18"/>
              </w:rPr>
              <w:t>IOTG</w:t>
            </w:r>
          </w:p>
        </w:tc>
        <w:tc>
          <w:tcPr>
            <w:tcW w:w="0" w:type="auto"/>
            <w:gridSpan w:val="3"/>
            <w:shd w:val="clear" w:color="auto" w:fill="auto"/>
            <w:tcMar>
              <w:left w:w="20" w:type="dxa"/>
              <w:right w:w="20" w:type="dxa"/>
            </w:tcMar>
            <w:vAlign w:val="bottom"/>
          </w:tcPr>
          <w:p w14:paraId="36CA27E8"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27E9" w14:textId="77777777" w:rsidR="00787570" w:rsidRDefault="000D56E2">
            <w:pPr>
              <w:jc w:val="right"/>
              <w:textAlignment w:val="bottom"/>
            </w:pPr>
            <w:r>
              <w:rPr>
                <w:rFonts w:ascii="Arial" w:eastAsia="宋体" w:hAnsi="Arial" w:cs="Arial"/>
                <w:color w:val="0071C5"/>
                <w:sz w:val="18"/>
                <w:szCs w:val="18"/>
              </w:rPr>
              <w:t>677 </w:t>
            </w:r>
          </w:p>
        </w:tc>
        <w:tc>
          <w:tcPr>
            <w:tcW w:w="0" w:type="auto"/>
            <w:shd w:val="clear" w:color="auto" w:fill="auto"/>
            <w:tcMar>
              <w:top w:w="40" w:type="dxa"/>
              <w:bottom w:w="40" w:type="dxa"/>
              <w:right w:w="20" w:type="dxa"/>
            </w:tcMar>
            <w:vAlign w:val="bottom"/>
          </w:tcPr>
          <w:p w14:paraId="36CA27EA"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27EB"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27EC" w14:textId="77777777" w:rsidR="00787570" w:rsidRDefault="000D56E2">
            <w:pPr>
              <w:jc w:val="right"/>
              <w:textAlignment w:val="bottom"/>
            </w:pPr>
            <w:r>
              <w:rPr>
                <w:rFonts w:ascii="Arial" w:eastAsia="宋体" w:hAnsi="Arial" w:cs="Arial"/>
                <w:color w:val="333333"/>
                <w:sz w:val="18"/>
                <w:szCs w:val="18"/>
              </w:rPr>
              <w:t>1,005 </w:t>
            </w:r>
          </w:p>
        </w:tc>
        <w:tc>
          <w:tcPr>
            <w:tcW w:w="0" w:type="auto"/>
            <w:shd w:val="clear" w:color="auto" w:fill="auto"/>
            <w:tcMar>
              <w:top w:w="40" w:type="dxa"/>
              <w:bottom w:w="40" w:type="dxa"/>
              <w:right w:w="20" w:type="dxa"/>
            </w:tcMar>
            <w:vAlign w:val="bottom"/>
          </w:tcPr>
          <w:p w14:paraId="36CA27ED"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27EE"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27EF" w14:textId="77777777" w:rsidR="00787570" w:rsidRDefault="000D56E2">
            <w:pPr>
              <w:jc w:val="right"/>
              <w:textAlignment w:val="bottom"/>
            </w:pPr>
            <w:r>
              <w:rPr>
                <w:rFonts w:ascii="Arial" w:eastAsia="宋体" w:hAnsi="Arial" w:cs="Arial"/>
                <w:color w:val="0071C5"/>
                <w:sz w:val="18"/>
                <w:szCs w:val="18"/>
              </w:rPr>
              <w:t>2,230 </w:t>
            </w:r>
          </w:p>
        </w:tc>
        <w:tc>
          <w:tcPr>
            <w:tcW w:w="0" w:type="auto"/>
            <w:shd w:val="clear" w:color="auto" w:fill="auto"/>
            <w:tcMar>
              <w:top w:w="40" w:type="dxa"/>
              <w:bottom w:w="40" w:type="dxa"/>
              <w:right w:w="20" w:type="dxa"/>
            </w:tcMar>
            <w:vAlign w:val="bottom"/>
          </w:tcPr>
          <w:p w14:paraId="36CA27F0"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27F1"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27F2" w14:textId="77777777" w:rsidR="00787570" w:rsidRDefault="000D56E2">
            <w:pPr>
              <w:jc w:val="right"/>
              <w:textAlignment w:val="bottom"/>
            </w:pPr>
            <w:r>
              <w:rPr>
                <w:rFonts w:ascii="Arial" w:eastAsia="宋体" w:hAnsi="Arial" w:cs="Arial"/>
                <w:color w:val="333333"/>
                <w:sz w:val="18"/>
                <w:szCs w:val="18"/>
              </w:rPr>
              <w:t>2,901 </w:t>
            </w:r>
          </w:p>
        </w:tc>
        <w:tc>
          <w:tcPr>
            <w:tcW w:w="0" w:type="auto"/>
            <w:shd w:val="clear" w:color="auto" w:fill="auto"/>
            <w:tcMar>
              <w:top w:w="40" w:type="dxa"/>
              <w:bottom w:w="40" w:type="dxa"/>
              <w:right w:w="20" w:type="dxa"/>
            </w:tcMar>
            <w:vAlign w:val="bottom"/>
          </w:tcPr>
          <w:p w14:paraId="36CA27F3" w14:textId="77777777" w:rsidR="00787570" w:rsidRDefault="00787570">
            <w:pPr>
              <w:jc w:val="right"/>
              <w:rPr>
                <w:rFonts w:ascii="宋体"/>
              </w:rPr>
            </w:pPr>
          </w:p>
        </w:tc>
        <w:tc>
          <w:tcPr>
            <w:tcW w:w="0" w:type="auto"/>
            <w:shd w:val="clear" w:color="auto" w:fill="auto"/>
          </w:tcPr>
          <w:p w14:paraId="36CA27F4" w14:textId="77777777" w:rsidR="00787570" w:rsidRDefault="00787570">
            <w:pPr>
              <w:rPr>
                <w:rFonts w:ascii="宋体"/>
              </w:rPr>
            </w:pPr>
          </w:p>
        </w:tc>
        <w:tc>
          <w:tcPr>
            <w:tcW w:w="0" w:type="auto"/>
            <w:shd w:val="clear" w:color="auto" w:fill="auto"/>
          </w:tcPr>
          <w:p w14:paraId="36CA27F5" w14:textId="77777777" w:rsidR="00787570" w:rsidRDefault="00787570">
            <w:pPr>
              <w:rPr>
                <w:rFonts w:ascii="宋体"/>
              </w:rPr>
            </w:pPr>
          </w:p>
        </w:tc>
        <w:tc>
          <w:tcPr>
            <w:tcW w:w="0" w:type="auto"/>
            <w:shd w:val="clear" w:color="auto" w:fill="auto"/>
          </w:tcPr>
          <w:p w14:paraId="36CA27F6" w14:textId="77777777" w:rsidR="00787570" w:rsidRDefault="00787570">
            <w:pPr>
              <w:rPr>
                <w:rFonts w:ascii="宋体"/>
              </w:rPr>
            </w:pPr>
          </w:p>
        </w:tc>
        <w:tc>
          <w:tcPr>
            <w:tcW w:w="0" w:type="auto"/>
            <w:shd w:val="clear" w:color="auto" w:fill="auto"/>
          </w:tcPr>
          <w:p w14:paraId="36CA27F7" w14:textId="77777777" w:rsidR="00787570" w:rsidRDefault="00787570">
            <w:pPr>
              <w:rPr>
                <w:rFonts w:ascii="宋体"/>
              </w:rPr>
            </w:pPr>
          </w:p>
        </w:tc>
        <w:tc>
          <w:tcPr>
            <w:tcW w:w="0" w:type="auto"/>
            <w:shd w:val="clear" w:color="auto" w:fill="auto"/>
          </w:tcPr>
          <w:p w14:paraId="36CA27F8" w14:textId="77777777" w:rsidR="00787570" w:rsidRDefault="00787570">
            <w:pPr>
              <w:rPr>
                <w:rFonts w:ascii="宋体"/>
              </w:rPr>
            </w:pPr>
          </w:p>
        </w:tc>
        <w:tc>
          <w:tcPr>
            <w:tcW w:w="0" w:type="auto"/>
            <w:shd w:val="clear" w:color="auto" w:fill="auto"/>
          </w:tcPr>
          <w:p w14:paraId="36CA27F9" w14:textId="77777777" w:rsidR="00787570" w:rsidRDefault="00787570">
            <w:pPr>
              <w:rPr>
                <w:rFonts w:ascii="宋体"/>
              </w:rPr>
            </w:pPr>
          </w:p>
        </w:tc>
        <w:tc>
          <w:tcPr>
            <w:tcW w:w="0" w:type="auto"/>
            <w:shd w:val="clear" w:color="auto" w:fill="auto"/>
          </w:tcPr>
          <w:p w14:paraId="36CA27FA" w14:textId="77777777" w:rsidR="00787570" w:rsidRDefault="00787570">
            <w:pPr>
              <w:rPr>
                <w:rFonts w:ascii="宋体"/>
              </w:rPr>
            </w:pPr>
          </w:p>
        </w:tc>
        <w:tc>
          <w:tcPr>
            <w:tcW w:w="0" w:type="auto"/>
            <w:shd w:val="clear" w:color="auto" w:fill="auto"/>
          </w:tcPr>
          <w:p w14:paraId="36CA27FB" w14:textId="77777777" w:rsidR="00787570" w:rsidRDefault="00787570">
            <w:pPr>
              <w:rPr>
                <w:rFonts w:ascii="宋体"/>
              </w:rPr>
            </w:pPr>
          </w:p>
        </w:tc>
        <w:tc>
          <w:tcPr>
            <w:tcW w:w="0" w:type="auto"/>
            <w:shd w:val="clear" w:color="auto" w:fill="auto"/>
          </w:tcPr>
          <w:p w14:paraId="36CA27FC" w14:textId="77777777" w:rsidR="00787570" w:rsidRDefault="00787570">
            <w:pPr>
              <w:rPr>
                <w:rFonts w:ascii="宋体"/>
              </w:rPr>
            </w:pPr>
          </w:p>
        </w:tc>
        <w:tc>
          <w:tcPr>
            <w:tcW w:w="0" w:type="auto"/>
            <w:shd w:val="clear" w:color="auto" w:fill="auto"/>
          </w:tcPr>
          <w:p w14:paraId="36CA27FD" w14:textId="77777777" w:rsidR="00787570" w:rsidRDefault="00787570">
            <w:pPr>
              <w:rPr>
                <w:rFonts w:ascii="宋体"/>
              </w:rPr>
            </w:pPr>
          </w:p>
        </w:tc>
        <w:tc>
          <w:tcPr>
            <w:tcW w:w="0" w:type="auto"/>
            <w:shd w:val="clear" w:color="auto" w:fill="auto"/>
          </w:tcPr>
          <w:p w14:paraId="36CA27FE" w14:textId="77777777" w:rsidR="00787570" w:rsidRDefault="00787570">
            <w:pPr>
              <w:rPr>
                <w:rFonts w:ascii="宋体"/>
              </w:rPr>
            </w:pPr>
          </w:p>
        </w:tc>
        <w:tc>
          <w:tcPr>
            <w:tcW w:w="0" w:type="auto"/>
            <w:shd w:val="clear" w:color="auto" w:fill="auto"/>
          </w:tcPr>
          <w:p w14:paraId="36CA27FF" w14:textId="77777777" w:rsidR="00787570" w:rsidRDefault="00787570">
            <w:pPr>
              <w:rPr>
                <w:rFonts w:ascii="宋体"/>
              </w:rPr>
            </w:pPr>
          </w:p>
        </w:tc>
      </w:tr>
      <w:tr w:rsidR="00787570" w14:paraId="36CA281A" w14:textId="77777777">
        <w:tc>
          <w:tcPr>
            <w:tcW w:w="0" w:type="auto"/>
            <w:gridSpan w:val="3"/>
            <w:shd w:val="clear" w:color="auto" w:fill="auto"/>
            <w:tcMar>
              <w:top w:w="40" w:type="dxa"/>
              <w:left w:w="285" w:type="dxa"/>
              <w:bottom w:w="40" w:type="dxa"/>
              <w:right w:w="20" w:type="dxa"/>
            </w:tcMar>
            <w:vAlign w:val="bottom"/>
          </w:tcPr>
          <w:p w14:paraId="36CA2801" w14:textId="77777777" w:rsidR="00787570" w:rsidRDefault="000D56E2">
            <w:pPr>
              <w:textAlignment w:val="bottom"/>
            </w:pPr>
            <w:r>
              <w:rPr>
                <w:rFonts w:ascii="Arial" w:eastAsia="宋体" w:hAnsi="Arial" w:cs="Arial"/>
                <w:color w:val="333333"/>
                <w:sz w:val="18"/>
                <w:szCs w:val="18"/>
              </w:rPr>
              <w:t>Mobileye</w:t>
            </w:r>
          </w:p>
        </w:tc>
        <w:tc>
          <w:tcPr>
            <w:tcW w:w="0" w:type="auto"/>
            <w:gridSpan w:val="3"/>
            <w:shd w:val="clear" w:color="auto" w:fill="auto"/>
            <w:tcMar>
              <w:left w:w="20" w:type="dxa"/>
              <w:right w:w="20" w:type="dxa"/>
            </w:tcMar>
            <w:vAlign w:val="bottom"/>
          </w:tcPr>
          <w:p w14:paraId="36CA2802"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2803" w14:textId="77777777" w:rsidR="00787570" w:rsidRDefault="000D56E2">
            <w:pPr>
              <w:jc w:val="right"/>
              <w:textAlignment w:val="bottom"/>
            </w:pPr>
            <w:r>
              <w:rPr>
                <w:rFonts w:ascii="Arial" w:eastAsia="宋体" w:hAnsi="Arial" w:cs="Arial"/>
                <w:color w:val="0071C5"/>
                <w:sz w:val="18"/>
                <w:szCs w:val="18"/>
              </w:rPr>
              <w:t>234 </w:t>
            </w:r>
          </w:p>
        </w:tc>
        <w:tc>
          <w:tcPr>
            <w:tcW w:w="0" w:type="auto"/>
            <w:shd w:val="clear" w:color="auto" w:fill="auto"/>
            <w:tcMar>
              <w:top w:w="40" w:type="dxa"/>
              <w:bottom w:w="40" w:type="dxa"/>
              <w:right w:w="20" w:type="dxa"/>
            </w:tcMar>
            <w:vAlign w:val="bottom"/>
          </w:tcPr>
          <w:p w14:paraId="36CA2804"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2805"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2806" w14:textId="77777777" w:rsidR="00787570" w:rsidRDefault="000D56E2">
            <w:pPr>
              <w:jc w:val="right"/>
              <w:textAlignment w:val="bottom"/>
            </w:pPr>
            <w:r>
              <w:rPr>
                <w:rFonts w:ascii="Arial" w:eastAsia="宋体" w:hAnsi="Arial" w:cs="Arial"/>
                <w:color w:val="333333"/>
                <w:sz w:val="18"/>
                <w:szCs w:val="18"/>
              </w:rPr>
              <w:t>229 </w:t>
            </w:r>
          </w:p>
        </w:tc>
        <w:tc>
          <w:tcPr>
            <w:tcW w:w="0" w:type="auto"/>
            <w:shd w:val="clear" w:color="auto" w:fill="auto"/>
            <w:tcMar>
              <w:top w:w="40" w:type="dxa"/>
              <w:bottom w:w="40" w:type="dxa"/>
              <w:right w:w="20" w:type="dxa"/>
            </w:tcMar>
            <w:vAlign w:val="bottom"/>
          </w:tcPr>
          <w:p w14:paraId="36CA2807"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2808"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2809" w14:textId="77777777" w:rsidR="00787570" w:rsidRDefault="000D56E2">
            <w:pPr>
              <w:jc w:val="right"/>
              <w:textAlignment w:val="bottom"/>
            </w:pPr>
            <w:r>
              <w:rPr>
                <w:rFonts w:ascii="Arial" w:eastAsia="宋体" w:hAnsi="Arial" w:cs="Arial"/>
                <w:color w:val="0071C5"/>
                <w:sz w:val="18"/>
                <w:szCs w:val="18"/>
              </w:rPr>
              <w:t>634 </w:t>
            </w:r>
          </w:p>
        </w:tc>
        <w:tc>
          <w:tcPr>
            <w:tcW w:w="0" w:type="auto"/>
            <w:shd w:val="clear" w:color="auto" w:fill="auto"/>
            <w:tcMar>
              <w:top w:w="40" w:type="dxa"/>
              <w:bottom w:w="40" w:type="dxa"/>
              <w:right w:w="20" w:type="dxa"/>
            </w:tcMar>
            <w:vAlign w:val="bottom"/>
          </w:tcPr>
          <w:p w14:paraId="36CA280A"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280B"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280C" w14:textId="77777777" w:rsidR="00787570" w:rsidRDefault="000D56E2">
            <w:pPr>
              <w:jc w:val="right"/>
              <w:textAlignment w:val="bottom"/>
            </w:pPr>
            <w:r>
              <w:rPr>
                <w:rFonts w:ascii="Arial" w:eastAsia="宋体" w:hAnsi="Arial" w:cs="Arial"/>
                <w:color w:val="333333"/>
                <w:sz w:val="18"/>
                <w:szCs w:val="18"/>
              </w:rPr>
              <w:t>639 </w:t>
            </w:r>
          </w:p>
        </w:tc>
        <w:tc>
          <w:tcPr>
            <w:tcW w:w="0" w:type="auto"/>
            <w:shd w:val="clear" w:color="auto" w:fill="auto"/>
            <w:tcMar>
              <w:top w:w="40" w:type="dxa"/>
              <w:bottom w:w="40" w:type="dxa"/>
              <w:right w:w="20" w:type="dxa"/>
            </w:tcMar>
            <w:vAlign w:val="bottom"/>
          </w:tcPr>
          <w:p w14:paraId="36CA280D" w14:textId="77777777" w:rsidR="00787570" w:rsidRDefault="00787570">
            <w:pPr>
              <w:jc w:val="right"/>
              <w:rPr>
                <w:rFonts w:ascii="宋体"/>
              </w:rPr>
            </w:pPr>
          </w:p>
        </w:tc>
        <w:tc>
          <w:tcPr>
            <w:tcW w:w="0" w:type="auto"/>
            <w:shd w:val="clear" w:color="auto" w:fill="auto"/>
          </w:tcPr>
          <w:p w14:paraId="36CA280E" w14:textId="77777777" w:rsidR="00787570" w:rsidRDefault="00787570">
            <w:pPr>
              <w:rPr>
                <w:rFonts w:ascii="宋体"/>
              </w:rPr>
            </w:pPr>
          </w:p>
        </w:tc>
        <w:tc>
          <w:tcPr>
            <w:tcW w:w="0" w:type="auto"/>
            <w:shd w:val="clear" w:color="auto" w:fill="auto"/>
          </w:tcPr>
          <w:p w14:paraId="36CA280F" w14:textId="77777777" w:rsidR="00787570" w:rsidRDefault="00787570">
            <w:pPr>
              <w:rPr>
                <w:rFonts w:ascii="宋体"/>
              </w:rPr>
            </w:pPr>
          </w:p>
        </w:tc>
        <w:tc>
          <w:tcPr>
            <w:tcW w:w="0" w:type="auto"/>
            <w:shd w:val="clear" w:color="auto" w:fill="auto"/>
          </w:tcPr>
          <w:p w14:paraId="36CA2810" w14:textId="77777777" w:rsidR="00787570" w:rsidRDefault="00787570">
            <w:pPr>
              <w:rPr>
                <w:rFonts w:ascii="宋体"/>
              </w:rPr>
            </w:pPr>
          </w:p>
        </w:tc>
        <w:tc>
          <w:tcPr>
            <w:tcW w:w="0" w:type="auto"/>
            <w:shd w:val="clear" w:color="auto" w:fill="auto"/>
          </w:tcPr>
          <w:p w14:paraId="36CA2811" w14:textId="77777777" w:rsidR="00787570" w:rsidRDefault="00787570">
            <w:pPr>
              <w:rPr>
                <w:rFonts w:ascii="宋体"/>
              </w:rPr>
            </w:pPr>
          </w:p>
        </w:tc>
        <w:tc>
          <w:tcPr>
            <w:tcW w:w="0" w:type="auto"/>
            <w:shd w:val="clear" w:color="auto" w:fill="auto"/>
          </w:tcPr>
          <w:p w14:paraId="36CA2812" w14:textId="77777777" w:rsidR="00787570" w:rsidRDefault="00787570">
            <w:pPr>
              <w:rPr>
                <w:rFonts w:ascii="宋体"/>
              </w:rPr>
            </w:pPr>
          </w:p>
        </w:tc>
        <w:tc>
          <w:tcPr>
            <w:tcW w:w="0" w:type="auto"/>
            <w:shd w:val="clear" w:color="auto" w:fill="auto"/>
          </w:tcPr>
          <w:p w14:paraId="36CA2813" w14:textId="77777777" w:rsidR="00787570" w:rsidRDefault="00787570">
            <w:pPr>
              <w:rPr>
                <w:rFonts w:ascii="宋体"/>
              </w:rPr>
            </w:pPr>
          </w:p>
        </w:tc>
        <w:tc>
          <w:tcPr>
            <w:tcW w:w="0" w:type="auto"/>
            <w:shd w:val="clear" w:color="auto" w:fill="auto"/>
          </w:tcPr>
          <w:p w14:paraId="36CA2814" w14:textId="77777777" w:rsidR="00787570" w:rsidRDefault="00787570">
            <w:pPr>
              <w:rPr>
                <w:rFonts w:ascii="宋体"/>
              </w:rPr>
            </w:pPr>
          </w:p>
        </w:tc>
        <w:tc>
          <w:tcPr>
            <w:tcW w:w="0" w:type="auto"/>
            <w:shd w:val="clear" w:color="auto" w:fill="auto"/>
          </w:tcPr>
          <w:p w14:paraId="36CA2815" w14:textId="77777777" w:rsidR="00787570" w:rsidRDefault="00787570">
            <w:pPr>
              <w:rPr>
                <w:rFonts w:ascii="宋体"/>
              </w:rPr>
            </w:pPr>
          </w:p>
        </w:tc>
        <w:tc>
          <w:tcPr>
            <w:tcW w:w="0" w:type="auto"/>
            <w:shd w:val="clear" w:color="auto" w:fill="auto"/>
          </w:tcPr>
          <w:p w14:paraId="36CA2816" w14:textId="77777777" w:rsidR="00787570" w:rsidRDefault="00787570">
            <w:pPr>
              <w:rPr>
                <w:rFonts w:ascii="宋体"/>
              </w:rPr>
            </w:pPr>
          </w:p>
        </w:tc>
        <w:tc>
          <w:tcPr>
            <w:tcW w:w="0" w:type="auto"/>
            <w:shd w:val="clear" w:color="auto" w:fill="auto"/>
          </w:tcPr>
          <w:p w14:paraId="36CA2817" w14:textId="77777777" w:rsidR="00787570" w:rsidRDefault="00787570">
            <w:pPr>
              <w:rPr>
                <w:rFonts w:ascii="宋体"/>
              </w:rPr>
            </w:pPr>
          </w:p>
        </w:tc>
        <w:tc>
          <w:tcPr>
            <w:tcW w:w="0" w:type="auto"/>
            <w:shd w:val="clear" w:color="auto" w:fill="auto"/>
          </w:tcPr>
          <w:p w14:paraId="36CA2818" w14:textId="77777777" w:rsidR="00787570" w:rsidRDefault="00787570">
            <w:pPr>
              <w:rPr>
                <w:rFonts w:ascii="宋体"/>
              </w:rPr>
            </w:pPr>
          </w:p>
        </w:tc>
        <w:tc>
          <w:tcPr>
            <w:tcW w:w="0" w:type="auto"/>
            <w:shd w:val="clear" w:color="auto" w:fill="auto"/>
          </w:tcPr>
          <w:p w14:paraId="36CA2819" w14:textId="77777777" w:rsidR="00787570" w:rsidRDefault="00787570">
            <w:pPr>
              <w:rPr>
                <w:rFonts w:ascii="宋体"/>
              </w:rPr>
            </w:pPr>
          </w:p>
        </w:tc>
      </w:tr>
      <w:tr w:rsidR="00787570" w14:paraId="36CA2834" w14:textId="77777777">
        <w:tc>
          <w:tcPr>
            <w:tcW w:w="0" w:type="auto"/>
            <w:gridSpan w:val="3"/>
            <w:shd w:val="clear" w:color="auto" w:fill="auto"/>
            <w:tcMar>
              <w:left w:w="20" w:type="dxa"/>
              <w:right w:w="20" w:type="dxa"/>
            </w:tcMar>
            <w:vAlign w:val="bottom"/>
          </w:tcPr>
          <w:p w14:paraId="36CA281B"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281C" w14:textId="77777777" w:rsidR="00787570" w:rsidRDefault="00787570">
            <w:pPr>
              <w:rPr>
                <w:rFonts w:ascii="宋体"/>
              </w:rPr>
            </w:pPr>
          </w:p>
        </w:tc>
        <w:tc>
          <w:tcPr>
            <w:tcW w:w="0" w:type="auto"/>
            <w:gridSpan w:val="2"/>
            <w:tcBorders>
              <w:top w:val="single" w:sz="8" w:space="0" w:color="333333"/>
            </w:tcBorders>
            <w:shd w:val="clear" w:color="auto" w:fill="auto"/>
            <w:tcMar>
              <w:top w:w="40" w:type="dxa"/>
              <w:left w:w="20" w:type="dxa"/>
              <w:bottom w:w="40" w:type="dxa"/>
              <w:right w:w="0" w:type="dxa"/>
            </w:tcMar>
            <w:vAlign w:val="bottom"/>
          </w:tcPr>
          <w:p w14:paraId="36CA281D" w14:textId="77777777" w:rsidR="00787570" w:rsidRDefault="000D56E2">
            <w:pPr>
              <w:jc w:val="right"/>
              <w:textAlignment w:val="bottom"/>
            </w:pPr>
            <w:r>
              <w:rPr>
                <w:rFonts w:ascii="Arial" w:eastAsia="宋体" w:hAnsi="Arial" w:cs="Arial"/>
                <w:b/>
                <w:bCs/>
                <w:color w:val="0071C5"/>
                <w:sz w:val="18"/>
                <w:szCs w:val="18"/>
              </w:rPr>
              <w:t>911</w:t>
            </w:r>
            <w:r>
              <w:rPr>
                <w:rFonts w:ascii="Arial" w:eastAsia="宋体" w:hAnsi="Arial" w:cs="Arial"/>
                <w:color w:val="0071C5"/>
                <w:sz w:val="18"/>
                <w:szCs w:val="18"/>
              </w:rPr>
              <w:t> </w:t>
            </w:r>
          </w:p>
        </w:tc>
        <w:tc>
          <w:tcPr>
            <w:tcW w:w="0" w:type="auto"/>
            <w:tcBorders>
              <w:top w:val="single" w:sz="8" w:space="0" w:color="333333"/>
            </w:tcBorders>
            <w:shd w:val="clear" w:color="auto" w:fill="auto"/>
            <w:tcMar>
              <w:top w:w="40" w:type="dxa"/>
              <w:bottom w:w="40" w:type="dxa"/>
              <w:right w:w="20" w:type="dxa"/>
            </w:tcMar>
            <w:vAlign w:val="bottom"/>
          </w:tcPr>
          <w:p w14:paraId="36CA281E"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281F" w14:textId="77777777" w:rsidR="00787570" w:rsidRDefault="00787570">
            <w:pPr>
              <w:rPr>
                <w:rFonts w:ascii="宋体"/>
              </w:rPr>
            </w:pPr>
          </w:p>
        </w:tc>
        <w:tc>
          <w:tcPr>
            <w:tcW w:w="0" w:type="auto"/>
            <w:gridSpan w:val="2"/>
            <w:tcBorders>
              <w:top w:val="single" w:sz="8" w:space="0" w:color="333333"/>
            </w:tcBorders>
            <w:shd w:val="clear" w:color="auto" w:fill="auto"/>
            <w:tcMar>
              <w:top w:w="40" w:type="dxa"/>
              <w:left w:w="20" w:type="dxa"/>
              <w:bottom w:w="40" w:type="dxa"/>
              <w:right w:w="0" w:type="dxa"/>
            </w:tcMar>
            <w:vAlign w:val="bottom"/>
          </w:tcPr>
          <w:p w14:paraId="36CA2820" w14:textId="77777777" w:rsidR="00787570" w:rsidRDefault="000D56E2">
            <w:pPr>
              <w:jc w:val="right"/>
              <w:textAlignment w:val="bottom"/>
            </w:pPr>
            <w:r>
              <w:rPr>
                <w:rFonts w:ascii="Arial" w:eastAsia="宋体" w:hAnsi="Arial" w:cs="Arial"/>
                <w:b/>
                <w:bCs/>
                <w:color w:val="333333"/>
                <w:sz w:val="18"/>
                <w:szCs w:val="18"/>
              </w:rPr>
              <w:t>1,234</w:t>
            </w:r>
            <w:r>
              <w:rPr>
                <w:rFonts w:ascii="Arial" w:eastAsia="宋体" w:hAnsi="Arial" w:cs="Arial"/>
                <w:color w:val="333333"/>
                <w:sz w:val="18"/>
                <w:szCs w:val="18"/>
              </w:rPr>
              <w:t> </w:t>
            </w:r>
          </w:p>
        </w:tc>
        <w:tc>
          <w:tcPr>
            <w:tcW w:w="0" w:type="auto"/>
            <w:tcBorders>
              <w:top w:val="single" w:sz="8" w:space="0" w:color="333333"/>
            </w:tcBorders>
            <w:shd w:val="clear" w:color="auto" w:fill="auto"/>
            <w:tcMar>
              <w:top w:w="40" w:type="dxa"/>
              <w:bottom w:w="40" w:type="dxa"/>
              <w:right w:w="20" w:type="dxa"/>
            </w:tcMar>
            <w:vAlign w:val="bottom"/>
          </w:tcPr>
          <w:p w14:paraId="36CA2821"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2822" w14:textId="77777777" w:rsidR="00787570" w:rsidRDefault="00787570">
            <w:pPr>
              <w:rPr>
                <w:rFonts w:ascii="宋体"/>
              </w:rPr>
            </w:pPr>
          </w:p>
        </w:tc>
        <w:tc>
          <w:tcPr>
            <w:tcW w:w="0" w:type="auto"/>
            <w:gridSpan w:val="2"/>
            <w:tcBorders>
              <w:top w:val="single" w:sz="8" w:space="0" w:color="333333"/>
            </w:tcBorders>
            <w:shd w:val="clear" w:color="auto" w:fill="auto"/>
            <w:tcMar>
              <w:top w:w="40" w:type="dxa"/>
              <w:left w:w="20" w:type="dxa"/>
              <w:bottom w:w="40" w:type="dxa"/>
              <w:right w:w="0" w:type="dxa"/>
            </w:tcMar>
            <w:vAlign w:val="bottom"/>
          </w:tcPr>
          <w:p w14:paraId="36CA2823" w14:textId="77777777" w:rsidR="00787570" w:rsidRDefault="000D56E2">
            <w:pPr>
              <w:jc w:val="right"/>
              <w:textAlignment w:val="bottom"/>
            </w:pPr>
            <w:r>
              <w:rPr>
                <w:rFonts w:ascii="Arial" w:eastAsia="宋体" w:hAnsi="Arial" w:cs="Arial"/>
                <w:b/>
                <w:bCs/>
                <w:color w:val="0071C5"/>
                <w:sz w:val="18"/>
                <w:szCs w:val="18"/>
              </w:rPr>
              <w:t>2,864</w:t>
            </w:r>
            <w:r>
              <w:rPr>
                <w:rFonts w:ascii="Arial" w:eastAsia="宋体" w:hAnsi="Arial" w:cs="Arial"/>
                <w:color w:val="0071C5"/>
                <w:sz w:val="18"/>
                <w:szCs w:val="18"/>
              </w:rPr>
              <w:t> </w:t>
            </w:r>
          </w:p>
        </w:tc>
        <w:tc>
          <w:tcPr>
            <w:tcW w:w="0" w:type="auto"/>
            <w:tcBorders>
              <w:top w:val="single" w:sz="8" w:space="0" w:color="333333"/>
            </w:tcBorders>
            <w:shd w:val="clear" w:color="auto" w:fill="auto"/>
            <w:tcMar>
              <w:top w:w="40" w:type="dxa"/>
              <w:bottom w:w="40" w:type="dxa"/>
              <w:right w:w="20" w:type="dxa"/>
            </w:tcMar>
            <w:vAlign w:val="bottom"/>
          </w:tcPr>
          <w:p w14:paraId="36CA2824"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2825" w14:textId="77777777" w:rsidR="00787570" w:rsidRDefault="00787570">
            <w:pPr>
              <w:rPr>
                <w:rFonts w:ascii="宋体"/>
              </w:rPr>
            </w:pPr>
          </w:p>
        </w:tc>
        <w:tc>
          <w:tcPr>
            <w:tcW w:w="0" w:type="auto"/>
            <w:gridSpan w:val="2"/>
            <w:tcBorders>
              <w:top w:val="single" w:sz="8" w:space="0" w:color="333333"/>
            </w:tcBorders>
            <w:shd w:val="clear" w:color="auto" w:fill="auto"/>
            <w:tcMar>
              <w:top w:w="40" w:type="dxa"/>
              <w:left w:w="20" w:type="dxa"/>
              <w:bottom w:w="40" w:type="dxa"/>
              <w:right w:w="0" w:type="dxa"/>
            </w:tcMar>
            <w:vAlign w:val="bottom"/>
          </w:tcPr>
          <w:p w14:paraId="36CA2826" w14:textId="77777777" w:rsidR="00787570" w:rsidRDefault="000D56E2">
            <w:pPr>
              <w:jc w:val="right"/>
              <w:textAlignment w:val="bottom"/>
            </w:pPr>
            <w:r>
              <w:rPr>
                <w:rFonts w:ascii="Arial" w:eastAsia="宋体" w:hAnsi="Arial" w:cs="Arial"/>
                <w:b/>
                <w:bCs/>
                <w:color w:val="333333"/>
                <w:sz w:val="18"/>
                <w:szCs w:val="18"/>
              </w:rPr>
              <w:t>3,540</w:t>
            </w:r>
            <w:r>
              <w:rPr>
                <w:rFonts w:ascii="Arial" w:eastAsia="宋体" w:hAnsi="Arial" w:cs="Arial"/>
                <w:color w:val="333333"/>
                <w:sz w:val="18"/>
                <w:szCs w:val="18"/>
              </w:rPr>
              <w:t> </w:t>
            </w:r>
          </w:p>
        </w:tc>
        <w:tc>
          <w:tcPr>
            <w:tcW w:w="0" w:type="auto"/>
            <w:tcBorders>
              <w:top w:val="single" w:sz="8" w:space="0" w:color="333333"/>
            </w:tcBorders>
            <w:shd w:val="clear" w:color="auto" w:fill="auto"/>
            <w:tcMar>
              <w:top w:w="40" w:type="dxa"/>
              <w:bottom w:w="40" w:type="dxa"/>
              <w:right w:w="20" w:type="dxa"/>
            </w:tcMar>
            <w:vAlign w:val="bottom"/>
          </w:tcPr>
          <w:p w14:paraId="36CA2827" w14:textId="77777777" w:rsidR="00787570" w:rsidRDefault="00787570">
            <w:pPr>
              <w:jc w:val="right"/>
              <w:rPr>
                <w:rFonts w:ascii="宋体"/>
              </w:rPr>
            </w:pPr>
          </w:p>
        </w:tc>
        <w:tc>
          <w:tcPr>
            <w:tcW w:w="0" w:type="auto"/>
            <w:shd w:val="clear" w:color="auto" w:fill="auto"/>
          </w:tcPr>
          <w:p w14:paraId="36CA2828" w14:textId="77777777" w:rsidR="00787570" w:rsidRDefault="00787570">
            <w:pPr>
              <w:rPr>
                <w:rFonts w:ascii="宋体"/>
              </w:rPr>
            </w:pPr>
          </w:p>
        </w:tc>
        <w:tc>
          <w:tcPr>
            <w:tcW w:w="0" w:type="auto"/>
            <w:shd w:val="clear" w:color="auto" w:fill="auto"/>
          </w:tcPr>
          <w:p w14:paraId="36CA2829" w14:textId="77777777" w:rsidR="00787570" w:rsidRDefault="00787570">
            <w:pPr>
              <w:rPr>
                <w:rFonts w:ascii="宋体"/>
              </w:rPr>
            </w:pPr>
          </w:p>
        </w:tc>
        <w:tc>
          <w:tcPr>
            <w:tcW w:w="0" w:type="auto"/>
            <w:shd w:val="clear" w:color="auto" w:fill="auto"/>
          </w:tcPr>
          <w:p w14:paraId="36CA282A" w14:textId="77777777" w:rsidR="00787570" w:rsidRDefault="00787570">
            <w:pPr>
              <w:rPr>
                <w:rFonts w:ascii="宋体"/>
              </w:rPr>
            </w:pPr>
          </w:p>
        </w:tc>
        <w:tc>
          <w:tcPr>
            <w:tcW w:w="0" w:type="auto"/>
            <w:shd w:val="clear" w:color="auto" w:fill="auto"/>
          </w:tcPr>
          <w:p w14:paraId="36CA282B" w14:textId="77777777" w:rsidR="00787570" w:rsidRDefault="00787570">
            <w:pPr>
              <w:rPr>
                <w:rFonts w:ascii="宋体"/>
              </w:rPr>
            </w:pPr>
          </w:p>
        </w:tc>
        <w:tc>
          <w:tcPr>
            <w:tcW w:w="0" w:type="auto"/>
            <w:shd w:val="clear" w:color="auto" w:fill="auto"/>
          </w:tcPr>
          <w:p w14:paraId="36CA282C" w14:textId="77777777" w:rsidR="00787570" w:rsidRDefault="00787570">
            <w:pPr>
              <w:rPr>
                <w:rFonts w:ascii="宋体"/>
              </w:rPr>
            </w:pPr>
          </w:p>
        </w:tc>
        <w:tc>
          <w:tcPr>
            <w:tcW w:w="0" w:type="auto"/>
            <w:shd w:val="clear" w:color="auto" w:fill="auto"/>
          </w:tcPr>
          <w:p w14:paraId="36CA282D" w14:textId="77777777" w:rsidR="00787570" w:rsidRDefault="00787570">
            <w:pPr>
              <w:rPr>
                <w:rFonts w:ascii="宋体"/>
              </w:rPr>
            </w:pPr>
          </w:p>
        </w:tc>
        <w:tc>
          <w:tcPr>
            <w:tcW w:w="0" w:type="auto"/>
            <w:shd w:val="clear" w:color="auto" w:fill="auto"/>
          </w:tcPr>
          <w:p w14:paraId="36CA282E" w14:textId="77777777" w:rsidR="00787570" w:rsidRDefault="00787570">
            <w:pPr>
              <w:rPr>
                <w:rFonts w:ascii="宋体"/>
              </w:rPr>
            </w:pPr>
          </w:p>
        </w:tc>
        <w:tc>
          <w:tcPr>
            <w:tcW w:w="0" w:type="auto"/>
            <w:shd w:val="clear" w:color="auto" w:fill="auto"/>
          </w:tcPr>
          <w:p w14:paraId="36CA282F" w14:textId="77777777" w:rsidR="00787570" w:rsidRDefault="00787570">
            <w:pPr>
              <w:rPr>
                <w:rFonts w:ascii="宋体"/>
              </w:rPr>
            </w:pPr>
          </w:p>
        </w:tc>
        <w:tc>
          <w:tcPr>
            <w:tcW w:w="0" w:type="auto"/>
            <w:shd w:val="clear" w:color="auto" w:fill="auto"/>
          </w:tcPr>
          <w:p w14:paraId="36CA2830" w14:textId="77777777" w:rsidR="00787570" w:rsidRDefault="00787570">
            <w:pPr>
              <w:rPr>
                <w:rFonts w:ascii="宋体"/>
              </w:rPr>
            </w:pPr>
          </w:p>
        </w:tc>
        <w:tc>
          <w:tcPr>
            <w:tcW w:w="0" w:type="auto"/>
            <w:shd w:val="clear" w:color="auto" w:fill="auto"/>
          </w:tcPr>
          <w:p w14:paraId="36CA2831" w14:textId="77777777" w:rsidR="00787570" w:rsidRDefault="00787570">
            <w:pPr>
              <w:rPr>
                <w:rFonts w:ascii="宋体"/>
              </w:rPr>
            </w:pPr>
          </w:p>
        </w:tc>
        <w:tc>
          <w:tcPr>
            <w:tcW w:w="0" w:type="auto"/>
            <w:shd w:val="clear" w:color="auto" w:fill="auto"/>
          </w:tcPr>
          <w:p w14:paraId="36CA2832" w14:textId="77777777" w:rsidR="00787570" w:rsidRDefault="00787570">
            <w:pPr>
              <w:rPr>
                <w:rFonts w:ascii="宋体"/>
              </w:rPr>
            </w:pPr>
          </w:p>
        </w:tc>
        <w:tc>
          <w:tcPr>
            <w:tcW w:w="0" w:type="auto"/>
            <w:shd w:val="clear" w:color="auto" w:fill="auto"/>
          </w:tcPr>
          <w:p w14:paraId="36CA2833" w14:textId="77777777" w:rsidR="00787570" w:rsidRDefault="00787570">
            <w:pPr>
              <w:rPr>
                <w:rFonts w:ascii="宋体"/>
              </w:rPr>
            </w:pPr>
          </w:p>
        </w:tc>
      </w:tr>
      <w:tr w:rsidR="00787570" w14:paraId="36CA284A" w14:textId="77777777">
        <w:trPr>
          <w:trHeight w:val="280"/>
        </w:trPr>
        <w:tc>
          <w:tcPr>
            <w:tcW w:w="0" w:type="auto"/>
            <w:gridSpan w:val="3"/>
            <w:shd w:val="clear" w:color="auto" w:fill="auto"/>
            <w:tcMar>
              <w:left w:w="20" w:type="dxa"/>
              <w:right w:w="20" w:type="dxa"/>
            </w:tcMar>
            <w:vAlign w:val="bottom"/>
          </w:tcPr>
          <w:p w14:paraId="36CA2835"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2836"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2837"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2838"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2839"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283A"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283B"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283C"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283D" w14:textId="77777777" w:rsidR="00787570" w:rsidRDefault="00787570">
            <w:pPr>
              <w:rPr>
                <w:rFonts w:ascii="宋体"/>
              </w:rPr>
            </w:pPr>
          </w:p>
        </w:tc>
        <w:tc>
          <w:tcPr>
            <w:tcW w:w="0" w:type="auto"/>
            <w:shd w:val="clear" w:color="auto" w:fill="auto"/>
          </w:tcPr>
          <w:p w14:paraId="36CA283E" w14:textId="77777777" w:rsidR="00787570" w:rsidRDefault="00787570">
            <w:pPr>
              <w:rPr>
                <w:rFonts w:ascii="宋体"/>
              </w:rPr>
            </w:pPr>
          </w:p>
        </w:tc>
        <w:tc>
          <w:tcPr>
            <w:tcW w:w="0" w:type="auto"/>
            <w:shd w:val="clear" w:color="auto" w:fill="auto"/>
          </w:tcPr>
          <w:p w14:paraId="36CA283F" w14:textId="77777777" w:rsidR="00787570" w:rsidRDefault="00787570">
            <w:pPr>
              <w:rPr>
                <w:rFonts w:ascii="宋体"/>
              </w:rPr>
            </w:pPr>
          </w:p>
        </w:tc>
        <w:tc>
          <w:tcPr>
            <w:tcW w:w="0" w:type="auto"/>
            <w:shd w:val="clear" w:color="auto" w:fill="auto"/>
          </w:tcPr>
          <w:p w14:paraId="36CA2840" w14:textId="77777777" w:rsidR="00787570" w:rsidRDefault="00787570">
            <w:pPr>
              <w:rPr>
                <w:rFonts w:ascii="宋体"/>
              </w:rPr>
            </w:pPr>
          </w:p>
        </w:tc>
        <w:tc>
          <w:tcPr>
            <w:tcW w:w="0" w:type="auto"/>
            <w:shd w:val="clear" w:color="auto" w:fill="auto"/>
          </w:tcPr>
          <w:p w14:paraId="36CA2841" w14:textId="77777777" w:rsidR="00787570" w:rsidRDefault="00787570">
            <w:pPr>
              <w:rPr>
                <w:rFonts w:ascii="宋体"/>
              </w:rPr>
            </w:pPr>
          </w:p>
        </w:tc>
        <w:tc>
          <w:tcPr>
            <w:tcW w:w="0" w:type="auto"/>
            <w:shd w:val="clear" w:color="auto" w:fill="auto"/>
          </w:tcPr>
          <w:p w14:paraId="36CA2842" w14:textId="77777777" w:rsidR="00787570" w:rsidRDefault="00787570">
            <w:pPr>
              <w:rPr>
                <w:rFonts w:ascii="宋体"/>
              </w:rPr>
            </w:pPr>
          </w:p>
        </w:tc>
        <w:tc>
          <w:tcPr>
            <w:tcW w:w="0" w:type="auto"/>
            <w:shd w:val="clear" w:color="auto" w:fill="auto"/>
          </w:tcPr>
          <w:p w14:paraId="36CA2843" w14:textId="77777777" w:rsidR="00787570" w:rsidRDefault="00787570">
            <w:pPr>
              <w:rPr>
                <w:rFonts w:ascii="宋体"/>
              </w:rPr>
            </w:pPr>
          </w:p>
        </w:tc>
        <w:tc>
          <w:tcPr>
            <w:tcW w:w="0" w:type="auto"/>
            <w:shd w:val="clear" w:color="auto" w:fill="auto"/>
          </w:tcPr>
          <w:p w14:paraId="36CA2844" w14:textId="77777777" w:rsidR="00787570" w:rsidRDefault="00787570">
            <w:pPr>
              <w:rPr>
                <w:rFonts w:ascii="宋体"/>
              </w:rPr>
            </w:pPr>
          </w:p>
        </w:tc>
        <w:tc>
          <w:tcPr>
            <w:tcW w:w="0" w:type="auto"/>
            <w:shd w:val="clear" w:color="auto" w:fill="auto"/>
          </w:tcPr>
          <w:p w14:paraId="36CA2845" w14:textId="77777777" w:rsidR="00787570" w:rsidRDefault="00787570">
            <w:pPr>
              <w:rPr>
                <w:rFonts w:ascii="宋体"/>
              </w:rPr>
            </w:pPr>
          </w:p>
        </w:tc>
        <w:tc>
          <w:tcPr>
            <w:tcW w:w="0" w:type="auto"/>
            <w:shd w:val="clear" w:color="auto" w:fill="auto"/>
          </w:tcPr>
          <w:p w14:paraId="36CA2846" w14:textId="77777777" w:rsidR="00787570" w:rsidRDefault="00787570">
            <w:pPr>
              <w:rPr>
                <w:rFonts w:ascii="宋体"/>
              </w:rPr>
            </w:pPr>
          </w:p>
        </w:tc>
        <w:tc>
          <w:tcPr>
            <w:tcW w:w="0" w:type="auto"/>
            <w:shd w:val="clear" w:color="auto" w:fill="auto"/>
          </w:tcPr>
          <w:p w14:paraId="36CA2847" w14:textId="77777777" w:rsidR="00787570" w:rsidRDefault="00787570">
            <w:pPr>
              <w:rPr>
                <w:rFonts w:ascii="宋体"/>
              </w:rPr>
            </w:pPr>
          </w:p>
        </w:tc>
        <w:tc>
          <w:tcPr>
            <w:tcW w:w="0" w:type="auto"/>
            <w:shd w:val="clear" w:color="auto" w:fill="auto"/>
          </w:tcPr>
          <w:p w14:paraId="36CA2848" w14:textId="77777777" w:rsidR="00787570" w:rsidRDefault="00787570">
            <w:pPr>
              <w:rPr>
                <w:rFonts w:ascii="宋体"/>
              </w:rPr>
            </w:pPr>
          </w:p>
        </w:tc>
        <w:tc>
          <w:tcPr>
            <w:tcW w:w="0" w:type="auto"/>
            <w:shd w:val="clear" w:color="auto" w:fill="auto"/>
          </w:tcPr>
          <w:p w14:paraId="36CA2849" w14:textId="77777777" w:rsidR="00787570" w:rsidRDefault="00787570">
            <w:pPr>
              <w:rPr>
                <w:rFonts w:ascii="宋体"/>
              </w:rPr>
            </w:pPr>
          </w:p>
        </w:tc>
      </w:tr>
      <w:tr w:rsidR="00787570" w14:paraId="36CA2860" w14:textId="77777777">
        <w:trPr>
          <w:hidden/>
        </w:trPr>
        <w:tc>
          <w:tcPr>
            <w:tcW w:w="0" w:type="auto"/>
            <w:gridSpan w:val="3"/>
            <w:shd w:val="clear" w:color="auto" w:fill="auto"/>
          </w:tcPr>
          <w:p w14:paraId="36CA284B" w14:textId="77777777" w:rsidR="00787570" w:rsidRDefault="00787570">
            <w:pPr>
              <w:rPr>
                <w:rFonts w:ascii="宋体"/>
                <w:vanish/>
              </w:rPr>
            </w:pPr>
          </w:p>
        </w:tc>
        <w:tc>
          <w:tcPr>
            <w:tcW w:w="0" w:type="auto"/>
            <w:gridSpan w:val="3"/>
            <w:shd w:val="clear" w:color="auto" w:fill="auto"/>
          </w:tcPr>
          <w:p w14:paraId="36CA284C" w14:textId="77777777" w:rsidR="00787570" w:rsidRDefault="00787570">
            <w:pPr>
              <w:rPr>
                <w:rFonts w:ascii="宋体"/>
                <w:vanish/>
              </w:rPr>
            </w:pPr>
          </w:p>
        </w:tc>
        <w:tc>
          <w:tcPr>
            <w:tcW w:w="0" w:type="auto"/>
            <w:gridSpan w:val="3"/>
            <w:shd w:val="clear" w:color="auto" w:fill="auto"/>
          </w:tcPr>
          <w:p w14:paraId="36CA284D" w14:textId="77777777" w:rsidR="00787570" w:rsidRDefault="00787570">
            <w:pPr>
              <w:rPr>
                <w:rFonts w:ascii="宋体"/>
                <w:vanish/>
              </w:rPr>
            </w:pPr>
          </w:p>
        </w:tc>
        <w:tc>
          <w:tcPr>
            <w:tcW w:w="0" w:type="auto"/>
            <w:gridSpan w:val="3"/>
            <w:shd w:val="clear" w:color="auto" w:fill="auto"/>
          </w:tcPr>
          <w:p w14:paraId="36CA284E" w14:textId="77777777" w:rsidR="00787570" w:rsidRDefault="00787570">
            <w:pPr>
              <w:rPr>
                <w:rFonts w:ascii="宋体"/>
                <w:vanish/>
              </w:rPr>
            </w:pPr>
          </w:p>
        </w:tc>
        <w:tc>
          <w:tcPr>
            <w:tcW w:w="0" w:type="auto"/>
            <w:gridSpan w:val="3"/>
            <w:shd w:val="clear" w:color="auto" w:fill="auto"/>
          </w:tcPr>
          <w:p w14:paraId="36CA284F" w14:textId="77777777" w:rsidR="00787570" w:rsidRDefault="00787570">
            <w:pPr>
              <w:rPr>
                <w:rFonts w:ascii="宋体"/>
                <w:vanish/>
              </w:rPr>
            </w:pPr>
          </w:p>
        </w:tc>
        <w:tc>
          <w:tcPr>
            <w:tcW w:w="0" w:type="auto"/>
            <w:gridSpan w:val="3"/>
            <w:shd w:val="clear" w:color="auto" w:fill="auto"/>
          </w:tcPr>
          <w:p w14:paraId="36CA2850" w14:textId="77777777" w:rsidR="00787570" w:rsidRDefault="00787570">
            <w:pPr>
              <w:rPr>
                <w:rFonts w:ascii="宋体"/>
                <w:vanish/>
              </w:rPr>
            </w:pPr>
          </w:p>
        </w:tc>
        <w:tc>
          <w:tcPr>
            <w:tcW w:w="0" w:type="auto"/>
            <w:gridSpan w:val="3"/>
            <w:shd w:val="clear" w:color="auto" w:fill="auto"/>
          </w:tcPr>
          <w:p w14:paraId="36CA2851" w14:textId="77777777" w:rsidR="00787570" w:rsidRDefault="00787570">
            <w:pPr>
              <w:rPr>
                <w:rFonts w:ascii="宋体"/>
                <w:vanish/>
              </w:rPr>
            </w:pPr>
          </w:p>
        </w:tc>
        <w:tc>
          <w:tcPr>
            <w:tcW w:w="0" w:type="auto"/>
            <w:gridSpan w:val="3"/>
            <w:shd w:val="clear" w:color="auto" w:fill="auto"/>
          </w:tcPr>
          <w:p w14:paraId="36CA2852" w14:textId="77777777" w:rsidR="00787570" w:rsidRDefault="00787570">
            <w:pPr>
              <w:rPr>
                <w:rFonts w:ascii="宋体"/>
                <w:vanish/>
              </w:rPr>
            </w:pPr>
          </w:p>
        </w:tc>
        <w:tc>
          <w:tcPr>
            <w:tcW w:w="0" w:type="auto"/>
            <w:gridSpan w:val="3"/>
            <w:shd w:val="clear" w:color="auto" w:fill="auto"/>
          </w:tcPr>
          <w:p w14:paraId="36CA2853" w14:textId="77777777" w:rsidR="00787570" w:rsidRDefault="00787570">
            <w:pPr>
              <w:rPr>
                <w:rFonts w:ascii="宋体"/>
                <w:vanish/>
              </w:rPr>
            </w:pPr>
          </w:p>
        </w:tc>
        <w:tc>
          <w:tcPr>
            <w:tcW w:w="0" w:type="auto"/>
            <w:shd w:val="clear" w:color="auto" w:fill="auto"/>
          </w:tcPr>
          <w:p w14:paraId="36CA2854" w14:textId="77777777" w:rsidR="00787570" w:rsidRDefault="00787570">
            <w:pPr>
              <w:rPr>
                <w:rFonts w:ascii="宋体"/>
              </w:rPr>
            </w:pPr>
          </w:p>
        </w:tc>
        <w:tc>
          <w:tcPr>
            <w:tcW w:w="0" w:type="auto"/>
            <w:shd w:val="clear" w:color="auto" w:fill="auto"/>
          </w:tcPr>
          <w:p w14:paraId="36CA2855" w14:textId="77777777" w:rsidR="00787570" w:rsidRDefault="00787570">
            <w:pPr>
              <w:rPr>
                <w:rFonts w:ascii="宋体"/>
              </w:rPr>
            </w:pPr>
          </w:p>
        </w:tc>
        <w:tc>
          <w:tcPr>
            <w:tcW w:w="0" w:type="auto"/>
            <w:shd w:val="clear" w:color="auto" w:fill="auto"/>
          </w:tcPr>
          <w:p w14:paraId="36CA2856" w14:textId="77777777" w:rsidR="00787570" w:rsidRDefault="00787570">
            <w:pPr>
              <w:rPr>
                <w:rFonts w:ascii="宋体"/>
              </w:rPr>
            </w:pPr>
          </w:p>
        </w:tc>
        <w:tc>
          <w:tcPr>
            <w:tcW w:w="0" w:type="auto"/>
            <w:shd w:val="clear" w:color="auto" w:fill="auto"/>
          </w:tcPr>
          <w:p w14:paraId="36CA2857" w14:textId="77777777" w:rsidR="00787570" w:rsidRDefault="00787570">
            <w:pPr>
              <w:rPr>
                <w:rFonts w:ascii="宋体"/>
              </w:rPr>
            </w:pPr>
          </w:p>
        </w:tc>
        <w:tc>
          <w:tcPr>
            <w:tcW w:w="0" w:type="auto"/>
            <w:shd w:val="clear" w:color="auto" w:fill="auto"/>
          </w:tcPr>
          <w:p w14:paraId="36CA2858" w14:textId="77777777" w:rsidR="00787570" w:rsidRDefault="00787570">
            <w:pPr>
              <w:rPr>
                <w:rFonts w:ascii="宋体"/>
              </w:rPr>
            </w:pPr>
          </w:p>
        </w:tc>
        <w:tc>
          <w:tcPr>
            <w:tcW w:w="0" w:type="auto"/>
            <w:shd w:val="clear" w:color="auto" w:fill="auto"/>
          </w:tcPr>
          <w:p w14:paraId="36CA2859" w14:textId="77777777" w:rsidR="00787570" w:rsidRDefault="00787570">
            <w:pPr>
              <w:rPr>
                <w:rFonts w:ascii="宋体"/>
              </w:rPr>
            </w:pPr>
          </w:p>
        </w:tc>
        <w:tc>
          <w:tcPr>
            <w:tcW w:w="0" w:type="auto"/>
            <w:shd w:val="clear" w:color="auto" w:fill="auto"/>
          </w:tcPr>
          <w:p w14:paraId="36CA285A" w14:textId="77777777" w:rsidR="00787570" w:rsidRDefault="00787570">
            <w:pPr>
              <w:rPr>
                <w:rFonts w:ascii="宋体"/>
              </w:rPr>
            </w:pPr>
          </w:p>
        </w:tc>
        <w:tc>
          <w:tcPr>
            <w:tcW w:w="0" w:type="auto"/>
            <w:shd w:val="clear" w:color="auto" w:fill="auto"/>
          </w:tcPr>
          <w:p w14:paraId="36CA285B" w14:textId="77777777" w:rsidR="00787570" w:rsidRDefault="00787570">
            <w:pPr>
              <w:rPr>
                <w:rFonts w:ascii="宋体"/>
              </w:rPr>
            </w:pPr>
          </w:p>
        </w:tc>
        <w:tc>
          <w:tcPr>
            <w:tcW w:w="0" w:type="auto"/>
            <w:shd w:val="clear" w:color="auto" w:fill="auto"/>
          </w:tcPr>
          <w:p w14:paraId="36CA285C" w14:textId="77777777" w:rsidR="00787570" w:rsidRDefault="00787570">
            <w:pPr>
              <w:rPr>
                <w:rFonts w:ascii="宋体"/>
              </w:rPr>
            </w:pPr>
          </w:p>
        </w:tc>
        <w:tc>
          <w:tcPr>
            <w:tcW w:w="0" w:type="auto"/>
            <w:shd w:val="clear" w:color="auto" w:fill="auto"/>
          </w:tcPr>
          <w:p w14:paraId="36CA285D" w14:textId="77777777" w:rsidR="00787570" w:rsidRDefault="00787570">
            <w:pPr>
              <w:rPr>
                <w:rFonts w:ascii="宋体"/>
              </w:rPr>
            </w:pPr>
          </w:p>
        </w:tc>
        <w:tc>
          <w:tcPr>
            <w:tcW w:w="0" w:type="auto"/>
            <w:shd w:val="clear" w:color="auto" w:fill="auto"/>
          </w:tcPr>
          <w:p w14:paraId="36CA285E" w14:textId="77777777" w:rsidR="00787570" w:rsidRDefault="00787570">
            <w:pPr>
              <w:rPr>
                <w:rFonts w:ascii="宋体"/>
              </w:rPr>
            </w:pPr>
          </w:p>
        </w:tc>
        <w:tc>
          <w:tcPr>
            <w:tcW w:w="0" w:type="auto"/>
            <w:shd w:val="clear" w:color="auto" w:fill="auto"/>
          </w:tcPr>
          <w:p w14:paraId="36CA285F" w14:textId="77777777" w:rsidR="00787570" w:rsidRDefault="00787570">
            <w:pPr>
              <w:rPr>
                <w:rFonts w:ascii="宋体"/>
              </w:rPr>
            </w:pPr>
          </w:p>
        </w:tc>
      </w:tr>
      <w:tr w:rsidR="00787570" w14:paraId="36CA287A" w14:textId="77777777">
        <w:tc>
          <w:tcPr>
            <w:tcW w:w="0" w:type="auto"/>
            <w:gridSpan w:val="3"/>
            <w:shd w:val="clear" w:color="auto" w:fill="auto"/>
            <w:tcMar>
              <w:top w:w="40" w:type="dxa"/>
              <w:left w:w="195" w:type="dxa"/>
              <w:bottom w:w="40" w:type="dxa"/>
              <w:right w:w="20" w:type="dxa"/>
            </w:tcMar>
            <w:vAlign w:val="bottom"/>
          </w:tcPr>
          <w:p w14:paraId="36CA2861" w14:textId="77777777" w:rsidR="00787570" w:rsidRDefault="000D56E2">
            <w:pPr>
              <w:textAlignment w:val="bottom"/>
            </w:pPr>
            <w:r>
              <w:rPr>
                <w:rFonts w:ascii="Arial" w:eastAsia="宋体" w:hAnsi="Arial" w:cs="Arial"/>
                <w:b/>
                <w:bCs/>
                <w:color w:val="333333"/>
                <w:sz w:val="18"/>
                <w:szCs w:val="18"/>
              </w:rPr>
              <w:t>Non-Volatile Memory Solutions Group</w:t>
            </w:r>
          </w:p>
        </w:tc>
        <w:tc>
          <w:tcPr>
            <w:tcW w:w="0" w:type="auto"/>
            <w:gridSpan w:val="3"/>
            <w:shd w:val="clear" w:color="auto" w:fill="auto"/>
            <w:tcMar>
              <w:left w:w="20" w:type="dxa"/>
              <w:right w:w="20" w:type="dxa"/>
            </w:tcMar>
            <w:vAlign w:val="bottom"/>
          </w:tcPr>
          <w:p w14:paraId="36CA2862"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2863" w14:textId="77777777" w:rsidR="00787570" w:rsidRDefault="000D56E2">
            <w:pPr>
              <w:jc w:val="right"/>
              <w:textAlignment w:val="bottom"/>
            </w:pPr>
            <w:r>
              <w:rPr>
                <w:rFonts w:ascii="Arial" w:eastAsia="宋体" w:hAnsi="Arial" w:cs="Arial"/>
                <w:b/>
                <w:bCs/>
                <w:color w:val="0071C5"/>
                <w:sz w:val="18"/>
                <w:szCs w:val="18"/>
              </w:rPr>
              <w:t>1,153</w:t>
            </w:r>
            <w:r>
              <w:rPr>
                <w:rFonts w:ascii="Arial" w:eastAsia="宋体" w:hAnsi="Arial" w:cs="Arial"/>
                <w:color w:val="0071C5"/>
                <w:sz w:val="18"/>
                <w:szCs w:val="18"/>
              </w:rPr>
              <w:t> </w:t>
            </w:r>
          </w:p>
        </w:tc>
        <w:tc>
          <w:tcPr>
            <w:tcW w:w="0" w:type="auto"/>
            <w:shd w:val="clear" w:color="auto" w:fill="auto"/>
            <w:tcMar>
              <w:top w:w="40" w:type="dxa"/>
              <w:bottom w:w="40" w:type="dxa"/>
              <w:right w:w="20" w:type="dxa"/>
            </w:tcMar>
            <w:vAlign w:val="bottom"/>
          </w:tcPr>
          <w:p w14:paraId="36CA2864"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2865"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2866" w14:textId="77777777" w:rsidR="00787570" w:rsidRDefault="000D56E2">
            <w:pPr>
              <w:jc w:val="right"/>
              <w:textAlignment w:val="bottom"/>
            </w:pPr>
            <w:r>
              <w:rPr>
                <w:rFonts w:ascii="Arial" w:eastAsia="宋体" w:hAnsi="Arial" w:cs="Arial"/>
                <w:b/>
                <w:bCs/>
                <w:color w:val="333333"/>
                <w:sz w:val="18"/>
                <w:szCs w:val="18"/>
              </w:rPr>
              <w:t>1,290</w:t>
            </w:r>
            <w:r>
              <w:rPr>
                <w:rFonts w:ascii="Arial" w:eastAsia="宋体" w:hAnsi="Arial" w:cs="Arial"/>
                <w:color w:val="333333"/>
                <w:sz w:val="18"/>
                <w:szCs w:val="18"/>
              </w:rPr>
              <w:t> </w:t>
            </w:r>
          </w:p>
        </w:tc>
        <w:tc>
          <w:tcPr>
            <w:tcW w:w="0" w:type="auto"/>
            <w:shd w:val="clear" w:color="auto" w:fill="auto"/>
            <w:tcMar>
              <w:top w:w="40" w:type="dxa"/>
              <w:bottom w:w="40" w:type="dxa"/>
              <w:right w:w="20" w:type="dxa"/>
            </w:tcMar>
            <w:vAlign w:val="bottom"/>
          </w:tcPr>
          <w:p w14:paraId="36CA2867"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2868"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2869" w14:textId="77777777" w:rsidR="00787570" w:rsidRDefault="000D56E2">
            <w:pPr>
              <w:jc w:val="right"/>
              <w:textAlignment w:val="bottom"/>
            </w:pPr>
            <w:r>
              <w:rPr>
                <w:rFonts w:ascii="Arial" w:eastAsia="宋体" w:hAnsi="Arial" w:cs="Arial"/>
                <w:b/>
                <w:bCs/>
                <w:color w:val="0071C5"/>
                <w:sz w:val="18"/>
                <w:szCs w:val="18"/>
              </w:rPr>
              <w:t>4,150</w:t>
            </w:r>
            <w:r>
              <w:rPr>
                <w:rFonts w:ascii="Arial" w:eastAsia="宋体" w:hAnsi="Arial" w:cs="Arial"/>
                <w:color w:val="0071C5"/>
                <w:sz w:val="18"/>
                <w:szCs w:val="18"/>
              </w:rPr>
              <w:t> </w:t>
            </w:r>
          </w:p>
        </w:tc>
        <w:tc>
          <w:tcPr>
            <w:tcW w:w="0" w:type="auto"/>
            <w:shd w:val="clear" w:color="auto" w:fill="auto"/>
            <w:tcMar>
              <w:top w:w="40" w:type="dxa"/>
              <w:bottom w:w="40" w:type="dxa"/>
              <w:right w:w="20" w:type="dxa"/>
            </w:tcMar>
            <w:vAlign w:val="bottom"/>
          </w:tcPr>
          <w:p w14:paraId="36CA286A"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286B"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286C" w14:textId="77777777" w:rsidR="00787570" w:rsidRDefault="000D56E2">
            <w:pPr>
              <w:jc w:val="right"/>
              <w:textAlignment w:val="bottom"/>
            </w:pPr>
            <w:r>
              <w:rPr>
                <w:rFonts w:ascii="Arial" w:eastAsia="宋体" w:hAnsi="Arial" w:cs="Arial"/>
                <w:b/>
                <w:bCs/>
                <w:color w:val="333333"/>
                <w:sz w:val="18"/>
                <w:szCs w:val="18"/>
              </w:rPr>
              <w:t>3,145</w:t>
            </w:r>
            <w:r>
              <w:rPr>
                <w:rFonts w:ascii="Arial" w:eastAsia="宋体" w:hAnsi="Arial" w:cs="Arial"/>
                <w:color w:val="333333"/>
                <w:sz w:val="18"/>
                <w:szCs w:val="18"/>
              </w:rPr>
              <w:t> </w:t>
            </w:r>
          </w:p>
        </w:tc>
        <w:tc>
          <w:tcPr>
            <w:tcW w:w="0" w:type="auto"/>
            <w:shd w:val="clear" w:color="auto" w:fill="auto"/>
            <w:tcMar>
              <w:top w:w="40" w:type="dxa"/>
              <w:bottom w:w="40" w:type="dxa"/>
              <w:right w:w="20" w:type="dxa"/>
            </w:tcMar>
            <w:vAlign w:val="bottom"/>
          </w:tcPr>
          <w:p w14:paraId="36CA286D" w14:textId="77777777" w:rsidR="00787570" w:rsidRDefault="00787570">
            <w:pPr>
              <w:jc w:val="right"/>
              <w:rPr>
                <w:rFonts w:ascii="宋体"/>
              </w:rPr>
            </w:pPr>
          </w:p>
        </w:tc>
        <w:tc>
          <w:tcPr>
            <w:tcW w:w="0" w:type="auto"/>
            <w:shd w:val="clear" w:color="auto" w:fill="auto"/>
          </w:tcPr>
          <w:p w14:paraId="36CA286E" w14:textId="77777777" w:rsidR="00787570" w:rsidRDefault="00787570">
            <w:pPr>
              <w:rPr>
                <w:rFonts w:ascii="宋体"/>
              </w:rPr>
            </w:pPr>
          </w:p>
        </w:tc>
        <w:tc>
          <w:tcPr>
            <w:tcW w:w="0" w:type="auto"/>
            <w:shd w:val="clear" w:color="auto" w:fill="auto"/>
          </w:tcPr>
          <w:p w14:paraId="36CA286F" w14:textId="77777777" w:rsidR="00787570" w:rsidRDefault="00787570">
            <w:pPr>
              <w:rPr>
                <w:rFonts w:ascii="宋体"/>
              </w:rPr>
            </w:pPr>
          </w:p>
        </w:tc>
        <w:tc>
          <w:tcPr>
            <w:tcW w:w="0" w:type="auto"/>
            <w:shd w:val="clear" w:color="auto" w:fill="auto"/>
          </w:tcPr>
          <w:p w14:paraId="36CA2870" w14:textId="77777777" w:rsidR="00787570" w:rsidRDefault="00787570">
            <w:pPr>
              <w:rPr>
                <w:rFonts w:ascii="宋体"/>
              </w:rPr>
            </w:pPr>
          </w:p>
        </w:tc>
        <w:tc>
          <w:tcPr>
            <w:tcW w:w="0" w:type="auto"/>
            <w:shd w:val="clear" w:color="auto" w:fill="auto"/>
          </w:tcPr>
          <w:p w14:paraId="36CA2871" w14:textId="77777777" w:rsidR="00787570" w:rsidRDefault="00787570">
            <w:pPr>
              <w:rPr>
                <w:rFonts w:ascii="宋体"/>
              </w:rPr>
            </w:pPr>
          </w:p>
        </w:tc>
        <w:tc>
          <w:tcPr>
            <w:tcW w:w="0" w:type="auto"/>
            <w:shd w:val="clear" w:color="auto" w:fill="auto"/>
          </w:tcPr>
          <w:p w14:paraId="36CA2872" w14:textId="77777777" w:rsidR="00787570" w:rsidRDefault="00787570">
            <w:pPr>
              <w:rPr>
                <w:rFonts w:ascii="宋体"/>
              </w:rPr>
            </w:pPr>
          </w:p>
        </w:tc>
        <w:tc>
          <w:tcPr>
            <w:tcW w:w="0" w:type="auto"/>
            <w:shd w:val="clear" w:color="auto" w:fill="auto"/>
          </w:tcPr>
          <w:p w14:paraId="36CA2873" w14:textId="77777777" w:rsidR="00787570" w:rsidRDefault="00787570">
            <w:pPr>
              <w:rPr>
                <w:rFonts w:ascii="宋体"/>
              </w:rPr>
            </w:pPr>
          </w:p>
        </w:tc>
        <w:tc>
          <w:tcPr>
            <w:tcW w:w="0" w:type="auto"/>
            <w:shd w:val="clear" w:color="auto" w:fill="auto"/>
          </w:tcPr>
          <w:p w14:paraId="36CA2874" w14:textId="77777777" w:rsidR="00787570" w:rsidRDefault="00787570">
            <w:pPr>
              <w:rPr>
                <w:rFonts w:ascii="宋体"/>
              </w:rPr>
            </w:pPr>
          </w:p>
        </w:tc>
        <w:tc>
          <w:tcPr>
            <w:tcW w:w="0" w:type="auto"/>
            <w:shd w:val="clear" w:color="auto" w:fill="auto"/>
          </w:tcPr>
          <w:p w14:paraId="36CA2875" w14:textId="77777777" w:rsidR="00787570" w:rsidRDefault="00787570">
            <w:pPr>
              <w:rPr>
                <w:rFonts w:ascii="宋体"/>
              </w:rPr>
            </w:pPr>
          </w:p>
        </w:tc>
        <w:tc>
          <w:tcPr>
            <w:tcW w:w="0" w:type="auto"/>
            <w:shd w:val="clear" w:color="auto" w:fill="auto"/>
          </w:tcPr>
          <w:p w14:paraId="36CA2876" w14:textId="77777777" w:rsidR="00787570" w:rsidRDefault="00787570">
            <w:pPr>
              <w:rPr>
                <w:rFonts w:ascii="宋体"/>
              </w:rPr>
            </w:pPr>
          </w:p>
        </w:tc>
        <w:tc>
          <w:tcPr>
            <w:tcW w:w="0" w:type="auto"/>
            <w:shd w:val="clear" w:color="auto" w:fill="auto"/>
          </w:tcPr>
          <w:p w14:paraId="36CA2877" w14:textId="77777777" w:rsidR="00787570" w:rsidRDefault="00787570">
            <w:pPr>
              <w:rPr>
                <w:rFonts w:ascii="宋体"/>
              </w:rPr>
            </w:pPr>
          </w:p>
        </w:tc>
        <w:tc>
          <w:tcPr>
            <w:tcW w:w="0" w:type="auto"/>
            <w:shd w:val="clear" w:color="auto" w:fill="auto"/>
          </w:tcPr>
          <w:p w14:paraId="36CA2878" w14:textId="77777777" w:rsidR="00787570" w:rsidRDefault="00787570">
            <w:pPr>
              <w:rPr>
                <w:rFonts w:ascii="宋体"/>
              </w:rPr>
            </w:pPr>
          </w:p>
        </w:tc>
        <w:tc>
          <w:tcPr>
            <w:tcW w:w="0" w:type="auto"/>
            <w:shd w:val="clear" w:color="auto" w:fill="auto"/>
          </w:tcPr>
          <w:p w14:paraId="36CA2879" w14:textId="77777777" w:rsidR="00787570" w:rsidRDefault="00787570">
            <w:pPr>
              <w:rPr>
                <w:rFonts w:ascii="宋体"/>
              </w:rPr>
            </w:pPr>
          </w:p>
        </w:tc>
      </w:tr>
      <w:tr w:rsidR="00787570" w14:paraId="36CA2894" w14:textId="77777777">
        <w:tc>
          <w:tcPr>
            <w:tcW w:w="0" w:type="auto"/>
            <w:gridSpan w:val="3"/>
            <w:shd w:val="clear" w:color="auto" w:fill="auto"/>
            <w:tcMar>
              <w:top w:w="40" w:type="dxa"/>
              <w:left w:w="195" w:type="dxa"/>
              <w:bottom w:w="40" w:type="dxa"/>
              <w:right w:w="20" w:type="dxa"/>
            </w:tcMar>
            <w:vAlign w:val="bottom"/>
          </w:tcPr>
          <w:p w14:paraId="36CA287B" w14:textId="77777777" w:rsidR="00787570" w:rsidRDefault="000D56E2">
            <w:pPr>
              <w:textAlignment w:val="bottom"/>
            </w:pPr>
            <w:r>
              <w:rPr>
                <w:rFonts w:ascii="Arial" w:eastAsia="宋体" w:hAnsi="Arial" w:cs="Arial"/>
                <w:b/>
                <w:bCs/>
                <w:color w:val="333333"/>
                <w:sz w:val="18"/>
                <w:szCs w:val="18"/>
              </w:rPr>
              <w:t>Programmable Solutions Group</w:t>
            </w:r>
          </w:p>
        </w:tc>
        <w:tc>
          <w:tcPr>
            <w:tcW w:w="0" w:type="auto"/>
            <w:gridSpan w:val="3"/>
            <w:shd w:val="clear" w:color="auto" w:fill="auto"/>
            <w:tcMar>
              <w:left w:w="20" w:type="dxa"/>
              <w:right w:w="20" w:type="dxa"/>
            </w:tcMar>
            <w:vAlign w:val="bottom"/>
          </w:tcPr>
          <w:p w14:paraId="36CA287C"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287D" w14:textId="77777777" w:rsidR="00787570" w:rsidRDefault="000D56E2">
            <w:pPr>
              <w:jc w:val="right"/>
              <w:textAlignment w:val="bottom"/>
            </w:pPr>
            <w:r>
              <w:rPr>
                <w:rFonts w:ascii="Arial" w:eastAsia="宋体" w:hAnsi="Arial" w:cs="Arial"/>
                <w:b/>
                <w:bCs/>
                <w:color w:val="0071C5"/>
                <w:sz w:val="18"/>
                <w:szCs w:val="18"/>
              </w:rPr>
              <w:t>411</w:t>
            </w:r>
            <w:r>
              <w:rPr>
                <w:rFonts w:ascii="Arial" w:eastAsia="宋体" w:hAnsi="Arial" w:cs="Arial"/>
                <w:color w:val="0071C5"/>
                <w:sz w:val="18"/>
                <w:szCs w:val="18"/>
              </w:rPr>
              <w:t> </w:t>
            </w:r>
          </w:p>
        </w:tc>
        <w:tc>
          <w:tcPr>
            <w:tcW w:w="0" w:type="auto"/>
            <w:shd w:val="clear" w:color="auto" w:fill="auto"/>
            <w:tcMar>
              <w:top w:w="40" w:type="dxa"/>
              <w:bottom w:w="40" w:type="dxa"/>
              <w:right w:w="20" w:type="dxa"/>
            </w:tcMar>
            <w:vAlign w:val="bottom"/>
          </w:tcPr>
          <w:p w14:paraId="36CA287E"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287F"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2880" w14:textId="77777777" w:rsidR="00787570" w:rsidRDefault="000D56E2">
            <w:pPr>
              <w:jc w:val="right"/>
              <w:textAlignment w:val="bottom"/>
            </w:pPr>
            <w:r>
              <w:rPr>
                <w:rFonts w:ascii="Arial" w:eastAsia="宋体" w:hAnsi="Arial" w:cs="Arial"/>
                <w:b/>
                <w:bCs/>
                <w:color w:val="333333"/>
                <w:sz w:val="18"/>
                <w:szCs w:val="18"/>
              </w:rPr>
              <w:t>507</w:t>
            </w:r>
            <w:r>
              <w:rPr>
                <w:rFonts w:ascii="Arial" w:eastAsia="宋体" w:hAnsi="Arial" w:cs="Arial"/>
                <w:color w:val="333333"/>
                <w:sz w:val="18"/>
                <w:szCs w:val="18"/>
              </w:rPr>
              <w:t> </w:t>
            </w:r>
          </w:p>
        </w:tc>
        <w:tc>
          <w:tcPr>
            <w:tcW w:w="0" w:type="auto"/>
            <w:shd w:val="clear" w:color="auto" w:fill="auto"/>
            <w:tcMar>
              <w:top w:w="40" w:type="dxa"/>
              <w:bottom w:w="40" w:type="dxa"/>
              <w:right w:w="20" w:type="dxa"/>
            </w:tcMar>
            <w:vAlign w:val="bottom"/>
          </w:tcPr>
          <w:p w14:paraId="36CA2881"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2882"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2883" w14:textId="77777777" w:rsidR="00787570" w:rsidRDefault="000D56E2">
            <w:pPr>
              <w:jc w:val="right"/>
              <w:textAlignment w:val="bottom"/>
            </w:pPr>
            <w:r>
              <w:rPr>
                <w:rFonts w:ascii="Arial" w:eastAsia="宋体" w:hAnsi="Arial" w:cs="Arial"/>
                <w:b/>
                <w:bCs/>
                <w:color w:val="0071C5"/>
                <w:sz w:val="18"/>
                <w:szCs w:val="18"/>
              </w:rPr>
              <w:t>1,431</w:t>
            </w:r>
            <w:r>
              <w:rPr>
                <w:rFonts w:ascii="Arial" w:eastAsia="宋体" w:hAnsi="Arial" w:cs="Arial"/>
                <w:color w:val="0071C5"/>
                <w:sz w:val="18"/>
                <w:szCs w:val="18"/>
              </w:rPr>
              <w:t> </w:t>
            </w:r>
          </w:p>
        </w:tc>
        <w:tc>
          <w:tcPr>
            <w:tcW w:w="0" w:type="auto"/>
            <w:shd w:val="clear" w:color="auto" w:fill="auto"/>
            <w:tcMar>
              <w:top w:w="40" w:type="dxa"/>
              <w:bottom w:w="40" w:type="dxa"/>
              <w:right w:w="20" w:type="dxa"/>
            </w:tcMar>
            <w:vAlign w:val="bottom"/>
          </w:tcPr>
          <w:p w14:paraId="36CA2884"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2885"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2886" w14:textId="77777777" w:rsidR="00787570" w:rsidRDefault="000D56E2">
            <w:pPr>
              <w:jc w:val="right"/>
              <w:textAlignment w:val="bottom"/>
            </w:pPr>
            <w:r>
              <w:rPr>
                <w:rFonts w:ascii="Arial" w:eastAsia="宋体" w:hAnsi="Arial" w:cs="Arial"/>
                <w:b/>
                <w:bCs/>
                <w:color w:val="333333"/>
                <w:sz w:val="18"/>
                <w:szCs w:val="18"/>
              </w:rPr>
              <w:t>1,482</w:t>
            </w:r>
            <w:r>
              <w:rPr>
                <w:rFonts w:ascii="Arial" w:eastAsia="宋体" w:hAnsi="Arial" w:cs="Arial"/>
                <w:color w:val="333333"/>
                <w:sz w:val="18"/>
                <w:szCs w:val="18"/>
              </w:rPr>
              <w:t> </w:t>
            </w:r>
          </w:p>
        </w:tc>
        <w:tc>
          <w:tcPr>
            <w:tcW w:w="0" w:type="auto"/>
            <w:shd w:val="clear" w:color="auto" w:fill="auto"/>
            <w:tcMar>
              <w:top w:w="40" w:type="dxa"/>
              <w:bottom w:w="40" w:type="dxa"/>
              <w:right w:w="20" w:type="dxa"/>
            </w:tcMar>
            <w:vAlign w:val="bottom"/>
          </w:tcPr>
          <w:p w14:paraId="36CA2887" w14:textId="77777777" w:rsidR="00787570" w:rsidRDefault="00787570">
            <w:pPr>
              <w:jc w:val="right"/>
              <w:rPr>
                <w:rFonts w:ascii="宋体"/>
              </w:rPr>
            </w:pPr>
          </w:p>
        </w:tc>
        <w:tc>
          <w:tcPr>
            <w:tcW w:w="0" w:type="auto"/>
            <w:shd w:val="clear" w:color="auto" w:fill="auto"/>
          </w:tcPr>
          <w:p w14:paraId="36CA2888" w14:textId="77777777" w:rsidR="00787570" w:rsidRDefault="00787570">
            <w:pPr>
              <w:rPr>
                <w:rFonts w:ascii="宋体"/>
              </w:rPr>
            </w:pPr>
          </w:p>
        </w:tc>
        <w:tc>
          <w:tcPr>
            <w:tcW w:w="0" w:type="auto"/>
            <w:shd w:val="clear" w:color="auto" w:fill="auto"/>
          </w:tcPr>
          <w:p w14:paraId="36CA2889" w14:textId="77777777" w:rsidR="00787570" w:rsidRDefault="00787570">
            <w:pPr>
              <w:rPr>
                <w:rFonts w:ascii="宋体"/>
              </w:rPr>
            </w:pPr>
          </w:p>
        </w:tc>
        <w:tc>
          <w:tcPr>
            <w:tcW w:w="0" w:type="auto"/>
            <w:shd w:val="clear" w:color="auto" w:fill="auto"/>
          </w:tcPr>
          <w:p w14:paraId="36CA288A" w14:textId="77777777" w:rsidR="00787570" w:rsidRDefault="00787570">
            <w:pPr>
              <w:rPr>
                <w:rFonts w:ascii="宋体"/>
              </w:rPr>
            </w:pPr>
          </w:p>
        </w:tc>
        <w:tc>
          <w:tcPr>
            <w:tcW w:w="0" w:type="auto"/>
            <w:shd w:val="clear" w:color="auto" w:fill="auto"/>
          </w:tcPr>
          <w:p w14:paraId="36CA288B" w14:textId="77777777" w:rsidR="00787570" w:rsidRDefault="00787570">
            <w:pPr>
              <w:rPr>
                <w:rFonts w:ascii="宋体"/>
              </w:rPr>
            </w:pPr>
          </w:p>
        </w:tc>
        <w:tc>
          <w:tcPr>
            <w:tcW w:w="0" w:type="auto"/>
            <w:shd w:val="clear" w:color="auto" w:fill="auto"/>
          </w:tcPr>
          <w:p w14:paraId="36CA288C" w14:textId="77777777" w:rsidR="00787570" w:rsidRDefault="00787570">
            <w:pPr>
              <w:rPr>
                <w:rFonts w:ascii="宋体"/>
              </w:rPr>
            </w:pPr>
          </w:p>
        </w:tc>
        <w:tc>
          <w:tcPr>
            <w:tcW w:w="0" w:type="auto"/>
            <w:shd w:val="clear" w:color="auto" w:fill="auto"/>
          </w:tcPr>
          <w:p w14:paraId="36CA288D" w14:textId="77777777" w:rsidR="00787570" w:rsidRDefault="00787570">
            <w:pPr>
              <w:rPr>
                <w:rFonts w:ascii="宋体"/>
              </w:rPr>
            </w:pPr>
          </w:p>
        </w:tc>
        <w:tc>
          <w:tcPr>
            <w:tcW w:w="0" w:type="auto"/>
            <w:shd w:val="clear" w:color="auto" w:fill="auto"/>
          </w:tcPr>
          <w:p w14:paraId="36CA288E" w14:textId="77777777" w:rsidR="00787570" w:rsidRDefault="00787570">
            <w:pPr>
              <w:rPr>
                <w:rFonts w:ascii="宋体"/>
              </w:rPr>
            </w:pPr>
          </w:p>
        </w:tc>
        <w:tc>
          <w:tcPr>
            <w:tcW w:w="0" w:type="auto"/>
            <w:shd w:val="clear" w:color="auto" w:fill="auto"/>
          </w:tcPr>
          <w:p w14:paraId="36CA288F" w14:textId="77777777" w:rsidR="00787570" w:rsidRDefault="00787570">
            <w:pPr>
              <w:rPr>
                <w:rFonts w:ascii="宋体"/>
              </w:rPr>
            </w:pPr>
          </w:p>
        </w:tc>
        <w:tc>
          <w:tcPr>
            <w:tcW w:w="0" w:type="auto"/>
            <w:shd w:val="clear" w:color="auto" w:fill="auto"/>
          </w:tcPr>
          <w:p w14:paraId="36CA2890" w14:textId="77777777" w:rsidR="00787570" w:rsidRDefault="00787570">
            <w:pPr>
              <w:rPr>
                <w:rFonts w:ascii="宋体"/>
              </w:rPr>
            </w:pPr>
          </w:p>
        </w:tc>
        <w:tc>
          <w:tcPr>
            <w:tcW w:w="0" w:type="auto"/>
            <w:shd w:val="clear" w:color="auto" w:fill="auto"/>
          </w:tcPr>
          <w:p w14:paraId="36CA2891" w14:textId="77777777" w:rsidR="00787570" w:rsidRDefault="00787570">
            <w:pPr>
              <w:rPr>
                <w:rFonts w:ascii="宋体"/>
              </w:rPr>
            </w:pPr>
          </w:p>
        </w:tc>
        <w:tc>
          <w:tcPr>
            <w:tcW w:w="0" w:type="auto"/>
            <w:shd w:val="clear" w:color="auto" w:fill="auto"/>
          </w:tcPr>
          <w:p w14:paraId="36CA2892" w14:textId="77777777" w:rsidR="00787570" w:rsidRDefault="00787570">
            <w:pPr>
              <w:rPr>
                <w:rFonts w:ascii="宋体"/>
              </w:rPr>
            </w:pPr>
          </w:p>
        </w:tc>
        <w:tc>
          <w:tcPr>
            <w:tcW w:w="0" w:type="auto"/>
            <w:shd w:val="clear" w:color="auto" w:fill="auto"/>
          </w:tcPr>
          <w:p w14:paraId="36CA2893" w14:textId="77777777" w:rsidR="00787570" w:rsidRDefault="00787570">
            <w:pPr>
              <w:rPr>
                <w:rFonts w:ascii="宋体"/>
              </w:rPr>
            </w:pPr>
          </w:p>
        </w:tc>
      </w:tr>
      <w:tr w:rsidR="00787570" w14:paraId="36CA28AA" w14:textId="77777777">
        <w:tc>
          <w:tcPr>
            <w:tcW w:w="0" w:type="auto"/>
            <w:gridSpan w:val="3"/>
            <w:shd w:val="clear" w:color="auto" w:fill="auto"/>
            <w:tcMar>
              <w:top w:w="40" w:type="dxa"/>
              <w:left w:w="195" w:type="dxa"/>
              <w:bottom w:w="40" w:type="dxa"/>
              <w:right w:w="20" w:type="dxa"/>
            </w:tcMar>
            <w:vAlign w:val="bottom"/>
          </w:tcPr>
          <w:p w14:paraId="36CA2895" w14:textId="77777777" w:rsidR="00787570" w:rsidRDefault="000D56E2">
            <w:pPr>
              <w:textAlignment w:val="bottom"/>
            </w:pPr>
            <w:r>
              <w:rPr>
                <w:rFonts w:ascii="Arial" w:eastAsia="宋体" w:hAnsi="Arial" w:cs="Arial"/>
                <w:b/>
                <w:bCs/>
                <w:color w:val="333333"/>
                <w:sz w:val="18"/>
                <w:szCs w:val="18"/>
              </w:rPr>
              <w:t>Client Computing Group</w:t>
            </w:r>
          </w:p>
        </w:tc>
        <w:tc>
          <w:tcPr>
            <w:tcW w:w="0" w:type="auto"/>
            <w:gridSpan w:val="3"/>
            <w:shd w:val="clear" w:color="auto" w:fill="auto"/>
            <w:tcMar>
              <w:left w:w="20" w:type="dxa"/>
              <w:right w:w="20" w:type="dxa"/>
            </w:tcMar>
            <w:vAlign w:val="bottom"/>
          </w:tcPr>
          <w:p w14:paraId="36CA2896"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2897"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2898"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2899"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289A"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289B"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289C"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289D" w14:textId="77777777" w:rsidR="00787570" w:rsidRDefault="00787570">
            <w:pPr>
              <w:rPr>
                <w:rFonts w:ascii="宋体"/>
              </w:rPr>
            </w:pPr>
          </w:p>
        </w:tc>
        <w:tc>
          <w:tcPr>
            <w:tcW w:w="0" w:type="auto"/>
            <w:shd w:val="clear" w:color="auto" w:fill="auto"/>
          </w:tcPr>
          <w:p w14:paraId="36CA289E" w14:textId="77777777" w:rsidR="00787570" w:rsidRDefault="00787570">
            <w:pPr>
              <w:rPr>
                <w:rFonts w:ascii="宋体"/>
              </w:rPr>
            </w:pPr>
          </w:p>
        </w:tc>
        <w:tc>
          <w:tcPr>
            <w:tcW w:w="0" w:type="auto"/>
            <w:shd w:val="clear" w:color="auto" w:fill="auto"/>
          </w:tcPr>
          <w:p w14:paraId="36CA289F" w14:textId="77777777" w:rsidR="00787570" w:rsidRDefault="00787570">
            <w:pPr>
              <w:rPr>
                <w:rFonts w:ascii="宋体"/>
              </w:rPr>
            </w:pPr>
          </w:p>
        </w:tc>
        <w:tc>
          <w:tcPr>
            <w:tcW w:w="0" w:type="auto"/>
            <w:shd w:val="clear" w:color="auto" w:fill="auto"/>
          </w:tcPr>
          <w:p w14:paraId="36CA28A0" w14:textId="77777777" w:rsidR="00787570" w:rsidRDefault="00787570">
            <w:pPr>
              <w:rPr>
                <w:rFonts w:ascii="宋体"/>
              </w:rPr>
            </w:pPr>
          </w:p>
        </w:tc>
        <w:tc>
          <w:tcPr>
            <w:tcW w:w="0" w:type="auto"/>
            <w:shd w:val="clear" w:color="auto" w:fill="auto"/>
          </w:tcPr>
          <w:p w14:paraId="36CA28A1" w14:textId="77777777" w:rsidR="00787570" w:rsidRDefault="00787570">
            <w:pPr>
              <w:rPr>
                <w:rFonts w:ascii="宋体"/>
              </w:rPr>
            </w:pPr>
          </w:p>
        </w:tc>
        <w:tc>
          <w:tcPr>
            <w:tcW w:w="0" w:type="auto"/>
            <w:shd w:val="clear" w:color="auto" w:fill="auto"/>
          </w:tcPr>
          <w:p w14:paraId="36CA28A2" w14:textId="77777777" w:rsidR="00787570" w:rsidRDefault="00787570">
            <w:pPr>
              <w:rPr>
                <w:rFonts w:ascii="宋体"/>
              </w:rPr>
            </w:pPr>
          </w:p>
        </w:tc>
        <w:tc>
          <w:tcPr>
            <w:tcW w:w="0" w:type="auto"/>
            <w:shd w:val="clear" w:color="auto" w:fill="auto"/>
          </w:tcPr>
          <w:p w14:paraId="36CA28A3" w14:textId="77777777" w:rsidR="00787570" w:rsidRDefault="00787570">
            <w:pPr>
              <w:rPr>
                <w:rFonts w:ascii="宋体"/>
              </w:rPr>
            </w:pPr>
          </w:p>
        </w:tc>
        <w:tc>
          <w:tcPr>
            <w:tcW w:w="0" w:type="auto"/>
            <w:shd w:val="clear" w:color="auto" w:fill="auto"/>
          </w:tcPr>
          <w:p w14:paraId="36CA28A4" w14:textId="77777777" w:rsidR="00787570" w:rsidRDefault="00787570">
            <w:pPr>
              <w:rPr>
                <w:rFonts w:ascii="宋体"/>
              </w:rPr>
            </w:pPr>
          </w:p>
        </w:tc>
        <w:tc>
          <w:tcPr>
            <w:tcW w:w="0" w:type="auto"/>
            <w:shd w:val="clear" w:color="auto" w:fill="auto"/>
          </w:tcPr>
          <w:p w14:paraId="36CA28A5" w14:textId="77777777" w:rsidR="00787570" w:rsidRDefault="00787570">
            <w:pPr>
              <w:rPr>
                <w:rFonts w:ascii="宋体"/>
              </w:rPr>
            </w:pPr>
          </w:p>
        </w:tc>
        <w:tc>
          <w:tcPr>
            <w:tcW w:w="0" w:type="auto"/>
            <w:shd w:val="clear" w:color="auto" w:fill="auto"/>
          </w:tcPr>
          <w:p w14:paraId="36CA28A6" w14:textId="77777777" w:rsidR="00787570" w:rsidRDefault="00787570">
            <w:pPr>
              <w:rPr>
                <w:rFonts w:ascii="宋体"/>
              </w:rPr>
            </w:pPr>
          </w:p>
        </w:tc>
        <w:tc>
          <w:tcPr>
            <w:tcW w:w="0" w:type="auto"/>
            <w:shd w:val="clear" w:color="auto" w:fill="auto"/>
          </w:tcPr>
          <w:p w14:paraId="36CA28A7" w14:textId="77777777" w:rsidR="00787570" w:rsidRDefault="00787570">
            <w:pPr>
              <w:rPr>
                <w:rFonts w:ascii="宋体"/>
              </w:rPr>
            </w:pPr>
          </w:p>
        </w:tc>
        <w:tc>
          <w:tcPr>
            <w:tcW w:w="0" w:type="auto"/>
            <w:shd w:val="clear" w:color="auto" w:fill="auto"/>
          </w:tcPr>
          <w:p w14:paraId="36CA28A8" w14:textId="77777777" w:rsidR="00787570" w:rsidRDefault="00787570">
            <w:pPr>
              <w:rPr>
                <w:rFonts w:ascii="宋体"/>
              </w:rPr>
            </w:pPr>
          </w:p>
        </w:tc>
        <w:tc>
          <w:tcPr>
            <w:tcW w:w="0" w:type="auto"/>
            <w:shd w:val="clear" w:color="auto" w:fill="auto"/>
          </w:tcPr>
          <w:p w14:paraId="36CA28A9" w14:textId="77777777" w:rsidR="00787570" w:rsidRDefault="00787570">
            <w:pPr>
              <w:rPr>
                <w:rFonts w:ascii="宋体"/>
              </w:rPr>
            </w:pPr>
          </w:p>
        </w:tc>
      </w:tr>
      <w:tr w:rsidR="00787570" w14:paraId="36CA28C4" w14:textId="77777777">
        <w:tc>
          <w:tcPr>
            <w:tcW w:w="0" w:type="auto"/>
            <w:gridSpan w:val="3"/>
            <w:shd w:val="clear" w:color="auto" w:fill="auto"/>
            <w:tcMar>
              <w:top w:w="40" w:type="dxa"/>
              <w:left w:w="285" w:type="dxa"/>
              <w:bottom w:w="40" w:type="dxa"/>
              <w:right w:w="20" w:type="dxa"/>
            </w:tcMar>
            <w:vAlign w:val="bottom"/>
          </w:tcPr>
          <w:p w14:paraId="36CA28AB" w14:textId="77777777" w:rsidR="00787570" w:rsidRDefault="000D56E2">
            <w:pPr>
              <w:textAlignment w:val="bottom"/>
            </w:pPr>
            <w:r>
              <w:rPr>
                <w:rFonts w:ascii="Arial" w:eastAsia="宋体" w:hAnsi="Arial" w:cs="Arial"/>
                <w:color w:val="333333"/>
                <w:sz w:val="18"/>
                <w:szCs w:val="18"/>
              </w:rPr>
              <w:t>Platform</w:t>
            </w:r>
          </w:p>
        </w:tc>
        <w:tc>
          <w:tcPr>
            <w:tcW w:w="0" w:type="auto"/>
            <w:gridSpan w:val="3"/>
            <w:shd w:val="clear" w:color="auto" w:fill="auto"/>
            <w:tcMar>
              <w:left w:w="20" w:type="dxa"/>
              <w:right w:w="20" w:type="dxa"/>
            </w:tcMar>
            <w:vAlign w:val="bottom"/>
          </w:tcPr>
          <w:p w14:paraId="36CA28AC"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28AD" w14:textId="77777777" w:rsidR="00787570" w:rsidRDefault="000D56E2">
            <w:pPr>
              <w:jc w:val="right"/>
              <w:textAlignment w:val="bottom"/>
            </w:pPr>
            <w:r>
              <w:rPr>
                <w:rFonts w:ascii="Arial" w:eastAsia="宋体" w:hAnsi="Arial" w:cs="Arial"/>
                <w:color w:val="0071C5"/>
                <w:sz w:val="18"/>
                <w:szCs w:val="18"/>
              </w:rPr>
              <w:t>8,762 </w:t>
            </w:r>
          </w:p>
        </w:tc>
        <w:tc>
          <w:tcPr>
            <w:tcW w:w="0" w:type="auto"/>
            <w:shd w:val="clear" w:color="auto" w:fill="auto"/>
            <w:tcMar>
              <w:top w:w="40" w:type="dxa"/>
              <w:bottom w:w="40" w:type="dxa"/>
              <w:right w:w="20" w:type="dxa"/>
            </w:tcMar>
            <w:vAlign w:val="bottom"/>
          </w:tcPr>
          <w:p w14:paraId="36CA28AE"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28AF"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28B0" w14:textId="77777777" w:rsidR="00787570" w:rsidRDefault="000D56E2">
            <w:pPr>
              <w:jc w:val="right"/>
              <w:textAlignment w:val="bottom"/>
            </w:pPr>
            <w:r>
              <w:rPr>
                <w:rFonts w:ascii="Arial" w:eastAsia="宋体" w:hAnsi="Arial" w:cs="Arial"/>
                <w:color w:val="333333"/>
                <w:sz w:val="18"/>
                <w:szCs w:val="18"/>
              </w:rPr>
              <w:t>8,379 </w:t>
            </w:r>
          </w:p>
        </w:tc>
        <w:tc>
          <w:tcPr>
            <w:tcW w:w="0" w:type="auto"/>
            <w:shd w:val="clear" w:color="auto" w:fill="auto"/>
            <w:tcMar>
              <w:top w:w="40" w:type="dxa"/>
              <w:bottom w:w="40" w:type="dxa"/>
              <w:right w:w="20" w:type="dxa"/>
            </w:tcMar>
            <w:vAlign w:val="bottom"/>
          </w:tcPr>
          <w:p w14:paraId="36CA28B1"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28B2"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28B3" w14:textId="77777777" w:rsidR="00787570" w:rsidRDefault="000D56E2">
            <w:pPr>
              <w:jc w:val="right"/>
              <w:textAlignment w:val="bottom"/>
            </w:pPr>
            <w:r>
              <w:rPr>
                <w:rFonts w:ascii="Arial" w:eastAsia="宋体" w:hAnsi="Arial" w:cs="Arial"/>
                <w:color w:val="0071C5"/>
                <w:sz w:val="18"/>
                <w:szCs w:val="18"/>
              </w:rPr>
              <w:t>25,703 </w:t>
            </w:r>
          </w:p>
        </w:tc>
        <w:tc>
          <w:tcPr>
            <w:tcW w:w="0" w:type="auto"/>
            <w:shd w:val="clear" w:color="auto" w:fill="auto"/>
            <w:tcMar>
              <w:top w:w="40" w:type="dxa"/>
              <w:bottom w:w="40" w:type="dxa"/>
              <w:right w:w="20" w:type="dxa"/>
            </w:tcMar>
            <w:vAlign w:val="bottom"/>
          </w:tcPr>
          <w:p w14:paraId="36CA28B4"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28B5"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28B6" w14:textId="77777777" w:rsidR="00787570" w:rsidRDefault="000D56E2">
            <w:pPr>
              <w:jc w:val="right"/>
              <w:textAlignment w:val="bottom"/>
            </w:pPr>
            <w:r>
              <w:rPr>
                <w:rFonts w:ascii="Arial" w:eastAsia="宋体" w:hAnsi="Arial" w:cs="Arial"/>
                <w:color w:val="333333"/>
                <w:sz w:val="18"/>
                <w:szCs w:val="18"/>
              </w:rPr>
              <w:t>24,128 </w:t>
            </w:r>
          </w:p>
        </w:tc>
        <w:tc>
          <w:tcPr>
            <w:tcW w:w="0" w:type="auto"/>
            <w:shd w:val="clear" w:color="auto" w:fill="auto"/>
            <w:tcMar>
              <w:top w:w="40" w:type="dxa"/>
              <w:bottom w:w="40" w:type="dxa"/>
              <w:right w:w="20" w:type="dxa"/>
            </w:tcMar>
            <w:vAlign w:val="bottom"/>
          </w:tcPr>
          <w:p w14:paraId="36CA28B7" w14:textId="77777777" w:rsidR="00787570" w:rsidRDefault="00787570">
            <w:pPr>
              <w:jc w:val="right"/>
              <w:rPr>
                <w:rFonts w:ascii="宋体"/>
              </w:rPr>
            </w:pPr>
          </w:p>
        </w:tc>
        <w:tc>
          <w:tcPr>
            <w:tcW w:w="0" w:type="auto"/>
            <w:shd w:val="clear" w:color="auto" w:fill="auto"/>
          </w:tcPr>
          <w:p w14:paraId="36CA28B8" w14:textId="77777777" w:rsidR="00787570" w:rsidRDefault="00787570">
            <w:pPr>
              <w:rPr>
                <w:rFonts w:ascii="宋体"/>
              </w:rPr>
            </w:pPr>
          </w:p>
        </w:tc>
        <w:tc>
          <w:tcPr>
            <w:tcW w:w="0" w:type="auto"/>
            <w:shd w:val="clear" w:color="auto" w:fill="auto"/>
          </w:tcPr>
          <w:p w14:paraId="36CA28B9" w14:textId="77777777" w:rsidR="00787570" w:rsidRDefault="00787570">
            <w:pPr>
              <w:rPr>
                <w:rFonts w:ascii="宋体"/>
              </w:rPr>
            </w:pPr>
          </w:p>
        </w:tc>
        <w:tc>
          <w:tcPr>
            <w:tcW w:w="0" w:type="auto"/>
            <w:shd w:val="clear" w:color="auto" w:fill="auto"/>
          </w:tcPr>
          <w:p w14:paraId="36CA28BA" w14:textId="77777777" w:rsidR="00787570" w:rsidRDefault="00787570">
            <w:pPr>
              <w:rPr>
                <w:rFonts w:ascii="宋体"/>
              </w:rPr>
            </w:pPr>
          </w:p>
        </w:tc>
        <w:tc>
          <w:tcPr>
            <w:tcW w:w="0" w:type="auto"/>
            <w:shd w:val="clear" w:color="auto" w:fill="auto"/>
          </w:tcPr>
          <w:p w14:paraId="36CA28BB" w14:textId="77777777" w:rsidR="00787570" w:rsidRDefault="00787570">
            <w:pPr>
              <w:rPr>
                <w:rFonts w:ascii="宋体"/>
              </w:rPr>
            </w:pPr>
          </w:p>
        </w:tc>
        <w:tc>
          <w:tcPr>
            <w:tcW w:w="0" w:type="auto"/>
            <w:shd w:val="clear" w:color="auto" w:fill="auto"/>
          </w:tcPr>
          <w:p w14:paraId="36CA28BC" w14:textId="77777777" w:rsidR="00787570" w:rsidRDefault="00787570">
            <w:pPr>
              <w:rPr>
                <w:rFonts w:ascii="宋体"/>
              </w:rPr>
            </w:pPr>
          </w:p>
        </w:tc>
        <w:tc>
          <w:tcPr>
            <w:tcW w:w="0" w:type="auto"/>
            <w:shd w:val="clear" w:color="auto" w:fill="auto"/>
          </w:tcPr>
          <w:p w14:paraId="36CA28BD" w14:textId="77777777" w:rsidR="00787570" w:rsidRDefault="00787570">
            <w:pPr>
              <w:rPr>
                <w:rFonts w:ascii="宋体"/>
              </w:rPr>
            </w:pPr>
          </w:p>
        </w:tc>
        <w:tc>
          <w:tcPr>
            <w:tcW w:w="0" w:type="auto"/>
            <w:shd w:val="clear" w:color="auto" w:fill="auto"/>
          </w:tcPr>
          <w:p w14:paraId="36CA28BE" w14:textId="77777777" w:rsidR="00787570" w:rsidRDefault="00787570">
            <w:pPr>
              <w:rPr>
                <w:rFonts w:ascii="宋体"/>
              </w:rPr>
            </w:pPr>
          </w:p>
        </w:tc>
        <w:tc>
          <w:tcPr>
            <w:tcW w:w="0" w:type="auto"/>
            <w:shd w:val="clear" w:color="auto" w:fill="auto"/>
          </w:tcPr>
          <w:p w14:paraId="36CA28BF" w14:textId="77777777" w:rsidR="00787570" w:rsidRDefault="00787570">
            <w:pPr>
              <w:rPr>
                <w:rFonts w:ascii="宋体"/>
              </w:rPr>
            </w:pPr>
          </w:p>
        </w:tc>
        <w:tc>
          <w:tcPr>
            <w:tcW w:w="0" w:type="auto"/>
            <w:shd w:val="clear" w:color="auto" w:fill="auto"/>
          </w:tcPr>
          <w:p w14:paraId="36CA28C0" w14:textId="77777777" w:rsidR="00787570" w:rsidRDefault="00787570">
            <w:pPr>
              <w:rPr>
                <w:rFonts w:ascii="宋体"/>
              </w:rPr>
            </w:pPr>
          </w:p>
        </w:tc>
        <w:tc>
          <w:tcPr>
            <w:tcW w:w="0" w:type="auto"/>
            <w:shd w:val="clear" w:color="auto" w:fill="auto"/>
          </w:tcPr>
          <w:p w14:paraId="36CA28C1" w14:textId="77777777" w:rsidR="00787570" w:rsidRDefault="00787570">
            <w:pPr>
              <w:rPr>
                <w:rFonts w:ascii="宋体"/>
              </w:rPr>
            </w:pPr>
          </w:p>
        </w:tc>
        <w:tc>
          <w:tcPr>
            <w:tcW w:w="0" w:type="auto"/>
            <w:shd w:val="clear" w:color="auto" w:fill="auto"/>
          </w:tcPr>
          <w:p w14:paraId="36CA28C2" w14:textId="77777777" w:rsidR="00787570" w:rsidRDefault="00787570">
            <w:pPr>
              <w:rPr>
                <w:rFonts w:ascii="宋体"/>
              </w:rPr>
            </w:pPr>
          </w:p>
        </w:tc>
        <w:tc>
          <w:tcPr>
            <w:tcW w:w="0" w:type="auto"/>
            <w:shd w:val="clear" w:color="auto" w:fill="auto"/>
          </w:tcPr>
          <w:p w14:paraId="36CA28C3" w14:textId="77777777" w:rsidR="00787570" w:rsidRDefault="00787570">
            <w:pPr>
              <w:rPr>
                <w:rFonts w:ascii="宋体"/>
              </w:rPr>
            </w:pPr>
          </w:p>
        </w:tc>
      </w:tr>
      <w:tr w:rsidR="00787570" w14:paraId="36CA28DE" w14:textId="77777777">
        <w:tc>
          <w:tcPr>
            <w:tcW w:w="0" w:type="auto"/>
            <w:gridSpan w:val="3"/>
            <w:shd w:val="clear" w:color="auto" w:fill="auto"/>
            <w:tcMar>
              <w:top w:w="40" w:type="dxa"/>
              <w:left w:w="285" w:type="dxa"/>
              <w:bottom w:w="40" w:type="dxa"/>
              <w:right w:w="20" w:type="dxa"/>
            </w:tcMar>
            <w:vAlign w:val="bottom"/>
          </w:tcPr>
          <w:p w14:paraId="36CA28C5" w14:textId="77777777" w:rsidR="00787570" w:rsidRDefault="000D56E2">
            <w:pPr>
              <w:textAlignment w:val="bottom"/>
            </w:pPr>
            <w:r>
              <w:rPr>
                <w:rFonts w:ascii="Arial" w:eastAsia="宋体" w:hAnsi="Arial" w:cs="Arial"/>
                <w:color w:val="333333"/>
                <w:sz w:val="18"/>
                <w:szCs w:val="18"/>
              </w:rPr>
              <w:t>Adjacent</w:t>
            </w:r>
          </w:p>
        </w:tc>
        <w:tc>
          <w:tcPr>
            <w:tcW w:w="0" w:type="auto"/>
            <w:gridSpan w:val="3"/>
            <w:shd w:val="clear" w:color="auto" w:fill="auto"/>
            <w:tcMar>
              <w:left w:w="20" w:type="dxa"/>
              <w:right w:w="20" w:type="dxa"/>
            </w:tcMar>
            <w:vAlign w:val="bottom"/>
          </w:tcPr>
          <w:p w14:paraId="36CA28C6"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28C7" w14:textId="77777777" w:rsidR="00787570" w:rsidRDefault="000D56E2">
            <w:pPr>
              <w:jc w:val="right"/>
              <w:textAlignment w:val="bottom"/>
            </w:pPr>
            <w:r>
              <w:rPr>
                <w:rFonts w:ascii="Arial" w:eastAsia="宋体" w:hAnsi="Arial" w:cs="Arial"/>
                <w:color w:val="0071C5"/>
                <w:sz w:val="18"/>
                <w:szCs w:val="18"/>
              </w:rPr>
              <w:t>1,085 </w:t>
            </w:r>
          </w:p>
        </w:tc>
        <w:tc>
          <w:tcPr>
            <w:tcW w:w="0" w:type="auto"/>
            <w:shd w:val="clear" w:color="auto" w:fill="auto"/>
            <w:tcMar>
              <w:top w:w="40" w:type="dxa"/>
              <w:bottom w:w="40" w:type="dxa"/>
              <w:right w:w="20" w:type="dxa"/>
            </w:tcMar>
            <w:vAlign w:val="bottom"/>
          </w:tcPr>
          <w:p w14:paraId="36CA28C8"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28C9"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28CA" w14:textId="77777777" w:rsidR="00787570" w:rsidRDefault="000D56E2">
            <w:pPr>
              <w:jc w:val="right"/>
              <w:textAlignment w:val="bottom"/>
            </w:pPr>
            <w:r>
              <w:rPr>
                <w:rFonts w:ascii="Arial" w:eastAsia="宋体" w:hAnsi="Arial" w:cs="Arial"/>
                <w:color w:val="333333"/>
                <w:sz w:val="18"/>
                <w:szCs w:val="18"/>
              </w:rPr>
              <w:t>1,330 </w:t>
            </w:r>
          </w:p>
        </w:tc>
        <w:tc>
          <w:tcPr>
            <w:tcW w:w="0" w:type="auto"/>
            <w:shd w:val="clear" w:color="auto" w:fill="auto"/>
            <w:tcMar>
              <w:top w:w="40" w:type="dxa"/>
              <w:bottom w:w="40" w:type="dxa"/>
              <w:right w:w="20" w:type="dxa"/>
            </w:tcMar>
            <w:vAlign w:val="bottom"/>
          </w:tcPr>
          <w:p w14:paraId="36CA28CB"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28CC"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28CD" w14:textId="77777777" w:rsidR="00787570" w:rsidRDefault="000D56E2">
            <w:pPr>
              <w:jc w:val="right"/>
              <w:textAlignment w:val="bottom"/>
            </w:pPr>
            <w:r>
              <w:rPr>
                <w:rFonts w:ascii="Arial" w:eastAsia="宋体" w:hAnsi="Arial" w:cs="Arial"/>
                <w:color w:val="0071C5"/>
                <w:sz w:val="18"/>
                <w:szCs w:val="18"/>
              </w:rPr>
              <w:t>3,415 </w:t>
            </w:r>
          </w:p>
        </w:tc>
        <w:tc>
          <w:tcPr>
            <w:tcW w:w="0" w:type="auto"/>
            <w:shd w:val="clear" w:color="auto" w:fill="auto"/>
            <w:tcMar>
              <w:top w:w="40" w:type="dxa"/>
              <w:bottom w:w="40" w:type="dxa"/>
              <w:right w:w="20" w:type="dxa"/>
            </w:tcMar>
            <w:vAlign w:val="bottom"/>
          </w:tcPr>
          <w:p w14:paraId="36CA28CE"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28CF"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28D0" w14:textId="77777777" w:rsidR="00787570" w:rsidRDefault="000D56E2">
            <w:pPr>
              <w:jc w:val="right"/>
              <w:textAlignment w:val="bottom"/>
            </w:pPr>
            <w:r>
              <w:rPr>
                <w:rFonts w:ascii="Arial" w:eastAsia="宋体" w:hAnsi="Arial" w:cs="Arial"/>
                <w:color w:val="333333"/>
                <w:sz w:val="18"/>
                <w:szCs w:val="18"/>
              </w:rPr>
              <w:t>3,008 </w:t>
            </w:r>
          </w:p>
        </w:tc>
        <w:tc>
          <w:tcPr>
            <w:tcW w:w="0" w:type="auto"/>
            <w:shd w:val="clear" w:color="auto" w:fill="auto"/>
            <w:tcMar>
              <w:top w:w="40" w:type="dxa"/>
              <w:bottom w:w="40" w:type="dxa"/>
              <w:right w:w="20" w:type="dxa"/>
            </w:tcMar>
            <w:vAlign w:val="bottom"/>
          </w:tcPr>
          <w:p w14:paraId="36CA28D1" w14:textId="77777777" w:rsidR="00787570" w:rsidRDefault="00787570">
            <w:pPr>
              <w:jc w:val="right"/>
              <w:rPr>
                <w:rFonts w:ascii="宋体"/>
              </w:rPr>
            </w:pPr>
          </w:p>
        </w:tc>
        <w:tc>
          <w:tcPr>
            <w:tcW w:w="0" w:type="auto"/>
            <w:shd w:val="clear" w:color="auto" w:fill="auto"/>
          </w:tcPr>
          <w:p w14:paraId="36CA28D2" w14:textId="77777777" w:rsidR="00787570" w:rsidRDefault="00787570">
            <w:pPr>
              <w:rPr>
                <w:rFonts w:ascii="宋体"/>
              </w:rPr>
            </w:pPr>
          </w:p>
        </w:tc>
        <w:tc>
          <w:tcPr>
            <w:tcW w:w="0" w:type="auto"/>
            <w:shd w:val="clear" w:color="auto" w:fill="auto"/>
          </w:tcPr>
          <w:p w14:paraId="36CA28D3" w14:textId="77777777" w:rsidR="00787570" w:rsidRDefault="00787570">
            <w:pPr>
              <w:rPr>
                <w:rFonts w:ascii="宋体"/>
              </w:rPr>
            </w:pPr>
          </w:p>
        </w:tc>
        <w:tc>
          <w:tcPr>
            <w:tcW w:w="0" w:type="auto"/>
            <w:shd w:val="clear" w:color="auto" w:fill="auto"/>
          </w:tcPr>
          <w:p w14:paraId="36CA28D4" w14:textId="77777777" w:rsidR="00787570" w:rsidRDefault="00787570">
            <w:pPr>
              <w:rPr>
                <w:rFonts w:ascii="宋体"/>
              </w:rPr>
            </w:pPr>
          </w:p>
        </w:tc>
        <w:tc>
          <w:tcPr>
            <w:tcW w:w="0" w:type="auto"/>
            <w:shd w:val="clear" w:color="auto" w:fill="auto"/>
          </w:tcPr>
          <w:p w14:paraId="36CA28D5" w14:textId="77777777" w:rsidR="00787570" w:rsidRDefault="00787570">
            <w:pPr>
              <w:rPr>
                <w:rFonts w:ascii="宋体"/>
              </w:rPr>
            </w:pPr>
          </w:p>
        </w:tc>
        <w:tc>
          <w:tcPr>
            <w:tcW w:w="0" w:type="auto"/>
            <w:shd w:val="clear" w:color="auto" w:fill="auto"/>
          </w:tcPr>
          <w:p w14:paraId="36CA28D6" w14:textId="77777777" w:rsidR="00787570" w:rsidRDefault="00787570">
            <w:pPr>
              <w:rPr>
                <w:rFonts w:ascii="宋体"/>
              </w:rPr>
            </w:pPr>
          </w:p>
        </w:tc>
        <w:tc>
          <w:tcPr>
            <w:tcW w:w="0" w:type="auto"/>
            <w:shd w:val="clear" w:color="auto" w:fill="auto"/>
          </w:tcPr>
          <w:p w14:paraId="36CA28D7" w14:textId="77777777" w:rsidR="00787570" w:rsidRDefault="00787570">
            <w:pPr>
              <w:rPr>
                <w:rFonts w:ascii="宋体"/>
              </w:rPr>
            </w:pPr>
          </w:p>
        </w:tc>
        <w:tc>
          <w:tcPr>
            <w:tcW w:w="0" w:type="auto"/>
            <w:shd w:val="clear" w:color="auto" w:fill="auto"/>
          </w:tcPr>
          <w:p w14:paraId="36CA28D8" w14:textId="77777777" w:rsidR="00787570" w:rsidRDefault="00787570">
            <w:pPr>
              <w:rPr>
                <w:rFonts w:ascii="宋体"/>
              </w:rPr>
            </w:pPr>
          </w:p>
        </w:tc>
        <w:tc>
          <w:tcPr>
            <w:tcW w:w="0" w:type="auto"/>
            <w:shd w:val="clear" w:color="auto" w:fill="auto"/>
          </w:tcPr>
          <w:p w14:paraId="36CA28D9" w14:textId="77777777" w:rsidR="00787570" w:rsidRDefault="00787570">
            <w:pPr>
              <w:rPr>
                <w:rFonts w:ascii="宋体"/>
              </w:rPr>
            </w:pPr>
          </w:p>
        </w:tc>
        <w:tc>
          <w:tcPr>
            <w:tcW w:w="0" w:type="auto"/>
            <w:shd w:val="clear" w:color="auto" w:fill="auto"/>
          </w:tcPr>
          <w:p w14:paraId="36CA28DA" w14:textId="77777777" w:rsidR="00787570" w:rsidRDefault="00787570">
            <w:pPr>
              <w:rPr>
                <w:rFonts w:ascii="宋体"/>
              </w:rPr>
            </w:pPr>
          </w:p>
        </w:tc>
        <w:tc>
          <w:tcPr>
            <w:tcW w:w="0" w:type="auto"/>
            <w:shd w:val="clear" w:color="auto" w:fill="auto"/>
          </w:tcPr>
          <w:p w14:paraId="36CA28DB" w14:textId="77777777" w:rsidR="00787570" w:rsidRDefault="00787570">
            <w:pPr>
              <w:rPr>
                <w:rFonts w:ascii="宋体"/>
              </w:rPr>
            </w:pPr>
          </w:p>
        </w:tc>
        <w:tc>
          <w:tcPr>
            <w:tcW w:w="0" w:type="auto"/>
            <w:shd w:val="clear" w:color="auto" w:fill="auto"/>
          </w:tcPr>
          <w:p w14:paraId="36CA28DC" w14:textId="77777777" w:rsidR="00787570" w:rsidRDefault="00787570">
            <w:pPr>
              <w:rPr>
                <w:rFonts w:ascii="宋体"/>
              </w:rPr>
            </w:pPr>
          </w:p>
        </w:tc>
        <w:tc>
          <w:tcPr>
            <w:tcW w:w="0" w:type="auto"/>
            <w:shd w:val="clear" w:color="auto" w:fill="auto"/>
          </w:tcPr>
          <w:p w14:paraId="36CA28DD" w14:textId="77777777" w:rsidR="00787570" w:rsidRDefault="00787570">
            <w:pPr>
              <w:rPr>
                <w:rFonts w:ascii="宋体"/>
              </w:rPr>
            </w:pPr>
          </w:p>
        </w:tc>
      </w:tr>
      <w:tr w:rsidR="00787570" w14:paraId="36CA28F8" w14:textId="77777777">
        <w:tc>
          <w:tcPr>
            <w:tcW w:w="0" w:type="auto"/>
            <w:gridSpan w:val="3"/>
            <w:shd w:val="clear" w:color="auto" w:fill="auto"/>
            <w:tcMar>
              <w:left w:w="20" w:type="dxa"/>
              <w:right w:w="20" w:type="dxa"/>
            </w:tcMar>
            <w:vAlign w:val="bottom"/>
          </w:tcPr>
          <w:p w14:paraId="36CA28DF"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28E0" w14:textId="77777777" w:rsidR="00787570" w:rsidRDefault="00787570">
            <w:pPr>
              <w:rPr>
                <w:rFonts w:ascii="宋体"/>
              </w:rPr>
            </w:pPr>
          </w:p>
        </w:tc>
        <w:tc>
          <w:tcPr>
            <w:tcW w:w="0" w:type="auto"/>
            <w:gridSpan w:val="2"/>
            <w:tcBorders>
              <w:top w:val="single" w:sz="8" w:space="0" w:color="333333"/>
            </w:tcBorders>
            <w:shd w:val="clear" w:color="auto" w:fill="auto"/>
            <w:tcMar>
              <w:top w:w="40" w:type="dxa"/>
              <w:left w:w="20" w:type="dxa"/>
              <w:bottom w:w="40" w:type="dxa"/>
              <w:right w:w="0" w:type="dxa"/>
            </w:tcMar>
            <w:vAlign w:val="bottom"/>
          </w:tcPr>
          <w:p w14:paraId="36CA28E1" w14:textId="77777777" w:rsidR="00787570" w:rsidRDefault="000D56E2">
            <w:pPr>
              <w:jc w:val="right"/>
              <w:textAlignment w:val="bottom"/>
            </w:pPr>
            <w:r>
              <w:rPr>
                <w:rFonts w:ascii="Arial" w:eastAsia="宋体" w:hAnsi="Arial" w:cs="Arial"/>
                <w:b/>
                <w:bCs/>
                <w:color w:val="0071C5"/>
                <w:sz w:val="18"/>
                <w:szCs w:val="18"/>
              </w:rPr>
              <w:t>9,847</w:t>
            </w:r>
            <w:r>
              <w:rPr>
                <w:rFonts w:ascii="Arial" w:eastAsia="宋体" w:hAnsi="Arial" w:cs="Arial"/>
                <w:color w:val="0071C5"/>
                <w:sz w:val="18"/>
                <w:szCs w:val="18"/>
              </w:rPr>
              <w:t> </w:t>
            </w:r>
          </w:p>
        </w:tc>
        <w:tc>
          <w:tcPr>
            <w:tcW w:w="0" w:type="auto"/>
            <w:tcBorders>
              <w:top w:val="single" w:sz="8" w:space="0" w:color="333333"/>
            </w:tcBorders>
            <w:shd w:val="clear" w:color="auto" w:fill="auto"/>
            <w:tcMar>
              <w:top w:w="40" w:type="dxa"/>
              <w:bottom w:w="40" w:type="dxa"/>
              <w:right w:w="20" w:type="dxa"/>
            </w:tcMar>
            <w:vAlign w:val="bottom"/>
          </w:tcPr>
          <w:p w14:paraId="36CA28E2"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28E3" w14:textId="77777777" w:rsidR="00787570" w:rsidRDefault="00787570">
            <w:pPr>
              <w:rPr>
                <w:rFonts w:ascii="宋体"/>
              </w:rPr>
            </w:pPr>
          </w:p>
        </w:tc>
        <w:tc>
          <w:tcPr>
            <w:tcW w:w="0" w:type="auto"/>
            <w:gridSpan w:val="2"/>
            <w:tcBorders>
              <w:top w:val="single" w:sz="8" w:space="0" w:color="333333"/>
            </w:tcBorders>
            <w:shd w:val="clear" w:color="auto" w:fill="auto"/>
            <w:tcMar>
              <w:top w:w="40" w:type="dxa"/>
              <w:left w:w="20" w:type="dxa"/>
              <w:bottom w:w="40" w:type="dxa"/>
              <w:right w:w="0" w:type="dxa"/>
            </w:tcMar>
            <w:vAlign w:val="bottom"/>
          </w:tcPr>
          <w:p w14:paraId="36CA28E4" w14:textId="77777777" w:rsidR="00787570" w:rsidRDefault="000D56E2">
            <w:pPr>
              <w:jc w:val="right"/>
              <w:textAlignment w:val="bottom"/>
            </w:pPr>
            <w:r>
              <w:rPr>
                <w:rFonts w:ascii="Arial" w:eastAsia="宋体" w:hAnsi="Arial" w:cs="Arial"/>
                <w:b/>
                <w:bCs/>
                <w:color w:val="333333"/>
                <w:sz w:val="18"/>
                <w:szCs w:val="18"/>
              </w:rPr>
              <w:t>9,709</w:t>
            </w:r>
            <w:r>
              <w:rPr>
                <w:rFonts w:ascii="Arial" w:eastAsia="宋体" w:hAnsi="Arial" w:cs="Arial"/>
                <w:color w:val="333333"/>
                <w:sz w:val="18"/>
                <w:szCs w:val="18"/>
              </w:rPr>
              <w:t> </w:t>
            </w:r>
          </w:p>
        </w:tc>
        <w:tc>
          <w:tcPr>
            <w:tcW w:w="0" w:type="auto"/>
            <w:tcBorders>
              <w:top w:val="single" w:sz="8" w:space="0" w:color="333333"/>
            </w:tcBorders>
            <w:shd w:val="clear" w:color="auto" w:fill="auto"/>
            <w:tcMar>
              <w:top w:w="40" w:type="dxa"/>
              <w:bottom w:w="40" w:type="dxa"/>
              <w:right w:w="20" w:type="dxa"/>
            </w:tcMar>
            <w:vAlign w:val="bottom"/>
          </w:tcPr>
          <w:p w14:paraId="36CA28E5"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28E6" w14:textId="77777777" w:rsidR="00787570" w:rsidRDefault="00787570">
            <w:pPr>
              <w:rPr>
                <w:rFonts w:ascii="宋体"/>
              </w:rPr>
            </w:pPr>
          </w:p>
        </w:tc>
        <w:tc>
          <w:tcPr>
            <w:tcW w:w="0" w:type="auto"/>
            <w:gridSpan w:val="2"/>
            <w:tcBorders>
              <w:top w:val="single" w:sz="8" w:space="0" w:color="333333"/>
            </w:tcBorders>
            <w:shd w:val="clear" w:color="auto" w:fill="auto"/>
            <w:tcMar>
              <w:top w:w="40" w:type="dxa"/>
              <w:left w:w="20" w:type="dxa"/>
              <w:bottom w:w="40" w:type="dxa"/>
              <w:right w:w="0" w:type="dxa"/>
            </w:tcMar>
            <w:vAlign w:val="bottom"/>
          </w:tcPr>
          <w:p w14:paraId="36CA28E7" w14:textId="77777777" w:rsidR="00787570" w:rsidRDefault="000D56E2">
            <w:pPr>
              <w:jc w:val="right"/>
              <w:textAlignment w:val="bottom"/>
            </w:pPr>
            <w:r>
              <w:rPr>
                <w:rFonts w:ascii="Arial" w:eastAsia="宋体" w:hAnsi="Arial" w:cs="Arial"/>
                <w:b/>
                <w:bCs/>
                <w:color w:val="0071C5"/>
                <w:sz w:val="18"/>
                <w:szCs w:val="18"/>
              </w:rPr>
              <w:t>29,118</w:t>
            </w:r>
            <w:r>
              <w:rPr>
                <w:rFonts w:ascii="Arial" w:eastAsia="宋体" w:hAnsi="Arial" w:cs="Arial"/>
                <w:color w:val="0071C5"/>
                <w:sz w:val="18"/>
                <w:szCs w:val="18"/>
              </w:rPr>
              <w:t> </w:t>
            </w:r>
          </w:p>
        </w:tc>
        <w:tc>
          <w:tcPr>
            <w:tcW w:w="0" w:type="auto"/>
            <w:tcBorders>
              <w:top w:val="single" w:sz="8" w:space="0" w:color="333333"/>
            </w:tcBorders>
            <w:shd w:val="clear" w:color="auto" w:fill="auto"/>
            <w:tcMar>
              <w:top w:w="40" w:type="dxa"/>
              <w:bottom w:w="40" w:type="dxa"/>
              <w:right w:w="20" w:type="dxa"/>
            </w:tcMar>
            <w:vAlign w:val="bottom"/>
          </w:tcPr>
          <w:p w14:paraId="36CA28E8"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28E9" w14:textId="77777777" w:rsidR="00787570" w:rsidRDefault="00787570">
            <w:pPr>
              <w:rPr>
                <w:rFonts w:ascii="宋体"/>
              </w:rPr>
            </w:pPr>
          </w:p>
        </w:tc>
        <w:tc>
          <w:tcPr>
            <w:tcW w:w="0" w:type="auto"/>
            <w:gridSpan w:val="2"/>
            <w:tcBorders>
              <w:top w:val="single" w:sz="8" w:space="0" w:color="333333"/>
            </w:tcBorders>
            <w:shd w:val="clear" w:color="auto" w:fill="auto"/>
            <w:tcMar>
              <w:top w:w="40" w:type="dxa"/>
              <w:left w:w="20" w:type="dxa"/>
              <w:bottom w:w="40" w:type="dxa"/>
              <w:right w:w="0" w:type="dxa"/>
            </w:tcMar>
            <w:vAlign w:val="bottom"/>
          </w:tcPr>
          <w:p w14:paraId="36CA28EA" w14:textId="77777777" w:rsidR="00787570" w:rsidRDefault="000D56E2">
            <w:pPr>
              <w:jc w:val="right"/>
              <w:textAlignment w:val="bottom"/>
            </w:pPr>
            <w:r>
              <w:rPr>
                <w:rFonts w:ascii="Arial" w:eastAsia="宋体" w:hAnsi="Arial" w:cs="Arial"/>
                <w:b/>
                <w:bCs/>
                <w:color w:val="333333"/>
                <w:sz w:val="18"/>
                <w:szCs w:val="18"/>
              </w:rPr>
              <w:t>27,136</w:t>
            </w:r>
            <w:r>
              <w:rPr>
                <w:rFonts w:ascii="Arial" w:eastAsia="宋体" w:hAnsi="Arial" w:cs="Arial"/>
                <w:color w:val="333333"/>
                <w:sz w:val="18"/>
                <w:szCs w:val="18"/>
              </w:rPr>
              <w:t> </w:t>
            </w:r>
          </w:p>
        </w:tc>
        <w:tc>
          <w:tcPr>
            <w:tcW w:w="0" w:type="auto"/>
            <w:tcBorders>
              <w:top w:val="single" w:sz="8" w:space="0" w:color="333333"/>
            </w:tcBorders>
            <w:shd w:val="clear" w:color="auto" w:fill="auto"/>
            <w:tcMar>
              <w:top w:w="40" w:type="dxa"/>
              <w:bottom w:w="40" w:type="dxa"/>
              <w:right w:w="20" w:type="dxa"/>
            </w:tcMar>
            <w:vAlign w:val="bottom"/>
          </w:tcPr>
          <w:p w14:paraId="36CA28EB" w14:textId="77777777" w:rsidR="00787570" w:rsidRDefault="00787570">
            <w:pPr>
              <w:jc w:val="right"/>
              <w:rPr>
                <w:rFonts w:ascii="宋体"/>
              </w:rPr>
            </w:pPr>
          </w:p>
        </w:tc>
        <w:tc>
          <w:tcPr>
            <w:tcW w:w="0" w:type="auto"/>
            <w:shd w:val="clear" w:color="auto" w:fill="auto"/>
          </w:tcPr>
          <w:p w14:paraId="36CA28EC" w14:textId="77777777" w:rsidR="00787570" w:rsidRDefault="00787570">
            <w:pPr>
              <w:rPr>
                <w:rFonts w:ascii="宋体"/>
              </w:rPr>
            </w:pPr>
          </w:p>
        </w:tc>
        <w:tc>
          <w:tcPr>
            <w:tcW w:w="0" w:type="auto"/>
            <w:shd w:val="clear" w:color="auto" w:fill="auto"/>
          </w:tcPr>
          <w:p w14:paraId="36CA28ED" w14:textId="77777777" w:rsidR="00787570" w:rsidRDefault="00787570">
            <w:pPr>
              <w:rPr>
                <w:rFonts w:ascii="宋体"/>
              </w:rPr>
            </w:pPr>
          </w:p>
        </w:tc>
        <w:tc>
          <w:tcPr>
            <w:tcW w:w="0" w:type="auto"/>
            <w:shd w:val="clear" w:color="auto" w:fill="auto"/>
          </w:tcPr>
          <w:p w14:paraId="36CA28EE" w14:textId="77777777" w:rsidR="00787570" w:rsidRDefault="00787570">
            <w:pPr>
              <w:rPr>
                <w:rFonts w:ascii="宋体"/>
              </w:rPr>
            </w:pPr>
          </w:p>
        </w:tc>
        <w:tc>
          <w:tcPr>
            <w:tcW w:w="0" w:type="auto"/>
            <w:shd w:val="clear" w:color="auto" w:fill="auto"/>
          </w:tcPr>
          <w:p w14:paraId="36CA28EF" w14:textId="77777777" w:rsidR="00787570" w:rsidRDefault="00787570">
            <w:pPr>
              <w:rPr>
                <w:rFonts w:ascii="宋体"/>
              </w:rPr>
            </w:pPr>
          </w:p>
        </w:tc>
        <w:tc>
          <w:tcPr>
            <w:tcW w:w="0" w:type="auto"/>
            <w:shd w:val="clear" w:color="auto" w:fill="auto"/>
          </w:tcPr>
          <w:p w14:paraId="36CA28F0" w14:textId="77777777" w:rsidR="00787570" w:rsidRDefault="00787570">
            <w:pPr>
              <w:rPr>
                <w:rFonts w:ascii="宋体"/>
              </w:rPr>
            </w:pPr>
          </w:p>
        </w:tc>
        <w:tc>
          <w:tcPr>
            <w:tcW w:w="0" w:type="auto"/>
            <w:shd w:val="clear" w:color="auto" w:fill="auto"/>
          </w:tcPr>
          <w:p w14:paraId="36CA28F1" w14:textId="77777777" w:rsidR="00787570" w:rsidRDefault="00787570">
            <w:pPr>
              <w:rPr>
                <w:rFonts w:ascii="宋体"/>
              </w:rPr>
            </w:pPr>
          </w:p>
        </w:tc>
        <w:tc>
          <w:tcPr>
            <w:tcW w:w="0" w:type="auto"/>
            <w:shd w:val="clear" w:color="auto" w:fill="auto"/>
          </w:tcPr>
          <w:p w14:paraId="36CA28F2" w14:textId="77777777" w:rsidR="00787570" w:rsidRDefault="00787570">
            <w:pPr>
              <w:rPr>
                <w:rFonts w:ascii="宋体"/>
              </w:rPr>
            </w:pPr>
          </w:p>
        </w:tc>
        <w:tc>
          <w:tcPr>
            <w:tcW w:w="0" w:type="auto"/>
            <w:shd w:val="clear" w:color="auto" w:fill="auto"/>
          </w:tcPr>
          <w:p w14:paraId="36CA28F3" w14:textId="77777777" w:rsidR="00787570" w:rsidRDefault="00787570">
            <w:pPr>
              <w:rPr>
                <w:rFonts w:ascii="宋体"/>
              </w:rPr>
            </w:pPr>
          </w:p>
        </w:tc>
        <w:tc>
          <w:tcPr>
            <w:tcW w:w="0" w:type="auto"/>
            <w:shd w:val="clear" w:color="auto" w:fill="auto"/>
          </w:tcPr>
          <w:p w14:paraId="36CA28F4" w14:textId="77777777" w:rsidR="00787570" w:rsidRDefault="00787570">
            <w:pPr>
              <w:rPr>
                <w:rFonts w:ascii="宋体"/>
              </w:rPr>
            </w:pPr>
          </w:p>
        </w:tc>
        <w:tc>
          <w:tcPr>
            <w:tcW w:w="0" w:type="auto"/>
            <w:shd w:val="clear" w:color="auto" w:fill="auto"/>
          </w:tcPr>
          <w:p w14:paraId="36CA28F5" w14:textId="77777777" w:rsidR="00787570" w:rsidRDefault="00787570">
            <w:pPr>
              <w:rPr>
                <w:rFonts w:ascii="宋体"/>
              </w:rPr>
            </w:pPr>
          </w:p>
        </w:tc>
        <w:tc>
          <w:tcPr>
            <w:tcW w:w="0" w:type="auto"/>
            <w:shd w:val="clear" w:color="auto" w:fill="auto"/>
          </w:tcPr>
          <w:p w14:paraId="36CA28F6" w14:textId="77777777" w:rsidR="00787570" w:rsidRDefault="00787570">
            <w:pPr>
              <w:rPr>
                <w:rFonts w:ascii="宋体"/>
              </w:rPr>
            </w:pPr>
          </w:p>
        </w:tc>
        <w:tc>
          <w:tcPr>
            <w:tcW w:w="0" w:type="auto"/>
            <w:shd w:val="clear" w:color="auto" w:fill="auto"/>
          </w:tcPr>
          <w:p w14:paraId="36CA28F7" w14:textId="77777777" w:rsidR="00787570" w:rsidRDefault="00787570">
            <w:pPr>
              <w:rPr>
                <w:rFonts w:ascii="宋体"/>
              </w:rPr>
            </w:pPr>
          </w:p>
        </w:tc>
      </w:tr>
      <w:tr w:rsidR="00787570" w14:paraId="36CA290E" w14:textId="77777777">
        <w:trPr>
          <w:trHeight w:val="280"/>
        </w:trPr>
        <w:tc>
          <w:tcPr>
            <w:tcW w:w="0" w:type="auto"/>
            <w:gridSpan w:val="3"/>
            <w:shd w:val="clear" w:color="auto" w:fill="auto"/>
            <w:tcMar>
              <w:left w:w="20" w:type="dxa"/>
              <w:right w:w="20" w:type="dxa"/>
            </w:tcMar>
            <w:vAlign w:val="bottom"/>
          </w:tcPr>
          <w:p w14:paraId="36CA28F9"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28FA"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28FB"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28FC"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28FD"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28FE"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28FF"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2900"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2901" w14:textId="77777777" w:rsidR="00787570" w:rsidRDefault="00787570">
            <w:pPr>
              <w:rPr>
                <w:rFonts w:ascii="宋体"/>
              </w:rPr>
            </w:pPr>
          </w:p>
        </w:tc>
        <w:tc>
          <w:tcPr>
            <w:tcW w:w="0" w:type="auto"/>
            <w:shd w:val="clear" w:color="auto" w:fill="auto"/>
          </w:tcPr>
          <w:p w14:paraId="36CA2902" w14:textId="77777777" w:rsidR="00787570" w:rsidRDefault="00787570">
            <w:pPr>
              <w:rPr>
                <w:rFonts w:ascii="宋体"/>
              </w:rPr>
            </w:pPr>
          </w:p>
        </w:tc>
        <w:tc>
          <w:tcPr>
            <w:tcW w:w="0" w:type="auto"/>
            <w:shd w:val="clear" w:color="auto" w:fill="auto"/>
          </w:tcPr>
          <w:p w14:paraId="36CA2903" w14:textId="77777777" w:rsidR="00787570" w:rsidRDefault="00787570">
            <w:pPr>
              <w:rPr>
                <w:rFonts w:ascii="宋体"/>
              </w:rPr>
            </w:pPr>
          </w:p>
        </w:tc>
        <w:tc>
          <w:tcPr>
            <w:tcW w:w="0" w:type="auto"/>
            <w:shd w:val="clear" w:color="auto" w:fill="auto"/>
          </w:tcPr>
          <w:p w14:paraId="36CA2904" w14:textId="77777777" w:rsidR="00787570" w:rsidRDefault="00787570">
            <w:pPr>
              <w:rPr>
                <w:rFonts w:ascii="宋体"/>
              </w:rPr>
            </w:pPr>
          </w:p>
        </w:tc>
        <w:tc>
          <w:tcPr>
            <w:tcW w:w="0" w:type="auto"/>
            <w:shd w:val="clear" w:color="auto" w:fill="auto"/>
          </w:tcPr>
          <w:p w14:paraId="36CA2905" w14:textId="77777777" w:rsidR="00787570" w:rsidRDefault="00787570">
            <w:pPr>
              <w:rPr>
                <w:rFonts w:ascii="宋体"/>
              </w:rPr>
            </w:pPr>
          </w:p>
        </w:tc>
        <w:tc>
          <w:tcPr>
            <w:tcW w:w="0" w:type="auto"/>
            <w:shd w:val="clear" w:color="auto" w:fill="auto"/>
          </w:tcPr>
          <w:p w14:paraId="36CA2906" w14:textId="77777777" w:rsidR="00787570" w:rsidRDefault="00787570">
            <w:pPr>
              <w:rPr>
                <w:rFonts w:ascii="宋体"/>
              </w:rPr>
            </w:pPr>
          </w:p>
        </w:tc>
        <w:tc>
          <w:tcPr>
            <w:tcW w:w="0" w:type="auto"/>
            <w:shd w:val="clear" w:color="auto" w:fill="auto"/>
          </w:tcPr>
          <w:p w14:paraId="36CA2907" w14:textId="77777777" w:rsidR="00787570" w:rsidRDefault="00787570">
            <w:pPr>
              <w:rPr>
                <w:rFonts w:ascii="宋体"/>
              </w:rPr>
            </w:pPr>
          </w:p>
        </w:tc>
        <w:tc>
          <w:tcPr>
            <w:tcW w:w="0" w:type="auto"/>
            <w:shd w:val="clear" w:color="auto" w:fill="auto"/>
          </w:tcPr>
          <w:p w14:paraId="36CA2908" w14:textId="77777777" w:rsidR="00787570" w:rsidRDefault="00787570">
            <w:pPr>
              <w:rPr>
                <w:rFonts w:ascii="宋体"/>
              </w:rPr>
            </w:pPr>
          </w:p>
        </w:tc>
        <w:tc>
          <w:tcPr>
            <w:tcW w:w="0" w:type="auto"/>
            <w:shd w:val="clear" w:color="auto" w:fill="auto"/>
          </w:tcPr>
          <w:p w14:paraId="36CA2909" w14:textId="77777777" w:rsidR="00787570" w:rsidRDefault="00787570">
            <w:pPr>
              <w:rPr>
                <w:rFonts w:ascii="宋体"/>
              </w:rPr>
            </w:pPr>
          </w:p>
        </w:tc>
        <w:tc>
          <w:tcPr>
            <w:tcW w:w="0" w:type="auto"/>
            <w:shd w:val="clear" w:color="auto" w:fill="auto"/>
          </w:tcPr>
          <w:p w14:paraId="36CA290A" w14:textId="77777777" w:rsidR="00787570" w:rsidRDefault="00787570">
            <w:pPr>
              <w:rPr>
                <w:rFonts w:ascii="宋体"/>
              </w:rPr>
            </w:pPr>
          </w:p>
        </w:tc>
        <w:tc>
          <w:tcPr>
            <w:tcW w:w="0" w:type="auto"/>
            <w:shd w:val="clear" w:color="auto" w:fill="auto"/>
          </w:tcPr>
          <w:p w14:paraId="36CA290B" w14:textId="77777777" w:rsidR="00787570" w:rsidRDefault="00787570">
            <w:pPr>
              <w:rPr>
                <w:rFonts w:ascii="宋体"/>
              </w:rPr>
            </w:pPr>
          </w:p>
        </w:tc>
        <w:tc>
          <w:tcPr>
            <w:tcW w:w="0" w:type="auto"/>
            <w:shd w:val="clear" w:color="auto" w:fill="auto"/>
          </w:tcPr>
          <w:p w14:paraId="36CA290C" w14:textId="77777777" w:rsidR="00787570" w:rsidRDefault="00787570">
            <w:pPr>
              <w:rPr>
                <w:rFonts w:ascii="宋体"/>
              </w:rPr>
            </w:pPr>
          </w:p>
        </w:tc>
        <w:tc>
          <w:tcPr>
            <w:tcW w:w="0" w:type="auto"/>
            <w:shd w:val="clear" w:color="auto" w:fill="auto"/>
          </w:tcPr>
          <w:p w14:paraId="36CA290D" w14:textId="77777777" w:rsidR="00787570" w:rsidRDefault="00787570">
            <w:pPr>
              <w:rPr>
                <w:rFonts w:ascii="宋体"/>
              </w:rPr>
            </w:pPr>
          </w:p>
        </w:tc>
      </w:tr>
      <w:tr w:rsidR="00787570" w14:paraId="36CA2928" w14:textId="77777777">
        <w:tc>
          <w:tcPr>
            <w:tcW w:w="0" w:type="auto"/>
            <w:gridSpan w:val="3"/>
            <w:shd w:val="clear" w:color="auto" w:fill="auto"/>
            <w:tcMar>
              <w:top w:w="40" w:type="dxa"/>
              <w:left w:w="195" w:type="dxa"/>
              <w:bottom w:w="40" w:type="dxa"/>
              <w:right w:w="20" w:type="dxa"/>
            </w:tcMar>
            <w:vAlign w:val="bottom"/>
          </w:tcPr>
          <w:p w14:paraId="36CA290F" w14:textId="77777777" w:rsidR="00787570" w:rsidRDefault="000D56E2">
            <w:pPr>
              <w:textAlignment w:val="bottom"/>
            </w:pPr>
            <w:r>
              <w:rPr>
                <w:rFonts w:ascii="Arial" w:eastAsia="宋体" w:hAnsi="Arial" w:cs="Arial"/>
                <w:b/>
                <w:bCs/>
                <w:color w:val="333333"/>
                <w:sz w:val="18"/>
                <w:szCs w:val="18"/>
              </w:rPr>
              <w:t>All other</w:t>
            </w:r>
          </w:p>
        </w:tc>
        <w:tc>
          <w:tcPr>
            <w:tcW w:w="0" w:type="auto"/>
            <w:gridSpan w:val="3"/>
            <w:shd w:val="clear" w:color="auto" w:fill="auto"/>
            <w:tcMar>
              <w:left w:w="20" w:type="dxa"/>
              <w:right w:w="20" w:type="dxa"/>
            </w:tcMar>
            <w:vAlign w:val="bottom"/>
          </w:tcPr>
          <w:p w14:paraId="36CA2910"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2911" w14:textId="77777777" w:rsidR="00787570" w:rsidRDefault="000D56E2">
            <w:pPr>
              <w:jc w:val="right"/>
              <w:textAlignment w:val="bottom"/>
            </w:pPr>
            <w:r>
              <w:rPr>
                <w:rFonts w:ascii="Arial" w:eastAsia="宋体" w:hAnsi="Arial" w:cs="Arial"/>
                <w:b/>
                <w:bCs/>
                <w:color w:val="0071C5"/>
                <w:sz w:val="18"/>
                <w:szCs w:val="18"/>
              </w:rPr>
              <w:t>106</w:t>
            </w:r>
            <w:r>
              <w:rPr>
                <w:rFonts w:ascii="Arial" w:eastAsia="宋体" w:hAnsi="Arial" w:cs="Arial"/>
                <w:color w:val="0071C5"/>
                <w:sz w:val="18"/>
                <w:szCs w:val="18"/>
              </w:rPr>
              <w:t> </w:t>
            </w:r>
          </w:p>
        </w:tc>
        <w:tc>
          <w:tcPr>
            <w:tcW w:w="0" w:type="auto"/>
            <w:shd w:val="clear" w:color="auto" w:fill="auto"/>
            <w:tcMar>
              <w:top w:w="40" w:type="dxa"/>
              <w:bottom w:w="40" w:type="dxa"/>
              <w:right w:w="20" w:type="dxa"/>
            </w:tcMar>
            <w:vAlign w:val="bottom"/>
          </w:tcPr>
          <w:p w14:paraId="36CA2912"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2913"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2914" w14:textId="77777777" w:rsidR="00787570" w:rsidRDefault="000D56E2">
            <w:pPr>
              <w:jc w:val="right"/>
              <w:textAlignment w:val="bottom"/>
            </w:pPr>
            <w:r>
              <w:rPr>
                <w:rFonts w:ascii="Arial" w:eastAsia="宋体" w:hAnsi="Arial" w:cs="Arial"/>
                <w:b/>
                <w:bCs/>
                <w:color w:val="333333"/>
                <w:sz w:val="18"/>
                <w:szCs w:val="18"/>
              </w:rPr>
              <w:t>67</w:t>
            </w:r>
            <w:r>
              <w:rPr>
                <w:rFonts w:ascii="Arial" w:eastAsia="宋体" w:hAnsi="Arial" w:cs="Arial"/>
                <w:color w:val="333333"/>
                <w:sz w:val="18"/>
                <w:szCs w:val="18"/>
              </w:rPr>
              <w:t> </w:t>
            </w:r>
          </w:p>
        </w:tc>
        <w:tc>
          <w:tcPr>
            <w:tcW w:w="0" w:type="auto"/>
            <w:shd w:val="clear" w:color="auto" w:fill="auto"/>
            <w:tcMar>
              <w:top w:w="40" w:type="dxa"/>
              <w:bottom w:w="40" w:type="dxa"/>
              <w:right w:w="20" w:type="dxa"/>
            </w:tcMar>
            <w:vAlign w:val="bottom"/>
          </w:tcPr>
          <w:p w14:paraId="36CA2915"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2916"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2917" w14:textId="77777777" w:rsidR="00787570" w:rsidRDefault="000D56E2">
            <w:pPr>
              <w:jc w:val="right"/>
              <w:textAlignment w:val="bottom"/>
            </w:pPr>
            <w:r>
              <w:rPr>
                <w:rFonts w:ascii="Arial" w:eastAsia="宋体" w:hAnsi="Arial" w:cs="Arial"/>
                <w:b/>
                <w:bCs/>
                <w:color w:val="0071C5"/>
                <w:sz w:val="18"/>
                <w:szCs w:val="18"/>
              </w:rPr>
              <w:t>311</w:t>
            </w:r>
            <w:r>
              <w:rPr>
                <w:rFonts w:ascii="Arial" w:eastAsia="宋体" w:hAnsi="Arial" w:cs="Arial"/>
                <w:color w:val="0071C5"/>
                <w:sz w:val="18"/>
                <w:szCs w:val="18"/>
              </w:rPr>
              <w:t> </w:t>
            </w:r>
          </w:p>
        </w:tc>
        <w:tc>
          <w:tcPr>
            <w:tcW w:w="0" w:type="auto"/>
            <w:shd w:val="clear" w:color="auto" w:fill="auto"/>
            <w:tcMar>
              <w:top w:w="40" w:type="dxa"/>
              <w:bottom w:w="40" w:type="dxa"/>
              <w:right w:w="20" w:type="dxa"/>
            </w:tcMar>
            <w:vAlign w:val="bottom"/>
          </w:tcPr>
          <w:p w14:paraId="36CA2918"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2919"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291A" w14:textId="77777777" w:rsidR="00787570" w:rsidRDefault="000D56E2">
            <w:pPr>
              <w:jc w:val="right"/>
              <w:textAlignment w:val="bottom"/>
            </w:pPr>
            <w:r>
              <w:rPr>
                <w:rFonts w:ascii="Arial" w:eastAsia="宋体" w:hAnsi="Arial" w:cs="Arial"/>
                <w:b/>
                <w:bCs/>
                <w:color w:val="333333"/>
                <w:sz w:val="18"/>
                <w:szCs w:val="18"/>
              </w:rPr>
              <w:t>185</w:t>
            </w:r>
            <w:r>
              <w:rPr>
                <w:rFonts w:ascii="Arial" w:eastAsia="宋体" w:hAnsi="Arial" w:cs="Arial"/>
                <w:color w:val="333333"/>
                <w:sz w:val="18"/>
                <w:szCs w:val="18"/>
              </w:rPr>
              <w:t> </w:t>
            </w:r>
          </w:p>
        </w:tc>
        <w:tc>
          <w:tcPr>
            <w:tcW w:w="0" w:type="auto"/>
            <w:shd w:val="clear" w:color="auto" w:fill="auto"/>
            <w:tcMar>
              <w:top w:w="40" w:type="dxa"/>
              <w:bottom w:w="40" w:type="dxa"/>
              <w:right w:w="20" w:type="dxa"/>
            </w:tcMar>
            <w:vAlign w:val="bottom"/>
          </w:tcPr>
          <w:p w14:paraId="36CA291B" w14:textId="77777777" w:rsidR="00787570" w:rsidRDefault="00787570">
            <w:pPr>
              <w:jc w:val="right"/>
              <w:rPr>
                <w:rFonts w:ascii="宋体"/>
              </w:rPr>
            </w:pPr>
          </w:p>
        </w:tc>
        <w:tc>
          <w:tcPr>
            <w:tcW w:w="0" w:type="auto"/>
            <w:shd w:val="clear" w:color="auto" w:fill="auto"/>
          </w:tcPr>
          <w:p w14:paraId="36CA291C" w14:textId="77777777" w:rsidR="00787570" w:rsidRDefault="00787570">
            <w:pPr>
              <w:rPr>
                <w:rFonts w:ascii="宋体"/>
              </w:rPr>
            </w:pPr>
          </w:p>
        </w:tc>
        <w:tc>
          <w:tcPr>
            <w:tcW w:w="0" w:type="auto"/>
            <w:shd w:val="clear" w:color="auto" w:fill="auto"/>
          </w:tcPr>
          <w:p w14:paraId="36CA291D" w14:textId="77777777" w:rsidR="00787570" w:rsidRDefault="00787570">
            <w:pPr>
              <w:rPr>
                <w:rFonts w:ascii="宋体"/>
              </w:rPr>
            </w:pPr>
          </w:p>
        </w:tc>
        <w:tc>
          <w:tcPr>
            <w:tcW w:w="0" w:type="auto"/>
            <w:shd w:val="clear" w:color="auto" w:fill="auto"/>
          </w:tcPr>
          <w:p w14:paraId="36CA291E" w14:textId="77777777" w:rsidR="00787570" w:rsidRDefault="00787570">
            <w:pPr>
              <w:rPr>
                <w:rFonts w:ascii="宋体"/>
              </w:rPr>
            </w:pPr>
          </w:p>
        </w:tc>
        <w:tc>
          <w:tcPr>
            <w:tcW w:w="0" w:type="auto"/>
            <w:shd w:val="clear" w:color="auto" w:fill="auto"/>
          </w:tcPr>
          <w:p w14:paraId="36CA291F" w14:textId="77777777" w:rsidR="00787570" w:rsidRDefault="00787570">
            <w:pPr>
              <w:rPr>
                <w:rFonts w:ascii="宋体"/>
              </w:rPr>
            </w:pPr>
          </w:p>
        </w:tc>
        <w:tc>
          <w:tcPr>
            <w:tcW w:w="0" w:type="auto"/>
            <w:shd w:val="clear" w:color="auto" w:fill="auto"/>
          </w:tcPr>
          <w:p w14:paraId="36CA2920" w14:textId="77777777" w:rsidR="00787570" w:rsidRDefault="00787570">
            <w:pPr>
              <w:rPr>
                <w:rFonts w:ascii="宋体"/>
              </w:rPr>
            </w:pPr>
          </w:p>
        </w:tc>
        <w:tc>
          <w:tcPr>
            <w:tcW w:w="0" w:type="auto"/>
            <w:shd w:val="clear" w:color="auto" w:fill="auto"/>
          </w:tcPr>
          <w:p w14:paraId="36CA2921" w14:textId="77777777" w:rsidR="00787570" w:rsidRDefault="00787570">
            <w:pPr>
              <w:rPr>
                <w:rFonts w:ascii="宋体"/>
              </w:rPr>
            </w:pPr>
          </w:p>
        </w:tc>
        <w:tc>
          <w:tcPr>
            <w:tcW w:w="0" w:type="auto"/>
            <w:shd w:val="clear" w:color="auto" w:fill="auto"/>
          </w:tcPr>
          <w:p w14:paraId="36CA2922" w14:textId="77777777" w:rsidR="00787570" w:rsidRDefault="00787570">
            <w:pPr>
              <w:rPr>
                <w:rFonts w:ascii="宋体"/>
              </w:rPr>
            </w:pPr>
          </w:p>
        </w:tc>
        <w:tc>
          <w:tcPr>
            <w:tcW w:w="0" w:type="auto"/>
            <w:shd w:val="clear" w:color="auto" w:fill="auto"/>
          </w:tcPr>
          <w:p w14:paraId="36CA2923" w14:textId="77777777" w:rsidR="00787570" w:rsidRDefault="00787570">
            <w:pPr>
              <w:rPr>
                <w:rFonts w:ascii="宋体"/>
              </w:rPr>
            </w:pPr>
          </w:p>
        </w:tc>
        <w:tc>
          <w:tcPr>
            <w:tcW w:w="0" w:type="auto"/>
            <w:shd w:val="clear" w:color="auto" w:fill="auto"/>
          </w:tcPr>
          <w:p w14:paraId="36CA2924" w14:textId="77777777" w:rsidR="00787570" w:rsidRDefault="00787570">
            <w:pPr>
              <w:rPr>
                <w:rFonts w:ascii="宋体"/>
              </w:rPr>
            </w:pPr>
          </w:p>
        </w:tc>
        <w:tc>
          <w:tcPr>
            <w:tcW w:w="0" w:type="auto"/>
            <w:shd w:val="clear" w:color="auto" w:fill="auto"/>
          </w:tcPr>
          <w:p w14:paraId="36CA2925" w14:textId="77777777" w:rsidR="00787570" w:rsidRDefault="00787570">
            <w:pPr>
              <w:rPr>
                <w:rFonts w:ascii="宋体"/>
              </w:rPr>
            </w:pPr>
          </w:p>
        </w:tc>
        <w:tc>
          <w:tcPr>
            <w:tcW w:w="0" w:type="auto"/>
            <w:shd w:val="clear" w:color="auto" w:fill="auto"/>
          </w:tcPr>
          <w:p w14:paraId="36CA2926" w14:textId="77777777" w:rsidR="00787570" w:rsidRDefault="00787570">
            <w:pPr>
              <w:rPr>
                <w:rFonts w:ascii="宋体"/>
              </w:rPr>
            </w:pPr>
          </w:p>
        </w:tc>
        <w:tc>
          <w:tcPr>
            <w:tcW w:w="0" w:type="auto"/>
            <w:shd w:val="clear" w:color="auto" w:fill="auto"/>
          </w:tcPr>
          <w:p w14:paraId="36CA2927" w14:textId="77777777" w:rsidR="00787570" w:rsidRDefault="00787570">
            <w:pPr>
              <w:rPr>
                <w:rFonts w:ascii="宋体"/>
              </w:rPr>
            </w:pPr>
          </w:p>
        </w:tc>
      </w:tr>
      <w:tr w:rsidR="00787570" w14:paraId="36CA2946" w14:textId="77777777">
        <w:tc>
          <w:tcPr>
            <w:tcW w:w="0" w:type="auto"/>
            <w:gridSpan w:val="3"/>
            <w:shd w:val="clear" w:color="auto" w:fill="auto"/>
            <w:tcMar>
              <w:top w:w="40" w:type="dxa"/>
              <w:left w:w="20" w:type="dxa"/>
              <w:bottom w:w="40" w:type="dxa"/>
              <w:right w:w="20" w:type="dxa"/>
            </w:tcMar>
            <w:vAlign w:val="bottom"/>
          </w:tcPr>
          <w:p w14:paraId="36CA2929" w14:textId="77777777" w:rsidR="00787570" w:rsidRDefault="000D56E2">
            <w:pPr>
              <w:textAlignment w:val="bottom"/>
            </w:pPr>
            <w:r>
              <w:rPr>
                <w:rFonts w:ascii="Arial" w:eastAsia="宋体" w:hAnsi="Arial" w:cs="Arial"/>
                <w:b/>
                <w:bCs/>
                <w:color w:val="333333"/>
                <w:sz w:val="18"/>
                <w:szCs w:val="18"/>
              </w:rPr>
              <w:t>Total net revenue</w:t>
            </w:r>
          </w:p>
        </w:tc>
        <w:tc>
          <w:tcPr>
            <w:tcW w:w="0" w:type="auto"/>
            <w:gridSpan w:val="3"/>
            <w:shd w:val="clear" w:color="auto" w:fill="auto"/>
            <w:tcMar>
              <w:left w:w="20" w:type="dxa"/>
              <w:right w:w="20" w:type="dxa"/>
            </w:tcMar>
            <w:vAlign w:val="bottom"/>
          </w:tcPr>
          <w:p w14:paraId="36CA292A" w14:textId="77777777" w:rsidR="00787570" w:rsidRDefault="00787570">
            <w:pPr>
              <w:rPr>
                <w:rFonts w:ascii="宋体"/>
              </w:rPr>
            </w:pPr>
          </w:p>
        </w:tc>
        <w:tc>
          <w:tcPr>
            <w:tcW w:w="0" w:type="auto"/>
            <w:tcBorders>
              <w:top w:val="single" w:sz="8" w:space="0" w:color="333333"/>
            </w:tcBorders>
            <w:shd w:val="clear" w:color="auto" w:fill="auto"/>
            <w:tcMar>
              <w:top w:w="40" w:type="dxa"/>
              <w:left w:w="20" w:type="dxa"/>
              <w:bottom w:w="40" w:type="dxa"/>
            </w:tcMar>
            <w:vAlign w:val="bottom"/>
          </w:tcPr>
          <w:p w14:paraId="36CA292B" w14:textId="77777777" w:rsidR="00787570" w:rsidRDefault="000D56E2">
            <w:pPr>
              <w:textAlignment w:val="bottom"/>
            </w:pPr>
            <w:r>
              <w:rPr>
                <w:rFonts w:ascii="Arial" w:eastAsia="宋体" w:hAnsi="Arial" w:cs="Arial"/>
                <w:b/>
                <w:bCs/>
                <w:color w:val="0071C5"/>
                <w:sz w:val="18"/>
                <w:szCs w:val="18"/>
              </w:rPr>
              <w:t>$</w:t>
            </w:r>
          </w:p>
        </w:tc>
        <w:tc>
          <w:tcPr>
            <w:tcW w:w="0" w:type="auto"/>
            <w:tcBorders>
              <w:top w:val="single" w:sz="8" w:space="0" w:color="333333"/>
            </w:tcBorders>
            <w:shd w:val="clear" w:color="auto" w:fill="auto"/>
            <w:tcMar>
              <w:top w:w="40" w:type="dxa"/>
              <w:bottom w:w="40" w:type="dxa"/>
              <w:right w:w="0" w:type="dxa"/>
            </w:tcMar>
            <w:vAlign w:val="bottom"/>
          </w:tcPr>
          <w:p w14:paraId="36CA292C" w14:textId="77777777" w:rsidR="00787570" w:rsidRDefault="000D56E2">
            <w:pPr>
              <w:jc w:val="right"/>
              <w:textAlignment w:val="bottom"/>
            </w:pPr>
            <w:r>
              <w:rPr>
                <w:rFonts w:ascii="Arial" w:eastAsia="宋体" w:hAnsi="Arial" w:cs="Arial"/>
                <w:b/>
                <w:bCs/>
                <w:color w:val="0071C5"/>
                <w:sz w:val="18"/>
                <w:szCs w:val="18"/>
              </w:rPr>
              <w:t>18,333</w:t>
            </w:r>
            <w:r>
              <w:rPr>
                <w:rFonts w:ascii="Arial" w:eastAsia="宋体" w:hAnsi="Arial" w:cs="Arial"/>
                <w:color w:val="0071C5"/>
                <w:sz w:val="18"/>
                <w:szCs w:val="18"/>
              </w:rPr>
              <w:t> </w:t>
            </w:r>
          </w:p>
        </w:tc>
        <w:tc>
          <w:tcPr>
            <w:tcW w:w="0" w:type="auto"/>
            <w:tcBorders>
              <w:top w:val="single" w:sz="8" w:space="0" w:color="333333"/>
            </w:tcBorders>
            <w:shd w:val="clear" w:color="auto" w:fill="auto"/>
            <w:tcMar>
              <w:top w:w="40" w:type="dxa"/>
              <w:bottom w:w="40" w:type="dxa"/>
              <w:right w:w="20" w:type="dxa"/>
            </w:tcMar>
            <w:vAlign w:val="bottom"/>
          </w:tcPr>
          <w:p w14:paraId="36CA292D"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292E" w14:textId="77777777" w:rsidR="00787570" w:rsidRDefault="00787570">
            <w:pPr>
              <w:rPr>
                <w:rFonts w:ascii="宋体"/>
              </w:rPr>
            </w:pPr>
          </w:p>
        </w:tc>
        <w:tc>
          <w:tcPr>
            <w:tcW w:w="0" w:type="auto"/>
            <w:tcBorders>
              <w:top w:val="single" w:sz="8" w:space="0" w:color="333333"/>
            </w:tcBorders>
            <w:shd w:val="clear" w:color="auto" w:fill="auto"/>
            <w:tcMar>
              <w:top w:w="40" w:type="dxa"/>
              <w:left w:w="20" w:type="dxa"/>
              <w:bottom w:w="40" w:type="dxa"/>
            </w:tcMar>
            <w:vAlign w:val="bottom"/>
          </w:tcPr>
          <w:p w14:paraId="36CA292F" w14:textId="77777777" w:rsidR="00787570" w:rsidRDefault="000D56E2">
            <w:pPr>
              <w:textAlignment w:val="bottom"/>
            </w:pPr>
            <w:r>
              <w:rPr>
                <w:rFonts w:ascii="Arial" w:eastAsia="宋体" w:hAnsi="Arial" w:cs="Arial"/>
                <w:b/>
                <w:bCs/>
                <w:color w:val="333333"/>
                <w:sz w:val="18"/>
                <w:szCs w:val="18"/>
              </w:rPr>
              <w:t>$</w:t>
            </w:r>
          </w:p>
        </w:tc>
        <w:tc>
          <w:tcPr>
            <w:tcW w:w="0" w:type="auto"/>
            <w:tcBorders>
              <w:top w:val="single" w:sz="8" w:space="0" w:color="333333"/>
            </w:tcBorders>
            <w:shd w:val="clear" w:color="auto" w:fill="auto"/>
            <w:tcMar>
              <w:top w:w="40" w:type="dxa"/>
              <w:bottom w:w="40" w:type="dxa"/>
              <w:right w:w="0" w:type="dxa"/>
            </w:tcMar>
            <w:vAlign w:val="bottom"/>
          </w:tcPr>
          <w:p w14:paraId="36CA2930" w14:textId="77777777" w:rsidR="00787570" w:rsidRDefault="000D56E2">
            <w:pPr>
              <w:jc w:val="right"/>
              <w:textAlignment w:val="bottom"/>
            </w:pPr>
            <w:r>
              <w:rPr>
                <w:rFonts w:ascii="Arial" w:eastAsia="宋体" w:hAnsi="Arial" w:cs="Arial"/>
                <w:b/>
                <w:bCs/>
                <w:color w:val="333333"/>
                <w:sz w:val="18"/>
                <w:szCs w:val="18"/>
              </w:rPr>
              <w:t>19,190</w:t>
            </w:r>
            <w:r>
              <w:rPr>
                <w:rFonts w:ascii="Arial" w:eastAsia="宋体" w:hAnsi="Arial" w:cs="Arial"/>
                <w:color w:val="333333"/>
                <w:sz w:val="18"/>
                <w:szCs w:val="18"/>
              </w:rPr>
              <w:t> </w:t>
            </w:r>
          </w:p>
        </w:tc>
        <w:tc>
          <w:tcPr>
            <w:tcW w:w="0" w:type="auto"/>
            <w:tcBorders>
              <w:top w:val="single" w:sz="8" w:space="0" w:color="333333"/>
            </w:tcBorders>
            <w:shd w:val="clear" w:color="auto" w:fill="auto"/>
            <w:tcMar>
              <w:top w:w="40" w:type="dxa"/>
              <w:bottom w:w="40" w:type="dxa"/>
              <w:right w:w="20" w:type="dxa"/>
            </w:tcMar>
            <w:vAlign w:val="bottom"/>
          </w:tcPr>
          <w:p w14:paraId="36CA2931"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2932" w14:textId="77777777" w:rsidR="00787570" w:rsidRDefault="00787570">
            <w:pPr>
              <w:rPr>
                <w:rFonts w:ascii="宋体"/>
              </w:rPr>
            </w:pPr>
          </w:p>
        </w:tc>
        <w:tc>
          <w:tcPr>
            <w:tcW w:w="0" w:type="auto"/>
            <w:tcBorders>
              <w:top w:val="single" w:sz="8" w:space="0" w:color="333333"/>
            </w:tcBorders>
            <w:shd w:val="clear" w:color="auto" w:fill="auto"/>
            <w:tcMar>
              <w:top w:w="40" w:type="dxa"/>
              <w:left w:w="20" w:type="dxa"/>
              <w:bottom w:w="40" w:type="dxa"/>
            </w:tcMar>
            <w:vAlign w:val="bottom"/>
          </w:tcPr>
          <w:p w14:paraId="36CA2933" w14:textId="77777777" w:rsidR="00787570" w:rsidRDefault="000D56E2">
            <w:pPr>
              <w:textAlignment w:val="bottom"/>
            </w:pPr>
            <w:r>
              <w:rPr>
                <w:rFonts w:ascii="Arial" w:eastAsia="宋体" w:hAnsi="Arial" w:cs="Arial"/>
                <w:b/>
                <w:bCs/>
                <w:color w:val="0071C5"/>
                <w:sz w:val="18"/>
                <w:szCs w:val="18"/>
              </w:rPr>
              <w:t>$</w:t>
            </w:r>
          </w:p>
        </w:tc>
        <w:tc>
          <w:tcPr>
            <w:tcW w:w="0" w:type="auto"/>
            <w:tcBorders>
              <w:top w:val="single" w:sz="8" w:space="0" w:color="333333"/>
            </w:tcBorders>
            <w:shd w:val="clear" w:color="auto" w:fill="auto"/>
            <w:tcMar>
              <w:top w:w="40" w:type="dxa"/>
              <w:bottom w:w="40" w:type="dxa"/>
              <w:right w:w="0" w:type="dxa"/>
            </w:tcMar>
            <w:vAlign w:val="bottom"/>
          </w:tcPr>
          <w:p w14:paraId="36CA2934" w14:textId="77777777" w:rsidR="00787570" w:rsidRDefault="000D56E2">
            <w:pPr>
              <w:jc w:val="right"/>
              <w:textAlignment w:val="bottom"/>
            </w:pPr>
            <w:r>
              <w:rPr>
                <w:rFonts w:ascii="Arial" w:eastAsia="宋体" w:hAnsi="Arial" w:cs="Arial"/>
                <w:b/>
                <w:bCs/>
                <w:color w:val="0071C5"/>
                <w:sz w:val="18"/>
                <w:szCs w:val="18"/>
              </w:rPr>
              <w:t>57,889</w:t>
            </w:r>
            <w:r>
              <w:rPr>
                <w:rFonts w:ascii="Arial" w:eastAsia="宋体" w:hAnsi="Arial" w:cs="Arial"/>
                <w:color w:val="0071C5"/>
                <w:sz w:val="18"/>
                <w:szCs w:val="18"/>
              </w:rPr>
              <w:t> </w:t>
            </w:r>
          </w:p>
        </w:tc>
        <w:tc>
          <w:tcPr>
            <w:tcW w:w="0" w:type="auto"/>
            <w:tcBorders>
              <w:top w:val="single" w:sz="8" w:space="0" w:color="333333"/>
            </w:tcBorders>
            <w:shd w:val="clear" w:color="auto" w:fill="auto"/>
            <w:tcMar>
              <w:top w:w="40" w:type="dxa"/>
              <w:bottom w:w="40" w:type="dxa"/>
              <w:right w:w="20" w:type="dxa"/>
            </w:tcMar>
            <w:vAlign w:val="bottom"/>
          </w:tcPr>
          <w:p w14:paraId="36CA2935"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2936" w14:textId="77777777" w:rsidR="00787570" w:rsidRDefault="00787570">
            <w:pPr>
              <w:rPr>
                <w:rFonts w:ascii="宋体"/>
              </w:rPr>
            </w:pPr>
          </w:p>
        </w:tc>
        <w:tc>
          <w:tcPr>
            <w:tcW w:w="0" w:type="auto"/>
            <w:tcBorders>
              <w:top w:val="single" w:sz="8" w:space="0" w:color="333333"/>
            </w:tcBorders>
            <w:shd w:val="clear" w:color="auto" w:fill="auto"/>
            <w:tcMar>
              <w:top w:w="40" w:type="dxa"/>
              <w:left w:w="20" w:type="dxa"/>
              <w:bottom w:w="40" w:type="dxa"/>
            </w:tcMar>
            <w:vAlign w:val="bottom"/>
          </w:tcPr>
          <w:p w14:paraId="36CA2937" w14:textId="77777777" w:rsidR="00787570" w:rsidRDefault="000D56E2">
            <w:pPr>
              <w:textAlignment w:val="bottom"/>
            </w:pPr>
            <w:r>
              <w:rPr>
                <w:rFonts w:ascii="Arial" w:eastAsia="宋体" w:hAnsi="Arial" w:cs="Arial"/>
                <w:b/>
                <w:bCs/>
                <w:color w:val="333333"/>
                <w:sz w:val="18"/>
                <w:szCs w:val="18"/>
              </w:rPr>
              <w:t>$</w:t>
            </w:r>
          </w:p>
        </w:tc>
        <w:tc>
          <w:tcPr>
            <w:tcW w:w="0" w:type="auto"/>
            <w:tcBorders>
              <w:top w:val="single" w:sz="8" w:space="0" w:color="333333"/>
            </w:tcBorders>
            <w:shd w:val="clear" w:color="auto" w:fill="auto"/>
            <w:tcMar>
              <w:top w:w="40" w:type="dxa"/>
              <w:bottom w:w="40" w:type="dxa"/>
              <w:right w:w="0" w:type="dxa"/>
            </w:tcMar>
            <w:vAlign w:val="bottom"/>
          </w:tcPr>
          <w:p w14:paraId="36CA2938" w14:textId="77777777" w:rsidR="00787570" w:rsidRDefault="000D56E2">
            <w:pPr>
              <w:jc w:val="right"/>
              <w:textAlignment w:val="bottom"/>
            </w:pPr>
            <w:r>
              <w:rPr>
                <w:rFonts w:ascii="Arial" w:eastAsia="宋体" w:hAnsi="Arial" w:cs="Arial"/>
                <w:b/>
                <w:bCs/>
                <w:color w:val="333333"/>
                <w:sz w:val="18"/>
                <w:szCs w:val="18"/>
              </w:rPr>
              <w:t>51,756</w:t>
            </w:r>
            <w:r>
              <w:rPr>
                <w:rFonts w:ascii="Arial" w:eastAsia="宋体" w:hAnsi="Arial" w:cs="Arial"/>
                <w:color w:val="333333"/>
                <w:sz w:val="18"/>
                <w:szCs w:val="18"/>
              </w:rPr>
              <w:t> </w:t>
            </w:r>
          </w:p>
        </w:tc>
        <w:tc>
          <w:tcPr>
            <w:tcW w:w="0" w:type="auto"/>
            <w:tcBorders>
              <w:top w:val="single" w:sz="8" w:space="0" w:color="333333"/>
            </w:tcBorders>
            <w:shd w:val="clear" w:color="auto" w:fill="auto"/>
            <w:tcMar>
              <w:top w:w="40" w:type="dxa"/>
              <w:bottom w:w="40" w:type="dxa"/>
              <w:right w:w="20" w:type="dxa"/>
            </w:tcMar>
            <w:vAlign w:val="bottom"/>
          </w:tcPr>
          <w:p w14:paraId="36CA2939" w14:textId="77777777" w:rsidR="00787570" w:rsidRDefault="00787570">
            <w:pPr>
              <w:jc w:val="right"/>
              <w:rPr>
                <w:rFonts w:ascii="宋体"/>
              </w:rPr>
            </w:pPr>
          </w:p>
        </w:tc>
        <w:tc>
          <w:tcPr>
            <w:tcW w:w="0" w:type="auto"/>
            <w:shd w:val="clear" w:color="auto" w:fill="auto"/>
          </w:tcPr>
          <w:p w14:paraId="36CA293A" w14:textId="77777777" w:rsidR="00787570" w:rsidRDefault="00787570">
            <w:pPr>
              <w:rPr>
                <w:rFonts w:ascii="宋体"/>
              </w:rPr>
            </w:pPr>
          </w:p>
        </w:tc>
        <w:tc>
          <w:tcPr>
            <w:tcW w:w="0" w:type="auto"/>
            <w:shd w:val="clear" w:color="auto" w:fill="auto"/>
          </w:tcPr>
          <w:p w14:paraId="36CA293B" w14:textId="77777777" w:rsidR="00787570" w:rsidRDefault="00787570">
            <w:pPr>
              <w:rPr>
                <w:rFonts w:ascii="宋体"/>
              </w:rPr>
            </w:pPr>
          </w:p>
        </w:tc>
        <w:tc>
          <w:tcPr>
            <w:tcW w:w="0" w:type="auto"/>
            <w:shd w:val="clear" w:color="auto" w:fill="auto"/>
          </w:tcPr>
          <w:p w14:paraId="36CA293C" w14:textId="77777777" w:rsidR="00787570" w:rsidRDefault="00787570">
            <w:pPr>
              <w:rPr>
                <w:rFonts w:ascii="宋体"/>
              </w:rPr>
            </w:pPr>
          </w:p>
        </w:tc>
        <w:tc>
          <w:tcPr>
            <w:tcW w:w="0" w:type="auto"/>
            <w:shd w:val="clear" w:color="auto" w:fill="auto"/>
          </w:tcPr>
          <w:p w14:paraId="36CA293D" w14:textId="77777777" w:rsidR="00787570" w:rsidRDefault="00787570">
            <w:pPr>
              <w:rPr>
                <w:rFonts w:ascii="宋体"/>
              </w:rPr>
            </w:pPr>
          </w:p>
        </w:tc>
        <w:tc>
          <w:tcPr>
            <w:tcW w:w="0" w:type="auto"/>
            <w:shd w:val="clear" w:color="auto" w:fill="auto"/>
          </w:tcPr>
          <w:p w14:paraId="36CA293E" w14:textId="77777777" w:rsidR="00787570" w:rsidRDefault="00787570">
            <w:pPr>
              <w:rPr>
                <w:rFonts w:ascii="宋体"/>
              </w:rPr>
            </w:pPr>
          </w:p>
        </w:tc>
        <w:tc>
          <w:tcPr>
            <w:tcW w:w="0" w:type="auto"/>
            <w:shd w:val="clear" w:color="auto" w:fill="auto"/>
          </w:tcPr>
          <w:p w14:paraId="36CA293F" w14:textId="77777777" w:rsidR="00787570" w:rsidRDefault="00787570">
            <w:pPr>
              <w:rPr>
                <w:rFonts w:ascii="宋体"/>
              </w:rPr>
            </w:pPr>
          </w:p>
        </w:tc>
        <w:tc>
          <w:tcPr>
            <w:tcW w:w="0" w:type="auto"/>
            <w:shd w:val="clear" w:color="auto" w:fill="auto"/>
          </w:tcPr>
          <w:p w14:paraId="36CA2940" w14:textId="77777777" w:rsidR="00787570" w:rsidRDefault="00787570">
            <w:pPr>
              <w:rPr>
                <w:rFonts w:ascii="宋体"/>
              </w:rPr>
            </w:pPr>
          </w:p>
        </w:tc>
        <w:tc>
          <w:tcPr>
            <w:tcW w:w="0" w:type="auto"/>
            <w:shd w:val="clear" w:color="auto" w:fill="auto"/>
          </w:tcPr>
          <w:p w14:paraId="36CA2941" w14:textId="77777777" w:rsidR="00787570" w:rsidRDefault="00787570">
            <w:pPr>
              <w:rPr>
                <w:rFonts w:ascii="宋体"/>
              </w:rPr>
            </w:pPr>
          </w:p>
        </w:tc>
        <w:tc>
          <w:tcPr>
            <w:tcW w:w="0" w:type="auto"/>
            <w:shd w:val="clear" w:color="auto" w:fill="auto"/>
          </w:tcPr>
          <w:p w14:paraId="36CA2942" w14:textId="77777777" w:rsidR="00787570" w:rsidRDefault="00787570">
            <w:pPr>
              <w:rPr>
                <w:rFonts w:ascii="宋体"/>
              </w:rPr>
            </w:pPr>
          </w:p>
        </w:tc>
        <w:tc>
          <w:tcPr>
            <w:tcW w:w="0" w:type="auto"/>
            <w:shd w:val="clear" w:color="auto" w:fill="auto"/>
          </w:tcPr>
          <w:p w14:paraId="36CA2943" w14:textId="77777777" w:rsidR="00787570" w:rsidRDefault="00787570">
            <w:pPr>
              <w:rPr>
                <w:rFonts w:ascii="宋体"/>
              </w:rPr>
            </w:pPr>
          </w:p>
        </w:tc>
        <w:tc>
          <w:tcPr>
            <w:tcW w:w="0" w:type="auto"/>
            <w:shd w:val="clear" w:color="auto" w:fill="auto"/>
          </w:tcPr>
          <w:p w14:paraId="36CA2944" w14:textId="77777777" w:rsidR="00787570" w:rsidRDefault="00787570">
            <w:pPr>
              <w:rPr>
                <w:rFonts w:ascii="宋体"/>
              </w:rPr>
            </w:pPr>
          </w:p>
        </w:tc>
        <w:tc>
          <w:tcPr>
            <w:tcW w:w="0" w:type="auto"/>
            <w:shd w:val="clear" w:color="auto" w:fill="auto"/>
          </w:tcPr>
          <w:p w14:paraId="36CA2945" w14:textId="77777777" w:rsidR="00787570" w:rsidRDefault="00787570">
            <w:pPr>
              <w:rPr>
                <w:rFonts w:ascii="宋体"/>
              </w:rPr>
            </w:pPr>
          </w:p>
        </w:tc>
      </w:tr>
      <w:tr w:rsidR="00787570" w14:paraId="36CA295C" w14:textId="77777777">
        <w:trPr>
          <w:trHeight w:val="280"/>
        </w:trPr>
        <w:tc>
          <w:tcPr>
            <w:tcW w:w="0" w:type="auto"/>
            <w:gridSpan w:val="3"/>
            <w:shd w:val="clear" w:color="auto" w:fill="auto"/>
            <w:tcMar>
              <w:left w:w="20" w:type="dxa"/>
              <w:right w:w="20" w:type="dxa"/>
            </w:tcMar>
            <w:vAlign w:val="bottom"/>
          </w:tcPr>
          <w:p w14:paraId="36CA2947"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2948" w14:textId="77777777" w:rsidR="00787570" w:rsidRDefault="00787570">
            <w:pPr>
              <w:rPr>
                <w:rFonts w:ascii="宋体"/>
              </w:rPr>
            </w:pPr>
          </w:p>
        </w:tc>
        <w:tc>
          <w:tcPr>
            <w:tcW w:w="0" w:type="auto"/>
            <w:gridSpan w:val="3"/>
            <w:tcBorders>
              <w:top w:val="double" w:sz="6" w:space="0" w:color="333333"/>
            </w:tcBorders>
            <w:shd w:val="clear" w:color="auto" w:fill="auto"/>
            <w:tcMar>
              <w:left w:w="20" w:type="dxa"/>
              <w:right w:w="20" w:type="dxa"/>
            </w:tcMar>
            <w:vAlign w:val="bottom"/>
          </w:tcPr>
          <w:p w14:paraId="36CA2949"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294A" w14:textId="77777777" w:rsidR="00787570" w:rsidRDefault="00787570">
            <w:pPr>
              <w:rPr>
                <w:rFonts w:ascii="宋体"/>
              </w:rPr>
            </w:pPr>
          </w:p>
        </w:tc>
        <w:tc>
          <w:tcPr>
            <w:tcW w:w="0" w:type="auto"/>
            <w:gridSpan w:val="3"/>
            <w:tcBorders>
              <w:top w:val="double" w:sz="6" w:space="0" w:color="333333"/>
            </w:tcBorders>
            <w:shd w:val="clear" w:color="auto" w:fill="auto"/>
            <w:tcMar>
              <w:left w:w="20" w:type="dxa"/>
              <w:right w:w="20" w:type="dxa"/>
            </w:tcMar>
            <w:vAlign w:val="bottom"/>
          </w:tcPr>
          <w:p w14:paraId="36CA294B"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294C" w14:textId="77777777" w:rsidR="00787570" w:rsidRDefault="00787570">
            <w:pPr>
              <w:rPr>
                <w:rFonts w:ascii="宋体"/>
              </w:rPr>
            </w:pPr>
          </w:p>
        </w:tc>
        <w:tc>
          <w:tcPr>
            <w:tcW w:w="0" w:type="auto"/>
            <w:gridSpan w:val="3"/>
            <w:tcBorders>
              <w:top w:val="double" w:sz="6" w:space="0" w:color="333333"/>
            </w:tcBorders>
            <w:shd w:val="clear" w:color="auto" w:fill="auto"/>
            <w:tcMar>
              <w:left w:w="20" w:type="dxa"/>
              <w:right w:w="20" w:type="dxa"/>
            </w:tcMar>
            <w:vAlign w:val="bottom"/>
          </w:tcPr>
          <w:p w14:paraId="36CA294D"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294E" w14:textId="77777777" w:rsidR="00787570" w:rsidRDefault="00787570">
            <w:pPr>
              <w:rPr>
                <w:rFonts w:ascii="宋体"/>
              </w:rPr>
            </w:pPr>
          </w:p>
        </w:tc>
        <w:tc>
          <w:tcPr>
            <w:tcW w:w="0" w:type="auto"/>
            <w:gridSpan w:val="3"/>
            <w:tcBorders>
              <w:top w:val="double" w:sz="6" w:space="0" w:color="333333"/>
            </w:tcBorders>
            <w:shd w:val="clear" w:color="auto" w:fill="auto"/>
            <w:tcMar>
              <w:left w:w="20" w:type="dxa"/>
              <w:right w:w="20" w:type="dxa"/>
            </w:tcMar>
            <w:vAlign w:val="bottom"/>
          </w:tcPr>
          <w:p w14:paraId="36CA294F" w14:textId="77777777" w:rsidR="00787570" w:rsidRDefault="00787570">
            <w:pPr>
              <w:rPr>
                <w:rFonts w:ascii="宋体"/>
              </w:rPr>
            </w:pPr>
          </w:p>
        </w:tc>
        <w:tc>
          <w:tcPr>
            <w:tcW w:w="0" w:type="auto"/>
            <w:shd w:val="clear" w:color="auto" w:fill="auto"/>
          </w:tcPr>
          <w:p w14:paraId="36CA2950" w14:textId="77777777" w:rsidR="00787570" w:rsidRDefault="00787570">
            <w:pPr>
              <w:rPr>
                <w:rFonts w:ascii="宋体"/>
              </w:rPr>
            </w:pPr>
          </w:p>
        </w:tc>
        <w:tc>
          <w:tcPr>
            <w:tcW w:w="0" w:type="auto"/>
            <w:shd w:val="clear" w:color="auto" w:fill="auto"/>
          </w:tcPr>
          <w:p w14:paraId="36CA2951" w14:textId="77777777" w:rsidR="00787570" w:rsidRDefault="00787570">
            <w:pPr>
              <w:rPr>
                <w:rFonts w:ascii="宋体"/>
              </w:rPr>
            </w:pPr>
          </w:p>
        </w:tc>
        <w:tc>
          <w:tcPr>
            <w:tcW w:w="0" w:type="auto"/>
            <w:shd w:val="clear" w:color="auto" w:fill="auto"/>
          </w:tcPr>
          <w:p w14:paraId="36CA2952" w14:textId="77777777" w:rsidR="00787570" w:rsidRDefault="00787570">
            <w:pPr>
              <w:rPr>
                <w:rFonts w:ascii="宋体"/>
              </w:rPr>
            </w:pPr>
          </w:p>
        </w:tc>
        <w:tc>
          <w:tcPr>
            <w:tcW w:w="0" w:type="auto"/>
            <w:shd w:val="clear" w:color="auto" w:fill="auto"/>
          </w:tcPr>
          <w:p w14:paraId="36CA2953" w14:textId="77777777" w:rsidR="00787570" w:rsidRDefault="00787570">
            <w:pPr>
              <w:rPr>
                <w:rFonts w:ascii="宋体"/>
              </w:rPr>
            </w:pPr>
          </w:p>
        </w:tc>
        <w:tc>
          <w:tcPr>
            <w:tcW w:w="0" w:type="auto"/>
            <w:shd w:val="clear" w:color="auto" w:fill="auto"/>
          </w:tcPr>
          <w:p w14:paraId="36CA2954" w14:textId="77777777" w:rsidR="00787570" w:rsidRDefault="00787570">
            <w:pPr>
              <w:rPr>
                <w:rFonts w:ascii="宋体"/>
              </w:rPr>
            </w:pPr>
          </w:p>
        </w:tc>
        <w:tc>
          <w:tcPr>
            <w:tcW w:w="0" w:type="auto"/>
            <w:shd w:val="clear" w:color="auto" w:fill="auto"/>
          </w:tcPr>
          <w:p w14:paraId="36CA2955" w14:textId="77777777" w:rsidR="00787570" w:rsidRDefault="00787570">
            <w:pPr>
              <w:rPr>
                <w:rFonts w:ascii="宋体"/>
              </w:rPr>
            </w:pPr>
          </w:p>
        </w:tc>
        <w:tc>
          <w:tcPr>
            <w:tcW w:w="0" w:type="auto"/>
            <w:shd w:val="clear" w:color="auto" w:fill="auto"/>
          </w:tcPr>
          <w:p w14:paraId="36CA2956" w14:textId="77777777" w:rsidR="00787570" w:rsidRDefault="00787570">
            <w:pPr>
              <w:rPr>
                <w:rFonts w:ascii="宋体"/>
              </w:rPr>
            </w:pPr>
          </w:p>
        </w:tc>
        <w:tc>
          <w:tcPr>
            <w:tcW w:w="0" w:type="auto"/>
            <w:shd w:val="clear" w:color="auto" w:fill="auto"/>
          </w:tcPr>
          <w:p w14:paraId="36CA2957" w14:textId="77777777" w:rsidR="00787570" w:rsidRDefault="00787570">
            <w:pPr>
              <w:rPr>
                <w:rFonts w:ascii="宋体"/>
              </w:rPr>
            </w:pPr>
          </w:p>
        </w:tc>
        <w:tc>
          <w:tcPr>
            <w:tcW w:w="0" w:type="auto"/>
            <w:shd w:val="clear" w:color="auto" w:fill="auto"/>
          </w:tcPr>
          <w:p w14:paraId="36CA2958" w14:textId="77777777" w:rsidR="00787570" w:rsidRDefault="00787570">
            <w:pPr>
              <w:rPr>
                <w:rFonts w:ascii="宋体"/>
              </w:rPr>
            </w:pPr>
          </w:p>
        </w:tc>
        <w:tc>
          <w:tcPr>
            <w:tcW w:w="0" w:type="auto"/>
            <w:shd w:val="clear" w:color="auto" w:fill="auto"/>
          </w:tcPr>
          <w:p w14:paraId="36CA2959" w14:textId="77777777" w:rsidR="00787570" w:rsidRDefault="00787570">
            <w:pPr>
              <w:rPr>
                <w:rFonts w:ascii="宋体"/>
              </w:rPr>
            </w:pPr>
          </w:p>
        </w:tc>
        <w:tc>
          <w:tcPr>
            <w:tcW w:w="0" w:type="auto"/>
            <w:shd w:val="clear" w:color="auto" w:fill="auto"/>
          </w:tcPr>
          <w:p w14:paraId="36CA295A" w14:textId="77777777" w:rsidR="00787570" w:rsidRDefault="00787570">
            <w:pPr>
              <w:rPr>
                <w:rFonts w:ascii="宋体"/>
              </w:rPr>
            </w:pPr>
          </w:p>
        </w:tc>
        <w:tc>
          <w:tcPr>
            <w:tcW w:w="0" w:type="auto"/>
            <w:shd w:val="clear" w:color="auto" w:fill="auto"/>
          </w:tcPr>
          <w:p w14:paraId="36CA295B" w14:textId="77777777" w:rsidR="00787570" w:rsidRDefault="00787570">
            <w:pPr>
              <w:rPr>
                <w:rFonts w:ascii="宋体"/>
              </w:rPr>
            </w:pPr>
          </w:p>
        </w:tc>
      </w:tr>
      <w:tr w:rsidR="00787570" w14:paraId="36CA2972" w14:textId="77777777">
        <w:tc>
          <w:tcPr>
            <w:tcW w:w="0" w:type="auto"/>
            <w:gridSpan w:val="3"/>
            <w:shd w:val="clear" w:color="auto" w:fill="auto"/>
            <w:tcMar>
              <w:top w:w="40" w:type="dxa"/>
              <w:left w:w="20" w:type="dxa"/>
              <w:bottom w:w="40" w:type="dxa"/>
              <w:right w:w="20" w:type="dxa"/>
            </w:tcMar>
            <w:vAlign w:val="bottom"/>
          </w:tcPr>
          <w:p w14:paraId="36CA295D" w14:textId="77777777" w:rsidR="00787570" w:rsidRDefault="000D56E2">
            <w:pPr>
              <w:textAlignment w:val="bottom"/>
            </w:pPr>
            <w:r>
              <w:rPr>
                <w:rFonts w:ascii="Arial" w:eastAsia="宋体" w:hAnsi="Arial" w:cs="Arial"/>
                <w:b/>
                <w:bCs/>
                <w:color w:val="333333"/>
                <w:sz w:val="18"/>
                <w:szCs w:val="18"/>
              </w:rPr>
              <w:t>Operating income (loss):</w:t>
            </w:r>
          </w:p>
        </w:tc>
        <w:tc>
          <w:tcPr>
            <w:tcW w:w="0" w:type="auto"/>
            <w:gridSpan w:val="3"/>
            <w:shd w:val="clear" w:color="auto" w:fill="auto"/>
            <w:tcMar>
              <w:left w:w="20" w:type="dxa"/>
              <w:right w:w="20" w:type="dxa"/>
            </w:tcMar>
            <w:vAlign w:val="bottom"/>
          </w:tcPr>
          <w:p w14:paraId="36CA295E"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295F"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2960"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2961"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2962"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2963"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2964"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2965" w14:textId="77777777" w:rsidR="00787570" w:rsidRDefault="00787570">
            <w:pPr>
              <w:rPr>
                <w:rFonts w:ascii="宋体"/>
              </w:rPr>
            </w:pPr>
          </w:p>
        </w:tc>
        <w:tc>
          <w:tcPr>
            <w:tcW w:w="0" w:type="auto"/>
            <w:shd w:val="clear" w:color="auto" w:fill="auto"/>
          </w:tcPr>
          <w:p w14:paraId="36CA2966" w14:textId="77777777" w:rsidR="00787570" w:rsidRDefault="00787570">
            <w:pPr>
              <w:rPr>
                <w:rFonts w:ascii="宋体"/>
              </w:rPr>
            </w:pPr>
          </w:p>
        </w:tc>
        <w:tc>
          <w:tcPr>
            <w:tcW w:w="0" w:type="auto"/>
            <w:shd w:val="clear" w:color="auto" w:fill="auto"/>
          </w:tcPr>
          <w:p w14:paraId="36CA2967" w14:textId="77777777" w:rsidR="00787570" w:rsidRDefault="00787570">
            <w:pPr>
              <w:rPr>
                <w:rFonts w:ascii="宋体"/>
              </w:rPr>
            </w:pPr>
          </w:p>
        </w:tc>
        <w:tc>
          <w:tcPr>
            <w:tcW w:w="0" w:type="auto"/>
            <w:shd w:val="clear" w:color="auto" w:fill="auto"/>
          </w:tcPr>
          <w:p w14:paraId="36CA2968" w14:textId="77777777" w:rsidR="00787570" w:rsidRDefault="00787570">
            <w:pPr>
              <w:rPr>
                <w:rFonts w:ascii="宋体"/>
              </w:rPr>
            </w:pPr>
          </w:p>
        </w:tc>
        <w:tc>
          <w:tcPr>
            <w:tcW w:w="0" w:type="auto"/>
            <w:shd w:val="clear" w:color="auto" w:fill="auto"/>
          </w:tcPr>
          <w:p w14:paraId="36CA2969" w14:textId="77777777" w:rsidR="00787570" w:rsidRDefault="00787570">
            <w:pPr>
              <w:rPr>
                <w:rFonts w:ascii="宋体"/>
              </w:rPr>
            </w:pPr>
          </w:p>
        </w:tc>
        <w:tc>
          <w:tcPr>
            <w:tcW w:w="0" w:type="auto"/>
            <w:shd w:val="clear" w:color="auto" w:fill="auto"/>
          </w:tcPr>
          <w:p w14:paraId="36CA296A" w14:textId="77777777" w:rsidR="00787570" w:rsidRDefault="00787570">
            <w:pPr>
              <w:rPr>
                <w:rFonts w:ascii="宋体"/>
              </w:rPr>
            </w:pPr>
          </w:p>
        </w:tc>
        <w:tc>
          <w:tcPr>
            <w:tcW w:w="0" w:type="auto"/>
            <w:shd w:val="clear" w:color="auto" w:fill="auto"/>
          </w:tcPr>
          <w:p w14:paraId="36CA296B" w14:textId="77777777" w:rsidR="00787570" w:rsidRDefault="00787570">
            <w:pPr>
              <w:rPr>
                <w:rFonts w:ascii="宋体"/>
              </w:rPr>
            </w:pPr>
          </w:p>
        </w:tc>
        <w:tc>
          <w:tcPr>
            <w:tcW w:w="0" w:type="auto"/>
            <w:shd w:val="clear" w:color="auto" w:fill="auto"/>
          </w:tcPr>
          <w:p w14:paraId="36CA296C" w14:textId="77777777" w:rsidR="00787570" w:rsidRDefault="00787570">
            <w:pPr>
              <w:rPr>
                <w:rFonts w:ascii="宋体"/>
              </w:rPr>
            </w:pPr>
          </w:p>
        </w:tc>
        <w:tc>
          <w:tcPr>
            <w:tcW w:w="0" w:type="auto"/>
            <w:shd w:val="clear" w:color="auto" w:fill="auto"/>
          </w:tcPr>
          <w:p w14:paraId="36CA296D" w14:textId="77777777" w:rsidR="00787570" w:rsidRDefault="00787570">
            <w:pPr>
              <w:rPr>
                <w:rFonts w:ascii="宋体"/>
              </w:rPr>
            </w:pPr>
          </w:p>
        </w:tc>
        <w:tc>
          <w:tcPr>
            <w:tcW w:w="0" w:type="auto"/>
            <w:shd w:val="clear" w:color="auto" w:fill="auto"/>
          </w:tcPr>
          <w:p w14:paraId="36CA296E" w14:textId="77777777" w:rsidR="00787570" w:rsidRDefault="00787570">
            <w:pPr>
              <w:rPr>
                <w:rFonts w:ascii="宋体"/>
              </w:rPr>
            </w:pPr>
          </w:p>
        </w:tc>
        <w:tc>
          <w:tcPr>
            <w:tcW w:w="0" w:type="auto"/>
            <w:shd w:val="clear" w:color="auto" w:fill="auto"/>
          </w:tcPr>
          <w:p w14:paraId="36CA296F" w14:textId="77777777" w:rsidR="00787570" w:rsidRDefault="00787570">
            <w:pPr>
              <w:rPr>
                <w:rFonts w:ascii="宋体"/>
              </w:rPr>
            </w:pPr>
          </w:p>
        </w:tc>
        <w:tc>
          <w:tcPr>
            <w:tcW w:w="0" w:type="auto"/>
            <w:shd w:val="clear" w:color="auto" w:fill="auto"/>
          </w:tcPr>
          <w:p w14:paraId="36CA2970" w14:textId="77777777" w:rsidR="00787570" w:rsidRDefault="00787570">
            <w:pPr>
              <w:rPr>
                <w:rFonts w:ascii="宋体"/>
              </w:rPr>
            </w:pPr>
          </w:p>
        </w:tc>
        <w:tc>
          <w:tcPr>
            <w:tcW w:w="0" w:type="auto"/>
            <w:shd w:val="clear" w:color="auto" w:fill="auto"/>
          </w:tcPr>
          <w:p w14:paraId="36CA2971" w14:textId="77777777" w:rsidR="00787570" w:rsidRDefault="00787570">
            <w:pPr>
              <w:rPr>
                <w:rFonts w:ascii="宋体"/>
              </w:rPr>
            </w:pPr>
          </w:p>
        </w:tc>
      </w:tr>
      <w:tr w:rsidR="00787570" w14:paraId="36CA298F" w14:textId="77777777">
        <w:tc>
          <w:tcPr>
            <w:tcW w:w="0" w:type="auto"/>
            <w:gridSpan w:val="3"/>
            <w:shd w:val="clear" w:color="auto" w:fill="auto"/>
            <w:tcMar>
              <w:top w:w="40" w:type="dxa"/>
              <w:left w:w="120" w:type="dxa"/>
              <w:bottom w:w="40" w:type="dxa"/>
              <w:right w:w="20" w:type="dxa"/>
            </w:tcMar>
            <w:vAlign w:val="bottom"/>
          </w:tcPr>
          <w:p w14:paraId="36CA2973" w14:textId="77777777" w:rsidR="00787570" w:rsidRDefault="000D56E2">
            <w:pPr>
              <w:textAlignment w:val="bottom"/>
            </w:pPr>
            <w:r>
              <w:rPr>
                <w:rFonts w:ascii="Arial" w:eastAsia="宋体" w:hAnsi="Arial" w:cs="Arial"/>
                <w:b/>
                <w:bCs/>
                <w:color w:val="333333"/>
                <w:sz w:val="18"/>
                <w:szCs w:val="18"/>
              </w:rPr>
              <w:t>Data Center Group</w:t>
            </w:r>
          </w:p>
        </w:tc>
        <w:tc>
          <w:tcPr>
            <w:tcW w:w="0" w:type="auto"/>
            <w:gridSpan w:val="3"/>
            <w:shd w:val="clear" w:color="auto" w:fill="auto"/>
            <w:tcMar>
              <w:left w:w="20" w:type="dxa"/>
              <w:right w:w="20" w:type="dxa"/>
            </w:tcMar>
            <w:vAlign w:val="bottom"/>
          </w:tcPr>
          <w:p w14:paraId="36CA2974" w14:textId="77777777" w:rsidR="00787570" w:rsidRDefault="00787570">
            <w:pPr>
              <w:rPr>
                <w:rFonts w:ascii="宋体"/>
              </w:rPr>
            </w:pPr>
          </w:p>
        </w:tc>
        <w:tc>
          <w:tcPr>
            <w:tcW w:w="0" w:type="auto"/>
            <w:shd w:val="clear" w:color="auto" w:fill="auto"/>
            <w:tcMar>
              <w:top w:w="40" w:type="dxa"/>
              <w:left w:w="20" w:type="dxa"/>
              <w:bottom w:w="40" w:type="dxa"/>
            </w:tcMar>
            <w:vAlign w:val="bottom"/>
          </w:tcPr>
          <w:p w14:paraId="36CA2975" w14:textId="77777777" w:rsidR="00787570" w:rsidRDefault="000D56E2">
            <w:pPr>
              <w:textAlignment w:val="bottom"/>
            </w:pPr>
            <w:r>
              <w:rPr>
                <w:rFonts w:ascii="Arial" w:eastAsia="宋体" w:hAnsi="Arial" w:cs="Arial"/>
                <w:b/>
                <w:bCs/>
                <w:color w:val="0071C5"/>
                <w:sz w:val="18"/>
                <w:szCs w:val="18"/>
              </w:rPr>
              <w:t>$</w:t>
            </w:r>
          </w:p>
        </w:tc>
        <w:tc>
          <w:tcPr>
            <w:tcW w:w="0" w:type="auto"/>
            <w:shd w:val="clear" w:color="auto" w:fill="auto"/>
            <w:tcMar>
              <w:top w:w="40" w:type="dxa"/>
              <w:bottom w:w="40" w:type="dxa"/>
              <w:right w:w="0" w:type="dxa"/>
            </w:tcMar>
            <w:vAlign w:val="bottom"/>
          </w:tcPr>
          <w:p w14:paraId="36CA2976" w14:textId="77777777" w:rsidR="00787570" w:rsidRDefault="000D56E2">
            <w:pPr>
              <w:jc w:val="right"/>
              <w:textAlignment w:val="bottom"/>
            </w:pPr>
            <w:r>
              <w:rPr>
                <w:rFonts w:ascii="Arial" w:eastAsia="宋体" w:hAnsi="Arial" w:cs="Arial"/>
                <w:b/>
                <w:bCs/>
                <w:color w:val="0071C5"/>
                <w:sz w:val="18"/>
                <w:szCs w:val="18"/>
              </w:rPr>
              <w:t>1,903</w:t>
            </w:r>
            <w:r>
              <w:rPr>
                <w:rFonts w:ascii="Arial" w:eastAsia="宋体" w:hAnsi="Arial" w:cs="Arial"/>
                <w:color w:val="0071C5"/>
                <w:sz w:val="18"/>
                <w:szCs w:val="18"/>
              </w:rPr>
              <w:t> </w:t>
            </w:r>
          </w:p>
        </w:tc>
        <w:tc>
          <w:tcPr>
            <w:tcW w:w="0" w:type="auto"/>
            <w:shd w:val="clear" w:color="auto" w:fill="auto"/>
            <w:tcMar>
              <w:top w:w="40" w:type="dxa"/>
              <w:bottom w:w="40" w:type="dxa"/>
              <w:right w:w="20" w:type="dxa"/>
            </w:tcMar>
            <w:vAlign w:val="bottom"/>
          </w:tcPr>
          <w:p w14:paraId="36CA2977"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2978" w14:textId="77777777" w:rsidR="00787570" w:rsidRDefault="00787570">
            <w:pPr>
              <w:rPr>
                <w:rFonts w:ascii="宋体"/>
              </w:rPr>
            </w:pPr>
          </w:p>
        </w:tc>
        <w:tc>
          <w:tcPr>
            <w:tcW w:w="0" w:type="auto"/>
            <w:shd w:val="clear" w:color="auto" w:fill="auto"/>
            <w:tcMar>
              <w:top w:w="40" w:type="dxa"/>
              <w:left w:w="20" w:type="dxa"/>
              <w:bottom w:w="40" w:type="dxa"/>
            </w:tcMar>
            <w:vAlign w:val="bottom"/>
          </w:tcPr>
          <w:p w14:paraId="36CA2979" w14:textId="77777777" w:rsidR="00787570" w:rsidRDefault="000D56E2">
            <w:pPr>
              <w:textAlignment w:val="bottom"/>
            </w:pPr>
            <w:r>
              <w:rPr>
                <w:rFonts w:ascii="Arial" w:eastAsia="宋体" w:hAnsi="Arial" w:cs="Arial"/>
                <w:b/>
                <w:bCs/>
                <w:color w:val="333333"/>
                <w:sz w:val="18"/>
                <w:szCs w:val="18"/>
              </w:rPr>
              <w:t>$</w:t>
            </w:r>
          </w:p>
        </w:tc>
        <w:tc>
          <w:tcPr>
            <w:tcW w:w="0" w:type="auto"/>
            <w:shd w:val="clear" w:color="auto" w:fill="auto"/>
            <w:tcMar>
              <w:top w:w="40" w:type="dxa"/>
              <w:bottom w:w="40" w:type="dxa"/>
              <w:right w:w="0" w:type="dxa"/>
            </w:tcMar>
            <w:vAlign w:val="bottom"/>
          </w:tcPr>
          <w:p w14:paraId="36CA297A" w14:textId="77777777" w:rsidR="00787570" w:rsidRDefault="000D56E2">
            <w:pPr>
              <w:jc w:val="right"/>
              <w:textAlignment w:val="bottom"/>
            </w:pPr>
            <w:r>
              <w:rPr>
                <w:rFonts w:ascii="Arial" w:eastAsia="宋体" w:hAnsi="Arial" w:cs="Arial"/>
                <w:b/>
                <w:bCs/>
                <w:color w:val="333333"/>
                <w:sz w:val="18"/>
                <w:szCs w:val="18"/>
              </w:rPr>
              <w:t>3,115</w:t>
            </w:r>
            <w:r>
              <w:rPr>
                <w:rFonts w:ascii="Arial" w:eastAsia="宋体" w:hAnsi="Arial" w:cs="Arial"/>
                <w:color w:val="333333"/>
                <w:sz w:val="18"/>
                <w:szCs w:val="18"/>
              </w:rPr>
              <w:t> </w:t>
            </w:r>
          </w:p>
        </w:tc>
        <w:tc>
          <w:tcPr>
            <w:tcW w:w="0" w:type="auto"/>
            <w:shd w:val="clear" w:color="auto" w:fill="auto"/>
            <w:tcMar>
              <w:top w:w="40" w:type="dxa"/>
              <w:bottom w:w="40" w:type="dxa"/>
              <w:right w:w="20" w:type="dxa"/>
            </w:tcMar>
            <w:vAlign w:val="bottom"/>
          </w:tcPr>
          <w:p w14:paraId="36CA297B"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297C"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297D" w14:textId="77777777" w:rsidR="00787570" w:rsidRDefault="000D56E2">
            <w:pPr>
              <w:jc w:val="right"/>
              <w:textAlignment w:val="bottom"/>
            </w:pPr>
            <w:r>
              <w:rPr>
                <w:rFonts w:ascii="Arial" w:eastAsia="宋体" w:hAnsi="Arial" w:cs="Arial"/>
                <w:b/>
                <w:bCs/>
                <w:color w:val="0071C5"/>
                <w:sz w:val="18"/>
                <w:szCs w:val="18"/>
              </w:rPr>
              <w:t>8,494</w:t>
            </w:r>
            <w:r>
              <w:rPr>
                <w:rFonts w:ascii="Arial" w:eastAsia="宋体" w:hAnsi="Arial" w:cs="Arial"/>
                <w:color w:val="0071C5"/>
                <w:sz w:val="18"/>
                <w:szCs w:val="18"/>
              </w:rPr>
              <w:t> </w:t>
            </w:r>
          </w:p>
        </w:tc>
        <w:tc>
          <w:tcPr>
            <w:tcW w:w="0" w:type="auto"/>
            <w:shd w:val="clear" w:color="auto" w:fill="auto"/>
            <w:tcMar>
              <w:top w:w="40" w:type="dxa"/>
              <w:bottom w:w="40" w:type="dxa"/>
              <w:right w:w="20" w:type="dxa"/>
            </w:tcMar>
            <w:vAlign w:val="bottom"/>
          </w:tcPr>
          <w:p w14:paraId="36CA297E"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297F" w14:textId="77777777" w:rsidR="00787570" w:rsidRDefault="00787570">
            <w:pPr>
              <w:rPr>
                <w:rFonts w:ascii="宋体"/>
              </w:rPr>
            </w:pPr>
          </w:p>
        </w:tc>
        <w:tc>
          <w:tcPr>
            <w:tcW w:w="0" w:type="auto"/>
            <w:shd w:val="clear" w:color="auto" w:fill="auto"/>
            <w:tcMar>
              <w:top w:w="40" w:type="dxa"/>
              <w:left w:w="20" w:type="dxa"/>
              <w:bottom w:w="40" w:type="dxa"/>
            </w:tcMar>
            <w:vAlign w:val="bottom"/>
          </w:tcPr>
          <w:p w14:paraId="36CA2980" w14:textId="77777777" w:rsidR="00787570" w:rsidRDefault="000D56E2">
            <w:pPr>
              <w:textAlignment w:val="bottom"/>
            </w:pPr>
            <w:r>
              <w:rPr>
                <w:rFonts w:ascii="Arial" w:eastAsia="宋体" w:hAnsi="Arial" w:cs="Arial"/>
                <w:b/>
                <w:bCs/>
                <w:color w:val="333333"/>
                <w:sz w:val="18"/>
                <w:szCs w:val="18"/>
              </w:rPr>
              <w:t>$</w:t>
            </w:r>
          </w:p>
        </w:tc>
        <w:tc>
          <w:tcPr>
            <w:tcW w:w="0" w:type="auto"/>
            <w:shd w:val="clear" w:color="auto" w:fill="auto"/>
            <w:tcMar>
              <w:top w:w="40" w:type="dxa"/>
              <w:bottom w:w="40" w:type="dxa"/>
              <w:right w:w="0" w:type="dxa"/>
            </w:tcMar>
            <w:vAlign w:val="bottom"/>
          </w:tcPr>
          <w:p w14:paraId="36CA2981" w14:textId="77777777" w:rsidR="00787570" w:rsidRDefault="000D56E2">
            <w:pPr>
              <w:jc w:val="right"/>
              <w:textAlignment w:val="bottom"/>
            </w:pPr>
            <w:r>
              <w:rPr>
                <w:rFonts w:ascii="Arial" w:eastAsia="宋体" w:hAnsi="Arial" w:cs="Arial"/>
                <w:b/>
                <w:bCs/>
                <w:color w:val="333333"/>
                <w:sz w:val="18"/>
                <w:szCs w:val="18"/>
              </w:rPr>
              <w:t>6,756</w:t>
            </w:r>
            <w:r>
              <w:rPr>
                <w:rFonts w:ascii="Arial" w:eastAsia="宋体" w:hAnsi="Arial" w:cs="Arial"/>
                <w:color w:val="333333"/>
                <w:sz w:val="18"/>
                <w:szCs w:val="18"/>
              </w:rPr>
              <w:t> </w:t>
            </w:r>
          </w:p>
        </w:tc>
        <w:tc>
          <w:tcPr>
            <w:tcW w:w="0" w:type="auto"/>
            <w:shd w:val="clear" w:color="auto" w:fill="auto"/>
            <w:tcMar>
              <w:top w:w="40" w:type="dxa"/>
              <w:bottom w:w="40" w:type="dxa"/>
              <w:right w:w="20" w:type="dxa"/>
            </w:tcMar>
            <w:vAlign w:val="bottom"/>
          </w:tcPr>
          <w:p w14:paraId="36CA2982" w14:textId="77777777" w:rsidR="00787570" w:rsidRDefault="00787570">
            <w:pPr>
              <w:jc w:val="right"/>
              <w:rPr>
                <w:rFonts w:ascii="宋体"/>
              </w:rPr>
            </w:pPr>
          </w:p>
        </w:tc>
        <w:tc>
          <w:tcPr>
            <w:tcW w:w="0" w:type="auto"/>
            <w:shd w:val="clear" w:color="auto" w:fill="auto"/>
          </w:tcPr>
          <w:p w14:paraId="36CA2983" w14:textId="77777777" w:rsidR="00787570" w:rsidRDefault="00787570">
            <w:pPr>
              <w:rPr>
                <w:rFonts w:ascii="宋体"/>
              </w:rPr>
            </w:pPr>
          </w:p>
        </w:tc>
        <w:tc>
          <w:tcPr>
            <w:tcW w:w="0" w:type="auto"/>
            <w:shd w:val="clear" w:color="auto" w:fill="auto"/>
          </w:tcPr>
          <w:p w14:paraId="36CA2984" w14:textId="77777777" w:rsidR="00787570" w:rsidRDefault="00787570">
            <w:pPr>
              <w:rPr>
                <w:rFonts w:ascii="宋体"/>
              </w:rPr>
            </w:pPr>
          </w:p>
        </w:tc>
        <w:tc>
          <w:tcPr>
            <w:tcW w:w="0" w:type="auto"/>
            <w:shd w:val="clear" w:color="auto" w:fill="auto"/>
          </w:tcPr>
          <w:p w14:paraId="36CA2985" w14:textId="77777777" w:rsidR="00787570" w:rsidRDefault="00787570">
            <w:pPr>
              <w:rPr>
                <w:rFonts w:ascii="宋体"/>
              </w:rPr>
            </w:pPr>
          </w:p>
        </w:tc>
        <w:tc>
          <w:tcPr>
            <w:tcW w:w="0" w:type="auto"/>
            <w:shd w:val="clear" w:color="auto" w:fill="auto"/>
          </w:tcPr>
          <w:p w14:paraId="36CA2986" w14:textId="77777777" w:rsidR="00787570" w:rsidRDefault="00787570">
            <w:pPr>
              <w:rPr>
                <w:rFonts w:ascii="宋体"/>
              </w:rPr>
            </w:pPr>
          </w:p>
        </w:tc>
        <w:tc>
          <w:tcPr>
            <w:tcW w:w="0" w:type="auto"/>
            <w:shd w:val="clear" w:color="auto" w:fill="auto"/>
          </w:tcPr>
          <w:p w14:paraId="36CA2987" w14:textId="77777777" w:rsidR="00787570" w:rsidRDefault="00787570">
            <w:pPr>
              <w:rPr>
                <w:rFonts w:ascii="宋体"/>
              </w:rPr>
            </w:pPr>
          </w:p>
        </w:tc>
        <w:tc>
          <w:tcPr>
            <w:tcW w:w="0" w:type="auto"/>
            <w:shd w:val="clear" w:color="auto" w:fill="auto"/>
          </w:tcPr>
          <w:p w14:paraId="36CA2988" w14:textId="77777777" w:rsidR="00787570" w:rsidRDefault="00787570">
            <w:pPr>
              <w:rPr>
                <w:rFonts w:ascii="宋体"/>
              </w:rPr>
            </w:pPr>
          </w:p>
        </w:tc>
        <w:tc>
          <w:tcPr>
            <w:tcW w:w="0" w:type="auto"/>
            <w:shd w:val="clear" w:color="auto" w:fill="auto"/>
          </w:tcPr>
          <w:p w14:paraId="36CA2989" w14:textId="77777777" w:rsidR="00787570" w:rsidRDefault="00787570">
            <w:pPr>
              <w:rPr>
                <w:rFonts w:ascii="宋体"/>
              </w:rPr>
            </w:pPr>
          </w:p>
        </w:tc>
        <w:tc>
          <w:tcPr>
            <w:tcW w:w="0" w:type="auto"/>
            <w:shd w:val="clear" w:color="auto" w:fill="auto"/>
          </w:tcPr>
          <w:p w14:paraId="36CA298A" w14:textId="77777777" w:rsidR="00787570" w:rsidRDefault="00787570">
            <w:pPr>
              <w:rPr>
                <w:rFonts w:ascii="宋体"/>
              </w:rPr>
            </w:pPr>
          </w:p>
        </w:tc>
        <w:tc>
          <w:tcPr>
            <w:tcW w:w="0" w:type="auto"/>
            <w:shd w:val="clear" w:color="auto" w:fill="auto"/>
          </w:tcPr>
          <w:p w14:paraId="36CA298B" w14:textId="77777777" w:rsidR="00787570" w:rsidRDefault="00787570">
            <w:pPr>
              <w:rPr>
                <w:rFonts w:ascii="宋体"/>
              </w:rPr>
            </w:pPr>
          </w:p>
        </w:tc>
        <w:tc>
          <w:tcPr>
            <w:tcW w:w="0" w:type="auto"/>
            <w:shd w:val="clear" w:color="auto" w:fill="auto"/>
          </w:tcPr>
          <w:p w14:paraId="36CA298C" w14:textId="77777777" w:rsidR="00787570" w:rsidRDefault="00787570">
            <w:pPr>
              <w:rPr>
                <w:rFonts w:ascii="宋体"/>
              </w:rPr>
            </w:pPr>
          </w:p>
        </w:tc>
        <w:tc>
          <w:tcPr>
            <w:tcW w:w="0" w:type="auto"/>
            <w:shd w:val="clear" w:color="auto" w:fill="auto"/>
          </w:tcPr>
          <w:p w14:paraId="36CA298D" w14:textId="77777777" w:rsidR="00787570" w:rsidRDefault="00787570">
            <w:pPr>
              <w:rPr>
                <w:rFonts w:ascii="宋体"/>
              </w:rPr>
            </w:pPr>
          </w:p>
        </w:tc>
        <w:tc>
          <w:tcPr>
            <w:tcW w:w="0" w:type="auto"/>
            <w:shd w:val="clear" w:color="auto" w:fill="auto"/>
          </w:tcPr>
          <w:p w14:paraId="36CA298E" w14:textId="77777777" w:rsidR="00787570" w:rsidRDefault="00787570">
            <w:pPr>
              <w:rPr>
                <w:rFonts w:ascii="宋体"/>
              </w:rPr>
            </w:pPr>
          </w:p>
        </w:tc>
      </w:tr>
      <w:tr w:rsidR="00787570" w14:paraId="36CA29A5" w14:textId="77777777">
        <w:trPr>
          <w:trHeight w:val="280"/>
        </w:trPr>
        <w:tc>
          <w:tcPr>
            <w:tcW w:w="0" w:type="auto"/>
            <w:gridSpan w:val="3"/>
            <w:shd w:val="clear" w:color="auto" w:fill="auto"/>
            <w:tcMar>
              <w:left w:w="20" w:type="dxa"/>
              <w:right w:w="20" w:type="dxa"/>
            </w:tcMar>
            <w:vAlign w:val="bottom"/>
          </w:tcPr>
          <w:p w14:paraId="36CA2990"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2991"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2992"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2993"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2994"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2995"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2996"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2997"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2998" w14:textId="77777777" w:rsidR="00787570" w:rsidRDefault="00787570">
            <w:pPr>
              <w:rPr>
                <w:rFonts w:ascii="宋体"/>
              </w:rPr>
            </w:pPr>
          </w:p>
        </w:tc>
        <w:tc>
          <w:tcPr>
            <w:tcW w:w="0" w:type="auto"/>
            <w:shd w:val="clear" w:color="auto" w:fill="auto"/>
          </w:tcPr>
          <w:p w14:paraId="36CA2999" w14:textId="77777777" w:rsidR="00787570" w:rsidRDefault="00787570">
            <w:pPr>
              <w:rPr>
                <w:rFonts w:ascii="宋体"/>
              </w:rPr>
            </w:pPr>
          </w:p>
        </w:tc>
        <w:tc>
          <w:tcPr>
            <w:tcW w:w="0" w:type="auto"/>
            <w:shd w:val="clear" w:color="auto" w:fill="auto"/>
          </w:tcPr>
          <w:p w14:paraId="36CA299A" w14:textId="77777777" w:rsidR="00787570" w:rsidRDefault="00787570">
            <w:pPr>
              <w:rPr>
                <w:rFonts w:ascii="宋体"/>
              </w:rPr>
            </w:pPr>
          </w:p>
        </w:tc>
        <w:tc>
          <w:tcPr>
            <w:tcW w:w="0" w:type="auto"/>
            <w:shd w:val="clear" w:color="auto" w:fill="auto"/>
          </w:tcPr>
          <w:p w14:paraId="36CA299B" w14:textId="77777777" w:rsidR="00787570" w:rsidRDefault="00787570">
            <w:pPr>
              <w:rPr>
                <w:rFonts w:ascii="宋体"/>
              </w:rPr>
            </w:pPr>
          </w:p>
        </w:tc>
        <w:tc>
          <w:tcPr>
            <w:tcW w:w="0" w:type="auto"/>
            <w:shd w:val="clear" w:color="auto" w:fill="auto"/>
          </w:tcPr>
          <w:p w14:paraId="36CA299C" w14:textId="77777777" w:rsidR="00787570" w:rsidRDefault="00787570">
            <w:pPr>
              <w:rPr>
                <w:rFonts w:ascii="宋体"/>
              </w:rPr>
            </w:pPr>
          </w:p>
        </w:tc>
        <w:tc>
          <w:tcPr>
            <w:tcW w:w="0" w:type="auto"/>
            <w:shd w:val="clear" w:color="auto" w:fill="auto"/>
          </w:tcPr>
          <w:p w14:paraId="36CA299D" w14:textId="77777777" w:rsidR="00787570" w:rsidRDefault="00787570">
            <w:pPr>
              <w:rPr>
                <w:rFonts w:ascii="宋体"/>
              </w:rPr>
            </w:pPr>
          </w:p>
        </w:tc>
        <w:tc>
          <w:tcPr>
            <w:tcW w:w="0" w:type="auto"/>
            <w:shd w:val="clear" w:color="auto" w:fill="auto"/>
          </w:tcPr>
          <w:p w14:paraId="36CA299E" w14:textId="77777777" w:rsidR="00787570" w:rsidRDefault="00787570">
            <w:pPr>
              <w:rPr>
                <w:rFonts w:ascii="宋体"/>
              </w:rPr>
            </w:pPr>
          </w:p>
        </w:tc>
        <w:tc>
          <w:tcPr>
            <w:tcW w:w="0" w:type="auto"/>
            <w:shd w:val="clear" w:color="auto" w:fill="auto"/>
          </w:tcPr>
          <w:p w14:paraId="36CA299F" w14:textId="77777777" w:rsidR="00787570" w:rsidRDefault="00787570">
            <w:pPr>
              <w:rPr>
                <w:rFonts w:ascii="宋体"/>
              </w:rPr>
            </w:pPr>
          </w:p>
        </w:tc>
        <w:tc>
          <w:tcPr>
            <w:tcW w:w="0" w:type="auto"/>
            <w:shd w:val="clear" w:color="auto" w:fill="auto"/>
          </w:tcPr>
          <w:p w14:paraId="36CA29A0" w14:textId="77777777" w:rsidR="00787570" w:rsidRDefault="00787570">
            <w:pPr>
              <w:rPr>
                <w:rFonts w:ascii="宋体"/>
              </w:rPr>
            </w:pPr>
          </w:p>
        </w:tc>
        <w:tc>
          <w:tcPr>
            <w:tcW w:w="0" w:type="auto"/>
            <w:shd w:val="clear" w:color="auto" w:fill="auto"/>
          </w:tcPr>
          <w:p w14:paraId="36CA29A1" w14:textId="77777777" w:rsidR="00787570" w:rsidRDefault="00787570">
            <w:pPr>
              <w:rPr>
                <w:rFonts w:ascii="宋体"/>
              </w:rPr>
            </w:pPr>
          </w:p>
        </w:tc>
        <w:tc>
          <w:tcPr>
            <w:tcW w:w="0" w:type="auto"/>
            <w:shd w:val="clear" w:color="auto" w:fill="auto"/>
          </w:tcPr>
          <w:p w14:paraId="36CA29A2" w14:textId="77777777" w:rsidR="00787570" w:rsidRDefault="00787570">
            <w:pPr>
              <w:rPr>
                <w:rFonts w:ascii="宋体"/>
              </w:rPr>
            </w:pPr>
          </w:p>
        </w:tc>
        <w:tc>
          <w:tcPr>
            <w:tcW w:w="0" w:type="auto"/>
            <w:shd w:val="clear" w:color="auto" w:fill="auto"/>
          </w:tcPr>
          <w:p w14:paraId="36CA29A3" w14:textId="77777777" w:rsidR="00787570" w:rsidRDefault="00787570">
            <w:pPr>
              <w:rPr>
                <w:rFonts w:ascii="宋体"/>
              </w:rPr>
            </w:pPr>
          </w:p>
        </w:tc>
        <w:tc>
          <w:tcPr>
            <w:tcW w:w="0" w:type="auto"/>
            <w:shd w:val="clear" w:color="auto" w:fill="auto"/>
          </w:tcPr>
          <w:p w14:paraId="36CA29A4" w14:textId="77777777" w:rsidR="00787570" w:rsidRDefault="00787570">
            <w:pPr>
              <w:rPr>
                <w:rFonts w:ascii="宋体"/>
              </w:rPr>
            </w:pPr>
          </w:p>
        </w:tc>
      </w:tr>
      <w:tr w:rsidR="00787570" w14:paraId="36CA29BB" w14:textId="77777777">
        <w:tc>
          <w:tcPr>
            <w:tcW w:w="0" w:type="auto"/>
            <w:gridSpan w:val="3"/>
            <w:shd w:val="clear" w:color="auto" w:fill="auto"/>
            <w:tcMar>
              <w:top w:w="40" w:type="dxa"/>
              <w:left w:w="120" w:type="dxa"/>
              <w:bottom w:w="40" w:type="dxa"/>
              <w:right w:w="20" w:type="dxa"/>
            </w:tcMar>
            <w:vAlign w:val="bottom"/>
          </w:tcPr>
          <w:p w14:paraId="36CA29A6" w14:textId="77777777" w:rsidR="00787570" w:rsidRDefault="000D56E2">
            <w:pPr>
              <w:textAlignment w:val="bottom"/>
            </w:pPr>
            <w:r>
              <w:rPr>
                <w:rFonts w:ascii="Arial" w:eastAsia="宋体" w:hAnsi="Arial" w:cs="Arial"/>
                <w:b/>
                <w:bCs/>
                <w:color w:val="333333"/>
                <w:sz w:val="18"/>
                <w:szCs w:val="18"/>
              </w:rPr>
              <w:t xml:space="preserve">Internet of Things </w:t>
            </w:r>
          </w:p>
        </w:tc>
        <w:tc>
          <w:tcPr>
            <w:tcW w:w="0" w:type="auto"/>
            <w:gridSpan w:val="3"/>
            <w:shd w:val="clear" w:color="auto" w:fill="auto"/>
            <w:tcMar>
              <w:left w:w="20" w:type="dxa"/>
              <w:right w:w="20" w:type="dxa"/>
            </w:tcMar>
            <w:vAlign w:val="bottom"/>
          </w:tcPr>
          <w:p w14:paraId="36CA29A7"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29A8"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29A9"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29AA"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29AB"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29AC"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29AD"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29AE" w14:textId="77777777" w:rsidR="00787570" w:rsidRDefault="00787570">
            <w:pPr>
              <w:rPr>
                <w:rFonts w:ascii="宋体"/>
              </w:rPr>
            </w:pPr>
          </w:p>
        </w:tc>
        <w:tc>
          <w:tcPr>
            <w:tcW w:w="0" w:type="auto"/>
            <w:shd w:val="clear" w:color="auto" w:fill="auto"/>
          </w:tcPr>
          <w:p w14:paraId="36CA29AF" w14:textId="77777777" w:rsidR="00787570" w:rsidRDefault="00787570">
            <w:pPr>
              <w:rPr>
                <w:rFonts w:ascii="宋体"/>
              </w:rPr>
            </w:pPr>
          </w:p>
        </w:tc>
        <w:tc>
          <w:tcPr>
            <w:tcW w:w="0" w:type="auto"/>
            <w:shd w:val="clear" w:color="auto" w:fill="auto"/>
          </w:tcPr>
          <w:p w14:paraId="36CA29B0" w14:textId="77777777" w:rsidR="00787570" w:rsidRDefault="00787570">
            <w:pPr>
              <w:rPr>
                <w:rFonts w:ascii="宋体"/>
              </w:rPr>
            </w:pPr>
          </w:p>
        </w:tc>
        <w:tc>
          <w:tcPr>
            <w:tcW w:w="0" w:type="auto"/>
            <w:shd w:val="clear" w:color="auto" w:fill="auto"/>
          </w:tcPr>
          <w:p w14:paraId="36CA29B1" w14:textId="77777777" w:rsidR="00787570" w:rsidRDefault="00787570">
            <w:pPr>
              <w:rPr>
                <w:rFonts w:ascii="宋体"/>
              </w:rPr>
            </w:pPr>
          </w:p>
        </w:tc>
        <w:tc>
          <w:tcPr>
            <w:tcW w:w="0" w:type="auto"/>
            <w:shd w:val="clear" w:color="auto" w:fill="auto"/>
          </w:tcPr>
          <w:p w14:paraId="36CA29B2" w14:textId="77777777" w:rsidR="00787570" w:rsidRDefault="00787570">
            <w:pPr>
              <w:rPr>
                <w:rFonts w:ascii="宋体"/>
              </w:rPr>
            </w:pPr>
          </w:p>
        </w:tc>
        <w:tc>
          <w:tcPr>
            <w:tcW w:w="0" w:type="auto"/>
            <w:shd w:val="clear" w:color="auto" w:fill="auto"/>
          </w:tcPr>
          <w:p w14:paraId="36CA29B3" w14:textId="77777777" w:rsidR="00787570" w:rsidRDefault="00787570">
            <w:pPr>
              <w:rPr>
                <w:rFonts w:ascii="宋体"/>
              </w:rPr>
            </w:pPr>
          </w:p>
        </w:tc>
        <w:tc>
          <w:tcPr>
            <w:tcW w:w="0" w:type="auto"/>
            <w:shd w:val="clear" w:color="auto" w:fill="auto"/>
          </w:tcPr>
          <w:p w14:paraId="36CA29B4" w14:textId="77777777" w:rsidR="00787570" w:rsidRDefault="00787570">
            <w:pPr>
              <w:rPr>
                <w:rFonts w:ascii="宋体"/>
              </w:rPr>
            </w:pPr>
          </w:p>
        </w:tc>
        <w:tc>
          <w:tcPr>
            <w:tcW w:w="0" w:type="auto"/>
            <w:shd w:val="clear" w:color="auto" w:fill="auto"/>
          </w:tcPr>
          <w:p w14:paraId="36CA29B5" w14:textId="77777777" w:rsidR="00787570" w:rsidRDefault="00787570">
            <w:pPr>
              <w:rPr>
                <w:rFonts w:ascii="宋体"/>
              </w:rPr>
            </w:pPr>
          </w:p>
        </w:tc>
        <w:tc>
          <w:tcPr>
            <w:tcW w:w="0" w:type="auto"/>
            <w:shd w:val="clear" w:color="auto" w:fill="auto"/>
          </w:tcPr>
          <w:p w14:paraId="36CA29B6" w14:textId="77777777" w:rsidR="00787570" w:rsidRDefault="00787570">
            <w:pPr>
              <w:rPr>
                <w:rFonts w:ascii="宋体"/>
              </w:rPr>
            </w:pPr>
          </w:p>
        </w:tc>
        <w:tc>
          <w:tcPr>
            <w:tcW w:w="0" w:type="auto"/>
            <w:shd w:val="clear" w:color="auto" w:fill="auto"/>
          </w:tcPr>
          <w:p w14:paraId="36CA29B7" w14:textId="77777777" w:rsidR="00787570" w:rsidRDefault="00787570">
            <w:pPr>
              <w:rPr>
                <w:rFonts w:ascii="宋体"/>
              </w:rPr>
            </w:pPr>
          </w:p>
        </w:tc>
        <w:tc>
          <w:tcPr>
            <w:tcW w:w="0" w:type="auto"/>
            <w:shd w:val="clear" w:color="auto" w:fill="auto"/>
          </w:tcPr>
          <w:p w14:paraId="36CA29B8" w14:textId="77777777" w:rsidR="00787570" w:rsidRDefault="00787570">
            <w:pPr>
              <w:rPr>
                <w:rFonts w:ascii="宋体"/>
              </w:rPr>
            </w:pPr>
          </w:p>
        </w:tc>
        <w:tc>
          <w:tcPr>
            <w:tcW w:w="0" w:type="auto"/>
            <w:shd w:val="clear" w:color="auto" w:fill="auto"/>
          </w:tcPr>
          <w:p w14:paraId="36CA29B9" w14:textId="77777777" w:rsidR="00787570" w:rsidRDefault="00787570">
            <w:pPr>
              <w:rPr>
                <w:rFonts w:ascii="宋体"/>
              </w:rPr>
            </w:pPr>
          </w:p>
        </w:tc>
        <w:tc>
          <w:tcPr>
            <w:tcW w:w="0" w:type="auto"/>
            <w:shd w:val="clear" w:color="auto" w:fill="auto"/>
          </w:tcPr>
          <w:p w14:paraId="36CA29BA" w14:textId="77777777" w:rsidR="00787570" w:rsidRDefault="00787570">
            <w:pPr>
              <w:rPr>
                <w:rFonts w:ascii="宋体"/>
              </w:rPr>
            </w:pPr>
          </w:p>
        </w:tc>
      </w:tr>
      <w:tr w:rsidR="00787570" w14:paraId="36CA29D5" w14:textId="77777777">
        <w:tc>
          <w:tcPr>
            <w:tcW w:w="0" w:type="auto"/>
            <w:gridSpan w:val="3"/>
            <w:shd w:val="clear" w:color="auto" w:fill="auto"/>
            <w:tcMar>
              <w:top w:w="40" w:type="dxa"/>
              <w:left w:w="240" w:type="dxa"/>
              <w:bottom w:w="40" w:type="dxa"/>
              <w:right w:w="20" w:type="dxa"/>
            </w:tcMar>
            <w:vAlign w:val="bottom"/>
          </w:tcPr>
          <w:p w14:paraId="36CA29BC" w14:textId="77777777" w:rsidR="00787570" w:rsidRDefault="000D56E2">
            <w:pPr>
              <w:textAlignment w:val="bottom"/>
            </w:pPr>
            <w:r>
              <w:rPr>
                <w:rFonts w:ascii="Arial" w:eastAsia="宋体" w:hAnsi="Arial" w:cs="Arial"/>
                <w:color w:val="333333"/>
                <w:sz w:val="18"/>
                <w:szCs w:val="18"/>
              </w:rPr>
              <w:t>IOTG</w:t>
            </w:r>
          </w:p>
        </w:tc>
        <w:tc>
          <w:tcPr>
            <w:tcW w:w="0" w:type="auto"/>
            <w:gridSpan w:val="3"/>
            <w:shd w:val="clear" w:color="auto" w:fill="auto"/>
            <w:tcMar>
              <w:left w:w="20" w:type="dxa"/>
              <w:right w:w="20" w:type="dxa"/>
            </w:tcMar>
            <w:vAlign w:val="bottom"/>
          </w:tcPr>
          <w:p w14:paraId="36CA29BD"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29BE" w14:textId="77777777" w:rsidR="00787570" w:rsidRDefault="000D56E2">
            <w:pPr>
              <w:jc w:val="right"/>
              <w:textAlignment w:val="bottom"/>
            </w:pPr>
            <w:r>
              <w:rPr>
                <w:rFonts w:ascii="Arial" w:eastAsia="宋体" w:hAnsi="Arial" w:cs="Arial"/>
                <w:color w:val="0071C5"/>
                <w:sz w:val="18"/>
                <w:szCs w:val="18"/>
              </w:rPr>
              <w:t>61 </w:t>
            </w:r>
          </w:p>
        </w:tc>
        <w:tc>
          <w:tcPr>
            <w:tcW w:w="0" w:type="auto"/>
            <w:shd w:val="clear" w:color="auto" w:fill="auto"/>
            <w:tcMar>
              <w:top w:w="40" w:type="dxa"/>
              <w:bottom w:w="40" w:type="dxa"/>
              <w:right w:w="20" w:type="dxa"/>
            </w:tcMar>
            <w:vAlign w:val="bottom"/>
          </w:tcPr>
          <w:p w14:paraId="36CA29BF"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29C0"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29C1" w14:textId="77777777" w:rsidR="00787570" w:rsidRDefault="000D56E2">
            <w:pPr>
              <w:jc w:val="right"/>
              <w:textAlignment w:val="bottom"/>
            </w:pPr>
            <w:r>
              <w:rPr>
                <w:rFonts w:ascii="Arial" w:eastAsia="宋体" w:hAnsi="Arial" w:cs="Arial"/>
                <w:color w:val="333333"/>
                <w:sz w:val="18"/>
                <w:szCs w:val="18"/>
              </w:rPr>
              <w:t>309 </w:t>
            </w:r>
          </w:p>
        </w:tc>
        <w:tc>
          <w:tcPr>
            <w:tcW w:w="0" w:type="auto"/>
            <w:shd w:val="clear" w:color="auto" w:fill="auto"/>
            <w:tcMar>
              <w:top w:w="40" w:type="dxa"/>
              <w:bottom w:w="40" w:type="dxa"/>
              <w:right w:w="20" w:type="dxa"/>
            </w:tcMar>
            <w:vAlign w:val="bottom"/>
          </w:tcPr>
          <w:p w14:paraId="36CA29C2"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29C3"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29C4" w14:textId="77777777" w:rsidR="00787570" w:rsidRDefault="000D56E2">
            <w:pPr>
              <w:jc w:val="right"/>
              <w:textAlignment w:val="bottom"/>
            </w:pPr>
            <w:r>
              <w:rPr>
                <w:rFonts w:ascii="Arial" w:eastAsia="宋体" w:hAnsi="Arial" w:cs="Arial"/>
                <w:color w:val="0071C5"/>
                <w:sz w:val="18"/>
                <w:szCs w:val="18"/>
              </w:rPr>
              <w:t>374 </w:t>
            </w:r>
          </w:p>
        </w:tc>
        <w:tc>
          <w:tcPr>
            <w:tcW w:w="0" w:type="auto"/>
            <w:shd w:val="clear" w:color="auto" w:fill="auto"/>
            <w:tcMar>
              <w:top w:w="40" w:type="dxa"/>
              <w:bottom w:w="40" w:type="dxa"/>
              <w:right w:w="20" w:type="dxa"/>
            </w:tcMar>
            <w:vAlign w:val="bottom"/>
          </w:tcPr>
          <w:p w14:paraId="36CA29C5"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29C6"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29C7" w14:textId="77777777" w:rsidR="00787570" w:rsidRDefault="000D56E2">
            <w:pPr>
              <w:jc w:val="right"/>
              <w:textAlignment w:val="bottom"/>
            </w:pPr>
            <w:r>
              <w:rPr>
                <w:rFonts w:ascii="Arial" w:eastAsia="宋体" w:hAnsi="Arial" w:cs="Arial"/>
                <w:color w:val="333333"/>
                <w:sz w:val="18"/>
                <w:szCs w:val="18"/>
              </w:rPr>
              <w:t>854 </w:t>
            </w:r>
          </w:p>
        </w:tc>
        <w:tc>
          <w:tcPr>
            <w:tcW w:w="0" w:type="auto"/>
            <w:shd w:val="clear" w:color="auto" w:fill="auto"/>
            <w:tcMar>
              <w:top w:w="40" w:type="dxa"/>
              <w:bottom w:w="40" w:type="dxa"/>
              <w:right w:w="20" w:type="dxa"/>
            </w:tcMar>
            <w:vAlign w:val="bottom"/>
          </w:tcPr>
          <w:p w14:paraId="36CA29C8" w14:textId="77777777" w:rsidR="00787570" w:rsidRDefault="00787570">
            <w:pPr>
              <w:jc w:val="right"/>
              <w:rPr>
                <w:rFonts w:ascii="宋体"/>
              </w:rPr>
            </w:pPr>
          </w:p>
        </w:tc>
        <w:tc>
          <w:tcPr>
            <w:tcW w:w="0" w:type="auto"/>
            <w:shd w:val="clear" w:color="auto" w:fill="auto"/>
          </w:tcPr>
          <w:p w14:paraId="36CA29C9" w14:textId="77777777" w:rsidR="00787570" w:rsidRDefault="00787570">
            <w:pPr>
              <w:rPr>
                <w:rFonts w:ascii="宋体"/>
              </w:rPr>
            </w:pPr>
          </w:p>
        </w:tc>
        <w:tc>
          <w:tcPr>
            <w:tcW w:w="0" w:type="auto"/>
            <w:shd w:val="clear" w:color="auto" w:fill="auto"/>
          </w:tcPr>
          <w:p w14:paraId="36CA29CA" w14:textId="77777777" w:rsidR="00787570" w:rsidRDefault="00787570">
            <w:pPr>
              <w:rPr>
                <w:rFonts w:ascii="宋体"/>
              </w:rPr>
            </w:pPr>
          </w:p>
        </w:tc>
        <w:tc>
          <w:tcPr>
            <w:tcW w:w="0" w:type="auto"/>
            <w:shd w:val="clear" w:color="auto" w:fill="auto"/>
          </w:tcPr>
          <w:p w14:paraId="36CA29CB" w14:textId="77777777" w:rsidR="00787570" w:rsidRDefault="00787570">
            <w:pPr>
              <w:rPr>
                <w:rFonts w:ascii="宋体"/>
              </w:rPr>
            </w:pPr>
          </w:p>
        </w:tc>
        <w:tc>
          <w:tcPr>
            <w:tcW w:w="0" w:type="auto"/>
            <w:shd w:val="clear" w:color="auto" w:fill="auto"/>
          </w:tcPr>
          <w:p w14:paraId="36CA29CC" w14:textId="77777777" w:rsidR="00787570" w:rsidRDefault="00787570">
            <w:pPr>
              <w:rPr>
                <w:rFonts w:ascii="宋体"/>
              </w:rPr>
            </w:pPr>
          </w:p>
        </w:tc>
        <w:tc>
          <w:tcPr>
            <w:tcW w:w="0" w:type="auto"/>
            <w:shd w:val="clear" w:color="auto" w:fill="auto"/>
          </w:tcPr>
          <w:p w14:paraId="36CA29CD" w14:textId="77777777" w:rsidR="00787570" w:rsidRDefault="00787570">
            <w:pPr>
              <w:rPr>
                <w:rFonts w:ascii="宋体"/>
              </w:rPr>
            </w:pPr>
          </w:p>
        </w:tc>
        <w:tc>
          <w:tcPr>
            <w:tcW w:w="0" w:type="auto"/>
            <w:shd w:val="clear" w:color="auto" w:fill="auto"/>
          </w:tcPr>
          <w:p w14:paraId="36CA29CE" w14:textId="77777777" w:rsidR="00787570" w:rsidRDefault="00787570">
            <w:pPr>
              <w:rPr>
                <w:rFonts w:ascii="宋体"/>
              </w:rPr>
            </w:pPr>
          </w:p>
        </w:tc>
        <w:tc>
          <w:tcPr>
            <w:tcW w:w="0" w:type="auto"/>
            <w:shd w:val="clear" w:color="auto" w:fill="auto"/>
          </w:tcPr>
          <w:p w14:paraId="36CA29CF" w14:textId="77777777" w:rsidR="00787570" w:rsidRDefault="00787570">
            <w:pPr>
              <w:rPr>
                <w:rFonts w:ascii="宋体"/>
              </w:rPr>
            </w:pPr>
          </w:p>
        </w:tc>
        <w:tc>
          <w:tcPr>
            <w:tcW w:w="0" w:type="auto"/>
            <w:shd w:val="clear" w:color="auto" w:fill="auto"/>
          </w:tcPr>
          <w:p w14:paraId="36CA29D0" w14:textId="77777777" w:rsidR="00787570" w:rsidRDefault="00787570">
            <w:pPr>
              <w:rPr>
                <w:rFonts w:ascii="宋体"/>
              </w:rPr>
            </w:pPr>
          </w:p>
        </w:tc>
        <w:tc>
          <w:tcPr>
            <w:tcW w:w="0" w:type="auto"/>
            <w:shd w:val="clear" w:color="auto" w:fill="auto"/>
          </w:tcPr>
          <w:p w14:paraId="36CA29D1" w14:textId="77777777" w:rsidR="00787570" w:rsidRDefault="00787570">
            <w:pPr>
              <w:rPr>
                <w:rFonts w:ascii="宋体"/>
              </w:rPr>
            </w:pPr>
          </w:p>
        </w:tc>
        <w:tc>
          <w:tcPr>
            <w:tcW w:w="0" w:type="auto"/>
            <w:shd w:val="clear" w:color="auto" w:fill="auto"/>
          </w:tcPr>
          <w:p w14:paraId="36CA29D2" w14:textId="77777777" w:rsidR="00787570" w:rsidRDefault="00787570">
            <w:pPr>
              <w:rPr>
                <w:rFonts w:ascii="宋体"/>
              </w:rPr>
            </w:pPr>
          </w:p>
        </w:tc>
        <w:tc>
          <w:tcPr>
            <w:tcW w:w="0" w:type="auto"/>
            <w:shd w:val="clear" w:color="auto" w:fill="auto"/>
          </w:tcPr>
          <w:p w14:paraId="36CA29D3" w14:textId="77777777" w:rsidR="00787570" w:rsidRDefault="00787570">
            <w:pPr>
              <w:rPr>
                <w:rFonts w:ascii="宋体"/>
              </w:rPr>
            </w:pPr>
          </w:p>
        </w:tc>
        <w:tc>
          <w:tcPr>
            <w:tcW w:w="0" w:type="auto"/>
            <w:shd w:val="clear" w:color="auto" w:fill="auto"/>
          </w:tcPr>
          <w:p w14:paraId="36CA29D4" w14:textId="77777777" w:rsidR="00787570" w:rsidRDefault="00787570">
            <w:pPr>
              <w:rPr>
                <w:rFonts w:ascii="宋体"/>
              </w:rPr>
            </w:pPr>
          </w:p>
        </w:tc>
      </w:tr>
      <w:tr w:rsidR="00787570" w14:paraId="36CA29EF" w14:textId="77777777">
        <w:tc>
          <w:tcPr>
            <w:tcW w:w="0" w:type="auto"/>
            <w:gridSpan w:val="3"/>
            <w:shd w:val="clear" w:color="auto" w:fill="auto"/>
            <w:tcMar>
              <w:top w:w="40" w:type="dxa"/>
              <w:left w:w="240" w:type="dxa"/>
              <w:bottom w:w="40" w:type="dxa"/>
              <w:right w:w="20" w:type="dxa"/>
            </w:tcMar>
            <w:vAlign w:val="bottom"/>
          </w:tcPr>
          <w:p w14:paraId="36CA29D6" w14:textId="77777777" w:rsidR="00787570" w:rsidRDefault="000D56E2">
            <w:pPr>
              <w:textAlignment w:val="bottom"/>
            </w:pPr>
            <w:r>
              <w:rPr>
                <w:rFonts w:ascii="Arial" w:eastAsia="宋体" w:hAnsi="Arial" w:cs="Arial"/>
                <w:color w:val="333333"/>
                <w:sz w:val="18"/>
                <w:szCs w:val="18"/>
              </w:rPr>
              <w:t>Mobileye</w:t>
            </w:r>
          </w:p>
        </w:tc>
        <w:tc>
          <w:tcPr>
            <w:tcW w:w="0" w:type="auto"/>
            <w:gridSpan w:val="3"/>
            <w:shd w:val="clear" w:color="auto" w:fill="auto"/>
            <w:tcMar>
              <w:left w:w="20" w:type="dxa"/>
              <w:right w:w="20" w:type="dxa"/>
            </w:tcMar>
            <w:vAlign w:val="bottom"/>
          </w:tcPr>
          <w:p w14:paraId="36CA29D7"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29D8" w14:textId="77777777" w:rsidR="00787570" w:rsidRDefault="000D56E2">
            <w:pPr>
              <w:jc w:val="right"/>
              <w:textAlignment w:val="bottom"/>
            </w:pPr>
            <w:r>
              <w:rPr>
                <w:rFonts w:ascii="Arial" w:eastAsia="宋体" w:hAnsi="Arial" w:cs="Arial"/>
                <w:color w:val="0071C5"/>
                <w:sz w:val="18"/>
                <w:szCs w:val="18"/>
              </w:rPr>
              <w:t>47 </w:t>
            </w:r>
          </w:p>
        </w:tc>
        <w:tc>
          <w:tcPr>
            <w:tcW w:w="0" w:type="auto"/>
            <w:shd w:val="clear" w:color="auto" w:fill="auto"/>
            <w:tcMar>
              <w:top w:w="40" w:type="dxa"/>
              <w:bottom w:w="40" w:type="dxa"/>
              <w:right w:w="20" w:type="dxa"/>
            </w:tcMar>
            <w:vAlign w:val="bottom"/>
          </w:tcPr>
          <w:p w14:paraId="36CA29D9"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29DA"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29DB" w14:textId="77777777" w:rsidR="00787570" w:rsidRDefault="000D56E2">
            <w:pPr>
              <w:jc w:val="right"/>
              <w:textAlignment w:val="bottom"/>
            </w:pPr>
            <w:r>
              <w:rPr>
                <w:rFonts w:ascii="Arial" w:eastAsia="宋体" w:hAnsi="Arial" w:cs="Arial"/>
                <w:color w:val="333333"/>
                <w:sz w:val="18"/>
                <w:szCs w:val="18"/>
              </w:rPr>
              <w:t>67 </w:t>
            </w:r>
          </w:p>
        </w:tc>
        <w:tc>
          <w:tcPr>
            <w:tcW w:w="0" w:type="auto"/>
            <w:shd w:val="clear" w:color="auto" w:fill="auto"/>
            <w:tcMar>
              <w:top w:w="40" w:type="dxa"/>
              <w:bottom w:w="40" w:type="dxa"/>
              <w:right w:w="20" w:type="dxa"/>
            </w:tcMar>
            <w:vAlign w:val="bottom"/>
          </w:tcPr>
          <w:p w14:paraId="36CA29DC"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29DD"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29DE" w14:textId="77777777" w:rsidR="00787570" w:rsidRDefault="000D56E2">
            <w:pPr>
              <w:jc w:val="right"/>
              <w:textAlignment w:val="bottom"/>
            </w:pPr>
            <w:r>
              <w:rPr>
                <w:rFonts w:ascii="Arial" w:eastAsia="宋体" w:hAnsi="Arial" w:cs="Arial"/>
                <w:color w:val="0071C5"/>
                <w:sz w:val="18"/>
                <w:szCs w:val="18"/>
              </w:rPr>
              <w:t>131 </w:t>
            </w:r>
          </w:p>
        </w:tc>
        <w:tc>
          <w:tcPr>
            <w:tcW w:w="0" w:type="auto"/>
            <w:shd w:val="clear" w:color="auto" w:fill="auto"/>
            <w:tcMar>
              <w:top w:w="40" w:type="dxa"/>
              <w:bottom w:w="40" w:type="dxa"/>
              <w:right w:w="20" w:type="dxa"/>
            </w:tcMar>
            <w:vAlign w:val="bottom"/>
          </w:tcPr>
          <w:p w14:paraId="36CA29DF"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29E0"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29E1" w14:textId="77777777" w:rsidR="00787570" w:rsidRDefault="000D56E2">
            <w:pPr>
              <w:jc w:val="right"/>
              <w:textAlignment w:val="bottom"/>
            </w:pPr>
            <w:r>
              <w:rPr>
                <w:rFonts w:ascii="Arial" w:eastAsia="宋体" w:hAnsi="Arial" w:cs="Arial"/>
                <w:color w:val="333333"/>
                <w:sz w:val="18"/>
                <w:szCs w:val="18"/>
              </w:rPr>
              <w:t>188 </w:t>
            </w:r>
          </w:p>
        </w:tc>
        <w:tc>
          <w:tcPr>
            <w:tcW w:w="0" w:type="auto"/>
            <w:shd w:val="clear" w:color="auto" w:fill="auto"/>
            <w:tcMar>
              <w:top w:w="40" w:type="dxa"/>
              <w:bottom w:w="40" w:type="dxa"/>
              <w:right w:w="20" w:type="dxa"/>
            </w:tcMar>
            <w:vAlign w:val="bottom"/>
          </w:tcPr>
          <w:p w14:paraId="36CA29E2" w14:textId="77777777" w:rsidR="00787570" w:rsidRDefault="00787570">
            <w:pPr>
              <w:jc w:val="right"/>
              <w:rPr>
                <w:rFonts w:ascii="宋体"/>
              </w:rPr>
            </w:pPr>
          </w:p>
        </w:tc>
        <w:tc>
          <w:tcPr>
            <w:tcW w:w="0" w:type="auto"/>
            <w:shd w:val="clear" w:color="auto" w:fill="auto"/>
          </w:tcPr>
          <w:p w14:paraId="36CA29E3" w14:textId="77777777" w:rsidR="00787570" w:rsidRDefault="00787570">
            <w:pPr>
              <w:rPr>
                <w:rFonts w:ascii="宋体"/>
              </w:rPr>
            </w:pPr>
          </w:p>
        </w:tc>
        <w:tc>
          <w:tcPr>
            <w:tcW w:w="0" w:type="auto"/>
            <w:shd w:val="clear" w:color="auto" w:fill="auto"/>
          </w:tcPr>
          <w:p w14:paraId="36CA29E4" w14:textId="77777777" w:rsidR="00787570" w:rsidRDefault="00787570">
            <w:pPr>
              <w:rPr>
                <w:rFonts w:ascii="宋体"/>
              </w:rPr>
            </w:pPr>
          </w:p>
        </w:tc>
        <w:tc>
          <w:tcPr>
            <w:tcW w:w="0" w:type="auto"/>
            <w:shd w:val="clear" w:color="auto" w:fill="auto"/>
          </w:tcPr>
          <w:p w14:paraId="36CA29E5" w14:textId="77777777" w:rsidR="00787570" w:rsidRDefault="00787570">
            <w:pPr>
              <w:rPr>
                <w:rFonts w:ascii="宋体"/>
              </w:rPr>
            </w:pPr>
          </w:p>
        </w:tc>
        <w:tc>
          <w:tcPr>
            <w:tcW w:w="0" w:type="auto"/>
            <w:shd w:val="clear" w:color="auto" w:fill="auto"/>
          </w:tcPr>
          <w:p w14:paraId="36CA29E6" w14:textId="77777777" w:rsidR="00787570" w:rsidRDefault="00787570">
            <w:pPr>
              <w:rPr>
                <w:rFonts w:ascii="宋体"/>
              </w:rPr>
            </w:pPr>
          </w:p>
        </w:tc>
        <w:tc>
          <w:tcPr>
            <w:tcW w:w="0" w:type="auto"/>
            <w:shd w:val="clear" w:color="auto" w:fill="auto"/>
          </w:tcPr>
          <w:p w14:paraId="36CA29E7" w14:textId="77777777" w:rsidR="00787570" w:rsidRDefault="00787570">
            <w:pPr>
              <w:rPr>
                <w:rFonts w:ascii="宋体"/>
              </w:rPr>
            </w:pPr>
          </w:p>
        </w:tc>
        <w:tc>
          <w:tcPr>
            <w:tcW w:w="0" w:type="auto"/>
            <w:shd w:val="clear" w:color="auto" w:fill="auto"/>
          </w:tcPr>
          <w:p w14:paraId="36CA29E8" w14:textId="77777777" w:rsidR="00787570" w:rsidRDefault="00787570">
            <w:pPr>
              <w:rPr>
                <w:rFonts w:ascii="宋体"/>
              </w:rPr>
            </w:pPr>
          </w:p>
        </w:tc>
        <w:tc>
          <w:tcPr>
            <w:tcW w:w="0" w:type="auto"/>
            <w:shd w:val="clear" w:color="auto" w:fill="auto"/>
          </w:tcPr>
          <w:p w14:paraId="36CA29E9" w14:textId="77777777" w:rsidR="00787570" w:rsidRDefault="00787570">
            <w:pPr>
              <w:rPr>
                <w:rFonts w:ascii="宋体"/>
              </w:rPr>
            </w:pPr>
          </w:p>
        </w:tc>
        <w:tc>
          <w:tcPr>
            <w:tcW w:w="0" w:type="auto"/>
            <w:shd w:val="clear" w:color="auto" w:fill="auto"/>
          </w:tcPr>
          <w:p w14:paraId="36CA29EA" w14:textId="77777777" w:rsidR="00787570" w:rsidRDefault="00787570">
            <w:pPr>
              <w:rPr>
                <w:rFonts w:ascii="宋体"/>
              </w:rPr>
            </w:pPr>
          </w:p>
        </w:tc>
        <w:tc>
          <w:tcPr>
            <w:tcW w:w="0" w:type="auto"/>
            <w:shd w:val="clear" w:color="auto" w:fill="auto"/>
          </w:tcPr>
          <w:p w14:paraId="36CA29EB" w14:textId="77777777" w:rsidR="00787570" w:rsidRDefault="00787570">
            <w:pPr>
              <w:rPr>
                <w:rFonts w:ascii="宋体"/>
              </w:rPr>
            </w:pPr>
          </w:p>
        </w:tc>
        <w:tc>
          <w:tcPr>
            <w:tcW w:w="0" w:type="auto"/>
            <w:shd w:val="clear" w:color="auto" w:fill="auto"/>
          </w:tcPr>
          <w:p w14:paraId="36CA29EC" w14:textId="77777777" w:rsidR="00787570" w:rsidRDefault="00787570">
            <w:pPr>
              <w:rPr>
                <w:rFonts w:ascii="宋体"/>
              </w:rPr>
            </w:pPr>
          </w:p>
        </w:tc>
        <w:tc>
          <w:tcPr>
            <w:tcW w:w="0" w:type="auto"/>
            <w:shd w:val="clear" w:color="auto" w:fill="auto"/>
          </w:tcPr>
          <w:p w14:paraId="36CA29ED" w14:textId="77777777" w:rsidR="00787570" w:rsidRDefault="00787570">
            <w:pPr>
              <w:rPr>
                <w:rFonts w:ascii="宋体"/>
              </w:rPr>
            </w:pPr>
          </w:p>
        </w:tc>
        <w:tc>
          <w:tcPr>
            <w:tcW w:w="0" w:type="auto"/>
            <w:shd w:val="clear" w:color="auto" w:fill="auto"/>
          </w:tcPr>
          <w:p w14:paraId="36CA29EE" w14:textId="77777777" w:rsidR="00787570" w:rsidRDefault="00787570">
            <w:pPr>
              <w:rPr>
                <w:rFonts w:ascii="宋体"/>
              </w:rPr>
            </w:pPr>
          </w:p>
        </w:tc>
      </w:tr>
      <w:tr w:rsidR="00787570" w14:paraId="36CA2A09" w14:textId="77777777">
        <w:tc>
          <w:tcPr>
            <w:tcW w:w="0" w:type="auto"/>
            <w:gridSpan w:val="3"/>
            <w:shd w:val="clear" w:color="auto" w:fill="auto"/>
            <w:tcMar>
              <w:left w:w="20" w:type="dxa"/>
              <w:right w:w="20" w:type="dxa"/>
            </w:tcMar>
            <w:vAlign w:val="bottom"/>
          </w:tcPr>
          <w:p w14:paraId="36CA29F0"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29F1" w14:textId="77777777" w:rsidR="00787570" w:rsidRDefault="00787570">
            <w:pPr>
              <w:rPr>
                <w:rFonts w:ascii="宋体"/>
              </w:rPr>
            </w:pPr>
          </w:p>
        </w:tc>
        <w:tc>
          <w:tcPr>
            <w:tcW w:w="0" w:type="auto"/>
            <w:gridSpan w:val="2"/>
            <w:tcBorders>
              <w:top w:val="single" w:sz="8" w:space="0" w:color="333333"/>
            </w:tcBorders>
            <w:shd w:val="clear" w:color="auto" w:fill="auto"/>
            <w:tcMar>
              <w:top w:w="40" w:type="dxa"/>
              <w:left w:w="20" w:type="dxa"/>
              <w:bottom w:w="40" w:type="dxa"/>
              <w:right w:w="0" w:type="dxa"/>
            </w:tcMar>
            <w:vAlign w:val="bottom"/>
          </w:tcPr>
          <w:p w14:paraId="36CA29F2" w14:textId="77777777" w:rsidR="00787570" w:rsidRDefault="000D56E2">
            <w:pPr>
              <w:jc w:val="right"/>
              <w:textAlignment w:val="bottom"/>
            </w:pPr>
            <w:r>
              <w:rPr>
                <w:rFonts w:ascii="Arial" w:eastAsia="宋体" w:hAnsi="Arial" w:cs="Arial"/>
                <w:b/>
                <w:bCs/>
                <w:color w:val="0071C5"/>
                <w:sz w:val="18"/>
                <w:szCs w:val="18"/>
              </w:rPr>
              <w:t>108</w:t>
            </w:r>
            <w:r>
              <w:rPr>
                <w:rFonts w:ascii="Arial" w:eastAsia="宋体" w:hAnsi="Arial" w:cs="Arial"/>
                <w:color w:val="0071C5"/>
                <w:sz w:val="18"/>
                <w:szCs w:val="18"/>
              </w:rPr>
              <w:t> </w:t>
            </w:r>
          </w:p>
        </w:tc>
        <w:tc>
          <w:tcPr>
            <w:tcW w:w="0" w:type="auto"/>
            <w:tcBorders>
              <w:top w:val="single" w:sz="8" w:space="0" w:color="333333"/>
            </w:tcBorders>
            <w:shd w:val="clear" w:color="auto" w:fill="auto"/>
            <w:tcMar>
              <w:top w:w="40" w:type="dxa"/>
              <w:bottom w:w="40" w:type="dxa"/>
              <w:right w:w="20" w:type="dxa"/>
            </w:tcMar>
            <w:vAlign w:val="bottom"/>
          </w:tcPr>
          <w:p w14:paraId="36CA29F3"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29F4" w14:textId="77777777" w:rsidR="00787570" w:rsidRDefault="00787570">
            <w:pPr>
              <w:rPr>
                <w:rFonts w:ascii="宋体"/>
              </w:rPr>
            </w:pPr>
          </w:p>
        </w:tc>
        <w:tc>
          <w:tcPr>
            <w:tcW w:w="0" w:type="auto"/>
            <w:gridSpan w:val="2"/>
            <w:tcBorders>
              <w:top w:val="single" w:sz="8" w:space="0" w:color="333333"/>
            </w:tcBorders>
            <w:shd w:val="clear" w:color="auto" w:fill="auto"/>
            <w:tcMar>
              <w:top w:w="40" w:type="dxa"/>
              <w:left w:w="20" w:type="dxa"/>
              <w:bottom w:w="40" w:type="dxa"/>
              <w:right w:w="0" w:type="dxa"/>
            </w:tcMar>
            <w:vAlign w:val="bottom"/>
          </w:tcPr>
          <w:p w14:paraId="36CA29F5" w14:textId="77777777" w:rsidR="00787570" w:rsidRDefault="000D56E2">
            <w:pPr>
              <w:jc w:val="right"/>
              <w:textAlignment w:val="bottom"/>
            </w:pPr>
            <w:r>
              <w:rPr>
                <w:rFonts w:ascii="Arial" w:eastAsia="宋体" w:hAnsi="Arial" w:cs="Arial"/>
                <w:b/>
                <w:bCs/>
                <w:color w:val="333333"/>
                <w:sz w:val="18"/>
                <w:szCs w:val="18"/>
              </w:rPr>
              <w:t>376</w:t>
            </w:r>
            <w:r>
              <w:rPr>
                <w:rFonts w:ascii="Arial" w:eastAsia="宋体" w:hAnsi="Arial" w:cs="Arial"/>
                <w:color w:val="333333"/>
                <w:sz w:val="18"/>
                <w:szCs w:val="18"/>
              </w:rPr>
              <w:t> </w:t>
            </w:r>
          </w:p>
        </w:tc>
        <w:tc>
          <w:tcPr>
            <w:tcW w:w="0" w:type="auto"/>
            <w:tcBorders>
              <w:top w:val="single" w:sz="8" w:space="0" w:color="333333"/>
            </w:tcBorders>
            <w:shd w:val="clear" w:color="auto" w:fill="auto"/>
            <w:tcMar>
              <w:top w:w="40" w:type="dxa"/>
              <w:bottom w:w="40" w:type="dxa"/>
              <w:right w:w="20" w:type="dxa"/>
            </w:tcMar>
            <w:vAlign w:val="bottom"/>
          </w:tcPr>
          <w:p w14:paraId="36CA29F6"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29F7" w14:textId="77777777" w:rsidR="00787570" w:rsidRDefault="00787570">
            <w:pPr>
              <w:rPr>
                <w:rFonts w:ascii="宋体"/>
              </w:rPr>
            </w:pPr>
          </w:p>
        </w:tc>
        <w:tc>
          <w:tcPr>
            <w:tcW w:w="0" w:type="auto"/>
            <w:gridSpan w:val="2"/>
            <w:tcBorders>
              <w:top w:val="single" w:sz="8" w:space="0" w:color="333333"/>
            </w:tcBorders>
            <w:shd w:val="clear" w:color="auto" w:fill="auto"/>
            <w:tcMar>
              <w:top w:w="40" w:type="dxa"/>
              <w:left w:w="20" w:type="dxa"/>
              <w:bottom w:w="40" w:type="dxa"/>
              <w:right w:w="0" w:type="dxa"/>
            </w:tcMar>
            <w:vAlign w:val="bottom"/>
          </w:tcPr>
          <w:p w14:paraId="36CA29F8" w14:textId="77777777" w:rsidR="00787570" w:rsidRDefault="000D56E2">
            <w:pPr>
              <w:jc w:val="right"/>
              <w:textAlignment w:val="bottom"/>
            </w:pPr>
            <w:r>
              <w:rPr>
                <w:rFonts w:ascii="Arial" w:eastAsia="宋体" w:hAnsi="Arial" w:cs="Arial"/>
                <w:b/>
                <w:bCs/>
                <w:color w:val="0071C5"/>
                <w:sz w:val="18"/>
                <w:szCs w:val="18"/>
              </w:rPr>
              <w:t>505</w:t>
            </w:r>
            <w:r>
              <w:rPr>
                <w:rFonts w:ascii="Arial" w:eastAsia="宋体" w:hAnsi="Arial" w:cs="Arial"/>
                <w:color w:val="0071C5"/>
                <w:sz w:val="18"/>
                <w:szCs w:val="18"/>
              </w:rPr>
              <w:t> </w:t>
            </w:r>
          </w:p>
        </w:tc>
        <w:tc>
          <w:tcPr>
            <w:tcW w:w="0" w:type="auto"/>
            <w:tcBorders>
              <w:top w:val="single" w:sz="8" w:space="0" w:color="333333"/>
            </w:tcBorders>
            <w:shd w:val="clear" w:color="auto" w:fill="auto"/>
            <w:tcMar>
              <w:top w:w="40" w:type="dxa"/>
              <w:bottom w:w="40" w:type="dxa"/>
              <w:right w:w="20" w:type="dxa"/>
            </w:tcMar>
            <w:vAlign w:val="bottom"/>
          </w:tcPr>
          <w:p w14:paraId="36CA29F9"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29FA" w14:textId="77777777" w:rsidR="00787570" w:rsidRDefault="00787570">
            <w:pPr>
              <w:rPr>
                <w:rFonts w:ascii="宋体"/>
              </w:rPr>
            </w:pPr>
          </w:p>
        </w:tc>
        <w:tc>
          <w:tcPr>
            <w:tcW w:w="0" w:type="auto"/>
            <w:gridSpan w:val="2"/>
            <w:tcBorders>
              <w:top w:val="single" w:sz="8" w:space="0" w:color="333333"/>
            </w:tcBorders>
            <w:shd w:val="clear" w:color="auto" w:fill="auto"/>
            <w:tcMar>
              <w:top w:w="40" w:type="dxa"/>
              <w:left w:w="20" w:type="dxa"/>
              <w:bottom w:w="40" w:type="dxa"/>
              <w:right w:w="0" w:type="dxa"/>
            </w:tcMar>
            <w:vAlign w:val="bottom"/>
          </w:tcPr>
          <w:p w14:paraId="36CA29FB" w14:textId="77777777" w:rsidR="00787570" w:rsidRDefault="000D56E2">
            <w:pPr>
              <w:jc w:val="right"/>
              <w:textAlignment w:val="bottom"/>
            </w:pPr>
            <w:r>
              <w:rPr>
                <w:rFonts w:ascii="Arial" w:eastAsia="宋体" w:hAnsi="Arial" w:cs="Arial"/>
                <w:b/>
                <w:bCs/>
                <w:color w:val="333333"/>
                <w:sz w:val="18"/>
                <w:szCs w:val="18"/>
              </w:rPr>
              <w:t>1,042</w:t>
            </w:r>
            <w:r>
              <w:rPr>
                <w:rFonts w:ascii="Arial" w:eastAsia="宋体" w:hAnsi="Arial" w:cs="Arial"/>
                <w:color w:val="333333"/>
                <w:sz w:val="18"/>
                <w:szCs w:val="18"/>
              </w:rPr>
              <w:t> </w:t>
            </w:r>
          </w:p>
        </w:tc>
        <w:tc>
          <w:tcPr>
            <w:tcW w:w="0" w:type="auto"/>
            <w:tcBorders>
              <w:top w:val="single" w:sz="8" w:space="0" w:color="333333"/>
            </w:tcBorders>
            <w:shd w:val="clear" w:color="auto" w:fill="auto"/>
            <w:tcMar>
              <w:top w:w="40" w:type="dxa"/>
              <w:bottom w:w="40" w:type="dxa"/>
              <w:right w:w="20" w:type="dxa"/>
            </w:tcMar>
            <w:vAlign w:val="bottom"/>
          </w:tcPr>
          <w:p w14:paraId="36CA29FC" w14:textId="77777777" w:rsidR="00787570" w:rsidRDefault="00787570">
            <w:pPr>
              <w:jc w:val="right"/>
              <w:rPr>
                <w:rFonts w:ascii="宋体"/>
              </w:rPr>
            </w:pPr>
          </w:p>
        </w:tc>
        <w:tc>
          <w:tcPr>
            <w:tcW w:w="0" w:type="auto"/>
            <w:shd w:val="clear" w:color="auto" w:fill="auto"/>
          </w:tcPr>
          <w:p w14:paraId="36CA29FD" w14:textId="77777777" w:rsidR="00787570" w:rsidRDefault="00787570">
            <w:pPr>
              <w:rPr>
                <w:rFonts w:ascii="宋体"/>
              </w:rPr>
            </w:pPr>
          </w:p>
        </w:tc>
        <w:tc>
          <w:tcPr>
            <w:tcW w:w="0" w:type="auto"/>
            <w:shd w:val="clear" w:color="auto" w:fill="auto"/>
          </w:tcPr>
          <w:p w14:paraId="36CA29FE" w14:textId="77777777" w:rsidR="00787570" w:rsidRDefault="00787570">
            <w:pPr>
              <w:rPr>
                <w:rFonts w:ascii="宋体"/>
              </w:rPr>
            </w:pPr>
          </w:p>
        </w:tc>
        <w:tc>
          <w:tcPr>
            <w:tcW w:w="0" w:type="auto"/>
            <w:shd w:val="clear" w:color="auto" w:fill="auto"/>
          </w:tcPr>
          <w:p w14:paraId="36CA29FF" w14:textId="77777777" w:rsidR="00787570" w:rsidRDefault="00787570">
            <w:pPr>
              <w:rPr>
                <w:rFonts w:ascii="宋体"/>
              </w:rPr>
            </w:pPr>
          </w:p>
        </w:tc>
        <w:tc>
          <w:tcPr>
            <w:tcW w:w="0" w:type="auto"/>
            <w:shd w:val="clear" w:color="auto" w:fill="auto"/>
          </w:tcPr>
          <w:p w14:paraId="36CA2A00" w14:textId="77777777" w:rsidR="00787570" w:rsidRDefault="00787570">
            <w:pPr>
              <w:rPr>
                <w:rFonts w:ascii="宋体"/>
              </w:rPr>
            </w:pPr>
          </w:p>
        </w:tc>
        <w:tc>
          <w:tcPr>
            <w:tcW w:w="0" w:type="auto"/>
            <w:shd w:val="clear" w:color="auto" w:fill="auto"/>
          </w:tcPr>
          <w:p w14:paraId="36CA2A01" w14:textId="77777777" w:rsidR="00787570" w:rsidRDefault="00787570">
            <w:pPr>
              <w:rPr>
                <w:rFonts w:ascii="宋体"/>
              </w:rPr>
            </w:pPr>
          </w:p>
        </w:tc>
        <w:tc>
          <w:tcPr>
            <w:tcW w:w="0" w:type="auto"/>
            <w:shd w:val="clear" w:color="auto" w:fill="auto"/>
          </w:tcPr>
          <w:p w14:paraId="36CA2A02" w14:textId="77777777" w:rsidR="00787570" w:rsidRDefault="00787570">
            <w:pPr>
              <w:rPr>
                <w:rFonts w:ascii="宋体"/>
              </w:rPr>
            </w:pPr>
          </w:p>
        </w:tc>
        <w:tc>
          <w:tcPr>
            <w:tcW w:w="0" w:type="auto"/>
            <w:shd w:val="clear" w:color="auto" w:fill="auto"/>
          </w:tcPr>
          <w:p w14:paraId="36CA2A03" w14:textId="77777777" w:rsidR="00787570" w:rsidRDefault="00787570">
            <w:pPr>
              <w:rPr>
                <w:rFonts w:ascii="宋体"/>
              </w:rPr>
            </w:pPr>
          </w:p>
        </w:tc>
        <w:tc>
          <w:tcPr>
            <w:tcW w:w="0" w:type="auto"/>
            <w:shd w:val="clear" w:color="auto" w:fill="auto"/>
          </w:tcPr>
          <w:p w14:paraId="36CA2A04" w14:textId="77777777" w:rsidR="00787570" w:rsidRDefault="00787570">
            <w:pPr>
              <w:rPr>
                <w:rFonts w:ascii="宋体"/>
              </w:rPr>
            </w:pPr>
          </w:p>
        </w:tc>
        <w:tc>
          <w:tcPr>
            <w:tcW w:w="0" w:type="auto"/>
            <w:shd w:val="clear" w:color="auto" w:fill="auto"/>
          </w:tcPr>
          <w:p w14:paraId="36CA2A05" w14:textId="77777777" w:rsidR="00787570" w:rsidRDefault="00787570">
            <w:pPr>
              <w:rPr>
                <w:rFonts w:ascii="宋体"/>
              </w:rPr>
            </w:pPr>
          </w:p>
        </w:tc>
        <w:tc>
          <w:tcPr>
            <w:tcW w:w="0" w:type="auto"/>
            <w:shd w:val="clear" w:color="auto" w:fill="auto"/>
          </w:tcPr>
          <w:p w14:paraId="36CA2A06" w14:textId="77777777" w:rsidR="00787570" w:rsidRDefault="00787570">
            <w:pPr>
              <w:rPr>
                <w:rFonts w:ascii="宋体"/>
              </w:rPr>
            </w:pPr>
          </w:p>
        </w:tc>
        <w:tc>
          <w:tcPr>
            <w:tcW w:w="0" w:type="auto"/>
            <w:shd w:val="clear" w:color="auto" w:fill="auto"/>
          </w:tcPr>
          <w:p w14:paraId="36CA2A07" w14:textId="77777777" w:rsidR="00787570" w:rsidRDefault="00787570">
            <w:pPr>
              <w:rPr>
                <w:rFonts w:ascii="宋体"/>
              </w:rPr>
            </w:pPr>
          </w:p>
        </w:tc>
        <w:tc>
          <w:tcPr>
            <w:tcW w:w="0" w:type="auto"/>
            <w:shd w:val="clear" w:color="auto" w:fill="auto"/>
          </w:tcPr>
          <w:p w14:paraId="36CA2A08" w14:textId="77777777" w:rsidR="00787570" w:rsidRDefault="00787570">
            <w:pPr>
              <w:rPr>
                <w:rFonts w:ascii="宋体"/>
              </w:rPr>
            </w:pPr>
          </w:p>
        </w:tc>
      </w:tr>
      <w:tr w:rsidR="00787570" w14:paraId="36CA2A1F" w14:textId="77777777">
        <w:trPr>
          <w:trHeight w:val="280"/>
        </w:trPr>
        <w:tc>
          <w:tcPr>
            <w:tcW w:w="0" w:type="auto"/>
            <w:gridSpan w:val="3"/>
            <w:shd w:val="clear" w:color="auto" w:fill="auto"/>
            <w:tcMar>
              <w:left w:w="20" w:type="dxa"/>
              <w:right w:w="20" w:type="dxa"/>
            </w:tcMar>
            <w:vAlign w:val="bottom"/>
          </w:tcPr>
          <w:p w14:paraId="36CA2A0A"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2A0B"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2A0C"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2A0D"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2A0E"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2A0F"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2A10"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2A11"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2A12" w14:textId="77777777" w:rsidR="00787570" w:rsidRDefault="00787570">
            <w:pPr>
              <w:rPr>
                <w:rFonts w:ascii="宋体"/>
              </w:rPr>
            </w:pPr>
          </w:p>
        </w:tc>
        <w:tc>
          <w:tcPr>
            <w:tcW w:w="0" w:type="auto"/>
            <w:shd w:val="clear" w:color="auto" w:fill="auto"/>
          </w:tcPr>
          <w:p w14:paraId="36CA2A13" w14:textId="77777777" w:rsidR="00787570" w:rsidRDefault="00787570">
            <w:pPr>
              <w:rPr>
                <w:rFonts w:ascii="宋体"/>
              </w:rPr>
            </w:pPr>
          </w:p>
        </w:tc>
        <w:tc>
          <w:tcPr>
            <w:tcW w:w="0" w:type="auto"/>
            <w:shd w:val="clear" w:color="auto" w:fill="auto"/>
          </w:tcPr>
          <w:p w14:paraId="36CA2A14" w14:textId="77777777" w:rsidR="00787570" w:rsidRDefault="00787570">
            <w:pPr>
              <w:rPr>
                <w:rFonts w:ascii="宋体"/>
              </w:rPr>
            </w:pPr>
          </w:p>
        </w:tc>
        <w:tc>
          <w:tcPr>
            <w:tcW w:w="0" w:type="auto"/>
            <w:shd w:val="clear" w:color="auto" w:fill="auto"/>
          </w:tcPr>
          <w:p w14:paraId="36CA2A15" w14:textId="77777777" w:rsidR="00787570" w:rsidRDefault="00787570">
            <w:pPr>
              <w:rPr>
                <w:rFonts w:ascii="宋体"/>
              </w:rPr>
            </w:pPr>
          </w:p>
        </w:tc>
        <w:tc>
          <w:tcPr>
            <w:tcW w:w="0" w:type="auto"/>
            <w:shd w:val="clear" w:color="auto" w:fill="auto"/>
          </w:tcPr>
          <w:p w14:paraId="36CA2A16" w14:textId="77777777" w:rsidR="00787570" w:rsidRDefault="00787570">
            <w:pPr>
              <w:rPr>
                <w:rFonts w:ascii="宋体"/>
              </w:rPr>
            </w:pPr>
          </w:p>
        </w:tc>
        <w:tc>
          <w:tcPr>
            <w:tcW w:w="0" w:type="auto"/>
            <w:shd w:val="clear" w:color="auto" w:fill="auto"/>
          </w:tcPr>
          <w:p w14:paraId="36CA2A17" w14:textId="77777777" w:rsidR="00787570" w:rsidRDefault="00787570">
            <w:pPr>
              <w:rPr>
                <w:rFonts w:ascii="宋体"/>
              </w:rPr>
            </w:pPr>
          </w:p>
        </w:tc>
        <w:tc>
          <w:tcPr>
            <w:tcW w:w="0" w:type="auto"/>
            <w:shd w:val="clear" w:color="auto" w:fill="auto"/>
          </w:tcPr>
          <w:p w14:paraId="36CA2A18" w14:textId="77777777" w:rsidR="00787570" w:rsidRDefault="00787570">
            <w:pPr>
              <w:rPr>
                <w:rFonts w:ascii="宋体"/>
              </w:rPr>
            </w:pPr>
          </w:p>
        </w:tc>
        <w:tc>
          <w:tcPr>
            <w:tcW w:w="0" w:type="auto"/>
            <w:shd w:val="clear" w:color="auto" w:fill="auto"/>
          </w:tcPr>
          <w:p w14:paraId="36CA2A19" w14:textId="77777777" w:rsidR="00787570" w:rsidRDefault="00787570">
            <w:pPr>
              <w:rPr>
                <w:rFonts w:ascii="宋体"/>
              </w:rPr>
            </w:pPr>
          </w:p>
        </w:tc>
        <w:tc>
          <w:tcPr>
            <w:tcW w:w="0" w:type="auto"/>
            <w:shd w:val="clear" w:color="auto" w:fill="auto"/>
          </w:tcPr>
          <w:p w14:paraId="36CA2A1A" w14:textId="77777777" w:rsidR="00787570" w:rsidRDefault="00787570">
            <w:pPr>
              <w:rPr>
                <w:rFonts w:ascii="宋体"/>
              </w:rPr>
            </w:pPr>
          </w:p>
        </w:tc>
        <w:tc>
          <w:tcPr>
            <w:tcW w:w="0" w:type="auto"/>
            <w:shd w:val="clear" w:color="auto" w:fill="auto"/>
          </w:tcPr>
          <w:p w14:paraId="36CA2A1B" w14:textId="77777777" w:rsidR="00787570" w:rsidRDefault="00787570">
            <w:pPr>
              <w:rPr>
                <w:rFonts w:ascii="宋体"/>
              </w:rPr>
            </w:pPr>
          </w:p>
        </w:tc>
        <w:tc>
          <w:tcPr>
            <w:tcW w:w="0" w:type="auto"/>
            <w:shd w:val="clear" w:color="auto" w:fill="auto"/>
          </w:tcPr>
          <w:p w14:paraId="36CA2A1C" w14:textId="77777777" w:rsidR="00787570" w:rsidRDefault="00787570">
            <w:pPr>
              <w:rPr>
                <w:rFonts w:ascii="宋体"/>
              </w:rPr>
            </w:pPr>
          </w:p>
        </w:tc>
        <w:tc>
          <w:tcPr>
            <w:tcW w:w="0" w:type="auto"/>
            <w:shd w:val="clear" w:color="auto" w:fill="auto"/>
          </w:tcPr>
          <w:p w14:paraId="36CA2A1D" w14:textId="77777777" w:rsidR="00787570" w:rsidRDefault="00787570">
            <w:pPr>
              <w:rPr>
                <w:rFonts w:ascii="宋体"/>
              </w:rPr>
            </w:pPr>
          </w:p>
        </w:tc>
        <w:tc>
          <w:tcPr>
            <w:tcW w:w="0" w:type="auto"/>
            <w:shd w:val="clear" w:color="auto" w:fill="auto"/>
          </w:tcPr>
          <w:p w14:paraId="36CA2A1E" w14:textId="77777777" w:rsidR="00787570" w:rsidRDefault="00787570">
            <w:pPr>
              <w:rPr>
                <w:rFonts w:ascii="宋体"/>
              </w:rPr>
            </w:pPr>
          </w:p>
        </w:tc>
      </w:tr>
      <w:tr w:rsidR="00787570" w14:paraId="36CA2A39" w14:textId="77777777">
        <w:tc>
          <w:tcPr>
            <w:tcW w:w="0" w:type="auto"/>
            <w:gridSpan w:val="3"/>
            <w:shd w:val="clear" w:color="auto" w:fill="auto"/>
            <w:tcMar>
              <w:top w:w="40" w:type="dxa"/>
              <w:left w:w="120" w:type="dxa"/>
              <w:bottom w:w="40" w:type="dxa"/>
              <w:right w:w="20" w:type="dxa"/>
            </w:tcMar>
            <w:vAlign w:val="bottom"/>
          </w:tcPr>
          <w:p w14:paraId="36CA2A20" w14:textId="77777777" w:rsidR="00787570" w:rsidRDefault="000D56E2">
            <w:pPr>
              <w:textAlignment w:val="bottom"/>
            </w:pPr>
            <w:r>
              <w:rPr>
                <w:rFonts w:ascii="Arial" w:eastAsia="宋体" w:hAnsi="Arial" w:cs="Arial"/>
                <w:b/>
                <w:bCs/>
                <w:color w:val="333333"/>
                <w:sz w:val="18"/>
                <w:szCs w:val="18"/>
              </w:rPr>
              <w:t>Non-Volatile Memory Solutions Group</w:t>
            </w:r>
          </w:p>
        </w:tc>
        <w:tc>
          <w:tcPr>
            <w:tcW w:w="0" w:type="auto"/>
            <w:gridSpan w:val="3"/>
            <w:shd w:val="clear" w:color="auto" w:fill="auto"/>
            <w:tcMar>
              <w:left w:w="20" w:type="dxa"/>
              <w:right w:w="20" w:type="dxa"/>
            </w:tcMar>
            <w:vAlign w:val="bottom"/>
          </w:tcPr>
          <w:p w14:paraId="36CA2A21"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2A22" w14:textId="77777777" w:rsidR="00787570" w:rsidRDefault="000D56E2">
            <w:pPr>
              <w:jc w:val="right"/>
              <w:textAlignment w:val="bottom"/>
            </w:pPr>
            <w:r>
              <w:rPr>
                <w:rFonts w:ascii="Arial" w:eastAsia="宋体" w:hAnsi="Arial" w:cs="Arial"/>
                <w:b/>
                <w:bCs/>
                <w:color w:val="0071C5"/>
                <w:sz w:val="18"/>
                <w:szCs w:val="18"/>
              </w:rPr>
              <w:t>29</w:t>
            </w:r>
            <w:r>
              <w:rPr>
                <w:rFonts w:ascii="Arial" w:eastAsia="宋体" w:hAnsi="Arial" w:cs="Arial"/>
                <w:color w:val="0071C5"/>
                <w:sz w:val="18"/>
                <w:szCs w:val="18"/>
              </w:rPr>
              <w:t> </w:t>
            </w:r>
          </w:p>
        </w:tc>
        <w:tc>
          <w:tcPr>
            <w:tcW w:w="0" w:type="auto"/>
            <w:shd w:val="clear" w:color="auto" w:fill="auto"/>
            <w:tcMar>
              <w:top w:w="40" w:type="dxa"/>
              <w:bottom w:w="40" w:type="dxa"/>
              <w:right w:w="20" w:type="dxa"/>
            </w:tcMar>
            <w:vAlign w:val="bottom"/>
          </w:tcPr>
          <w:p w14:paraId="36CA2A23"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2A24"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2A25" w14:textId="77777777" w:rsidR="00787570" w:rsidRDefault="000D56E2">
            <w:pPr>
              <w:jc w:val="right"/>
              <w:textAlignment w:val="bottom"/>
            </w:pPr>
            <w:r>
              <w:rPr>
                <w:rFonts w:ascii="Arial" w:eastAsia="宋体" w:hAnsi="Arial" w:cs="Arial"/>
                <w:b/>
                <w:bCs/>
                <w:color w:val="333333"/>
                <w:sz w:val="18"/>
                <w:szCs w:val="18"/>
              </w:rPr>
              <w:t>(499)</w:t>
            </w:r>
          </w:p>
        </w:tc>
        <w:tc>
          <w:tcPr>
            <w:tcW w:w="0" w:type="auto"/>
            <w:shd w:val="clear" w:color="auto" w:fill="auto"/>
            <w:tcMar>
              <w:top w:w="40" w:type="dxa"/>
              <w:bottom w:w="40" w:type="dxa"/>
              <w:right w:w="20" w:type="dxa"/>
            </w:tcMar>
            <w:vAlign w:val="bottom"/>
          </w:tcPr>
          <w:p w14:paraId="36CA2A26"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2A27"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2A28" w14:textId="77777777" w:rsidR="00787570" w:rsidRDefault="000D56E2">
            <w:pPr>
              <w:jc w:val="right"/>
              <w:textAlignment w:val="bottom"/>
            </w:pPr>
            <w:r>
              <w:rPr>
                <w:rFonts w:ascii="Arial" w:eastAsia="宋体" w:hAnsi="Arial" w:cs="Arial"/>
                <w:b/>
                <w:bCs/>
                <w:color w:val="0071C5"/>
                <w:sz w:val="18"/>
                <w:szCs w:val="18"/>
              </w:rPr>
              <w:t>285</w:t>
            </w:r>
            <w:r>
              <w:rPr>
                <w:rFonts w:ascii="Arial" w:eastAsia="宋体" w:hAnsi="Arial" w:cs="Arial"/>
                <w:color w:val="0071C5"/>
                <w:sz w:val="18"/>
                <w:szCs w:val="18"/>
              </w:rPr>
              <w:t> </w:t>
            </w:r>
          </w:p>
        </w:tc>
        <w:tc>
          <w:tcPr>
            <w:tcW w:w="0" w:type="auto"/>
            <w:shd w:val="clear" w:color="auto" w:fill="auto"/>
            <w:tcMar>
              <w:top w:w="40" w:type="dxa"/>
              <w:bottom w:w="40" w:type="dxa"/>
              <w:right w:w="20" w:type="dxa"/>
            </w:tcMar>
            <w:vAlign w:val="bottom"/>
          </w:tcPr>
          <w:p w14:paraId="36CA2A29"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2A2A"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2A2B" w14:textId="77777777" w:rsidR="00787570" w:rsidRDefault="000D56E2">
            <w:pPr>
              <w:jc w:val="right"/>
              <w:textAlignment w:val="bottom"/>
            </w:pPr>
            <w:r>
              <w:rPr>
                <w:rFonts w:ascii="Arial" w:eastAsia="宋体" w:hAnsi="Arial" w:cs="Arial"/>
                <w:b/>
                <w:bCs/>
                <w:color w:val="333333"/>
                <w:sz w:val="18"/>
                <w:szCs w:val="18"/>
              </w:rPr>
              <w:t>(1,080)</w:t>
            </w:r>
          </w:p>
        </w:tc>
        <w:tc>
          <w:tcPr>
            <w:tcW w:w="0" w:type="auto"/>
            <w:shd w:val="clear" w:color="auto" w:fill="auto"/>
            <w:tcMar>
              <w:top w:w="40" w:type="dxa"/>
              <w:bottom w:w="40" w:type="dxa"/>
              <w:right w:w="20" w:type="dxa"/>
            </w:tcMar>
            <w:vAlign w:val="bottom"/>
          </w:tcPr>
          <w:p w14:paraId="36CA2A2C" w14:textId="77777777" w:rsidR="00787570" w:rsidRDefault="00787570">
            <w:pPr>
              <w:jc w:val="right"/>
              <w:rPr>
                <w:rFonts w:ascii="宋体"/>
              </w:rPr>
            </w:pPr>
          </w:p>
        </w:tc>
        <w:tc>
          <w:tcPr>
            <w:tcW w:w="0" w:type="auto"/>
            <w:shd w:val="clear" w:color="auto" w:fill="auto"/>
          </w:tcPr>
          <w:p w14:paraId="36CA2A2D" w14:textId="77777777" w:rsidR="00787570" w:rsidRDefault="00787570">
            <w:pPr>
              <w:rPr>
                <w:rFonts w:ascii="宋体"/>
              </w:rPr>
            </w:pPr>
          </w:p>
        </w:tc>
        <w:tc>
          <w:tcPr>
            <w:tcW w:w="0" w:type="auto"/>
            <w:shd w:val="clear" w:color="auto" w:fill="auto"/>
          </w:tcPr>
          <w:p w14:paraId="36CA2A2E" w14:textId="77777777" w:rsidR="00787570" w:rsidRDefault="00787570">
            <w:pPr>
              <w:rPr>
                <w:rFonts w:ascii="宋体"/>
              </w:rPr>
            </w:pPr>
          </w:p>
        </w:tc>
        <w:tc>
          <w:tcPr>
            <w:tcW w:w="0" w:type="auto"/>
            <w:shd w:val="clear" w:color="auto" w:fill="auto"/>
          </w:tcPr>
          <w:p w14:paraId="36CA2A2F" w14:textId="77777777" w:rsidR="00787570" w:rsidRDefault="00787570">
            <w:pPr>
              <w:rPr>
                <w:rFonts w:ascii="宋体"/>
              </w:rPr>
            </w:pPr>
          </w:p>
        </w:tc>
        <w:tc>
          <w:tcPr>
            <w:tcW w:w="0" w:type="auto"/>
            <w:shd w:val="clear" w:color="auto" w:fill="auto"/>
          </w:tcPr>
          <w:p w14:paraId="36CA2A30" w14:textId="77777777" w:rsidR="00787570" w:rsidRDefault="00787570">
            <w:pPr>
              <w:rPr>
                <w:rFonts w:ascii="宋体"/>
              </w:rPr>
            </w:pPr>
          </w:p>
        </w:tc>
        <w:tc>
          <w:tcPr>
            <w:tcW w:w="0" w:type="auto"/>
            <w:shd w:val="clear" w:color="auto" w:fill="auto"/>
          </w:tcPr>
          <w:p w14:paraId="36CA2A31" w14:textId="77777777" w:rsidR="00787570" w:rsidRDefault="00787570">
            <w:pPr>
              <w:rPr>
                <w:rFonts w:ascii="宋体"/>
              </w:rPr>
            </w:pPr>
          </w:p>
        </w:tc>
        <w:tc>
          <w:tcPr>
            <w:tcW w:w="0" w:type="auto"/>
            <w:shd w:val="clear" w:color="auto" w:fill="auto"/>
          </w:tcPr>
          <w:p w14:paraId="36CA2A32" w14:textId="77777777" w:rsidR="00787570" w:rsidRDefault="00787570">
            <w:pPr>
              <w:rPr>
                <w:rFonts w:ascii="宋体"/>
              </w:rPr>
            </w:pPr>
          </w:p>
        </w:tc>
        <w:tc>
          <w:tcPr>
            <w:tcW w:w="0" w:type="auto"/>
            <w:shd w:val="clear" w:color="auto" w:fill="auto"/>
          </w:tcPr>
          <w:p w14:paraId="36CA2A33" w14:textId="77777777" w:rsidR="00787570" w:rsidRDefault="00787570">
            <w:pPr>
              <w:rPr>
                <w:rFonts w:ascii="宋体"/>
              </w:rPr>
            </w:pPr>
          </w:p>
        </w:tc>
        <w:tc>
          <w:tcPr>
            <w:tcW w:w="0" w:type="auto"/>
            <w:shd w:val="clear" w:color="auto" w:fill="auto"/>
          </w:tcPr>
          <w:p w14:paraId="36CA2A34" w14:textId="77777777" w:rsidR="00787570" w:rsidRDefault="00787570">
            <w:pPr>
              <w:rPr>
                <w:rFonts w:ascii="宋体"/>
              </w:rPr>
            </w:pPr>
          </w:p>
        </w:tc>
        <w:tc>
          <w:tcPr>
            <w:tcW w:w="0" w:type="auto"/>
            <w:shd w:val="clear" w:color="auto" w:fill="auto"/>
          </w:tcPr>
          <w:p w14:paraId="36CA2A35" w14:textId="77777777" w:rsidR="00787570" w:rsidRDefault="00787570">
            <w:pPr>
              <w:rPr>
                <w:rFonts w:ascii="宋体"/>
              </w:rPr>
            </w:pPr>
          </w:p>
        </w:tc>
        <w:tc>
          <w:tcPr>
            <w:tcW w:w="0" w:type="auto"/>
            <w:shd w:val="clear" w:color="auto" w:fill="auto"/>
          </w:tcPr>
          <w:p w14:paraId="36CA2A36" w14:textId="77777777" w:rsidR="00787570" w:rsidRDefault="00787570">
            <w:pPr>
              <w:rPr>
                <w:rFonts w:ascii="宋体"/>
              </w:rPr>
            </w:pPr>
          </w:p>
        </w:tc>
        <w:tc>
          <w:tcPr>
            <w:tcW w:w="0" w:type="auto"/>
            <w:shd w:val="clear" w:color="auto" w:fill="auto"/>
          </w:tcPr>
          <w:p w14:paraId="36CA2A37" w14:textId="77777777" w:rsidR="00787570" w:rsidRDefault="00787570">
            <w:pPr>
              <w:rPr>
                <w:rFonts w:ascii="宋体"/>
              </w:rPr>
            </w:pPr>
          </w:p>
        </w:tc>
        <w:tc>
          <w:tcPr>
            <w:tcW w:w="0" w:type="auto"/>
            <w:shd w:val="clear" w:color="auto" w:fill="auto"/>
          </w:tcPr>
          <w:p w14:paraId="36CA2A38" w14:textId="77777777" w:rsidR="00787570" w:rsidRDefault="00787570">
            <w:pPr>
              <w:rPr>
                <w:rFonts w:ascii="宋体"/>
              </w:rPr>
            </w:pPr>
          </w:p>
        </w:tc>
      </w:tr>
      <w:tr w:rsidR="00787570" w14:paraId="36CA2A53" w14:textId="77777777">
        <w:tc>
          <w:tcPr>
            <w:tcW w:w="0" w:type="auto"/>
            <w:gridSpan w:val="3"/>
            <w:shd w:val="clear" w:color="auto" w:fill="auto"/>
            <w:tcMar>
              <w:top w:w="40" w:type="dxa"/>
              <w:left w:w="120" w:type="dxa"/>
              <w:bottom w:w="40" w:type="dxa"/>
              <w:right w:w="20" w:type="dxa"/>
            </w:tcMar>
            <w:vAlign w:val="bottom"/>
          </w:tcPr>
          <w:p w14:paraId="36CA2A3A" w14:textId="77777777" w:rsidR="00787570" w:rsidRDefault="000D56E2">
            <w:pPr>
              <w:textAlignment w:val="bottom"/>
            </w:pPr>
            <w:r>
              <w:rPr>
                <w:rFonts w:ascii="Arial" w:eastAsia="宋体" w:hAnsi="Arial" w:cs="Arial"/>
                <w:b/>
                <w:bCs/>
                <w:color w:val="333333"/>
                <w:sz w:val="18"/>
                <w:szCs w:val="18"/>
              </w:rPr>
              <w:t>Programmable Solutions Group</w:t>
            </w:r>
          </w:p>
        </w:tc>
        <w:tc>
          <w:tcPr>
            <w:tcW w:w="0" w:type="auto"/>
            <w:gridSpan w:val="3"/>
            <w:shd w:val="clear" w:color="auto" w:fill="auto"/>
            <w:tcMar>
              <w:left w:w="20" w:type="dxa"/>
              <w:right w:w="20" w:type="dxa"/>
            </w:tcMar>
            <w:vAlign w:val="bottom"/>
          </w:tcPr>
          <w:p w14:paraId="36CA2A3B"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2A3C" w14:textId="77777777" w:rsidR="00787570" w:rsidRDefault="000D56E2">
            <w:pPr>
              <w:jc w:val="right"/>
              <w:textAlignment w:val="bottom"/>
            </w:pPr>
            <w:r>
              <w:rPr>
                <w:rFonts w:ascii="Arial" w:eastAsia="宋体" w:hAnsi="Arial" w:cs="Arial"/>
                <w:b/>
                <w:bCs/>
                <w:color w:val="0071C5"/>
                <w:sz w:val="18"/>
                <w:szCs w:val="18"/>
              </w:rPr>
              <w:t>40</w:t>
            </w:r>
            <w:r>
              <w:rPr>
                <w:rFonts w:ascii="Arial" w:eastAsia="宋体" w:hAnsi="Arial" w:cs="Arial"/>
                <w:color w:val="0071C5"/>
                <w:sz w:val="18"/>
                <w:szCs w:val="18"/>
              </w:rPr>
              <w:t> </w:t>
            </w:r>
          </w:p>
        </w:tc>
        <w:tc>
          <w:tcPr>
            <w:tcW w:w="0" w:type="auto"/>
            <w:shd w:val="clear" w:color="auto" w:fill="auto"/>
            <w:tcMar>
              <w:top w:w="40" w:type="dxa"/>
              <w:bottom w:w="40" w:type="dxa"/>
              <w:right w:w="20" w:type="dxa"/>
            </w:tcMar>
            <w:vAlign w:val="bottom"/>
          </w:tcPr>
          <w:p w14:paraId="36CA2A3D"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2A3E"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2A3F" w14:textId="77777777" w:rsidR="00787570" w:rsidRDefault="000D56E2">
            <w:pPr>
              <w:jc w:val="right"/>
              <w:textAlignment w:val="bottom"/>
            </w:pPr>
            <w:r>
              <w:rPr>
                <w:rFonts w:ascii="Arial" w:eastAsia="宋体" w:hAnsi="Arial" w:cs="Arial"/>
                <w:b/>
                <w:bCs/>
                <w:color w:val="333333"/>
                <w:sz w:val="18"/>
                <w:szCs w:val="18"/>
              </w:rPr>
              <w:t>92</w:t>
            </w:r>
            <w:r>
              <w:rPr>
                <w:rFonts w:ascii="Arial" w:eastAsia="宋体" w:hAnsi="Arial" w:cs="Arial"/>
                <w:color w:val="333333"/>
                <w:sz w:val="18"/>
                <w:szCs w:val="18"/>
              </w:rPr>
              <w:t> </w:t>
            </w:r>
          </w:p>
        </w:tc>
        <w:tc>
          <w:tcPr>
            <w:tcW w:w="0" w:type="auto"/>
            <w:shd w:val="clear" w:color="auto" w:fill="auto"/>
            <w:tcMar>
              <w:top w:w="40" w:type="dxa"/>
              <w:bottom w:w="40" w:type="dxa"/>
              <w:right w:w="20" w:type="dxa"/>
            </w:tcMar>
            <w:vAlign w:val="bottom"/>
          </w:tcPr>
          <w:p w14:paraId="36CA2A40"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2A41"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2A42" w14:textId="77777777" w:rsidR="00787570" w:rsidRDefault="000D56E2">
            <w:pPr>
              <w:jc w:val="right"/>
              <w:textAlignment w:val="bottom"/>
            </w:pPr>
            <w:r>
              <w:rPr>
                <w:rFonts w:ascii="Arial" w:eastAsia="宋体" w:hAnsi="Arial" w:cs="Arial"/>
                <w:b/>
                <w:bCs/>
                <w:color w:val="0071C5"/>
                <w:sz w:val="18"/>
                <w:szCs w:val="18"/>
              </w:rPr>
              <w:t>217</w:t>
            </w:r>
            <w:r>
              <w:rPr>
                <w:rFonts w:ascii="Arial" w:eastAsia="宋体" w:hAnsi="Arial" w:cs="Arial"/>
                <w:color w:val="0071C5"/>
                <w:sz w:val="18"/>
                <w:szCs w:val="18"/>
              </w:rPr>
              <w:t> </w:t>
            </w:r>
          </w:p>
        </w:tc>
        <w:tc>
          <w:tcPr>
            <w:tcW w:w="0" w:type="auto"/>
            <w:shd w:val="clear" w:color="auto" w:fill="auto"/>
            <w:tcMar>
              <w:top w:w="40" w:type="dxa"/>
              <w:bottom w:w="40" w:type="dxa"/>
              <w:right w:w="20" w:type="dxa"/>
            </w:tcMar>
            <w:vAlign w:val="bottom"/>
          </w:tcPr>
          <w:p w14:paraId="36CA2A43"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2A44"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2A45" w14:textId="77777777" w:rsidR="00787570" w:rsidRDefault="000D56E2">
            <w:pPr>
              <w:jc w:val="right"/>
              <w:textAlignment w:val="bottom"/>
            </w:pPr>
            <w:r>
              <w:rPr>
                <w:rFonts w:ascii="Arial" w:eastAsia="宋体" w:hAnsi="Arial" w:cs="Arial"/>
                <w:b/>
                <w:bCs/>
                <w:color w:val="333333"/>
                <w:sz w:val="18"/>
                <w:szCs w:val="18"/>
              </w:rPr>
              <w:t>233</w:t>
            </w:r>
            <w:r>
              <w:rPr>
                <w:rFonts w:ascii="Arial" w:eastAsia="宋体" w:hAnsi="Arial" w:cs="Arial"/>
                <w:color w:val="333333"/>
                <w:sz w:val="18"/>
                <w:szCs w:val="18"/>
              </w:rPr>
              <w:t> </w:t>
            </w:r>
          </w:p>
        </w:tc>
        <w:tc>
          <w:tcPr>
            <w:tcW w:w="0" w:type="auto"/>
            <w:shd w:val="clear" w:color="auto" w:fill="auto"/>
            <w:tcMar>
              <w:top w:w="40" w:type="dxa"/>
              <w:bottom w:w="40" w:type="dxa"/>
              <w:right w:w="20" w:type="dxa"/>
            </w:tcMar>
            <w:vAlign w:val="bottom"/>
          </w:tcPr>
          <w:p w14:paraId="36CA2A46" w14:textId="77777777" w:rsidR="00787570" w:rsidRDefault="00787570">
            <w:pPr>
              <w:jc w:val="right"/>
              <w:rPr>
                <w:rFonts w:ascii="宋体"/>
              </w:rPr>
            </w:pPr>
          </w:p>
        </w:tc>
        <w:tc>
          <w:tcPr>
            <w:tcW w:w="0" w:type="auto"/>
            <w:shd w:val="clear" w:color="auto" w:fill="auto"/>
          </w:tcPr>
          <w:p w14:paraId="36CA2A47" w14:textId="77777777" w:rsidR="00787570" w:rsidRDefault="00787570">
            <w:pPr>
              <w:rPr>
                <w:rFonts w:ascii="宋体"/>
              </w:rPr>
            </w:pPr>
          </w:p>
        </w:tc>
        <w:tc>
          <w:tcPr>
            <w:tcW w:w="0" w:type="auto"/>
            <w:shd w:val="clear" w:color="auto" w:fill="auto"/>
          </w:tcPr>
          <w:p w14:paraId="36CA2A48" w14:textId="77777777" w:rsidR="00787570" w:rsidRDefault="00787570">
            <w:pPr>
              <w:rPr>
                <w:rFonts w:ascii="宋体"/>
              </w:rPr>
            </w:pPr>
          </w:p>
        </w:tc>
        <w:tc>
          <w:tcPr>
            <w:tcW w:w="0" w:type="auto"/>
            <w:shd w:val="clear" w:color="auto" w:fill="auto"/>
          </w:tcPr>
          <w:p w14:paraId="36CA2A49" w14:textId="77777777" w:rsidR="00787570" w:rsidRDefault="00787570">
            <w:pPr>
              <w:rPr>
                <w:rFonts w:ascii="宋体"/>
              </w:rPr>
            </w:pPr>
          </w:p>
        </w:tc>
        <w:tc>
          <w:tcPr>
            <w:tcW w:w="0" w:type="auto"/>
            <w:shd w:val="clear" w:color="auto" w:fill="auto"/>
          </w:tcPr>
          <w:p w14:paraId="36CA2A4A" w14:textId="77777777" w:rsidR="00787570" w:rsidRDefault="00787570">
            <w:pPr>
              <w:rPr>
                <w:rFonts w:ascii="宋体"/>
              </w:rPr>
            </w:pPr>
          </w:p>
        </w:tc>
        <w:tc>
          <w:tcPr>
            <w:tcW w:w="0" w:type="auto"/>
            <w:shd w:val="clear" w:color="auto" w:fill="auto"/>
          </w:tcPr>
          <w:p w14:paraId="36CA2A4B" w14:textId="77777777" w:rsidR="00787570" w:rsidRDefault="00787570">
            <w:pPr>
              <w:rPr>
                <w:rFonts w:ascii="宋体"/>
              </w:rPr>
            </w:pPr>
          </w:p>
        </w:tc>
        <w:tc>
          <w:tcPr>
            <w:tcW w:w="0" w:type="auto"/>
            <w:shd w:val="clear" w:color="auto" w:fill="auto"/>
          </w:tcPr>
          <w:p w14:paraId="36CA2A4C" w14:textId="77777777" w:rsidR="00787570" w:rsidRDefault="00787570">
            <w:pPr>
              <w:rPr>
                <w:rFonts w:ascii="宋体"/>
              </w:rPr>
            </w:pPr>
          </w:p>
        </w:tc>
        <w:tc>
          <w:tcPr>
            <w:tcW w:w="0" w:type="auto"/>
            <w:shd w:val="clear" w:color="auto" w:fill="auto"/>
          </w:tcPr>
          <w:p w14:paraId="36CA2A4D" w14:textId="77777777" w:rsidR="00787570" w:rsidRDefault="00787570">
            <w:pPr>
              <w:rPr>
                <w:rFonts w:ascii="宋体"/>
              </w:rPr>
            </w:pPr>
          </w:p>
        </w:tc>
        <w:tc>
          <w:tcPr>
            <w:tcW w:w="0" w:type="auto"/>
            <w:shd w:val="clear" w:color="auto" w:fill="auto"/>
          </w:tcPr>
          <w:p w14:paraId="36CA2A4E" w14:textId="77777777" w:rsidR="00787570" w:rsidRDefault="00787570">
            <w:pPr>
              <w:rPr>
                <w:rFonts w:ascii="宋体"/>
              </w:rPr>
            </w:pPr>
          </w:p>
        </w:tc>
        <w:tc>
          <w:tcPr>
            <w:tcW w:w="0" w:type="auto"/>
            <w:shd w:val="clear" w:color="auto" w:fill="auto"/>
          </w:tcPr>
          <w:p w14:paraId="36CA2A4F" w14:textId="77777777" w:rsidR="00787570" w:rsidRDefault="00787570">
            <w:pPr>
              <w:rPr>
                <w:rFonts w:ascii="宋体"/>
              </w:rPr>
            </w:pPr>
          </w:p>
        </w:tc>
        <w:tc>
          <w:tcPr>
            <w:tcW w:w="0" w:type="auto"/>
            <w:shd w:val="clear" w:color="auto" w:fill="auto"/>
          </w:tcPr>
          <w:p w14:paraId="36CA2A50" w14:textId="77777777" w:rsidR="00787570" w:rsidRDefault="00787570">
            <w:pPr>
              <w:rPr>
                <w:rFonts w:ascii="宋体"/>
              </w:rPr>
            </w:pPr>
          </w:p>
        </w:tc>
        <w:tc>
          <w:tcPr>
            <w:tcW w:w="0" w:type="auto"/>
            <w:shd w:val="clear" w:color="auto" w:fill="auto"/>
          </w:tcPr>
          <w:p w14:paraId="36CA2A51" w14:textId="77777777" w:rsidR="00787570" w:rsidRDefault="00787570">
            <w:pPr>
              <w:rPr>
                <w:rFonts w:ascii="宋体"/>
              </w:rPr>
            </w:pPr>
          </w:p>
        </w:tc>
        <w:tc>
          <w:tcPr>
            <w:tcW w:w="0" w:type="auto"/>
            <w:shd w:val="clear" w:color="auto" w:fill="auto"/>
          </w:tcPr>
          <w:p w14:paraId="36CA2A52" w14:textId="77777777" w:rsidR="00787570" w:rsidRDefault="00787570">
            <w:pPr>
              <w:rPr>
                <w:rFonts w:ascii="宋体"/>
              </w:rPr>
            </w:pPr>
          </w:p>
        </w:tc>
      </w:tr>
      <w:tr w:rsidR="00787570" w14:paraId="36CA2A6D" w14:textId="77777777">
        <w:tc>
          <w:tcPr>
            <w:tcW w:w="0" w:type="auto"/>
            <w:gridSpan w:val="3"/>
            <w:shd w:val="clear" w:color="auto" w:fill="auto"/>
            <w:tcMar>
              <w:top w:w="40" w:type="dxa"/>
              <w:left w:w="120" w:type="dxa"/>
              <w:bottom w:w="40" w:type="dxa"/>
              <w:right w:w="20" w:type="dxa"/>
            </w:tcMar>
            <w:vAlign w:val="bottom"/>
          </w:tcPr>
          <w:p w14:paraId="36CA2A54" w14:textId="77777777" w:rsidR="00787570" w:rsidRDefault="000D56E2">
            <w:pPr>
              <w:textAlignment w:val="bottom"/>
            </w:pPr>
            <w:r>
              <w:rPr>
                <w:rFonts w:ascii="Arial" w:eastAsia="宋体" w:hAnsi="Arial" w:cs="Arial"/>
                <w:b/>
                <w:bCs/>
                <w:color w:val="333333"/>
                <w:sz w:val="18"/>
                <w:szCs w:val="18"/>
              </w:rPr>
              <w:t>Client Computing Group</w:t>
            </w:r>
          </w:p>
        </w:tc>
        <w:tc>
          <w:tcPr>
            <w:tcW w:w="0" w:type="auto"/>
            <w:gridSpan w:val="3"/>
            <w:shd w:val="clear" w:color="auto" w:fill="auto"/>
            <w:tcMar>
              <w:left w:w="20" w:type="dxa"/>
              <w:right w:w="20" w:type="dxa"/>
            </w:tcMar>
            <w:vAlign w:val="bottom"/>
          </w:tcPr>
          <w:p w14:paraId="36CA2A55"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2A56" w14:textId="77777777" w:rsidR="00787570" w:rsidRDefault="000D56E2">
            <w:pPr>
              <w:jc w:val="right"/>
              <w:textAlignment w:val="bottom"/>
            </w:pPr>
            <w:r>
              <w:rPr>
                <w:rFonts w:ascii="Arial" w:eastAsia="宋体" w:hAnsi="Arial" w:cs="Arial"/>
                <w:b/>
                <w:bCs/>
                <w:color w:val="0071C5"/>
                <w:sz w:val="18"/>
                <w:szCs w:val="18"/>
              </w:rPr>
              <w:t>3,554</w:t>
            </w:r>
            <w:r>
              <w:rPr>
                <w:rFonts w:ascii="Arial" w:eastAsia="宋体" w:hAnsi="Arial" w:cs="Arial"/>
                <w:color w:val="0071C5"/>
                <w:sz w:val="18"/>
                <w:szCs w:val="18"/>
              </w:rPr>
              <w:t> </w:t>
            </w:r>
          </w:p>
        </w:tc>
        <w:tc>
          <w:tcPr>
            <w:tcW w:w="0" w:type="auto"/>
            <w:shd w:val="clear" w:color="auto" w:fill="auto"/>
            <w:tcMar>
              <w:top w:w="40" w:type="dxa"/>
              <w:bottom w:w="40" w:type="dxa"/>
              <w:right w:w="20" w:type="dxa"/>
            </w:tcMar>
            <w:vAlign w:val="bottom"/>
          </w:tcPr>
          <w:p w14:paraId="36CA2A57"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2A58"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2A59" w14:textId="77777777" w:rsidR="00787570" w:rsidRDefault="000D56E2">
            <w:pPr>
              <w:jc w:val="right"/>
              <w:textAlignment w:val="bottom"/>
            </w:pPr>
            <w:r>
              <w:rPr>
                <w:rFonts w:ascii="Arial" w:eastAsia="宋体" w:hAnsi="Arial" w:cs="Arial"/>
                <w:b/>
                <w:bCs/>
                <w:color w:val="333333"/>
                <w:sz w:val="18"/>
                <w:szCs w:val="18"/>
              </w:rPr>
              <w:t>4,305</w:t>
            </w:r>
            <w:r>
              <w:rPr>
                <w:rFonts w:ascii="Arial" w:eastAsia="宋体" w:hAnsi="Arial" w:cs="Arial"/>
                <w:color w:val="333333"/>
                <w:sz w:val="18"/>
                <w:szCs w:val="18"/>
              </w:rPr>
              <w:t> </w:t>
            </w:r>
          </w:p>
        </w:tc>
        <w:tc>
          <w:tcPr>
            <w:tcW w:w="0" w:type="auto"/>
            <w:shd w:val="clear" w:color="auto" w:fill="auto"/>
            <w:tcMar>
              <w:top w:w="40" w:type="dxa"/>
              <w:bottom w:w="40" w:type="dxa"/>
              <w:right w:w="20" w:type="dxa"/>
            </w:tcMar>
            <w:vAlign w:val="bottom"/>
          </w:tcPr>
          <w:p w14:paraId="36CA2A5A"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2A5B"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2A5C" w14:textId="77777777" w:rsidR="00787570" w:rsidRDefault="000D56E2">
            <w:pPr>
              <w:jc w:val="right"/>
              <w:textAlignment w:val="bottom"/>
            </w:pPr>
            <w:r>
              <w:rPr>
                <w:rFonts w:ascii="Arial" w:eastAsia="宋体" w:hAnsi="Arial" w:cs="Arial"/>
                <w:b/>
                <w:bCs/>
                <w:color w:val="0071C5"/>
                <w:sz w:val="18"/>
                <w:szCs w:val="18"/>
              </w:rPr>
              <w:t>10,621</w:t>
            </w:r>
            <w:r>
              <w:rPr>
                <w:rFonts w:ascii="Arial" w:eastAsia="宋体" w:hAnsi="Arial" w:cs="Arial"/>
                <w:color w:val="0071C5"/>
                <w:sz w:val="18"/>
                <w:szCs w:val="18"/>
              </w:rPr>
              <w:t> </w:t>
            </w:r>
          </w:p>
        </w:tc>
        <w:tc>
          <w:tcPr>
            <w:tcW w:w="0" w:type="auto"/>
            <w:shd w:val="clear" w:color="auto" w:fill="auto"/>
            <w:tcMar>
              <w:top w:w="40" w:type="dxa"/>
              <w:bottom w:w="40" w:type="dxa"/>
              <w:right w:w="20" w:type="dxa"/>
            </w:tcMar>
            <w:vAlign w:val="bottom"/>
          </w:tcPr>
          <w:p w14:paraId="36CA2A5D"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2A5E"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2A5F" w14:textId="77777777" w:rsidR="00787570" w:rsidRDefault="000D56E2">
            <w:pPr>
              <w:jc w:val="right"/>
              <w:textAlignment w:val="bottom"/>
            </w:pPr>
            <w:r>
              <w:rPr>
                <w:rFonts w:ascii="Arial" w:eastAsia="宋体" w:hAnsi="Arial" w:cs="Arial"/>
                <w:b/>
                <w:bCs/>
                <w:color w:val="333333"/>
                <w:sz w:val="18"/>
                <w:szCs w:val="18"/>
              </w:rPr>
              <w:t>11,114</w:t>
            </w:r>
            <w:r>
              <w:rPr>
                <w:rFonts w:ascii="Arial" w:eastAsia="宋体" w:hAnsi="Arial" w:cs="Arial"/>
                <w:color w:val="333333"/>
                <w:sz w:val="18"/>
                <w:szCs w:val="18"/>
              </w:rPr>
              <w:t> </w:t>
            </w:r>
          </w:p>
        </w:tc>
        <w:tc>
          <w:tcPr>
            <w:tcW w:w="0" w:type="auto"/>
            <w:shd w:val="clear" w:color="auto" w:fill="auto"/>
            <w:tcMar>
              <w:top w:w="40" w:type="dxa"/>
              <w:bottom w:w="40" w:type="dxa"/>
              <w:right w:w="20" w:type="dxa"/>
            </w:tcMar>
            <w:vAlign w:val="bottom"/>
          </w:tcPr>
          <w:p w14:paraId="36CA2A60" w14:textId="77777777" w:rsidR="00787570" w:rsidRDefault="00787570">
            <w:pPr>
              <w:jc w:val="right"/>
              <w:rPr>
                <w:rFonts w:ascii="宋体"/>
              </w:rPr>
            </w:pPr>
          </w:p>
        </w:tc>
        <w:tc>
          <w:tcPr>
            <w:tcW w:w="0" w:type="auto"/>
            <w:shd w:val="clear" w:color="auto" w:fill="auto"/>
          </w:tcPr>
          <w:p w14:paraId="36CA2A61" w14:textId="77777777" w:rsidR="00787570" w:rsidRDefault="00787570">
            <w:pPr>
              <w:rPr>
                <w:rFonts w:ascii="宋体"/>
              </w:rPr>
            </w:pPr>
          </w:p>
        </w:tc>
        <w:tc>
          <w:tcPr>
            <w:tcW w:w="0" w:type="auto"/>
            <w:shd w:val="clear" w:color="auto" w:fill="auto"/>
          </w:tcPr>
          <w:p w14:paraId="36CA2A62" w14:textId="77777777" w:rsidR="00787570" w:rsidRDefault="00787570">
            <w:pPr>
              <w:rPr>
                <w:rFonts w:ascii="宋体"/>
              </w:rPr>
            </w:pPr>
          </w:p>
        </w:tc>
        <w:tc>
          <w:tcPr>
            <w:tcW w:w="0" w:type="auto"/>
            <w:shd w:val="clear" w:color="auto" w:fill="auto"/>
          </w:tcPr>
          <w:p w14:paraId="36CA2A63" w14:textId="77777777" w:rsidR="00787570" w:rsidRDefault="00787570">
            <w:pPr>
              <w:rPr>
                <w:rFonts w:ascii="宋体"/>
              </w:rPr>
            </w:pPr>
          </w:p>
        </w:tc>
        <w:tc>
          <w:tcPr>
            <w:tcW w:w="0" w:type="auto"/>
            <w:shd w:val="clear" w:color="auto" w:fill="auto"/>
          </w:tcPr>
          <w:p w14:paraId="36CA2A64" w14:textId="77777777" w:rsidR="00787570" w:rsidRDefault="00787570">
            <w:pPr>
              <w:rPr>
                <w:rFonts w:ascii="宋体"/>
              </w:rPr>
            </w:pPr>
          </w:p>
        </w:tc>
        <w:tc>
          <w:tcPr>
            <w:tcW w:w="0" w:type="auto"/>
            <w:shd w:val="clear" w:color="auto" w:fill="auto"/>
          </w:tcPr>
          <w:p w14:paraId="36CA2A65" w14:textId="77777777" w:rsidR="00787570" w:rsidRDefault="00787570">
            <w:pPr>
              <w:rPr>
                <w:rFonts w:ascii="宋体"/>
              </w:rPr>
            </w:pPr>
          </w:p>
        </w:tc>
        <w:tc>
          <w:tcPr>
            <w:tcW w:w="0" w:type="auto"/>
            <w:shd w:val="clear" w:color="auto" w:fill="auto"/>
          </w:tcPr>
          <w:p w14:paraId="36CA2A66" w14:textId="77777777" w:rsidR="00787570" w:rsidRDefault="00787570">
            <w:pPr>
              <w:rPr>
                <w:rFonts w:ascii="宋体"/>
              </w:rPr>
            </w:pPr>
          </w:p>
        </w:tc>
        <w:tc>
          <w:tcPr>
            <w:tcW w:w="0" w:type="auto"/>
            <w:shd w:val="clear" w:color="auto" w:fill="auto"/>
          </w:tcPr>
          <w:p w14:paraId="36CA2A67" w14:textId="77777777" w:rsidR="00787570" w:rsidRDefault="00787570">
            <w:pPr>
              <w:rPr>
                <w:rFonts w:ascii="宋体"/>
              </w:rPr>
            </w:pPr>
          </w:p>
        </w:tc>
        <w:tc>
          <w:tcPr>
            <w:tcW w:w="0" w:type="auto"/>
            <w:shd w:val="clear" w:color="auto" w:fill="auto"/>
          </w:tcPr>
          <w:p w14:paraId="36CA2A68" w14:textId="77777777" w:rsidR="00787570" w:rsidRDefault="00787570">
            <w:pPr>
              <w:rPr>
                <w:rFonts w:ascii="宋体"/>
              </w:rPr>
            </w:pPr>
          </w:p>
        </w:tc>
        <w:tc>
          <w:tcPr>
            <w:tcW w:w="0" w:type="auto"/>
            <w:shd w:val="clear" w:color="auto" w:fill="auto"/>
          </w:tcPr>
          <w:p w14:paraId="36CA2A69" w14:textId="77777777" w:rsidR="00787570" w:rsidRDefault="00787570">
            <w:pPr>
              <w:rPr>
                <w:rFonts w:ascii="宋体"/>
              </w:rPr>
            </w:pPr>
          </w:p>
        </w:tc>
        <w:tc>
          <w:tcPr>
            <w:tcW w:w="0" w:type="auto"/>
            <w:shd w:val="clear" w:color="auto" w:fill="auto"/>
          </w:tcPr>
          <w:p w14:paraId="36CA2A6A" w14:textId="77777777" w:rsidR="00787570" w:rsidRDefault="00787570">
            <w:pPr>
              <w:rPr>
                <w:rFonts w:ascii="宋体"/>
              </w:rPr>
            </w:pPr>
          </w:p>
        </w:tc>
        <w:tc>
          <w:tcPr>
            <w:tcW w:w="0" w:type="auto"/>
            <w:shd w:val="clear" w:color="auto" w:fill="auto"/>
          </w:tcPr>
          <w:p w14:paraId="36CA2A6B" w14:textId="77777777" w:rsidR="00787570" w:rsidRDefault="00787570">
            <w:pPr>
              <w:rPr>
                <w:rFonts w:ascii="宋体"/>
              </w:rPr>
            </w:pPr>
          </w:p>
        </w:tc>
        <w:tc>
          <w:tcPr>
            <w:tcW w:w="0" w:type="auto"/>
            <w:shd w:val="clear" w:color="auto" w:fill="auto"/>
          </w:tcPr>
          <w:p w14:paraId="36CA2A6C" w14:textId="77777777" w:rsidR="00787570" w:rsidRDefault="00787570">
            <w:pPr>
              <w:rPr>
                <w:rFonts w:ascii="宋体"/>
              </w:rPr>
            </w:pPr>
          </w:p>
        </w:tc>
      </w:tr>
      <w:tr w:rsidR="00787570" w14:paraId="36CA2A87" w14:textId="77777777">
        <w:tc>
          <w:tcPr>
            <w:tcW w:w="0" w:type="auto"/>
            <w:gridSpan w:val="3"/>
            <w:shd w:val="clear" w:color="auto" w:fill="auto"/>
            <w:tcMar>
              <w:top w:w="40" w:type="dxa"/>
              <w:left w:w="120" w:type="dxa"/>
              <w:bottom w:w="40" w:type="dxa"/>
              <w:right w:w="20" w:type="dxa"/>
            </w:tcMar>
            <w:vAlign w:val="bottom"/>
          </w:tcPr>
          <w:p w14:paraId="36CA2A6E" w14:textId="77777777" w:rsidR="00787570" w:rsidRDefault="000D56E2">
            <w:pPr>
              <w:textAlignment w:val="bottom"/>
            </w:pPr>
            <w:r>
              <w:rPr>
                <w:rFonts w:ascii="Arial" w:eastAsia="宋体" w:hAnsi="Arial" w:cs="Arial"/>
                <w:b/>
                <w:bCs/>
                <w:color w:val="333333"/>
                <w:sz w:val="18"/>
                <w:szCs w:val="18"/>
              </w:rPr>
              <w:t>All other</w:t>
            </w:r>
          </w:p>
        </w:tc>
        <w:tc>
          <w:tcPr>
            <w:tcW w:w="0" w:type="auto"/>
            <w:gridSpan w:val="3"/>
            <w:shd w:val="clear" w:color="auto" w:fill="auto"/>
            <w:tcMar>
              <w:left w:w="20" w:type="dxa"/>
              <w:right w:w="20" w:type="dxa"/>
            </w:tcMar>
            <w:vAlign w:val="bottom"/>
          </w:tcPr>
          <w:p w14:paraId="36CA2A6F"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2A70" w14:textId="77777777" w:rsidR="00787570" w:rsidRDefault="000D56E2">
            <w:pPr>
              <w:jc w:val="right"/>
              <w:textAlignment w:val="bottom"/>
            </w:pPr>
            <w:r>
              <w:rPr>
                <w:rFonts w:ascii="Arial" w:eastAsia="宋体" w:hAnsi="Arial" w:cs="Arial"/>
                <w:b/>
                <w:bCs/>
                <w:color w:val="0071C5"/>
                <w:sz w:val="18"/>
                <w:szCs w:val="18"/>
              </w:rPr>
              <w:t>(575)</w:t>
            </w:r>
          </w:p>
        </w:tc>
        <w:tc>
          <w:tcPr>
            <w:tcW w:w="0" w:type="auto"/>
            <w:shd w:val="clear" w:color="auto" w:fill="auto"/>
            <w:tcMar>
              <w:top w:w="40" w:type="dxa"/>
              <w:bottom w:w="40" w:type="dxa"/>
              <w:right w:w="20" w:type="dxa"/>
            </w:tcMar>
            <w:vAlign w:val="bottom"/>
          </w:tcPr>
          <w:p w14:paraId="36CA2A71"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2A72"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2A73" w14:textId="77777777" w:rsidR="00787570" w:rsidRDefault="000D56E2">
            <w:pPr>
              <w:jc w:val="right"/>
              <w:textAlignment w:val="bottom"/>
            </w:pPr>
            <w:r>
              <w:rPr>
                <w:rFonts w:ascii="Arial" w:eastAsia="宋体" w:hAnsi="Arial" w:cs="Arial"/>
                <w:b/>
                <w:bCs/>
                <w:color w:val="333333"/>
                <w:sz w:val="18"/>
                <w:szCs w:val="18"/>
              </w:rPr>
              <w:t>(942)</w:t>
            </w:r>
          </w:p>
        </w:tc>
        <w:tc>
          <w:tcPr>
            <w:tcW w:w="0" w:type="auto"/>
            <w:shd w:val="clear" w:color="auto" w:fill="auto"/>
            <w:tcMar>
              <w:top w:w="40" w:type="dxa"/>
              <w:bottom w:w="40" w:type="dxa"/>
              <w:right w:w="20" w:type="dxa"/>
            </w:tcMar>
            <w:vAlign w:val="bottom"/>
          </w:tcPr>
          <w:p w14:paraId="36CA2A74"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2A75"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2A76" w14:textId="77777777" w:rsidR="00787570" w:rsidRDefault="000D56E2">
            <w:pPr>
              <w:jc w:val="right"/>
              <w:textAlignment w:val="bottom"/>
            </w:pPr>
            <w:r>
              <w:rPr>
                <w:rFonts w:ascii="Arial" w:eastAsia="宋体" w:hAnsi="Arial" w:cs="Arial"/>
                <w:b/>
                <w:bCs/>
                <w:color w:val="0071C5"/>
                <w:sz w:val="18"/>
                <w:szCs w:val="18"/>
              </w:rPr>
              <w:t>(2,328)</w:t>
            </w:r>
          </w:p>
        </w:tc>
        <w:tc>
          <w:tcPr>
            <w:tcW w:w="0" w:type="auto"/>
            <w:shd w:val="clear" w:color="auto" w:fill="auto"/>
            <w:tcMar>
              <w:top w:w="40" w:type="dxa"/>
              <w:bottom w:w="40" w:type="dxa"/>
              <w:right w:w="20" w:type="dxa"/>
            </w:tcMar>
            <w:vAlign w:val="bottom"/>
          </w:tcPr>
          <w:p w14:paraId="36CA2A77"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2A78"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2A79" w14:textId="77777777" w:rsidR="00787570" w:rsidRDefault="000D56E2">
            <w:pPr>
              <w:jc w:val="right"/>
              <w:textAlignment w:val="bottom"/>
            </w:pPr>
            <w:r>
              <w:rPr>
                <w:rFonts w:ascii="Arial" w:eastAsia="宋体" w:hAnsi="Arial" w:cs="Arial"/>
                <w:b/>
                <w:bCs/>
                <w:color w:val="333333"/>
                <w:sz w:val="18"/>
                <w:szCs w:val="18"/>
              </w:rPr>
              <w:t>(2,827)</w:t>
            </w:r>
          </w:p>
        </w:tc>
        <w:tc>
          <w:tcPr>
            <w:tcW w:w="0" w:type="auto"/>
            <w:shd w:val="clear" w:color="auto" w:fill="auto"/>
            <w:tcMar>
              <w:top w:w="40" w:type="dxa"/>
              <w:bottom w:w="40" w:type="dxa"/>
              <w:right w:w="20" w:type="dxa"/>
            </w:tcMar>
            <w:vAlign w:val="bottom"/>
          </w:tcPr>
          <w:p w14:paraId="36CA2A7A" w14:textId="77777777" w:rsidR="00787570" w:rsidRDefault="00787570">
            <w:pPr>
              <w:jc w:val="right"/>
              <w:rPr>
                <w:rFonts w:ascii="宋体"/>
              </w:rPr>
            </w:pPr>
          </w:p>
        </w:tc>
        <w:tc>
          <w:tcPr>
            <w:tcW w:w="0" w:type="auto"/>
            <w:shd w:val="clear" w:color="auto" w:fill="auto"/>
          </w:tcPr>
          <w:p w14:paraId="36CA2A7B" w14:textId="77777777" w:rsidR="00787570" w:rsidRDefault="00787570">
            <w:pPr>
              <w:rPr>
                <w:rFonts w:ascii="宋体"/>
              </w:rPr>
            </w:pPr>
          </w:p>
        </w:tc>
        <w:tc>
          <w:tcPr>
            <w:tcW w:w="0" w:type="auto"/>
            <w:shd w:val="clear" w:color="auto" w:fill="auto"/>
          </w:tcPr>
          <w:p w14:paraId="36CA2A7C" w14:textId="77777777" w:rsidR="00787570" w:rsidRDefault="00787570">
            <w:pPr>
              <w:rPr>
                <w:rFonts w:ascii="宋体"/>
              </w:rPr>
            </w:pPr>
          </w:p>
        </w:tc>
        <w:tc>
          <w:tcPr>
            <w:tcW w:w="0" w:type="auto"/>
            <w:shd w:val="clear" w:color="auto" w:fill="auto"/>
          </w:tcPr>
          <w:p w14:paraId="36CA2A7D" w14:textId="77777777" w:rsidR="00787570" w:rsidRDefault="00787570">
            <w:pPr>
              <w:rPr>
                <w:rFonts w:ascii="宋体"/>
              </w:rPr>
            </w:pPr>
          </w:p>
        </w:tc>
        <w:tc>
          <w:tcPr>
            <w:tcW w:w="0" w:type="auto"/>
            <w:shd w:val="clear" w:color="auto" w:fill="auto"/>
          </w:tcPr>
          <w:p w14:paraId="36CA2A7E" w14:textId="77777777" w:rsidR="00787570" w:rsidRDefault="00787570">
            <w:pPr>
              <w:rPr>
                <w:rFonts w:ascii="宋体"/>
              </w:rPr>
            </w:pPr>
          </w:p>
        </w:tc>
        <w:tc>
          <w:tcPr>
            <w:tcW w:w="0" w:type="auto"/>
            <w:shd w:val="clear" w:color="auto" w:fill="auto"/>
          </w:tcPr>
          <w:p w14:paraId="36CA2A7F" w14:textId="77777777" w:rsidR="00787570" w:rsidRDefault="00787570">
            <w:pPr>
              <w:rPr>
                <w:rFonts w:ascii="宋体"/>
              </w:rPr>
            </w:pPr>
          </w:p>
        </w:tc>
        <w:tc>
          <w:tcPr>
            <w:tcW w:w="0" w:type="auto"/>
            <w:shd w:val="clear" w:color="auto" w:fill="auto"/>
          </w:tcPr>
          <w:p w14:paraId="36CA2A80" w14:textId="77777777" w:rsidR="00787570" w:rsidRDefault="00787570">
            <w:pPr>
              <w:rPr>
                <w:rFonts w:ascii="宋体"/>
              </w:rPr>
            </w:pPr>
          </w:p>
        </w:tc>
        <w:tc>
          <w:tcPr>
            <w:tcW w:w="0" w:type="auto"/>
            <w:shd w:val="clear" w:color="auto" w:fill="auto"/>
          </w:tcPr>
          <w:p w14:paraId="36CA2A81" w14:textId="77777777" w:rsidR="00787570" w:rsidRDefault="00787570">
            <w:pPr>
              <w:rPr>
                <w:rFonts w:ascii="宋体"/>
              </w:rPr>
            </w:pPr>
          </w:p>
        </w:tc>
        <w:tc>
          <w:tcPr>
            <w:tcW w:w="0" w:type="auto"/>
            <w:shd w:val="clear" w:color="auto" w:fill="auto"/>
          </w:tcPr>
          <w:p w14:paraId="36CA2A82" w14:textId="77777777" w:rsidR="00787570" w:rsidRDefault="00787570">
            <w:pPr>
              <w:rPr>
                <w:rFonts w:ascii="宋体"/>
              </w:rPr>
            </w:pPr>
          </w:p>
        </w:tc>
        <w:tc>
          <w:tcPr>
            <w:tcW w:w="0" w:type="auto"/>
            <w:shd w:val="clear" w:color="auto" w:fill="auto"/>
          </w:tcPr>
          <w:p w14:paraId="36CA2A83" w14:textId="77777777" w:rsidR="00787570" w:rsidRDefault="00787570">
            <w:pPr>
              <w:rPr>
                <w:rFonts w:ascii="宋体"/>
              </w:rPr>
            </w:pPr>
          </w:p>
        </w:tc>
        <w:tc>
          <w:tcPr>
            <w:tcW w:w="0" w:type="auto"/>
            <w:shd w:val="clear" w:color="auto" w:fill="auto"/>
          </w:tcPr>
          <w:p w14:paraId="36CA2A84" w14:textId="77777777" w:rsidR="00787570" w:rsidRDefault="00787570">
            <w:pPr>
              <w:rPr>
                <w:rFonts w:ascii="宋体"/>
              </w:rPr>
            </w:pPr>
          </w:p>
        </w:tc>
        <w:tc>
          <w:tcPr>
            <w:tcW w:w="0" w:type="auto"/>
            <w:shd w:val="clear" w:color="auto" w:fill="auto"/>
          </w:tcPr>
          <w:p w14:paraId="36CA2A85" w14:textId="77777777" w:rsidR="00787570" w:rsidRDefault="00787570">
            <w:pPr>
              <w:rPr>
                <w:rFonts w:ascii="宋体"/>
              </w:rPr>
            </w:pPr>
          </w:p>
        </w:tc>
        <w:tc>
          <w:tcPr>
            <w:tcW w:w="0" w:type="auto"/>
            <w:shd w:val="clear" w:color="auto" w:fill="auto"/>
          </w:tcPr>
          <w:p w14:paraId="36CA2A86" w14:textId="77777777" w:rsidR="00787570" w:rsidRDefault="00787570">
            <w:pPr>
              <w:rPr>
                <w:rFonts w:ascii="宋体"/>
              </w:rPr>
            </w:pPr>
          </w:p>
        </w:tc>
      </w:tr>
      <w:tr w:rsidR="00787570" w14:paraId="36CA2AA5" w14:textId="77777777">
        <w:tc>
          <w:tcPr>
            <w:tcW w:w="0" w:type="auto"/>
            <w:gridSpan w:val="3"/>
            <w:shd w:val="clear" w:color="auto" w:fill="auto"/>
            <w:tcMar>
              <w:top w:w="40" w:type="dxa"/>
              <w:left w:w="20" w:type="dxa"/>
              <w:bottom w:w="40" w:type="dxa"/>
              <w:right w:w="20" w:type="dxa"/>
            </w:tcMar>
            <w:vAlign w:val="bottom"/>
          </w:tcPr>
          <w:p w14:paraId="36CA2A88" w14:textId="77777777" w:rsidR="00787570" w:rsidRDefault="000D56E2">
            <w:pPr>
              <w:textAlignment w:val="bottom"/>
            </w:pPr>
            <w:r>
              <w:rPr>
                <w:rFonts w:ascii="Arial" w:eastAsia="宋体" w:hAnsi="Arial" w:cs="Arial"/>
                <w:b/>
                <w:bCs/>
                <w:color w:val="333333"/>
                <w:sz w:val="18"/>
                <w:szCs w:val="18"/>
              </w:rPr>
              <w:t>Total operating income</w:t>
            </w:r>
          </w:p>
        </w:tc>
        <w:tc>
          <w:tcPr>
            <w:tcW w:w="0" w:type="auto"/>
            <w:gridSpan w:val="3"/>
            <w:shd w:val="clear" w:color="auto" w:fill="auto"/>
            <w:tcMar>
              <w:left w:w="20" w:type="dxa"/>
              <w:right w:w="20" w:type="dxa"/>
            </w:tcMar>
            <w:vAlign w:val="bottom"/>
          </w:tcPr>
          <w:p w14:paraId="36CA2A89" w14:textId="77777777" w:rsidR="00787570" w:rsidRDefault="00787570">
            <w:pPr>
              <w:rPr>
                <w:rFonts w:ascii="宋体"/>
              </w:rPr>
            </w:pPr>
          </w:p>
        </w:tc>
        <w:tc>
          <w:tcPr>
            <w:tcW w:w="0" w:type="auto"/>
            <w:tcBorders>
              <w:top w:val="single" w:sz="8" w:space="0" w:color="333333"/>
              <w:bottom w:val="double" w:sz="6" w:space="0" w:color="333333"/>
            </w:tcBorders>
            <w:shd w:val="clear" w:color="auto" w:fill="auto"/>
            <w:tcMar>
              <w:top w:w="40" w:type="dxa"/>
              <w:left w:w="20" w:type="dxa"/>
              <w:bottom w:w="40" w:type="dxa"/>
            </w:tcMar>
            <w:vAlign w:val="bottom"/>
          </w:tcPr>
          <w:p w14:paraId="36CA2A8A" w14:textId="77777777" w:rsidR="00787570" w:rsidRDefault="000D56E2">
            <w:pPr>
              <w:textAlignment w:val="bottom"/>
            </w:pPr>
            <w:r>
              <w:rPr>
                <w:rFonts w:ascii="Arial" w:eastAsia="宋体" w:hAnsi="Arial" w:cs="Arial"/>
                <w:b/>
                <w:bCs/>
                <w:color w:val="0071C5"/>
                <w:sz w:val="18"/>
                <w:szCs w:val="18"/>
              </w:rPr>
              <w:t>$</w:t>
            </w:r>
          </w:p>
        </w:tc>
        <w:tc>
          <w:tcPr>
            <w:tcW w:w="0" w:type="auto"/>
            <w:tcBorders>
              <w:top w:val="single" w:sz="8" w:space="0" w:color="333333"/>
              <w:bottom w:val="double" w:sz="6" w:space="0" w:color="333333"/>
            </w:tcBorders>
            <w:shd w:val="clear" w:color="auto" w:fill="auto"/>
            <w:tcMar>
              <w:top w:w="40" w:type="dxa"/>
              <w:bottom w:w="40" w:type="dxa"/>
              <w:right w:w="0" w:type="dxa"/>
            </w:tcMar>
            <w:vAlign w:val="bottom"/>
          </w:tcPr>
          <w:p w14:paraId="36CA2A8B" w14:textId="77777777" w:rsidR="00787570" w:rsidRDefault="000D56E2">
            <w:pPr>
              <w:jc w:val="right"/>
              <w:textAlignment w:val="bottom"/>
            </w:pPr>
            <w:r>
              <w:rPr>
                <w:rFonts w:ascii="Arial" w:eastAsia="宋体" w:hAnsi="Arial" w:cs="Arial"/>
                <w:b/>
                <w:bCs/>
                <w:color w:val="0071C5"/>
                <w:sz w:val="18"/>
                <w:szCs w:val="18"/>
              </w:rPr>
              <w:t>5,059</w:t>
            </w:r>
            <w:r>
              <w:rPr>
                <w:rFonts w:ascii="Arial" w:eastAsia="宋体" w:hAnsi="Arial" w:cs="Arial"/>
                <w:color w:val="0071C5"/>
                <w:sz w:val="18"/>
                <w:szCs w:val="18"/>
              </w:rPr>
              <w:t> </w:t>
            </w:r>
          </w:p>
        </w:tc>
        <w:tc>
          <w:tcPr>
            <w:tcW w:w="0" w:type="auto"/>
            <w:tcBorders>
              <w:top w:val="single" w:sz="8" w:space="0" w:color="333333"/>
              <w:bottom w:val="double" w:sz="6" w:space="0" w:color="333333"/>
            </w:tcBorders>
            <w:shd w:val="clear" w:color="auto" w:fill="auto"/>
            <w:tcMar>
              <w:top w:w="40" w:type="dxa"/>
              <w:bottom w:w="40" w:type="dxa"/>
              <w:right w:w="20" w:type="dxa"/>
            </w:tcMar>
            <w:vAlign w:val="bottom"/>
          </w:tcPr>
          <w:p w14:paraId="36CA2A8C"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2A8D" w14:textId="77777777" w:rsidR="00787570" w:rsidRDefault="00787570">
            <w:pPr>
              <w:rPr>
                <w:rFonts w:ascii="宋体"/>
              </w:rPr>
            </w:pPr>
          </w:p>
        </w:tc>
        <w:tc>
          <w:tcPr>
            <w:tcW w:w="0" w:type="auto"/>
            <w:tcBorders>
              <w:top w:val="single" w:sz="8" w:space="0" w:color="333333"/>
              <w:bottom w:val="double" w:sz="6" w:space="0" w:color="333333"/>
            </w:tcBorders>
            <w:shd w:val="clear" w:color="auto" w:fill="auto"/>
            <w:tcMar>
              <w:top w:w="40" w:type="dxa"/>
              <w:left w:w="20" w:type="dxa"/>
              <w:bottom w:w="40" w:type="dxa"/>
            </w:tcMar>
            <w:vAlign w:val="bottom"/>
          </w:tcPr>
          <w:p w14:paraId="36CA2A8E" w14:textId="77777777" w:rsidR="00787570" w:rsidRDefault="000D56E2">
            <w:pPr>
              <w:textAlignment w:val="bottom"/>
            </w:pPr>
            <w:r>
              <w:rPr>
                <w:rFonts w:ascii="Arial" w:eastAsia="宋体" w:hAnsi="Arial" w:cs="Arial"/>
                <w:b/>
                <w:bCs/>
                <w:color w:val="333333"/>
                <w:sz w:val="18"/>
                <w:szCs w:val="18"/>
              </w:rPr>
              <w:t>$</w:t>
            </w:r>
          </w:p>
        </w:tc>
        <w:tc>
          <w:tcPr>
            <w:tcW w:w="0" w:type="auto"/>
            <w:tcBorders>
              <w:top w:val="single" w:sz="8" w:space="0" w:color="333333"/>
              <w:bottom w:val="double" w:sz="6" w:space="0" w:color="333333"/>
            </w:tcBorders>
            <w:shd w:val="clear" w:color="auto" w:fill="auto"/>
            <w:tcMar>
              <w:top w:w="40" w:type="dxa"/>
              <w:bottom w:w="40" w:type="dxa"/>
              <w:right w:w="0" w:type="dxa"/>
            </w:tcMar>
            <w:vAlign w:val="bottom"/>
          </w:tcPr>
          <w:p w14:paraId="36CA2A8F" w14:textId="77777777" w:rsidR="00787570" w:rsidRDefault="000D56E2">
            <w:pPr>
              <w:jc w:val="right"/>
              <w:textAlignment w:val="bottom"/>
            </w:pPr>
            <w:r>
              <w:rPr>
                <w:rFonts w:ascii="Arial" w:eastAsia="宋体" w:hAnsi="Arial" w:cs="Arial"/>
                <w:b/>
                <w:bCs/>
                <w:color w:val="333333"/>
                <w:sz w:val="18"/>
                <w:szCs w:val="18"/>
              </w:rPr>
              <w:t>6,447</w:t>
            </w:r>
            <w:r>
              <w:rPr>
                <w:rFonts w:ascii="Arial" w:eastAsia="宋体" w:hAnsi="Arial" w:cs="Arial"/>
                <w:color w:val="333333"/>
                <w:sz w:val="18"/>
                <w:szCs w:val="18"/>
              </w:rPr>
              <w:t> </w:t>
            </w:r>
          </w:p>
        </w:tc>
        <w:tc>
          <w:tcPr>
            <w:tcW w:w="0" w:type="auto"/>
            <w:tcBorders>
              <w:top w:val="single" w:sz="8" w:space="0" w:color="333333"/>
              <w:bottom w:val="double" w:sz="6" w:space="0" w:color="333333"/>
            </w:tcBorders>
            <w:shd w:val="clear" w:color="auto" w:fill="auto"/>
            <w:tcMar>
              <w:top w:w="40" w:type="dxa"/>
              <w:bottom w:w="40" w:type="dxa"/>
              <w:right w:w="20" w:type="dxa"/>
            </w:tcMar>
            <w:vAlign w:val="bottom"/>
          </w:tcPr>
          <w:p w14:paraId="36CA2A90"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2A91" w14:textId="77777777" w:rsidR="00787570" w:rsidRDefault="00787570">
            <w:pPr>
              <w:rPr>
                <w:rFonts w:ascii="宋体"/>
              </w:rPr>
            </w:pPr>
          </w:p>
        </w:tc>
        <w:tc>
          <w:tcPr>
            <w:tcW w:w="0" w:type="auto"/>
            <w:tcBorders>
              <w:top w:val="single" w:sz="8" w:space="0" w:color="333333"/>
              <w:bottom w:val="double" w:sz="6" w:space="0" w:color="333333"/>
            </w:tcBorders>
            <w:shd w:val="clear" w:color="auto" w:fill="auto"/>
            <w:tcMar>
              <w:top w:w="40" w:type="dxa"/>
              <w:left w:w="20" w:type="dxa"/>
              <w:bottom w:w="40" w:type="dxa"/>
            </w:tcMar>
            <w:vAlign w:val="bottom"/>
          </w:tcPr>
          <w:p w14:paraId="36CA2A92" w14:textId="77777777" w:rsidR="00787570" w:rsidRDefault="000D56E2">
            <w:pPr>
              <w:textAlignment w:val="bottom"/>
            </w:pPr>
            <w:r>
              <w:rPr>
                <w:rFonts w:ascii="Arial" w:eastAsia="宋体" w:hAnsi="Arial" w:cs="Arial"/>
                <w:b/>
                <w:bCs/>
                <w:color w:val="0071C5"/>
                <w:sz w:val="18"/>
                <w:szCs w:val="18"/>
              </w:rPr>
              <w:t>$</w:t>
            </w:r>
          </w:p>
        </w:tc>
        <w:tc>
          <w:tcPr>
            <w:tcW w:w="0" w:type="auto"/>
            <w:tcBorders>
              <w:top w:val="single" w:sz="8" w:space="0" w:color="333333"/>
              <w:bottom w:val="double" w:sz="6" w:space="0" w:color="333333"/>
            </w:tcBorders>
            <w:shd w:val="clear" w:color="auto" w:fill="auto"/>
            <w:tcMar>
              <w:top w:w="40" w:type="dxa"/>
              <w:bottom w:w="40" w:type="dxa"/>
              <w:right w:w="0" w:type="dxa"/>
            </w:tcMar>
            <w:vAlign w:val="bottom"/>
          </w:tcPr>
          <w:p w14:paraId="36CA2A93" w14:textId="77777777" w:rsidR="00787570" w:rsidRDefault="000D56E2">
            <w:pPr>
              <w:jc w:val="right"/>
              <w:textAlignment w:val="bottom"/>
            </w:pPr>
            <w:r>
              <w:rPr>
                <w:rFonts w:ascii="Arial" w:eastAsia="宋体" w:hAnsi="Arial" w:cs="Arial"/>
                <w:b/>
                <w:bCs/>
                <w:color w:val="0071C5"/>
                <w:sz w:val="18"/>
                <w:szCs w:val="18"/>
              </w:rPr>
              <w:t>17,794</w:t>
            </w:r>
            <w:r>
              <w:rPr>
                <w:rFonts w:ascii="Arial" w:eastAsia="宋体" w:hAnsi="Arial" w:cs="Arial"/>
                <w:color w:val="0071C5"/>
                <w:sz w:val="18"/>
                <w:szCs w:val="18"/>
              </w:rPr>
              <w:t> </w:t>
            </w:r>
          </w:p>
        </w:tc>
        <w:tc>
          <w:tcPr>
            <w:tcW w:w="0" w:type="auto"/>
            <w:tcBorders>
              <w:top w:val="single" w:sz="8" w:space="0" w:color="333333"/>
              <w:bottom w:val="double" w:sz="6" w:space="0" w:color="333333"/>
            </w:tcBorders>
            <w:shd w:val="clear" w:color="auto" w:fill="auto"/>
            <w:tcMar>
              <w:top w:w="40" w:type="dxa"/>
              <w:bottom w:w="40" w:type="dxa"/>
              <w:right w:w="20" w:type="dxa"/>
            </w:tcMar>
            <w:vAlign w:val="bottom"/>
          </w:tcPr>
          <w:p w14:paraId="36CA2A94"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2A95" w14:textId="77777777" w:rsidR="00787570" w:rsidRDefault="00787570">
            <w:pPr>
              <w:rPr>
                <w:rFonts w:ascii="宋体"/>
              </w:rPr>
            </w:pPr>
          </w:p>
        </w:tc>
        <w:tc>
          <w:tcPr>
            <w:tcW w:w="0" w:type="auto"/>
            <w:tcBorders>
              <w:top w:val="single" w:sz="8" w:space="0" w:color="333333"/>
              <w:bottom w:val="double" w:sz="6" w:space="0" w:color="333333"/>
            </w:tcBorders>
            <w:shd w:val="clear" w:color="auto" w:fill="auto"/>
            <w:tcMar>
              <w:top w:w="40" w:type="dxa"/>
              <w:left w:w="20" w:type="dxa"/>
              <w:bottom w:w="40" w:type="dxa"/>
            </w:tcMar>
            <w:vAlign w:val="bottom"/>
          </w:tcPr>
          <w:p w14:paraId="36CA2A96" w14:textId="77777777" w:rsidR="00787570" w:rsidRDefault="000D56E2">
            <w:pPr>
              <w:textAlignment w:val="bottom"/>
            </w:pPr>
            <w:r>
              <w:rPr>
                <w:rFonts w:ascii="Arial" w:eastAsia="宋体" w:hAnsi="Arial" w:cs="Arial"/>
                <w:b/>
                <w:bCs/>
                <w:color w:val="333333"/>
                <w:sz w:val="18"/>
                <w:szCs w:val="18"/>
              </w:rPr>
              <w:t>$</w:t>
            </w:r>
          </w:p>
        </w:tc>
        <w:tc>
          <w:tcPr>
            <w:tcW w:w="0" w:type="auto"/>
            <w:tcBorders>
              <w:top w:val="single" w:sz="8" w:space="0" w:color="333333"/>
              <w:bottom w:val="double" w:sz="6" w:space="0" w:color="333333"/>
            </w:tcBorders>
            <w:shd w:val="clear" w:color="auto" w:fill="auto"/>
            <w:tcMar>
              <w:top w:w="40" w:type="dxa"/>
              <w:bottom w:w="40" w:type="dxa"/>
              <w:right w:w="0" w:type="dxa"/>
            </w:tcMar>
            <w:vAlign w:val="bottom"/>
          </w:tcPr>
          <w:p w14:paraId="36CA2A97" w14:textId="77777777" w:rsidR="00787570" w:rsidRDefault="000D56E2">
            <w:pPr>
              <w:jc w:val="right"/>
              <w:textAlignment w:val="bottom"/>
            </w:pPr>
            <w:r>
              <w:rPr>
                <w:rFonts w:ascii="Arial" w:eastAsia="宋体" w:hAnsi="Arial" w:cs="Arial"/>
                <w:b/>
                <w:bCs/>
                <w:color w:val="333333"/>
                <w:sz w:val="18"/>
                <w:szCs w:val="18"/>
              </w:rPr>
              <w:t>15,238</w:t>
            </w:r>
            <w:r>
              <w:rPr>
                <w:rFonts w:ascii="Arial" w:eastAsia="宋体" w:hAnsi="Arial" w:cs="Arial"/>
                <w:color w:val="333333"/>
                <w:sz w:val="18"/>
                <w:szCs w:val="18"/>
              </w:rPr>
              <w:t> </w:t>
            </w:r>
          </w:p>
        </w:tc>
        <w:tc>
          <w:tcPr>
            <w:tcW w:w="0" w:type="auto"/>
            <w:tcBorders>
              <w:top w:val="single" w:sz="8" w:space="0" w:color="333333"/>
              <w:bottom w:val="double" w:sz="6" w:space="0" w:color="333333"/>
            </w:tcBorders>
            <w:shd w:val="clear" w:color="auto" w:fill="auto"/>
            <w:tcMar>
              <w:top w:w="40" w:type="dxa"/>
              <w:bottom w:w="40" w:type="dxa"/>
              <w:right w:w="20" w:type="dxa"/>
            </w:tcMar>
            <w:vAlign w:val="bottom"/>
          </w:tcPr>
          <w:p w14:paraId="36CA2A98" w14:textId="77777777" w:rsidR="00787570" w:rsidRDefault="00787570">
            <w:pPr>
              <w:jc w:val="right"/>
              <w:rPr>
                <w:rFonts w:ascii="宋体"/>
              </w:rPr>
            </w:pPr>
          </w:p>
        </w:tc>
        <w:tc>
          <w:tcPr>
            <w:tcW w:w="0" w:type="auto"/>
            <w:shd w:val="clear" w:color="auto" w:fill="auto"/>
          </w:tcPr>
          <w:p w14:paraId="36CA2A99" w14:textId="77777777" w:rsidR="00787570" w:rsidRDefault="00787570">
            <w:pPr>
              <w:rPr>
                <w:rFonts w:ascii="宋体"/>
              </w:rPr>
            </w:pPr>
          </w:p>
        </w:tc>
        <w:tc>
          <w:tcPr>
            <w:tcW w:w="0" w:type="auto"/>
            <w:shd w:val="clear" w:color="auto" w:fill="auto"/>
          </w:tcPr>
          <w:p w14:paraId="36CA2A9A" w14:textId="77777777" w:rsidR="00787570" w:rsidRDefault="00787570">
            <w:pPr>
              <w:rPr>
                <w:rFonts w:ascii="宋体"/>
              </w:rPr>
            </w:pPr>
          </w:p>
        </w:tc>
        <w:tc>
          <w:tcPr>
            <w:tcW w:w="0" w:type="auto"/>
            <w:shd w:val="clear" w:color="auto" w:fill="auto"/>
          </w:tcPr>
          <w:p w14:paraId="36CA2A9B" w14:textId="77777777" w:rsidR="00787570" w:rsidRDefault="00787570">
            <w:pPr>
              <w:rPr>
                <w:rFonts w:ascii="宋体"/>
              </w:rPr>
            </w:pPr>
          </w:p>
        </w:tc>
        <w:tc>
          <w:tcPr>
            <w:tcW w:w="0" w:type="auto"/>
            <w:shd w:val="clear" w:color="auto" w:fill="auto"/>
          </w:tcPr>
          <w:p w14:paraId="36CA2A9C" w14:textId="77777777" w:rsidR="00787570" w:rsidRDefault="00787570">
            <w:pPr>
              <w:rPr>
                <w:rFonts w:ascii="宋体"/>
              </w:rPr>
            </w:pPr>
          </w:p>
        </w:tc>
        <w:tc>
          <w:tcPr>
            <w:tcW w:w="0" w:type="auto"/>
            <w:shd w:val="clear" w:color="auto" w:fill="auto"/>
          </w:tcPr>
          <w:p w14:paraId="36CA2A9D" w14:textId="77777777" w:rsidR="00787570" w:rsidRDefault="00787570">
            <w:pPr>
              <w:rPr>
                <w:rFonts w:ascii="宋体"/>
              </w:rPr>
            </w:pPr>
          </w:p>
        </w:tc>
        <w:tc>
          <w:tcPr>
            <w:tcW w:w="0" w:type="auto"/>
            <w:shd w:val="clear" w:color="auto" w:fill="auto"/>
          </w:tcPr>
          <w:p w14:paraId="36CA2A9E" w14:textId="77777777" w:rsidR="00787570" w:rsidRDefault="00787570">
            <w:pPr>
              <w:rPr>
                <w:rFonts w:ascii="宋体"/>
              </w:rPr>
            </w:pPr>
          </w:p>
        </w:tc>
        <w:tc>
          <w:tcPr>
            <w:tcW w:w="0" w:type="auto"/>
            <w:shd w:val="clear" w:color="auto" w:fill="auto"/>
          </w:tcPr>
          <w:p w14:paraId="36CA2A9F" w14:textId="77777777" w:rsidR="00787570" w:rsidRDefault="00787570">
            <w:pPr>
              <w:rPr>
                <w:rFonts w:ascii="宋体"/>
              </w:rPr>
            </w:pPr>
          </w:p>
        </w:tc>
        <w:tc>
          <w:tcPr>
            <w:tcW w:w="0" w:type="auto"/>
            <w:shd w:val="clear" w:color="auto" w:fill="auto"/>
          </w:tcPr>
          <w:p w14:paraId="36CA2AA0" w14:textId="77777777" w:rsidR="00787570" w:rsidRDefault="00787570">
            <w:pPr>
              <w:rPr>
                <w:rFonts w:ascii="宋体"/>
              </w:rPr>
            </w:pPr>
          </w:p>
        </w:tc>
        <w:tc>
          <w:tcPr>
            <w:tcW w:w="0" w:type="auto"/>
            <w:shd w:val="clear" w:color="auto" w:fill="auto"/>
          </w:tcPr>
          <w:p w14:paraId="36CA2AA1" w14:textId="77777777" w:rsidR="00787570" w:rsidRDefault="00787570">
            <w:pPr>
              <w:rPr>
                <w:rFonts w:ascii="宋体"/>
              </w:rPr>
            </w:pPr>
          </w:p>
        </w:tc>
        <w:tc>
          <w:tcPr>
            <w:tcW w:w="0" w:type="auto"/>
            <w:shd w:val="clear" w:color="auto" w:fill="auto"/>
          </w:tcPr>
          <w:p w14:paraId="36CA2AA2" w14:textId="77777777" w:rsidR="00787570" w:rsidRDefault="00787570">
            <w:pPr>
              <w:rPr>
                <w:rFonts w:ascii="宋体"/>
              </w:rPr>
            </w:pPr>
          </w:p>
        </w:tc>
        <w:tc>
          <w:tcPr>
            <w:tcW w:w="0" w:type="auto"/>
            <w:shd w:val="clear" w:color="auto" w:fill="auto"/>
          </w:tcPr>
          <w:p w14:paraId="36CA2AA3" w14:textId="77777777" w:rsidR="00787570" w:rsidRDefault="00787570">
            <w:pPr>
              <w:rPr>
                <w:rFonts w:ascii="宋体"/>
              </w:rPr>
            </w:pPr>
          </w:p>
        </w:tc>
        <w:tc>
          <w:tcPr>
            <w:tcW w:w="0" w:type="auto"/>
            <w:shd w:val="clear" w:color="auto" w:fill="auto"/>
          </w:tcPr>
          <w:p w14:paraId="36CA2AA4" w14:textId="77777777" w:rsidR="00787570" w:rsidRDefault="00787570">
            <w:pPr>
              <w:rPr>
                <w:rFonts w:ascii="宋体"/>
              </w:rPr>
            </w:pPr>
          </w:p>
        </w:tc>
      </w:tr>
    </w:tbl>
    <w:p w14:paraId="36CA2AA6" w14:textId="77777777" w:rsidR="00787570" w:rsidRDefault="00787570">
      <w:pPr>
        <w:spacing w:after="180"/>
      </w:pPr>
    </w:p>
    <w:p w14:paraId="36CA2AA7" w14:textId="77777777" w:rsidR="00787570" w:rsidRDefault="00787570">
      <w:pPr>
        <w:spacing w:after="180"/>
      </w:pPr>
    </w:p>
    <w:p w14:paraId="36CA2AA8" w14:textId="77777777" w:rsidR="00787570" w:rsidRDefault="00787570">
      <w:pPr>
        <w:spacing w:after="180"/>
      </w:pPr>
    </w:p>
    <w:p w14:paraId="36CA2AA9" w14:textId="77777777" w:rsidR="00787570" w:rsidRDefault="00787570">
      <w:pPr>
        <w:spacing w:after="180"/>
      </w:pPr>
    </w:p>
    <w:p w14:paraId="36CA2AAA" w14:textId="77777777" w:rsidR="00787570" w:rsidRDefault="00787570">
      <w:pPr>
        <w:spacing w:after="180"/>
      </w:pPr>
    </w:p>
    <w:p w14:paraId="36CA2AAB" w14:textId="77777777" w:rsidR="00787570" w:rsidRDefault="00787570">
      <w:pPr>
        <w:spacing w:after="180"/>
      </w:pPr>
    </w:p>
    <w:p w14:paraId="36CA2AAC" w14:textId="77777777" w:rsidR="00787570" w:rsidRDefault="00787570">
      <w:pPr>
        <w:spacing w:after="180"/>
      </w:pPr>
    </w:p>
    <w:tbl>
      <w:tblPr>
        <w:tblW w:w="5000" w:type="pct"/>
        <w:tblCellMar>
          <w:top w:w="15" w:type="dxa"/>
          <w:left w:w="15" w:type="dxa"/>
          <w:bottom w:w="15" w:type="dxa"/>
          <w:right w:w="15" w:type="dxa"/>
        </w:tblCellMar>
        <w:tblLook w:val="04A0" w:firstRow="1" w:lastRow="0" w:firstColumn="1" w:lastColumn="0" w:noHBand="0" w:noVBand="1"/>
      </w:tblPr>
      <w:tblGrid>
        <w:gridCol w:w="86"/>
        <w:gridCol w:w="426"/>
        <w:gridCol w:w="36"/>
        <w:gridCol w:w="62"/>
        <w:gridCol w:w="1676"/>
        <w:gridCol w:w="36"/>
        <w:gridCol w:w="62"/>
        <w:gridCol w:w="3655"/>
        <w:gridCol w:w="36"/>
        <w:gridCol w:w="63"/>
        <w:gridCol w:w="2162"/>
        <w:gridCol w:w="36"/>
      </w:tblGrid>
      <w:tr w:rsidR="00787570" w14:paraId="36CA2AB9" w14:textId="77777777">
        <w:tc>
          <w:tcPr>
            <w:tcW w:w="50" w:type="pct"/>
            <w:shd w:val="clear" w:color="auto" w:fill="auto"/>
            <w:vAlign w:val="bottom"/>
          </w:tcPr>
          <w:p w14:paraId="36CA2AAD" w14:textId="77777777" w:rsidR="00787570" w:rsidRDefault="00787570">
            <w:pPr>
              <w:rPr>
                <w:rFonts w:ascii="宋体"/>
              </w:rPr>
            </w:pPr>
          </w:p>
        </w:tc>
        <w:tc>
          <w:tcPr>
            <w:tcW w:w="248" w:type="pct"/>
            <w:shd w:val="clear" w:color="auto" w:fill="auto"/>
            <w:vAlign w:val="bottom"/>
          </w:tcPr>
          <w:p w14:paraId="36CA2AAE" w14:textId="77777777" w:rsidR="00787570" w:rsidRDefault="00787570">
            <w:pPr>
              <w:rPr>
                <w:rFonts w:ascii="宋体"/>
              </w:rPr>
            </w:pPr>
          </w:p>
        </w:tc>
        <w:tc>
          <w:tcPr>
            <w:tcW w:w="5" w:type="pct"/>
            <w:shd w:val="clear" w:color="auto" w:fill="auto"/>
            <w:vAlign w:val="bottom"/>
          </w:tcPr>
          <w:p w14:paraId="36CA2AAF" w14:textId="77777777" w:rsidR="00787570" w:rsidRDefault="00787570">
            <w:pPr>
              <w:rPr>
                <w:rFonts w:ascii="宋体"/>
              </w:rPr>
            </w:pPr>
          </w:p>
        </w:tc>
        <w:tc>
          <w:tcPr>
            <w:tcW w:w="50" w:type="pct"/>
            <w:shd w:val="clear" w:color="auto" w:fill="auto"/>
            <w:vAlign w:val="bottom"/>
          </w:tcPr>
          <w:p w14:paraId="36CA2AB0" w14:textId="77777777" w:rsidR="00787570" w:rsidRDefault="00787570">
            <w:pPr>
              <w:rPr>
                <w:rFonts w:ascii="宋体"/>
              </w:rPr>
            </w:pPr>
          </w:p>
        </w:tc>
        <w:tc>
          <w:tcPr>
            <w:tcW w:w="1018" w:type="pct"/>
            <w:shd w:val="clear" w:color="auto" w:fill="auto"/>
            <w:vAlign w:val="bottom"/>
          </w:tcPr>
          <w:p w14:paraId="36CA2AB1" w14:textId="77777777" w:rsidR="00787570" w:rsidRDefault="00787570">
            <w:pPr>
              <w:rPr>
                <w:rFonts w:ascii="宋体"/>
              </w:rPr>
            </w:pPr>
          </w:p>
        </w:tc>
        <w:tc>
          <w:tcPr>
            <w:tcW w:w="5" w:type="pct"/>
            <w:shd w:val="clear" w:color="auto" w:fill="auto"/>
            <w:vAlign w:val="bottom"/>
          </w:tcPr>
          <w:p w14:paraId="36CA2AB2" w14:textId="77777777" w:rsidR="00787570" w:rsidRDefault="00787570">
            <w:pPr>
              <w:rPr>
                <w:rFonts w:ascii="宋体"/>
              </w:rPr>
            </w:pPr>
          </w:p>
        </w:tc>
        <w:tc>
          <w:tcPr>
            <w:tcW w:w="50" w:type="pct"/>
            <w:shd w:val="clear" w:color="auto" w:fill="auto"/>
            <w:vAlign w:val="bottom"/>
          </w:tcPr>
          <w:p w14:paraId="36CA2AB3" w14:textId="77777777" w:rsidR="00787570" w:rsidRDefault="00787570">
            <w:pPr>
              <w:rPr>
                <w:rFonts w:ascii="宋体"/>
              </w:rPr>
            </w:pPr>
          </w:p>
        </w:tc>
        <w:tc>
          <w:tcPr>
            <w:tcW w:w="2204" w:type="pct"/>
            <w:shd w:val="clear" w:color="auto" w:fill="auto"/>
            <w:vAlign w:val="bottom"/>
          </w:tcPr>
          <w:p w14:paraId="36CA2AB4" w14:textId="77777777" w:rsidR="00787570" w:rsidRDefault="00787570">
            <w:pPr>
              <w:rPr>
                <w:rFonts w:ascii="宋体"/>
              </w:rPr>
            </w:pPr>
          </w:p>
        </w:tc>
        <w:tc>
          <w:tcPr>
            <w:tcW w:w="5" w:type="pct"/>
            <w:shd w:val="clear" w:color="auto" w:fill="auto"/>
            <w:vAlign w:val="bottom"/>
          </w:tcPr>
          <w:p w14:paraId="36CA2AB5" w14:textId="77777777" w:rsidR="00787570" w:rsidRDefault="00787570">
            <w:pPr>
              <w:rPr>
                <w:rFonts w:ascii="宋体"/>
              </w:rPr>
            </w:pPr>
          </w:p>
        </w:tc>
        <w:tc>
          <w:tcPr>
            <w:tcW w:w="50" w:type="pct"/>
            <w:shd w:val="clear" w:color="auto" w:fill="auto"/>
            <w:vAlign w:val="bottom"/>
          </w:tcPr>
          <w:p w14:paraId="36CA2AB6" w14:textId="77777777" w:rsidR="00787570" w:rsidRDefault="00787570">
            <w:pPr>
              <w:rPr>
                <w:rFonts w:ascii="宋体"/>
              </w:rPr>
            </w:pPr>
          </w:p>
        </w:tc>
        <w:tc>
          <w:tcPr>
            <w:tcW w:w="1308" w:type="pct"/>
            <w:shd w:val="clear" w:color="auto" w:fill="auto"/>
            <w:vAlign w:val="bottom"/>
          </w:tcPr>
          <w:p w14:paraId="36CA2AB7" w14:textId="77777777" w:rsidR="00787570" w:rsidRDefault="00787570">
            <w:pPr>
              <w:rPr>
                <w:rFonts w:ascii="宋体"/>
              </w:rPr>
            </w:pPr>
          </w:p>
        </w:tc>
        <w:tc>
          <w:tcPr>
            <w:tcW w:w="5" w:type="pct"/>
            <w:shd w:val="clear" w:color="auto" w:fill="auto"/>
            <w:vAlign w:val="bottom"/>
          </w:tcPr>
          <w:p w14:paraId="36CA2AB8" w14:textId="77777777" w:rsidR="00787570" w:rsidRDefault="00787570">
            <w:pPr>
              <w:rPr>
                <w:rFonts w:ascii="宋体"/>
              </w:rPr>
            </w:pPr>
          </w:p>
        </w:tc>
      </w:tr>
      <w:tr w:rsidR="00787570" w14:paraId="36CA2ABE" w14:textId="77777777">
        <w:tc>
          <w:tcPr>
            <w:tcW w:w="0" w:type="auto"/>
            <w:gridSpan w:val="3"/>
            <w:tcBorders>
              <w:top w:val="single" w:sz="8" w:space="0" w:color="0071C5"/>
            </w:tcBorders>
            <w:shd w:val="clear" w:color="auto" w:fill="auto"/>
            <w:tcMar>
              <w:left w:w="20" w:type="dxa"/>
              <w:right w:w="20" w:type="dxa"/>
            </w:tcMar>
            <w:vAlign w:val="center"/>
          </w:tcPr>
          <w:p w14:paraId="36CA2ABA" w14:textId="77777777" w:rsidR="00787570" w:rsidRDefault="000D56E2">
            <w:pPr>
              <w:textAlignment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Viewer9_files/intc-20200926_g2.jpg"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36CA5C06" wp14:editId="36CA5C07">
                  <wp:extent cx="304800" cy="304800"/>
                  <wp:effectExtent l="0" t="0" r="0" b="0"/>
                  <wp:docPr id="30" name="图片 61" descr="IMG_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61" descr="IMG_329"/>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8" w:space="0" w:color="0071C5"/>
            </w:tcBorders>
            <w:shd w:val="clear" w:color="auto" w:fill="auto"/>
            <w:tcMar>
              <w:top w:w="40" w:type="dxa"/>
              <w:left w:w="20" w:type="dxa"/>
              <w:bottom w:w="40" w:type="dxa"/>
              <w:right w:w="20" w:type="dxa"/>
            </w:tcMar>
            <w:vAlign w:val="center"/>
          </w:tcPr>
          <w:p w14:paraId="36CA2ABB" w14:textId="77777777" w:rsidR="00787570" w:rsidRDefault="000D56E2">
            <w:pPr>
              <w:textAlignment w:val="center"/>
            </w:pPr>
            <w:r>
              <w:rPr>
                <w:rFonts w:ascii="Arial" w:eastAsia="宋体" w:hAnsi="Arial" w:cs="Arial"/>
                <w:color w:val="333333"/>
                <w:sz w:val="16"/>
                <w:szCs w:val="16"/>
              </w:rPr>
              <w:t> FINANCIAL STATEMENTS</w:t>
            </w:r>
          </w:p>
        </w:tc>
        <w:tc>
          <w:tcPr>
            <w:tcW w:w="0" w:type="auto"/>
            <w:gridSpan w:val="3"/>
            <w:tcBorders>
              <w:top w:val="single" w:sz="8" w:space="0" w:color="0071C5"/>
              <w:left w:val="single" w:sz="24" w:space="0" w:color="0071C5"/>
            </w:tcBorders>
            <w:shd w:val="clear" w:color="auto" w:fill="auto"/>
            <w:tcMar>
              <w:top w:w="40" w:type="dxa"/>
              <w:left w:w="20" w:type="dxa"/>
              <w:bottom w:w="40" w:type="dxa"/>
              <w:right w:w="20" w:type="dxa"/>
            </w:tcMar>
            <w:vAlign w:val="center"/>
          </w:tcPr>
          <w:p w14:paraId="36CA2ABC" w14:textId="77777777" w:rsidR="00787570" w:rsidRDefault="000D56E2">
            <w:pPr>
              <w:textAlignment w:val="center"/>
            </w:pPr>
            <w:r>
              <w:rPr>
                <w:rFonts w:ascii="Arial" w:eastAsia="宋体" w:hAnsi="Arial" w:cs="Arial"/>
                <w:color w:val="333333"/>
                <w:sz w:val="16"/>
                <w:szCs w:val="16"/>
              </w:rPr>
              <w:t>  Notes to Financial Statements</w:t>
            </w:r>
          </w:p>
        </w:tc>
        <w:tc>
          <w:tcPr>
            <w:tcW w:w="0" w:type="auto"/>
            <w:gridSpan w:val="3"/>
            <w:tcBorders>
              <w:top w:val="single" w:sz="8" w:space="0" w:color="0071C5"/>
            </w:tcBorders>
            <w:shd w:val="clear" w:color="auto" w:fill="auto"/>
            <w:tcMar>
              <w:top w:w="40" w:type="dxa"/>
              <w:left w:w="20" w:type="dxa"/>
              <w:bottom w:w="40" w:type="dxa"/>
              <w:right w:w="20" w:type="dxa"/>
            </w:tcMar>
            <w:vAlign w:val="center"/>
          </w:tcPr>
          <w:p w14:paraId="36CA2ABD" w14:textId="77777777" w:rsidR="00787570" w:rsidRDefault="000D56E2">
            <w:pPr>
              <w:jc w:val="right"/>
              <w:textAlignment w:val="center"/>
            </w:pPr>
            <w:r>
              <w:rPr>
                <w:rFonts w:ascii="Arial" w:eastAsia="宋体" w:hAnsi="Arial" w:cs="Arial"/>
                <w:color w:val="333333"/>
                <w:sz w:val="16"/>
                <w:szCs w:val="16"/>
              </w:rPr>
              <w:t>11</w:t>
            </w:r>
          </w:p>
        </w:tc>
      </w:tr>
    </w:tbl>
    <w:p w14:paraId="36CA2ABF" w14:textId="77777777" w:rsidR="00787570" w:rsidRDefault="000D56E2">
      <w:r>
        <w:pict w14:anchorId="36CA5C08">
          <v:rect id="_x0000_i1037" style="width:415.3pt;height:1.5pt" o:hralign="center" o:hrstd="t" o:hr="t" fillcolor="#a0a0a0" stroked="f"/>
        </w:pict>
      </w:r>
    </w:p>
    <w:p w14:paraId="36CA2AC0" w14:textId="77777777" w:rsidR="00787570" w:rsidRDefault="000D56E2">
      <w:pPr>
        <w:spacing w:after="180"/>
        <w:jc w:val="right"/>
      </w:pPr>
      <w:hyperlink r:id="rId39" w:anchor="i32771df14e9449d2bec5be911426bf04_7" w:history="1">
        <w:r>
          <w:rPr>
            <w:rStyle w:val="a5"/>
            <w:rFonts w:ascii="Arial" w:eastAsia="宋体" w:hAnsi="Arial" w:cs="Arial"/>
            <w:b/>
            <w:bCs/>
            <w:sz w:val="16"/>
            <w:szCs w:val="16"/>
          </w:rPr>
          <w:t>Table of Contents</w:t>
        </w:r>
      </w:hyperlink>
    </w:p>
    <w:p w14:paraId="36CA2AC1" w14:textId="77777777" w:rsidR="00787570" w:rsidRDefault="00787570">
      <w:pPr>
        <w:spacing w:after="180"/>
        <w:jc w:val="right"/>
      </w:pPr>
    </w:p>
    <w:p w14:paraId="36CA2AC2" w14:textId="77777777" w:rsidR="00787570" w:rsidRDefault="000D56E2">
      <w:pPr>
        <w:spacing w:after="120"/>
      </w:pPr>
      <w:r>
        <w:rPr>
          <w:rFonts w:ascii="Arial" w:eastAsia="宋体" w:hAnsi="Arial" w:cs="Arial"/>
          <w:color w:val="333333"/>
          <w:sz w:val="18"/>
          <w:szCs w:val="18"/>
        </w:rPr>
        <w:t>Disaggregated net revenue for each period was as follows:</w:t>
      </w:r>
    </w:p>
    <w:tbl>
      <w:tblPr>
        <w:tblW w:w="5000" w:type="pct"/>
        <w:tblCellMar>
          <w:top w:w="15" w:type="dxa"/>
          <w:left w:w="15" w:type="dxa"/>
          <w:bottom w:w="15" w:type="dxa"/>
          <w:right w:w="15" w:type="dxa"/>
        </w:tblCellMar>
        <w:tblLook w:val="04A0" w:firstRow="1" w:lastRow="0" w:firstColumn="1" w:lastColumn="0" w:noHBand="0" w:noVBand="1"/>
      </w:tblPr>
      <w:tblGrid>
        <w:gridCol w:w="40"/>
        <w:gridCol w:w="3759"/>
        <w:gridCol w:w="39"/>
        <w:gridCol w:w="36"/>
        <w:gridCol w:w="36"/>
        <w:gridCol w:w="36"/>
        <w:gridCol w:w="136"/>
        <w:gridCol w:w="730"/>
        <w:gridCol w:w="41"/>
        <w:gridCol w:w="36"/>
        <w:gridCol w:w="36"/>
        <w:gridCol w:w="36"/>
        <w:gridCol w:w="136"/>
        <w:gridCol w:w="732"/>
        <w:gridCol w:w="41"/>
        <w:gridCol w:w="36"/>
        <w:gridCol w:w="36"/>
        <w:gridCol w:w="36"/>
        <w:gridCol w:w="136"/>
        <w:gridCol w:w="732"/>
        <w:gridCol w:w="41"/>
        <w:gridCol w:w="36"/>
        <w:gridCol w:w="36"/>
        <w:gridCol w:w="36"/>
        <w:gridCol w:w="136"/>
        <w:gridCol w:w="732"/>
        <w:gridCol w:w="41"/>
        <w:gridCol w:w="36"/>
        <w:gridCol w:w="36"/>
        <w:gridCol w:w="36"/>
        <w:gridCol w:w="36"/>
        <w:gridCol w:w="36"/>
        <w:gridCol w:w="36"/>
        <w:gridCol w:w="36"/>
        <w:gridCol w:w="36"/>
        <w:gridCol w:w="36"/>
        <w:gridCol w:w="36"/>
        <w:gridCol w:w="36"/>
        <w:gridCol w:w="36"/>
      </w:tblGrid>
      <w:tr w:rsidR="00787570" w14:paraId="36CA2ADE" w14:textId="77777777">
        <w:trPr>
          <w:gridAfter w:val="12"/>
        </w:trPr>
        <w:tc>
          <w:tcPr>
            <w:tcW w:w="50" w:type="pct"/>
            <w:shd w:val="clear" w:color="auto" w:fill="auto"/>
          </w:tcPr>
          <w:p w14:paraId="36CA2AC3" w14:textId="77777777" w:rsidR="00787570" w:rsidRDefault="00787570">
            <w:pPr>
              <w:rPr>
                <w:rFonts w:ascii="宋体"/>
              </w:rPr>
            </w:pPr>
          </w:p>
        </w:tc>
        <w:tc>
          <w:tcPr>
            <w:tcW w:w="2431" w:type="pct"/>
            <w:shd w:val="clear" w:color="auto" w:fill="auto"/>
          </w:tcPr>
          <w:p w14:paraId="36CA2AC4" w14:textId="77777777" w:rsidR="00787570" w:rsidRDefault="00787570">
            <w:pPr>
              <w:rPr>
                <w:rFonts w:ascii="宋体"/>
              </w:rPr>
            </w:pPr>
          </w:p>
        </w:tc>
        <w:tc>
          <w:tcPr>
            <w:tcW w:w="5" w:type="pct"/>
            <w:shd w:val="clear" w:color="auto" w:fill="auto"/>
          </w:tcPr>
          <w:p w14:paraId="36CA2AC5" w14:textId="77777777" w:rsidR="00787570" w:rsidRDefault="00787570">
            <w:pPr>
              <w:rPr>
                <w:rFonts w:ascii="宋体"/>
              </w:rPr>
            </w:pPr>
          </w:p>
        </w:tc>
        <w:tc>
          <w:tcPr>
            <w:tcW w:w="5" w:type="pct"/>
            <w:shd w:val="clear" w:color="auto" w:fill="auto"/>
          </w:tcPr>
          <w:p w14:paraId="36CA2AC6" w14:textId="77777777" w:rsidR="00787570" w:rsidRDefault="00787570">
            <w:pPr>
              <w:rPr>
                <w:rFonts w:ascii="宋体"/>
              </w:rPr>
            </w:pPr>
          </w:p>
        </w:tc>
        <w:tc>
          <w:tcPr>
            <w:tcW w:w="24" w:type="pct"/>
            <w:shd w:val="clear" w:color="auto" w:fill="auto"/>
          </w:tcPr>
          <w:p w14:paraId="36CA2AC7" w14:textId="77777777" w:rsidR="00787570" w:rsidRDefault="00787570">
            <w:pPr>
              <w:rPr>
                <w:rFonts w:ascii="宋体"/>
              </w:rPr>
            </w:pPr>
          </w:p>
        </w:tc>
        <w:tc>
          <w:tcPr>
            <w:tcW w:w="5" w:type="pct"/>
            <w:shd w:val="clear" w:color="auto" w:fill="auto"/>
          </w:tcPr>
          <w:p w14:paraId="36CA2AC8" w14:textId="77777777" w:rsidR="00787570" w:rsidRDefault="00787570">
            <w:pPr>
              <w:rPr>
                <w:rFonts w:ascii="宋体"/>
              </w:rPr>
            </w:pPr>
          </w:p>
        </w:tc>
        <w:tc>
          <w:tcPr>
            <w:tcW w:w="50" w:type="pct"/>
            <w:shd w:val="clear" w:color="auto" w:fill="auto"/>
          </w:tcPr>
          <w:p w14:paraId="36CA2AC9" w14:textId="77777777" w:rsidR="00787570" w:rsidRDefault="00787570">
            <w:pPr>
              <w:rPr>
                <w:rFonts w:ascii="宋体"/>
              </w:rPr>
            </w:pPr>
          </w:p>
        </w:tc>
        <w:tc>
          <w:tcPr>
            <w:tcW w:w="539" w:type="pct"/>
            <w:shd w:val="clear" w:color="auto" w:fill="auto"/>
          </w:tcPr>
          <w:p w14:paraId="36CA2ACA" w14:textId="77777777" w:rsidR="00787570" w:rsidRDefault="00787570">
            <w:pPr>
              <w:rPr>
                <w:rFonts w:ascii="宋体"/>
              </w:rPr>
            </w:pPr>
          </w:p>
        </w:tc>
        <w:tc>
          <w:tcPr>
            <w:tcW w:w="5" w:type="pct"/>
            <w:shd w:val="clear" w:color="auto" w:fill="auto"/>
          </w:tcPr>
          <w:p w14:paraId="36CA2ACB" w14:textId="77777777" w:rsidR="00787570" w:rsidRDefault="00787570">
            <w:pPr>
              <w:rPr>
                <w:rFonts w:ascii="宋体"/>
              </w:rPr>
            </w:pPr>
          </w:p>
        </w:tc>
        <w:tc>
          <w:tcPr>
            <w:tcW w:w="5" w:type="pct"/>
            <w:shd w:val="clear" w:color="auto" w:fill="auto"/>
          </w:tcPr>
          <w:p w14:paraId="36CA2ACC" w14:textId="77777777" w:rsidR="00787570" w:rsidRDefault="00787570">
            <w:pPr>
              <w:rPr>
                <w:rFonts w:ascii="宋体"/>
              </w:rPr>
            </w:pPr>
          </w:p>
        </w:tc>
        <w:tc>
          <w:tcPr>
            <w:tcW w:w="24" w:type="pct"/>
            <w:shd w:val="clear" w:color="auto" w:fill="auto"/>
          </w:tcPr>
          <w:p w14:paraId="36CA2ACD" w14:textId="77777777" w:rsidR="00787570" w:rsidRDefault="00787570">
            <w:pPr>
              <w:rPr>
                <w:rFonts w:ascii="宋体"/>
              </w:rPr>
            </w:pPr>
          </w:p>
        </w:tc>
        <w:tc>
          <w:tcPr>
            <w:tcW w:w="5" w:type="pct"/>
            <w:shd w:val="clear" w:color="auto" w:fill="auto"/>
          </w:tcPr>
          <w:p w14:paraId="36CA2ACE" w14:textId="77777777" w:rsidR="00787570" w:rsidRDefault="00787570">
            <w:pPr>
              <w:rPr>
                <w:rFonts w:ascii="宋体"/>
              </w:rPr>
            </w:pPr>
          </w:p>
        </w:tc>
        <w:tc>
          <w:tcPr>
            <w:tcW w:w="50" w:type="pct"/>
            <w:shd w:val="clear" w:color="auto" w:fill="auto"/>
          </w:tcPr>
          <w:p w14:paraId="36CA2ACF" w14:textId="77777777" w:rsidR="00787570" w:rsidRDefault="00787570">
            <w:pPr>
              <w:rPr>
                <w:rFonts w:ascii="宋体"/>
              </w:rPr>
            </w:pPr>
          </w:p>
        </w:tc>
        <w:tc>
          <w:tcPr>
            <w:tcW w:w="539" w:type="pct"/>
            <w:shd w:val="clear" w:color="auto" w:fill="auto"/>
          </w:tcPr>
          <w:p w14:paraId="36CA2AD0" w14:textId="77777777" w:rsidR="00787570" w:rsidRDefault="00787570">
            <w:pPr>
              <w:rPr>
                <w:rFonts w:ascii="宋体"/>
              </w:rPr>
            </w:pPr>
          </w:p>
        </w:tc>
        <w:tc>
          <w:tcPr>
            <w:tcW w:w="5" w:type="pct"/>
            <w:shd w:val="clear" w:color="auto" w:fill="auto"/>
          </w:tcPr>
          <w:p w14:paraId="36CA2AD1" w14:textId="77777777" w:rsidR="00787570" w:rsidRDefault="00787570">
            <w:pPr>
              <w:rPr>
                <w:rFonts w:ascii="宋体"/>
              </w:rPr>
            </w:pPr>
          </w:p>
        </w:tc>
        <w:tc>
          <w:tcPr>
            <w:tcW w:w="5" w:type="pct"/>
            <w:shd w:val="clear" w:color="auto" w:fill="auto"/>
          </w:tcPr>
          <w:p w14:paraId="36CA2AD2" w14:textId="77777777" w:rsidR="00787570" w:rsidRDefault="00787570">
            <w:pPr>
              <w:rPr>
                <w:rFonts w:ascii="宋体"/>
              </w:rPr>
            </w:pPr>
          </w:p>
        </w:tc>
        <w:tc>
          <w:tcPr>
            <w:tcW w:w="24" w:type="pct"/>
            <w:shd w:val="clear" w:color="auto" w:fill="auto"/>
          </w:tcPr>
          <w:p w14:paraId="36CA2AD3" w14:textId="77777777" w:rsidR="00787570" w:rsidRDefault="00787570">
            <w:pPr>
              <w:rPr>
                <w:rFonts w:ascii="宋体"/>
              </w:rPr>
            </w:pPr>
          </w:p>
        </w:tc>
        <w:tc>
          <w:tcPr>
            <w:tcW w:w="5" w:type="pct"/>
            <w:shd w:val="clear" w:color="auto" w:fill="auto"/>
          </w:tcPr>
          <w:p w14:paraId="36CA2AD4" w14:textId="77777777" w:rsidR="00787570" w:rsidRDefault="00787570">
            <w:pPr>
              <w:rPr>
                <w:rFonts w:ascii="宋体"/>
              </w:rPr>
            </w:pPr>
          </w:p>
        </w:tc>
        <w:tc>
          <w:tcPr>
            <w:tcW w:w="50" w:type="pct"/>
            <w:shd w:val="clear" w:color="auto" w:fill="auto"/>
          </w:tcPr>
          <w:p w14:paraId="36CA2AD5" w14:textId="77777777" w:rsidR="00787570" w:rsidRDefault="00787570">
            <w:pPr>
              <w:rPr>
                <w:rFonts w:ascii="宋体"/>
              </w:rPr>
            </w:pPr>
          </w:p>
        </w:tc>
        <w:tc>
          <w:tcPr>
            <w:tcW w:w="539" w:type="pct"/>
            <w:shd w:val="clear" w:color="auto" w:fill="auto"/>
          </w:tcPr>
          <w:p w14:paraId="36CA2AD6" w14:textId="77777777" w:rsidR="00787570" w:rsidRDefault="00787570">
            <w:pPr>
              <w:rPr>
                <w:rFonts w:ascii="宋体"/>
              </w:rPr>
            </w:pPr>
          </w:p>
        </w:tc>
        <w:tc>
          <w:tcPr>
            <w:tcW w:w="5" w:type="pct"/>
            <w:shd w:val="clear" w:color="auto" w:fill="auto"/>
          </w:tcPr>
          <w:p w14:paraId="36CA2AD7" w14:textId="77777777" w:rsidR="00787570" w:rsidRDefault="00787570">
            <w:pPr>
              <w:rPr>
                <w:rFonts w:ascii="宋体"/>
              </w:rPr>
            </w:pPr>
          </w:p>
        </w:tc>
        <w:tc>
          <w:tcPr>
            <w:tcW w:w="5" w:type="pct"/>
            <w:shd w:val="clear" w:color="auto" w:fill="auto"/>
          </w:tcPr>
          <w:p w14:paraId="36CA2AD8" w14:textId="77777777" w:rsidR="00787570" w:rsidRDefault="00787570">
            <w:pPr>
              <w:rPr>
                <w:rFonts w:ascii="宋体"/>
              </w:rPr>
            </w:pPr>
          </w:p>
        </w:tc>
        <w:tc>
          <w:tcPr>
            <w:tcW w:w="24" w:type="pct"/>
            <w:shd w:val="clear" w:color="auto" w:fill="auto"/>
          </w:tcPr>
          <w:p w14:paraId="36CA2AD9" w14:textId="77777777" w:rsidR="00787570" w:rsidRDefault="00787570">
            <w:pPr>
              <w:rPr>
                <w:rFonts w:ascii="宋体"/>
              </w:rPr>
            </w:pPr>
          </w:p>
        </w:tc>
        <w:tc>
          <w:tcPr>
            <w:tcW w:w="5" w:type="pct"/>
            <w:shd w:val="clear" w:color="auto" w:fill="auto"/>
          </w:tcPr>
          <w:p w14:paraId="36CA2ADA" w14:textId="77777777" w:rsidR="00787570" w:rsidRDefault="00787570">
            <w:pPr>
              <w:rPr>
                <w:rFonts w:ascii="宋体"/>
              </w:rPr>
            </w:pPr>
          </w:p>
        </w:tc>
        <w:tc>
          <w:tcPr>
            <w:tcW w:w="50" w:type="pct"/>
            <w:shd w:val="clear" w:color="auto" w:fill="auto"/>
          </w:tcPr>
          <w:p w14:paraId="36CA2ADB" w14:textId="77777777" w:rsidR="00787570" w:rsidRDefault="00787570">
            <w:pPr>
              <w:rPr>
                <w:rFonts w:ascii="宋体"/>
              </w:rPr>
            </w:pPr>
          </w:p>
        </w:tc>
        <w:tc>
          <w:tcPr>
            <w:tcW w:w="539" w:type="pct"/>
            <w:shd w:val="clear" w:color="auto" w:fill="auto"/>
          </w:tcPr>
          <w:p w14:paraId="36CA2ADC" w14:textId="77777777" w:rsidR="00787570" w:rsidRDefault="00787570">
            <w:pPr>
              <w:rPr>
                <w:rFonts w:ascii="宋体"/>
              </w:rPr>
            </w:pPr>
          </w:p>
        </w:tc>
        <w:tc>
          <w:tcPr>
            <w:tcW w:w="5" w:type="pct"/>
            <w:shd w:val="clear" w:color="auto" w:fill="auto"/>
          </w:tcPr>
          <w:p w14:paraId="36CA2ADD" w14:textId="77777777" w:rsidR="00787570" w:rsidRDefault="00787570">
            <w:pPr>
              <w:rPr>
                <w:rFonts w:ascii="宋体"/>
              </w:rPr>
            </w:pPr>
          </w:p>
        </w:tc>
      </w:tr>
      <w:tr w:rsidR="00787570" w14:paraId="36CA2AE8" w14:textId="77777777">
        <w:tc>
          <w:tcPr>
            <w:tcW w:w="0" w:type="auto"/>
            <w:gridSpan w:val="3"/>
            <w:shd w:val="clear" w:color="auto" w:fill="auto"/>
            <w:tcMar>
              <w:left w:w="20" w:type="dxa"/>
              <w:right w:w="20" w:type="dxa"/>
            </w:tcMar>
            <w:vAlign w:val="bottom"/>
          </w:tcPr>
          <w:p w14:paraId="36CA2ADF"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2AE0" w14:textId="77777777" w:rsidR="00787570" w:rsidRDefault="00787570">
            <w:pPr>
              <w:rPr>
                <w:rFonts w:ascii="宋体"/>
              </w:rPr>
            </w:pPr>
          </w:p>
        </w:tc>
        <w:tc>
          <w:tcPr>
            <w:tcW w:w="0" w:type="auto"/>
            <w:gridSpan w:val="9"/>
            <w:shd w:val="clear" w:color="auto" w:fill="auto"/>
            <w:tcMar>
              <w:top w:w="40" w:type="dxa"/>
              <w:left w:w="20" w:type="dxa"/>
              <w:bottom w:w="40" w:type="dxa"/>
              <w:right w:w="20" w:type="dxa"/>
            </w:tcMar>
            <w:vAlign w:val="bottom"/>
          </w:tcPr>
          <w:p w14:paraId="36CA2AE1" w14:textId="77777777" w:rsidR="00787570" w:rsidRDefault="000D56E2">
            <w:pPr>
              <w:jc w:val="center"/>
              <w:textAlignment w:val="bottom"/>
            </w:pPr>
            <w:r>
              <w:rPr>
                <w:rFonts w:ascii="Arial" w:eastAsia="宋体" w:hAnsi="Arial" w:cs="Arial"/>
                <w:b/>
                <w:bCs/>
                <w:color w:val="333333"/>
                <w:sz w:val="18"/>
                <w:szCs w:val="18"/>
              </w:rPr>
              <w:t>Three Months Ended</w:t>
            </w:r>
          </w:p>
        </w:tc>
        <w:tc>
          <w:tcPr>
            <w:tcW w:w="0" w:type="auto"/>
            <w:gridSpan w:val="3"/>
            <w:shd w:val="clear" w:color="auto" w:fill="auto"/>
          </w:tcPr>
          <w:p w14:paraId="36CA2AE2" w14:textId="77777777" w:rsidR="00787570" w:rsidRDefault="00787570">
            <w:pPr>
              <w:rPr>
                <w:rFonts w:ascii="宋体"/>
                <w:vanish/>
              </w:rPr>
            </w:pPr>
          </w:p>
        </w:tc>
        <w:tc>
          <w:tcPr>
            <w:tcW w:w="0" w:type="auto"/>
            <w:gridSpan w:val="3"/>
            <w:shd w:val="clear" w:color="auto" w:fill="auto"/>
          </w:tcPr>
          <w:p w14:paraId="36CA2AE3" w14:textId="77777777" w:rsidR="00787570" w:rsidRDefault="00787570">
            <w:pPr>
              <w:rPr>
                <w:rFonts w:ascii="宋体"/>
                <w:vanish/>
              </w:rPr>
            </w:pPr>
          </w:p>
        </w:tc>
        <w:tc>
          <w:tcPr>
            <w:tcW w:w="0" w:type="auto"/>
            <w:gridSpan w:val="3"/>
            <w:shd w:val="clear" w:color="auto" w:fill="auto"/>
            <w:tcMar>
              <w:left w:w="20" w:type="dxa"/>
              <w:right w:w="20" w:type="dxa"/>
            </w:tcMar>
            <w:vAlign w:val="bottom"/>
          </w:tcPr>
          <w:p w14:paraId="36CA2AE4" w14:textId="77777777" w:rsidR="00787570" w:rsidRDefault="00787570">
            <w:pPr>
              <w:rPr>
                <w:rFonts w:ascii="宋体"/>
              </w:rPr>
            </w:pPr>
          </w:p>
        </w:tc>
        <w:tc>
          <w:tcPr>
            <w:tcW w:w="0" w:type="auto"/>
            <w:gridSpan w:val="9"/>
            <w:shd w:val="clear" w:color="auto" w:fill="auto"/>
            <w:tcMar>
              <w:top w:w="40" w:type="dxa"/>
              <w:left w:w="20" w:type="dxa"/>
              <w:bottom w:w="40" w:type="dxa"/>
              <w:right w:w="20" w:type="dxa"/>
            </w:tcMar>
            <w:vAlign w:val="bottom"/>
          </w:tcPr>
          <w:p w14:paraId="36CA2AE5" w14:textId="77777777" w:rsidR="00787570" w:rsidRDefault="000D56E2">
            <w:pPr>
              <w:jc w:val="center"/>
              <w:textAlignment w:val="bottom"/>
            </w:pPr>
            <w:r>
              <w:rPr>
                <w:rFonts w:ascii="Arial" w:eastAsia="宋体" w:hAnsi="Arial" w:cs="Arial"/>
                <w:b/>
                <w:bCs/>
                <w:color w:val="333333"/>
                <w:sz w:val="18"/>
                <w:szCs w:val="18"/>
              </w:rPr>
              <w:t>Nine Months Ended</w:t>
            </w:r>
          </w:p>
        </w:tc>
        <w:tc>
          <w:tcPr>
            <w:tcW w:w="0" w:type="auto"/>
            <w:gridSpan w:val="3"/>
            <w:shd w:val="clear" w:color="auto" w:fill="auto"/>
          </w:tcPr>
          <w:p w14:paraId="36CA2AE6" w14:textId="77777777" w:rsidR="00787570" w:rsidRDefault="00787570">
            <w:pPr>
              <w:rPr>
                <w:rFonts w:ascii="宋体"/>
                <w:vanish/>
              </w:rPr>
            </w:pPr>
          </w:p>
        </w:tc>
        <w:tc>
          <w:tcPr>
            <w:tcW w:w="0" w:type="auto"/>
            <w:gridSpan w:val="3"/>
            <w:shd w:val="clear" w:color="auto" w:fill="auto"/>
          </w:tcPr>
          <w:p w14:paraId="36CA2AE7" w14:textId="77777777" w:rsidR="00787570" w:rsidRDefault="00787570">
            <w:pPr>
              <w:rPr>
                <w:rFonts w:ascii="宋体"/>
                <w:vanish/>
              </w:rPr>
            </w:pPr>
          </w:p>
        </w:tc>
      </w:tr>
      <w:tr w:rsidR="00787570" w14:paraId="36CA2AFE" w14:textId="77777777">
        <w:tc>
          <w:tcPr>
            <w:tcW w:w="0" w:type="auto"/>
            <w:gridSpan w:val="3"/>
            <w:shd w:val="clear" w:color="auto" w:fill="auto"/>
            <w:tcMar>
              <w:top w:w="40" w:type="dxa"/>
              <w:left w:w="20" w:type="dxa"/>
              <w:bottom w:w="40" w:type="dxa"/>
              <w:right w:w="20" w:type="dxa"/>
            </w:tcMar>
            <w:vAlign w:val="bottom"/>
          </w:tcPr>
          <w:p w14:paraId="36CA2AE9" w14:textId="77777777" w:rsidR="00787570" w:rsidRDefault="000D56E2">
            <w:pPr>
              <w:textAlignment w:val="bottom"/>
            </w:pPr>
            <w:r>
              <w:rPr>
                <w:rFonts w:ascii="Arial" w:eastAsia="宋体" w:hAnsi="Arial" w:cs="Arial"/>
                <w:b/>
                <w:bCs/>
                <w:color w:val="333333"/>
                <w:sz w:val="18"/>
                <w:szCs w:val="18"/>
              </w:rPr>
              <w:t>(In Millions)</w:t>
            </w:r>
          </w:p>
        </w:tc>
        <w:tc>
          <w:tcPr>
            <w:tcW w:w="0" w:type="auto"/>
            <w:gridSpan w:val="3"/>
            <w:shd w:val="clear" w:color="auto" w:fill="auto"/>
            <w:tcMar>
              <w:left w:w="20" w:type="dxa"/>
              <w:right w:w="20" w:type="dxa"/>
            </w:tcMar>
            <w:vAlign w:val="bottom"/>
          </w:tcPr>
          <w:p w14:paraId="36CA2AEA" w14:textId="77777777" w:rsidR="00787570" w:rsidRDefault="00787570">
            <w:pPr>
              <w:rPr>
                <w:rFonts w:ascii="宋体"/>
              </w:rPr>
            </w:pPr>
          </w:p>
        </w:tc>
        <w:tc>
          <w:tcPr>
            <w:tcW w:w="0" w:type="auto"/>
            <w:gridSpan w:val="3"/>
            <w:tcBorders>
              <w:top w:val="single" w:sz="8" w:space="0" w:color="0071C5"/>
            </w:tcBorders>
            <w:shd w:val="clear" w:color="auto" w:fill="auto"/>
            <w:tcMar>
              <w:top w:w="40" w:type="dxa"/>
              <w:left w:w="20" w:type="dxa"/>
              <w:bottom w:w="40" w:type="dxa"/>
              <w:right w:w="20" w:type="dxa"/>
            </w:tcMar>
            <w:vAlign w:val="bottom"/>
          </w:tcPr>
          <w:p w14:paraId="36CA2AEB" w14:textId="77777777" w:rsidR="00787570" w:rsidRDefault="000D56E2">
            <w:pPr>
              <w:jc w:val="center"/>
              <w:textAlignment w:val="bottom"/>
            </w:pPr>
            <w:r>
              <w:rPr>
                <w:rFonts w:ascii="Arial" w:eastAsia="宋体" w:hAnsi="Arial" w:cs="Arial"/>
                <w:b/>
                <w:bCs/>
                <w:color w:val="333333"/>
                <w:sz w:val="18"/>
                <w:szCs w:val="18"/>
              </w:rPr>
              <w:t>Sep 26, 2020</w:t>
            </w:r>
          </w:p>
        </w:tc>
        <w:tc>
          <w:tcPr>
            <w:tcW w:w="0" w:type="auto"/>
            <w:gridSpan w:val="3"/>
            <w:tcBorders>
              <w:top w:val="single" w:sz="8" w:space="0" w:color="0071C5"/>
            </w:tcBorders>
            <w:shd w:val="clear" w:color="auto" w:fill="auto"/>
            <w:tcMar>
              <w:left w:w="20" w:type="dxa"/>
              <w:right w:w="20" w:type="dxa"/>
            </w:tcMar>
            <w:vAlign w:val="bottom"/>
          </w:tcPr>
          <w:p w14:paraId="36CA2AEC" w14:textId="77777777" w:rsidR="00787570" w:rsidRDefault="00787570">
            <w:pPr>
              <w:rPr>
                <w:rFonts w:ascii="宋体"/>
              </w:rPr>
            </w:pPr>
          </w:p>
        </w:tc>
        <w:tc>
          <w:tcPr>
            <w:tcW w:w="0" w:type="auto"/>
            <w:gridSpan w:val="3"/>
            <w:tcBorders>
              <w:top w:val="single" w:sz="8" w:space="0" w:color="0071C5"/>
            </w:tcBorders>
            <w:shd w:val="clear" w:color="auto" w:fill="auto"/>
            <w:tcMar>
              <w:top w:w="40" w:type="dxa"/>
              <w:left w:w="20" w:type="dxa"/>
              <w:bottom w:w="40" w:type="dxa"/>
              <w:right w:w="20" w:type="dxa"/>
            </w:tcMar>
            <w:vAlign w:val="bottom"/>
          </w:tcPr>
          <w:p w14:paraId="36CA2AED" w14:textId="77777777" w:rsidR="00787570" w:rsidRDefault="000D56E2">
            <w:pPr>
              <w:jc w:val="center"/>
              <w:textAlignment w:val="bottom"/>
            </w:pPr>
            <w:r>
              <w:rPr>
                <w:rFonts w:ascii="Arial" w:eastAsia="宋体" w:hAnsi="Arial" w:cs="Arial"/>
                <w:b/>
                <w:bCs/>
                <w:color w:val="333333"/>
                <w:sz w:val="18"/>
                <w:szCs w:val="18"/>
              </w:rPr>
              <w:t>Sep 28, 2019</w:t>
            </w:r>
          </w:p>
        </w:tc>
        <w:tc>
          <w:tcPr>
            <w:tcW w:w="0" w:type="auto"/>
            <w:gridSpan w:val="3"/>
            <w:shd w:val="clear" w:color="auto" w:fill="auto"/>
            <w:tcMar>
              <w:left w:w="20" w:type="dxa"/>
              <w:right w:w="20" w:type="dxa"/>
            </w:tcMar>
            <w:vAlign w:val="bottom"/>
          </w:tcPr>
          <w:p w14:paraId="36CA2AEE" w14:textId="77777777" w:rsidR="00787570" w:rsidRDefault="00787570">
            <w:pPr>
              <w:rPr>
                <w:rFonts w:ascii="宋体"/>
              </w:rPr>
            </w:pPr>
          </w:p>
        </w:tc>
        <w:tc>
          <w:tcPr>
            <w:tcW w:w="0" w:type="auto"/>
            <w:gridSpan w:val="3"/>
            <w:tcBorders>
              <w:top w:val="single" w:sz="8" w:space="0" w:color="0071C5"/>
            </w:tcBorders>
            <w:shd w:val="clear" w:color="auto" w:fill="auto"/>
            <w:tcMar>
              <w:top w:w="40" w:type="dxa"/>
              <w:left w:w="20" w:type="dxa"/>
              <w:bottom w:w="40" w:type="dxa"/>
              <w:right w:w="20" w:type="dxa"/>
            </w:tcMar>
            <w:vAlign w:val="bottom"/>
          </w:tcPr>
          <w:p w14:paraId="36CA2AEF" w14:textId="77777777" w:rsidR="00787570" w:rsidRDefault="000D56E2">
            <w:pPr>
              <w:jc w:val="center"/>
              <w:textAlignment w:val="bottom"/>
            </w:pPr>
            <w:r>
              <w:rPr>
                <w:rFonts w:ascii="Arial" w:eastAsia="宋体" w:hAnsi="Arial" w:cs="Arial"/>
                <w:b/>
                <w:bCs/>
                <w:color w:val="333333"/>
                <w:sz w:val="18"/>
                <w:szCs w:val="18"/>
              </w:rPr>
              <w:t>Sep 26, 2020</w:t>
            </w:r>
          </w:p>
        </w:tc>
        <w:tc>
          <w:tcPr>
            <w:tcW w:w="0" w:type="auto"/>
            <w:gridSpan w:val="3"/>
            <w:tcBorders>
              <w:top w:val="single" w:sz="8" w:space="0" w:color="0071C5"/>
            </w:tcBorders>
            <w:shd w:val="clear" w:color="auto" w:fill="auto"/>
            <w:tcMar>
              <w:left w:w="20" w:type="dxa"/>
              <w:right w:w="20" w:type="dxa"/>
            </w:tcMar>
            <w:vAlign w:val="bottom"/>
          </w:tcPr>
          <w:p w14:paraId="36CA2AF0" w14:textId="77777777" w:rsidR="00787570" w:rsidRDefault="00787570">
            <w:pPr>
              <w:rPr>
                <w:rFonts w:ascii="宋体"/>
              </w:rPr>
            </w:pPr>
          </w:p>
        </w:tc>
        <w:tc>
          <w:tcPr>
            <w:tcW w:w="0" w:type="auto"/>
            <w:gridSpan w:val="3"/>
            <w:tcBorders>
              <w:top w:val="single" w:sz="8" w:space="0" w:color="0071C5"/>
            </w:tcBorders>
            <w:shd w:val="clear" w:color="auto" w:fill="auto"/>
            <w:tcMar>
              <w:top w:w="40" w:type="dxa"/>
              <w:left w:w="20" w:type="dxa"/>
              <w:bottom w:w="40" w:type="dxa"/>
              <w:right w:w="20" w:type="dxa"/>
            </w:tcMar>
            <w:vAlign w:val="bottom"/>
          </w:tcPr>
          <w:p w14:paraId="36CA2AF1" w14:textId="77777777" w:rsidR="00787570" w:rsidRDefault="000D56E2">
            <w:pPr>
              <w:jc w:val="center"/>
              <w:textAlignment w:val="bottom"/>
            </w:pPr>
            <w:r>
              <w:rPr>
                <w:rFonts w:ascii="Arial" w:eastAsia="宋体" w:hAnsi="Arial" w:cs="Arial"/>
                <w:b/>
                <w:bCs/>
                <w:color w:val="333333"/>
                <w:sz w:val="18"/>
                <w:szCs w:val="18"/>
              </w:rPr>
              <w:t>Sep 28, 2019</w:t>
            </w:r>
          </w:p>
        </w:tc>
        <w:tc>
          <w:tcPr>
            <w:tcW w:w="0" w:type="auto"/>
            <w:shd w:val="clear" w:color="auto" w:fill="auto"/>
          </w:tcPr>
          <w:p w14:paraId="36CA2AF2" w14:textId="77777777" w:rsidR="00787570" w:rsidRDefault="00787570">
            <w:pPr>
              <w:rPr>
                <w:rFonts w:ascii="宋体"/>
              </w:rPr>
            </w:pPr>
          </w:p>
        </w:tc>
        <w:tc>
          <w:tcPr>
            <w:tcW w:w="0" w:type="auto"/>
            <w:shd w:val="clear" w:color="auto" w:fill="auto"/>
          </w:tcPr>
          <w:p w14:paraId="36CA2AF3" w14:textId="77777777" w:rsidR="00787570" w:rsidRDefault="00787570">
            <w:pPr>
              <w:rPr>
                <w:rFonts w:ascii="宋体"/>
              </w:rPr>
            </w:pPr>
          </w:p>
        </w:tc>
        <w:tc>
          <w:tcPr>
            <w:tcW w:w="0" w:type="auto"/>
            <w:shd w:val="clear" w:color="auto" w:fill="auto"/>
          </w:tcPr>
          <w:p w14:paraId="36CA2AF4" w14:textId="77777777" w:rsidR="00787570" w:rsidRDefault="00787570">
            <w:pPr>
              <w:rPr>
                <w:rFonts w:ascii="宋体"/>
              </w:rPr>
            </w:pPr>
          </w:p>
        </w:tc>
        <w:tc>
          <w:tcPr>
            <w:tcW w:w="0" w:type="auto"/>
            <w:shd w:val="clear" w:color="auto" w:fill="auto"/>
          </w:tcPr>
          <w:p w14:paraId="36CA2AF5" w14:textId="77777777" w:rsidR="00787570" w:rsidRDefault="00787570">
            <w:pPr>
              <w:rPr>
                <w:rFonts w:ascii="宋体"/>
              </w:rPr>
            </w:pPr>
          </w:p>
        </w:tc>
        <w:tc>
          <w:tcPr>
            <w:tcW w:w="0" w:type="auto"/>
            <w:shd w:val="clear" w:color="auto" w:fill="auto"/>
          </w:tcPr>
          <w:p w14:paraId="36CA2AF6" w14:textId="77777777" w:rsidR="00787570" w:rsidRDefault="00787570">
            <w:pPr>
              <w:rPr>
                <w:rFonts w:ascii="宋体"/>
              </w:rPr>
            </w:pPr>
          </w:p>
        </w:tc>
        <w:tc>
          <w:tcPr>
            <w:tcW w:w="0" w:type="auto"/>
            <w:shd w:val="clear" w:color="auto" w:fill="auto"/>
          </w:tcPr>
          <w:p w14:paraId="36CA2AF7" w14:textId="77777777" w:rsidR="00787570" w:rsidRDefault="00787570">
            <w:pPr>
              <w:rPr>
                <w:rFonts w:ascii="宋体"/>
              </w:rPr>
            </w:pPr>
          </w:p>
        </w:tc>
        <w:tc>
          <w:tcPr>
            <w:tcW w:w="0" w:type="auto"/>
            <w:shd w:val="clear" w:color="auto" w:fill="auto"/>
          </w:tcPr>
          <w:p w14:paraId="36CA2AF8" w14:textId="77777777" w:rsidR="00787570" w:rsidRDefault="00787570">
            <w:pPr>
              <w:rPr>
                <w:rFonts w:ascii="宋体"/>
              </w:rPr>
            </w:pPr>
          </w:p>
        </w:tc>
        <w:tc>
          <w:tcPr>
            <w:tcW w:w="0" w:type="auto"/>
            <w:shd w:val="clear" w:color="auto" w:fill="auto"/>
          </w:tcPr>
          <w:p w14:paraId="36CA2AF9" w14:textId="77777777" w:rsidR="00787570" w:rsidRDefault="00787570">
            <w:pPr>
              <w:rPr>
                <w:rFonts w:ascii="宋体"/>
              </w:rPr>
            </w:pPr>
          </w:p>
        </w:tc>
        <w:tc>
          <w:tcPr>
            <w:tcW w:w="0" w:type="auto"/>
            <w:shd w:val="clear" w:color="auto" w:fill="auto"/>
          </w:tcPr>
          <w:p w14:paraId="36CA2AFA" w14:textId="77777777" w:rsidR="00787570" w:rsidRDefault="00787570">
            <w:pPr>
              <w:rPr>
                <w:rFonts w:ascii="宋体"/>
              </w:rPr>
            </w:pPr>
          </w:p>
        </w:tc>
        <w:tc>
          <w:tcPr>
            <w:tcW w:w="0" w:type="auto"/>
            <w:shd w:val="clear" w:color="auto" w:fill="auto"/>
          </w:tcPr>
          <w:p w14:paraId="36CA2AFB" w14:textId="77777777" w:rsidR="00787570" w:rsidRDefault="00787570">
            <w:pPr>
              <w:rPr>
                <w:rFonts w:ascii="宋体"/>
              </w:rPr>
            </w:pPr>
          </w:p>
        </w:tc>
        <w:tc>
          <w:tcPr>
            <w:tcW w:w="0" w:type="auto"/>
            <w:shd w:val="clear" w:color="auto" w:fill="auto"/>
          </w:tcPr>
          <w:p w14:paraId="36CA2AFC" w14:textId="77777777" w:rsidR="00787570" w:rsidRDefault="00787570">
            <w:pPr>
              <w:rPr>
                <w:rFonts w:ascii="宋体"/>
              </w:rPr>
            </w:pPr>
          </w:p>
        </w:tc>
        <w:tc>
          <w:tcPr>
            <w:tcW w:w="0" w:type="auto"/>
            <w:shd w:val="clear" w:color="auto" w:fill="auto"/>
          </w:tcPr>
          <w:p w14:paraId="36CA2AFD" w14:textId="77777777" w:rsidR="00787570" w:rsidRDefault="00787570">
            <w:pPr>
              <w:rPr>
                <w:rFonts w:ascii="宋体"/>
              </w:rPr>
            </w:pPr>
          </w:p>
        </w:tc>
      </w:tr>
      <w:tr w:rsidR="00787570" w14:paraId="36CA2B14" w14:textId="77777777">
        <w:tc>
          <w:tcPr>
            <w:tcW w:w="0" w:type="auto"/>
            <w:gridSpan w:val="3"/>
            <w:tcBorders>
              <w:top w:val="single" w:sz="8" w:space="0" w:color="0071C5"/>
            </w:tcBorders>
            <w:shd w:val="clear" w:color="auto" w:fill="auto"/>
            <w:tcMar>
              <w:top w:w="40" w:type="dxa"/>
              <w:left w:w="135" w:type="dxa"/>
              <w:bottom w:w="40" w:type="dxa"/>
              <w:right w:w="20" w:type="dxa"/>
            </w:tcMar>
            <w:vAlign w:val="bottom"/>
          </w:tcPr>
          <w:p w14:paraId="36CA2AFF" w14:textId="77777777" w:rsidR="00787570" w:rsidRDefault="000D56E2">
            <w:pPr>
              <w:textAlignment w:val="bottom"/>
            </w:pPr>
            <w:r>
              <w:rPr>
                <w:rFonts w:ascii="Arial" w:eastAsia="宋体" w:hAnsi="Arial" w:cs="Arial"/>
                <w:b/>
                <w:bCs/>
                <w:color w:val="333333"/>
                <w:sz w:val="18"/>
                <w:szCs w:val="18"/>
              </w:rPr>
              <w:t>Platfor</w:t>
            </w:r>
            <w:r>
              <w:rPr>
                <w:rFonts w:ascii="Arial" w:eastAsia="宋体" w:hAnsi="Arial" w:cs="Arial"/>
                <w:b/>
                <w:bCs/>
                <w:color w:val="333333"/>
                <w:sz w:val="18"/>
                <w:szCs w:val="18"/>
              </w:rPr>
              <w:t>m revenue</w:t>
            </w:r>
          </w:p>
        </w:tc>
        <w:tc>
          <w:tcPr>
            <w:tcW w:w="0" w:type="auto"/>
            <w:gridSpan w:val="3"/>
            <w:shd w:val="clear" w:color="auto" w:fill="auto"/>
            <w:tcMar>
              <w:left w:w="20" w:type="dxa"/>
              <w:right w:w="20" w:type="dxa"/>
            </w:tcMar>
            <w:vAlign w:val="bottom"/>
          </w:tcPr>
          <w:p w14:paraId="36CA2B00" w14:textId="77777777" w:rsidR="00787570" w:rsidRDefault="00787570">
            <w:pPr>
              <w:rPr>
                <w:rFonts w:ascii="宋体"/>
              </w:rPr>
            </w:pPr>
          </w:p>
        </w:tc>
        <w:tc>
          <w:tcPr>
            <w:tcW w:w="0" w:type="auto"/>
            <w:gridSpan w:val="3"/>
            <w:tcBorders>
              <w:top w:val="single" w:sz="8" w:space="0" w:color="0071C5"/>
            </w:tcBorders>
            <w:shd w:val="clear" w:color="auto" w:fill="auto"/>
            <w:tcMar>
              <w:left w:w="20" w:type="dxa"/>
              <w:right w:w="20" w:type="dxa"/>
            </w:tcMar>
            <w:vAlign w:val="bottom"/>
          </w:tcPr>
          <w:p w14:paraId="36CA2B01"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2B02" w14:textId="77777777" w:rsidR="00787570" w:rsidRDefault="00787570">
            <w:pPr>
              <w:rPr>
                <w:rFonts w:ascii="宋体"/>
              </w:rPr>
            </w:pPr>
          </w:p>
        </w:tc>
        <w:tc>
          <w:tcPr>
            <w:tcW w:w="0" w:type="auto"/>
            <w:gridSpan w:val="3"/>
            <w:tcBorders>
              <w:top w:val="single" w:sz="8" w:space="0" w:color="0071C5"/>
            </w:tcBorders>
            <w:shd w:val="clear" w:color="auto" w:fill="auto"/>
            <w:tcMar>
              <w:left w:w="20" w:type="dxa"/>
              <w:right w:w="20" w:type="dxa"/>
            </w:tcMar>
            <w:vAlign w:val="bottom"/>
          </w:tcPr>
          <w:p w14:paraId="36CA2B03"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2B04" w14:textId="77777777" w:rsidR="00787570" w:rsidRDefault="00787570">
            <w:pPr>
              <w:rPr>
                <w:rFonts w:ascii="宋体"/>
              </w:rPr>
            </w:pPr>
          </w:p>
        </w:tc>
        <w:tc>
          <w:tcPr>
            <w:tcW w:w="0" w:type="auto"/>
            <w:gridSpan w:val="3"/>
            <w:tcBorders>
              <w:top w:val="single" w:sz="8" w:space="0" w:color="0071C5"/>
            </w:tcBorders>
            <w:shd w:val="clear" w:color="auto" w:fill="auto"/>
            <w:tcMar>
              <w:left w:w="20" w:type="dxa"/>
              <w:right w:w="20" w:type="dxa"/>
            </w:tcMar>
            <w:vAlign w:val="bottom"/>
          </w:tcPr>
          <w:p w14:paraId="36CA2B05"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2B06" w14:textId="77777777" w:rsidR="00787570" w:rsidRDefault="00787570">
            <w:pPr>
              <w:rPr>
                <w:rFonts w:ascii="宋体"/>
              </w:rPr>
            </w:pPr>
          </w:p>
        </w:tc>
        <w:tc>
          <w:tcPr>
            <w:tcW w:w="0" w:type="auto"/>
            <w:gridSpan w:val="3"/>
            <w:tcBorders>
              <w:top w:val="single" w:sz="8" w:space="0" w:color="0071C5"/>
            </w:tcBorders>
            <w:shd w:val="clear" w:color="auto" w:fill="auto"/>
            <w:tcMar>
              <w:left w:w="20" w:type="dxa"/>
              <w:right w:w="20" w:type="dxa"/>
            </w:tcMar>
            <w:vAlign w:val="bottom"/>
          </w:tcPr>
          <w:p w14:paraId="36CA2B07" w14:textId="77777777" w:rsidR="00787570" w:rsidRDefault="00787570">
            <w:pPr>
              <w:rPr>
                <w:rFonts w:ascii="宋体"/>
              </w:rPr>
            </w:pPr>
          </w:p>
        </w:tc>
        <w:tc>
          <w:tcPr>
            <w:tcW w:w="0" w:type="auto"/>
            <w:shd w:val="clear" w:color="auto" w:fill="auto"/>
          </w:tcPr>
          <w:p w14:paraId="36CA2B08" w14:textId="77777777" w:rsidR="00787570" w:rsidRDefault="00787570">
            <w:pPr>
              <w:rPr>
                <w:rFonts w:ascii="宋体"/>
              </w:rPr>
            </w:pPr>
          </w:p>
        </w:tc>
        <w:tc>
          <w:tcPr>
            <w:tcW w:w="0" w:type="auto"/>
            <w:shd w:val="clear" w:color="auto" w:fill="auto"/>
          </w:tcPr>
          <w:p w14:paraId="36CA2B09" w14:textId="77777777" w:rsidR="00787570" w:rsidRDefault="00787570">
            <w:pPr>
              <w:rPr>
                <w:rFonts w:ascii="宋体"/>
              </w:rPr>
            </w:pPr>
          </w:p>
        </w:tc>
        <w:tc>
          <w:tcPr>
            <w:tcW w:w="0" w:type="auto"/>
            <w:shd w:val="clear" w:color="auto" w:fill="auto"/>
          </w:tcPr>
          <w:p w14:paraId="36CA2B0A" w14:textId="77777777" w:rsidR="00787570" w:rsidRDefault="00787570">
            <w:pPr>
              <w:rPr>
                <w:rFonts w:ascii="宋体"/>
              </w:rPr>
            </w:pPr>
          </w:p>
        </w:tc>
        <w:tc>
          <w:tcPr>
            <w:tcW w:w="0" w:type="auto"/>
            <w:shd w:val="clear" w:color="auto" w:fill="auto"/>
          </w:tcPr>
          <w:p w14:paraId="36CA2B0B" w14:textId="77777777" w:rsidR="00787570" w:rsidRDefault="00787570">
            <w:pPr>
              <w:rPr>
                <w:rFonts w:ascii="宋体"/>
              </w:rPr>
            </w:pPr>
          </w:p>
        </w:tc>
        <w:tc>
          <w:tcPr>
            <w:tcW w:w="0" w:type="auto"/>
            <w:shd w:val="clear" w:color="auto" w:fill="auto"/>
          </w:tcPr>
          <w:p w14:paraId="36CA2B0C" w14:textId="77777777" w:rsidR="00787570" w:rsidRDefault="00787570">
            <w:pPr>
              <w:rPr>
                <w:rFonts w:ascii="宋体"/>
              </w:rPr>
            </w:pPr>
          </w:p>
        </w:tc>
        <w:tc>
          <w:tcPr>
            <w:tcW w:w="0" w:type="auto"/>
            <w:shd w:val="clear" w:color="auto" w:fill="auto"/>
          </w:tcPr>
          <w:p w14:paraId="36CA2B0D" w14:textId="77777777" w:rsidR="00787570" w:rsidRDefault="00787570">
            <w:pPr>
              <w:rPr>
                <w:rFonts w:ascii="宋体"/>
              </w:rPr>
            </w:pPr>
          </w:p>
        </w:tc>
        <w:tc>
          <w:tcPr>
            <w:tcW w:w="0" w:type="auto"/>
            <w:shd w:val="clear" w:color="auto" w:fill="auto"/>
          </w:tcPr>
          <w:p w14:paraId="36CA2B0E" w14:textId="77777777" w:rsidR="00787570" w:rsidRDefault="00787570">
            <w:pPr>
              <w:rPr>
                <w:rFonts w:ascii="宋体"/>
              </w:rPr>
            </w:pPr>
          </w:p>
        </w:tc>
        <w:tc>
          <w:tcPr>
            <w:tcW w:w="0" w:type="auto"/>
            <w:shd w:val="clear" w:color="auto" w:fill="auto"/>
          </w:tcPr>
          <w:p w14:paraId="36CA2B0F" w14:textId="77777777" w:rsidR="00787570" w:rsidRDefault="00787570">
            <w:pPr>
              <w:rPr>
                <w:rFonts w:ascii="宋体"/>
              </w:rPr>
            </w:pPr>
          </w:p>
        </w:tc>
        <w:tc>
          <w:tcPr>
            <w:tcW w:w="0" w:type="auto"/>
            <w:shd w:val="clear" w:color="auto" w:fill="auto"/>
          </w:tcPr>
          <w:p w14:paraId="36CA2B10" w14:textId="77777777" w:rsidR="00787570" w:rsidRDefault="00787570">
            <w:pPr>
              <w:rPr>
                <w:rFonts w:ascii="宋体"/>
              </w:rPr>
            </w:pPr>
          </w:p>
        </w:tc>
        <w:tc>
          <w:tcPr>
            <w:tcW w:w="0" w:type="auto"/>
            <w:shd w:val="clear" w:color="auto" w:fill="auto"/>
          </w:tcPr>
          <w:p w14:paraId="36CA2B11" w14:textId="77777777" w:rsidR="00787570" w:rsidRDefault="00787570">
            <w:pPr>
              <w:rPr>
                <w:rFonts w:ascii="宋体"/>
              </w:rPr>
            </w:pPr>
          </w:p>
        </w:tc>
        <w:tc>
          <w:tcPr>
            <w:tcW w:w="0" w:type="auto"/>
            <w:shd w:val="clear" w:color="auto" w:fill="auto"/>
          </w:tcPr>
          <w:p w14:paraId="36CA2B12" w14:textId="77777777" w:rsidR="00787570" w:rsidRDefault="00787570">
            <w:pPr>
              <w:rPr>
                <w:rFonts w:ascii="宋体"/>
              </w:rPr>
            </w:pPr>
          </w:p>
        </w:tc>
        <w:tc>
          <w:tcPr>
            <w:tcW w:w="0" w:type="auto"/>
            <w:shd w:val="clear" w:color="auto" w:fill="auto"/>
          </w:tcPr>
          <w:p w14:paraId="36CA2B13" w14:textId="77777777" w:rsidR="00787570" w:rsidRDefault="00787570">
            <w:pPr>
              <w:rPr>
                <w:rFonts w:ascii="宋体"/>
              </w:rPr>
            </w:pPr>
          </w:p>
        </w:tc>
      </w:tr>
      <w:tr w:rsidR="00787570" w14:paraId="36CA2B32" w14:textId="77777777">
        <w:tc>
          <w:tcPr>
            <w:tcW w:w="0" w:type="auto"/>
            <w:gridSpan w:val="3"/>
            <w:shd w:val="clear" w:color="auto" w:fill="auto"/>
            <w:tcMar>
              <w:top w:w="40" w:type="dxa"/>
              <w:left w:w="360" w:type="dxa"/>
              <w:bottom w:w="40" w:type="dxa"/>
              <w:right w:w="20" w:type="dxa"/>
            </w:tcMar>
            <w:vAlign w:val="bottom"/>
          </w:tcPr>
          <w:p w14:paraId="36CA2B15" w14:textId="77777777" w:rsidR="00787570" w:rsidRDefault="000D56E2">
            <w:pPr>
              <w:textAlignment w:val="bottom"/>
            </w:pPr>
            <w:r>
              <w:rPr>
                <w:rFonts w:ascii="Arial" w:eastAsia="宋体" w:hAnsi="Arial" w:cs="Arial"/>
                <w:color w:val="333333"/>
                <w:sz w:val="18"/>
                <w:szCs w:val="18"/>
              </w:rPr>
              <w:t>DCG platform</w:t>
            </w:r>
          </w:p>
        </w:tc>
        <w:tc>
          <w:tcPr>
            <w:tcW w:w="0" w:type="auto"/>
            <w:gridSpan w:val="3"/>
            <w:shd w:val="clear" w:color="auto" w:fill="auto"/>
            <w:tcMar>
              <w:left w:w="20" w:type="dxa"/>
              <w:right w:w="20" w:type="dxa"/>
            </w:tcMar>
            <w:vAlign w:val="bottom"/>
          </w:tcPr>
          <w:p w14:paraId="36CA2B16" w14:textId="77777777" w:rsidR="00787570" w:rsidRDefault="00787570">
            <w:pPr>
              <w:rPr>
                <w:rFonts w:ascii="宋体"/>
              </w:rPr>
            </w:pPr>
          </w:p>
        </w:tc>
        <w:tc>
          <w:tcPr>
            <w:tcW w:w="0" w:type="auto"/>
            <w:shd w:val="clear" w:color="auto" w:fill="auto"/>
            <w:tcMar>
              <w:top w:w="40" w:type="dxa"/>
              <w:left w:w="20" w:type="dxa"/>
              <w:bottom w:w="40" w:type="dxa"/>
            </w:tcMar>
            <w:vAlign w:val="bottom"/>
          </w:tcPr>
          <w:p w14:paraId="36CA2B17" w14:textId="77777777" w:rsidR="00787570" w:rsidRDefault="000D56E2">
            <w:pPr>
              <w:textAlignment w:val="bottom"/>
            </w:pPr>
            <w:r>
              <w:rPr>
                <w:rFonts w:ascii="Arial" w:eastAsia="宋体" w:hAnsi="Arial" w:cs="Arial"/>
                <w:color w:val="0071C5"/>
                <w:sz w:val="18"/>
                <w:szCs w:val="18"/>
              </w:rPr>
              <w:t>$</w:t>
            </w:r>
          </w:p>
        </w:tc>
        <w:tc>
          <w:tcPr>
            <w:tcW w:w="0" w:type="auto"/>
            <w:shd w:val="clear" w:color="auto" w:fill="auto"/>
            <w:tcMar>
              <w:top w:w="40" w:type="dxa"/>
              <w:bottom w:w="40" w:type="dxa"/>
              <w:right w:w="0" w:type="dxa"/>
            </w:tcMar>
            <w:vAlign w:val="bottom"/>
          </w:tcPr>
          <w:p w14:paraId="36CA2B18" w14:textId="77777777" w:rsidR="00787570" w:rsidRDefault="000D56E2">
            <w:pPr>
              <w:jc w:val="right"/>
              <w:textAlignment w:val="bottom"/>
            </w:pPr>
            <w:r>
              <w:rPr>
                <w:rFonts w:ascii="Arial" w:eastAsia="宋体" w:hAnsi="Arial" w:cs="Arial"/>
                <w:color w:val="0071C5"/>
                <w:sz w:val="18"/>
                <w:szCs w:val="18"/>
              </w:rPr>
              <w:t>5,151 </w:t>
            </w:r>
          </w:p>
        </w:tc>
        <w:tc>
          <w:tcPr>
            <w:tcW w:w="0" w:type="auto"/>
            <w:shd w:val="clear" w:color="auto" w:fill="auto"/>
            <w:tcMar>
              <w:top w:w="40" w:type="dxa"/>
              <w:bottom w:w="40" w:type="dxa"/>
              <w:right w:w="20" w:type="dxa"/>
            </w:tcMar>
            <w:vAlign w:val="bottom"/>
          </w:tcPr>
          <w:p w14:paraId="36CA2B19"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2B1A" w14:textId="77777777" w:rsidR="00787570" w:rsidRDefault="00787570">
            <w:pPr>
              <w:rPr>
                <w:rFonts w:ascii="宋体"/>
              </w:rPr>
            </w:pPr>
          </w:p>
        </w:tc>
        <w:tc>
          <w:tcPr>
            <w:tcW w:w="0" w:type="auto"/>
            <w:shd w:val="clear" w:color="auto" w:fill="auto"/>
            <w:tcMar>
              <w:top w:w="40" w:type="dxa"/>
              <w:left w:w="20" w:type="dxa"/>
              <w:bottom w:w="40" w:type="dxa"/>
            </w:tcMar>
            <w:vAlign w:val="bottom"/>
          </w:tcPr>
          <w:p w14:paraId="36CA2B1B" w14:textId="77777777" w:rsidR="00787570" w:rsidRDefault="000D56E2">
            <w:pPr>
              <w:textAlignment w:val="bottom"/>
            </w:pPr>
            <w:r>
              <w:rPr>
                <w:rFonts w:ascii="Arial" w:eastAsia="宋体" w:hAnsi="Arial" w:cs="Arial"/>
                <w:color w:val="333333"/>
                <w:sz w:val="18"/>
                <w:szCs w:val="18"/>
              </w:rPr>
              <w:t>$</w:t>
            </w:r>
          </w:p>
        </w:tc>
        <w:tc>
          <w:tcPr>
            <w:tcW w:w="0" w:type="auto"/>
            <w:shd w:val="clear" w:color="auto" w:fill="auto"/>
            <w:tcMar>
              <w:top w:w="40" w:type="dxa"/>
              <w:bottom w:w="40" w:type="dxa"/>
              <w:right w:w="0" w:type="dxa"/>
            </w:tcMar>
            <w:vAlign w:val="bottom"/>
          </w:tcPr>
          <w:p w14:paraId="36CA2B1C" w14:textId="77777777" w:rsidR="00787570" w:rsidRDefault="000D56E2">
            <w:pPr>
              <w:jc w:val="right"/>
              <w:textAlignment w:val="bottom"/>
            </w:pPr>
            <w:r>
              <w:rPr>
                <w:rFonts w:ascii="Arial" w:eastAsia="宋体" w:hAnsi="Arial" w:cs="Arial"/>
                <w:color w:val="333333"/>
                <w:sz w:val="18"/>
                <w:szCs w:val="18"/>
              </w:rPr>
              <w:t>5,819 </w:t>
            </w:r>
          </w:p>
        </w:tc>
        <w:tc>
          <w:tcPr>
            <w:tcW w:w="0" w:type="auto"/>
            <w:shd w:val="clear" w:color="auto" w:fill="auto"/>
            <w:tcMar>
              <w:top w:w="40" w:type="dxa"/>
              <w:bottom w:w="40" w:type="dxa"/>
              <w:right w:w="20" w:type="dxa"/>
            </w:tcMar>
            <w:vAlign w:val="bottom"/>
          </w:tcPr>
          <w:p w14:paraId="36CA2B1D"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2B1E" w14:textId="77777777" w:rsidR="00787570" w:rsidRDefault="00787570">
            <w:pPr>
              <w:rPr>
                <w:rFonts w:ascii="宋体"/>
              </w:rPr>
            </w:pPr>
          </w:p>
        </w:tc>
        <w:tc>
          <w:tcPr>
            <w:tcW w:w="0" w:type="auto"/>
            <w:shd w:val="clear" w:color="auto" w:fill="auto"/>
            <w:tcMar>
              <w:top w:w="40" w:type="dxa"/>
              <w:left w:w="20" w:type="dxa"/>
              <w:bottom w:w="40" w:type="dxa"/>
            </w:tcMar>
            <w:vAlign w:val="bottom"/>
          </w:tcPr>
          <w:p w14:paraId="36CA2B1F" w14:textId="77777777" w:rsidR="00787570" w:rsidRDefault="000D56E2">
            <w:pPr>
              <w:textAlignment w:val="bottom"/>
            </w:pPr>
            <w:r>
              <w:rPr>
                <w:rFonts w:ascii="Arial" w:eastAsia="宋体" w:hAnsi="Arial" w:cs="Arial"/>
                <w:color w:val="0071C5"/>
                <w:sz w:val="18"/>
                <w:szCs w:val="18"/>
              </w:rPr>
              <w:t>$</w:t>
            </w:r>
          </w:p>
        </w:tc>
        <w:tc>
          <w:tcPr>
            <w:tcW w:w="0" w:type="auto"/>
            <w:shd w:val="clear" w:color="auto" w:fill="auto"/>
            <w:tcMar>
              <w:top w:w="40" w:type="dxa"/>
              <w:bottom w:w="40" w:type="dxa"/>
              <w:right w:w="0" w:type="dxa"/>
            </w:tcMar>
            <w:vAlign w:val="bottom"/>
          </w:tcPr>
          <w:p w14:paraId="36CA2B20" w14:textId="77777777" w:rsidR="00787570" w:rsidRDefault="000D56E2">
            <w:pPr>
              <w:jc w:val="right"/>
              <w:textAlignment w:val="bottom"/>
            </w:pPr>
            <w:r>
              <w:rPr>
                <w:rFonts w:ascii="Arial" w:eastAsia="宋体" w:hAnsi="Arial" w:cs="Arial"/>
                <w:color w:val="0071C5"/>
                <w:sz w:val="18"/>
                <w:szCs w:val="18"/>
              </w:rPr>
              <w:t>17,759 </w:t>
            </w:r>
          </w:p>
        </w:tc>
        <w:tc>
          <w:tcPr>
            <w:tcW w:w="0" w:type="auto"/>
            <w:shd w:val="clear" w:color="auto" w:fill="auto"/>
            <w:tcMar>
              <w:top w:w="40" w:type="dxa"/>
              <w:bottom w:w="40" w:type="dxa"/>
              <w:right w:w="20" w:type="dxa"/>
            </w:tcMar>
            <w:vAlign w:val="bottom"/>
          </w:tcPr>
          <w:p w14:paraId="36CA2B21"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2B22" w14:textId="77777777" w:rsidR="00787570" w:rsidRDefault="00787570">
            <w:pPr>
              <w:rPr>
                <w:rFonts w:ascii="宋体"/>
              </w:rPr>
            </w:pPr>
          </w:p>
        </w:tc>
        <w:tc>
          <w:tcPr>
            <w:tcW w:w="0" w:type="auto"/>
            <w:shd w:val="clear" w:color="auto" w:fill="auto"/>
            <w:tcMar>
              <w:top w:w="40" w:type="dxa"/>
              <w:left w:w="20" w:type="dxa"/>
              <w:bottom w:w="40" w:type="dxa"/>
            </w:tcMar>
            <w:vAlign w:val="bottom"/>
          </w:tcPr>
          <w:p w14:paraId="36CA2B23" w14:textId="77777777" w:rsidR="00787570" w:rsidRDefault="000D56E2">
            <w:pPr>
              <w:textAlignment w:val="bottom"/>
            </w:pPr>
            <w:r>
              <w:rPr>
                <w:rFonts w:ascii="Arial" w:eastAsia="宋体" w:hAnsi="Arial" w:cs="Arial"/>
                <w:color w:val="333333"/>
                <w:sz w:val="18"/>
                <w:szCs w:val="18"/>
              </w:rPr>
              <w:t>$</w:t>
            </w:r>
          </w:p>
        </w:tc>
        <w:tc>
          <w:tcPr>
            <w:tcW w:w="0" w:type="auto"/>
            <w:shd w:val="clear" w:color="auto" w:fill="auto"/>
            <w:tcMar>
              <w:top w:w="40" w:type="dxa"/>
              <w:bottom w:w="40" w:type="dxa"/>
              <w:right w:w="0" w:type="dxa"/>
            </w:tcMar>
            <w:vAlign w:val="bottom"/>
          </w:tcPr>
          <w:p w14:paraId="36CA2B24" w14:textId="77777777" w:rsidR="00787570" w:rsidRDefault="000D56E2">
            <w:pPr>
              <w:jc w:val="right"/>
              <w:textAlignment w:val="bottom"/>
            </w:pPr>
            <w:r>
              <w:rPr>
                <w:rFonts w:ascii="Arial" w:eastAsia="宋体" w:hAnsi="Arial" w:cs="Arial"/>
                <w:color w:val="333333"/>
                <w:sz w:val="18"/>
                <w:szCs w:val="18"/>
              </w:rPr>
              <w:t>14,854 </w:t>
            </w:r>
          </w:p>
        </w:tc>
        <w:tc>
          <w:tcPr>
            <w:tcW w:w="0" w:type="auto"/>
            <w:shd w:val="clear" w:color="auto" w:fill="auto"/>
            <w:tcMar>
              <w:top w:w="40" w:type="dxa"/>
              <w:bottom w:w="40" w:type="dxa"/>
              <w:right w:w="20" w:type="dxa"/>
            </w:tcMar>
            <w:vAlign w:val="bottom"/>
          </w:tcPr>
          <w:p w14:paraId="36CA2B25" w14:textId="77777777" w:rsidR="00787570" w:rsidRDefault="00787570">
            <w:pPr>
              <w:jc w:val="right"/>
              <w:rPr>
                <w:rFonts w:ascii="宋体"/>
              </w:rPr>
            </w:pPr>
          </w:p>
        </w:tc>
        <w:tc>
          <w:tcPr>
            <w:tcW w:w="0" w:type="auto"/>
            <w:shd w:val="clear" w:color="auto" w:fill="auto"/>
          </w:tcPr>
          <w:p w14:paraId="36CA2B26" w14:textId="77777777" w:rsidR="00787570" w:rsidRDefault="00787570">
            <w:pPr>
              <w:rPr>
                <w:rFonts w:ascii="宋体"/>
              </w:rPr>
            </w:pPr>
          </w:p>
        </w:tc>
        <w:tc>
          <w:tcPr>
            <w:tcW w:w="0" w:type="auto"/>
            <w:shd w:val="clear" w:color="auto" w:fill="auto"/>
          </w:tcPr>
          <w:p w14:paraId="36CA2B27" w14:textId="77777777" w:rsidR="00787570" w:rsidRDefault="00787570">
            <w:pPr>
              <w:rPr>
                <w:rFonts w:ascii="宋体"/>
              </w:rPr>
            </w:pPr>
          </w:p>
        </w:tc>
        <w:tc>
          <w:tcPr>
            <w:tcW w:w="0" w:type="auto"/>
            <w:shd w:val="clear" w:color="auto" w:fill="auto"/>
          </w:tcPr>
          <w:p w14:paraId="36CA2B28" w14:textId="77777777" w:rsidR="00787570" w:rsidRDefault="00787570">
            <w:pPr>
              <w:rPr>
                <w:rFonts w:ascii="宋体"/>
              </w:rPr>
            </w:pPr>
          </w:p>
        </w:tc>
        <w:tc>
          <w:tcPr>
            <w:tcW w:w="0" w:type="auto"/>
            <w:shd w:val="clear" w:color="auto" w:fill="auto"/>
          </w:tcPr>
          <w:p w14:paraId="36CA2B29" w14:textId="77777777" w:rsidR="00787570" w:rsidRDefault="00787570">
            <w:pPr>
              <w:rPr>
                <w:rFonts w:ascii="宋体"/>
              </w:rPr>
            </w:pPr>
          </w:p>
        </w:tc>
        <w:tc>
          <w:tcPr>
            <w:tcW w:w="0" w:type="auto"/>
            <w:shd w:val="clear" w:color="auto" w:fill="auto"/>
          </w:tcPr>
          <w:p w14:paraId="36CA2B2A" w14:textId="77777777" w:rsidR="00787570" w:rsidRDefault="00787570">
            <w:pPr>
              <w:rPr>
                <w:rFonts w:ascii="宋体"/>
              </w:rPr>
            </w:pPr>
          </w:p>
        </w:tc>
        <w:tc>
          <w:tcPr>
            <w:tcW w:w="0" w:type="auto"/>
            <w:shd w:val="clear" w:color="auto" w:fill="auto"/>
          </w:tcPr>
          <w:p w14:paraId="36CA2B2B" w14:textId="77777777" w:rsidR="00787570" w:rsidRDefault="00787570">
            <w:pPr>
              <w:rPr>
                <w:rFonts w:ascii="宋体"/>
              </w:rPr>
            </w:pPr>
          </w:p>
        </w:tc>
        <w:tc>
          <w:tcPr>
            <w:tcW w:w="0" w:type="auto"/>
            <w:shd w:val="clear" w:color="auto" w:fill="auto"/>
          </w:tcPr>
          <w:p w14:paraId="36CA2B2C" w14:textId="77777777" w:rsidR="00787570" w:rsidRDefault="00787570">
            <w:pPr>
              <w:rPr>
                <w:rFonts w:ascii="宋体"/>
              </w:rPr>
            </w:pPr>
          </w:p>
        </w:tc>
        <w:tc>
          <w:tcPr>
            <w:tcW w:w="0" w:type="auto"/>
            <w:shd w:val="clear" w:color="auto" w:fill="auto"/>
          </w:tcPr>
          <w:p w14:paraId="36CA2B2D" w14:textId="77777777" w:rsidR="00787570" w:rsidRDefault="00787570">
            <w:pPr>
              <w:rPr>
                <w:rFonts w:ascii="宋体"/>
              </w:rPr>
            </w:pPr>
          </w:p>
        </w:tc>
        <w:tc>
          <w:tcPr>
            <w:tcW w:w="0" w:type="auto"/>
            <w:shd w:val="clear" w:color="auto" w:fill="auto"/>
          </w:tcPr>
          <w:p w14:paraId="36CA2B2E" w14:textId="77777777" w:rsidR="00787570" w:rsidRDefault="00787570">
            <w:pPr>
              <w:rPr>
                <w:rFonts w:ascii="宋体"/>
              </w:rPr>
            </w:pPr>
          </w:p>
        </w:tc>
        <w:tc>
          <w:tcPr>
            <w:tcW w:w="0" w:type="auto"/>
            <w:shd w:val="clear" w:color="auto" w:fill="auto"/>
          </w:tcPr>
          <w:p w14:paraId="36CA2B2F" w14:textId="77777777" w:rsidR="00787570" w:rsidRDefault="00787570">
            <w:pPr>
              <w:rPr>
                <w:rFonts w:ascii="宋体"/>
              </w:rPr>
            </w:pPr>
          </w:p>
        </w:tc>
        <w:tc>
          <w:tcPr>
            <w:tcW w:w="0" w:type="auto"/>
            <w:shd w:val="clear" w:color="auto" w:fill="auto"/>
          </w:tcPr>
          <w:p w14:paraId="36CA2B30" w14:textId="77777777" w:rsidR="00787570" w:rsidRDefault="00787570">
            <w:pPr>
              <w:rPr>
                <w:rFonts w:ascii="宋体"/>
              </w:rPr>
            </w:pPr>
          </w:p>
        </w:tc>
        <w:tc>
          <w:tcPr>
            <w:tcW w:w="0" w:type="auto"/>
            <w:shd w:val="clear" w:color="auto" w:fill="auto"/>
          </w:tcPr>
          <w:p w14:paraId="36CA2B31" w14:textId="77777777" w:rsidR="00787570" w:rsidRDefault="00787570">
            <w:pPr>
              <w:rPr>
                <w:rFonts w:ascii="宋体"/>
              </w:rPr>
            </w:pPr>
          </w:p>
        </w:tc>
      </w:tr>
      <w:tr w:rsidR="00787570" w14:paraId="36CA2B4C" w14:textId="77777777">
        <w:tc>
          <w:tcPr>
            <w:tcW w:w="0" w:type="auto"/>
            <w:gridSpan w:val="3"/>
            <w:shd w:val="clear" w:color="auto" w:fill="auto"/>
            <w:tcMar>
              <w:top w:w="40" w:type="dxa"/>
              <w:left w:w="360" w:type="dxa"/>
              <w:bottom w:w="40" w:type="dxa"/>
              <w:right w:w="20" w:type="dxa"/>
            </w:tcMar>
            <w:vAlign w:val="bottom"/>
          </w:tcPr>
          <w:p w14:paraId="36CA2B33" w14:textId="77777777" w:rsidR="00787570" w:rsidRDefault="000D56E2">
            <w:pPr>
              <w:textAlignment w:val="bottom"/>
            </w:pPr>
            <w:r>
              <w:rPr>
                <w:rFonts w:ascii="Arial" w:eastAsia="宋体" w:hAnsi="Arial" w:cs="Arial"/>
                <w:color w:val="333333"/>
                <w:sz w:val="18"/>
                <w:szCs w:val="18"/>
              </w:rPr>
              <w:t>IOTG platform</w:t>
            </w:r>
          </w:p>
        </w:tc>
        <w:tc>
          <w:tcPr>
            <w:tcW w:w="0" w:type="auto"/>
            <w:gridSpan w:val="3"/>
            <w:shd w:val="clear" w:color="auto" w:fill="auto"/>
            <w:tcMar>
              <w:left w:w="20" w:type="dxa"/>
              <w:right w:w="20" w:type="dxa"/>
            </w:tcMar>
            <w:vAlign w:val="bottom"/>
          </w:tcPr>
          <w:p w14:paraId="36CA2B34"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2B35" w14:textId="77777777" w:rsidR="00787570" w:rsidRDefault="000D56E2">
            <w:pPr>
              <w:jc w:val="right"/>
              <w:textAlignment w:val="bottom"/>
            </w:pPr>
            <w:r>
              <w:rPr>
                <w:rFonts w:ascii="Arial" w:eastAsia="宋体" w:hAnsi="Arial" w:cs="Arial"/>
                <w:color w:val="0071C5"/>
                <w:sz w:val="18"/>
                <w:szCs w:val="18"/>
              </w:rPr>
              <w:t>595 </w:t>
            </w:r>
          </w:p>
        </w:tc>
        <w:tc>
          <w:tcPr>
            <w:tcW w:w="0" w:type="auto"/>
            <w:shd w:val="clear" w:color="auto" w:fill="auto"/>
            <w:tcMar>
              <w:top w:w="40" w:type="dxa"/>
              <w:bottom w:w="40" w:type="dxa"/>
              <w:right w:w="20" w:type="dxa"/>
            </w:tcMar>
            <w:vAlign w:val="bottom"/>
          </w:tcPr>
          <w:p w14:paraId="36CA2B36"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2B37"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2B38" w14:textId="77777777" w:rsidR="00787570" w:rsidRDefault="000D56E2">
            <w:pPr>
              <w:jc w:val="right"/>
              <w:textAlignment w:val="bottom"/>
            </w:pPr>
            <w:r>
              <w:rPr>
                <w:rFonts w:ascii="Arial" w:eastAsia="宋体" w:hAnsi="Arial" w:cs="Arial"/>
                <w:color w:val="333333"/>
                <w:sz w:val="18"/>
                <w:szCs w:val="18"/>
              </w:rPr>
              <w:t>923 </w:t>
            </w:r>
          </w:p>
        </w:tc>
        <w:tc>
          <w:tcPr>
            <w:tcW w:w="0" w:type="auto"/>
            <w:shd w:val="clear" w:color="auto" w:fill="auto"/>
            <w:tcMar>
              <w:top w:w="40" w:type="dxa"/>
              <w:bottom w:w="40" w:type="dxa"/>
              <w:right w:w="20" w:type="dxa"/>
            </w:tcMar>
            <w:vAlign w:val="bottom"/>
          </w:tcPr>
          <w:p w14:paraId="36CA2B39"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2B3A"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2B3B" w14:textId="77777777" w:rsidR="00787570" w:rsidRDefault="000D56E2">
            <w:pPr>
              <w:jc w:val="right"/>
              <w:textAlignment w:val="bottom"/>
            </w:pPr>
            <w:r>
              <w:rPr>
                <w:rFonts w:ascii="Arial" w:eastAsia="宋体" w:hAnsi="Arial" w:cs="Arial"/>
                <w:color w:val="0071C5"/>
                <w:sz w:val="18"/>
                <w:szCs w:val="18"/>
              </w:rPr>
              <w:t>2,008 </w:t>
            </w:r>
          </w:p>
        </w:tc>
        <w:tc>
          <w:tcPr>
            <w:tcW w:w="0" w:type="auto"/>
            <w:shd w:val="clear" w:color="auto" w:fill="auto"/>
            <w:tcMar>
              <w:top w:w="40" w:type="dxa"/>
              <w:bottom w:w="40" w:type="dxa"/>
              <w:right w:w="20" w:type="dxa"/>
            </w:tcMar>
            <w:vAlign w:val="bottom"/>
          </w:tcPr>
          <w:p w14:paraId="36CA2B3C"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2B3D"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2B3E" w14:textId="77777777" w:rsidR="00787570" w:rsidRDefault="000D56E2">
            <w:pPr>
              <w:jc w:val="right"/>
              <w:textAlignment w:val="bottom"/>
            </w:pPr>
            <w:r>
              <w:rPr>
                <w:rFonts w:ascii="Arial" w:eastAsia="宋体" w:hAnsi="Arial" w:cs="Arial"/>
                <w:color w:val="333333"/>
                <w:sz w:val="18"/>
                <w:szCs w:val="18"/>
              </w:rPr>
              <w:t>2,639 </w:t>
            </w:r>
          </w:p>
        </w:tc>
        <w:tc>
          <w:tcPr>
            <w:tcW w:w="0" w:type="auto"/>
            <w:shd w:val="clear" w:color="auto" w:fill="auto"/>
            <w:tcMar>
              <w:top w:w="40" w:type="dxa"/>
              <w:bottom w:w="40" w:type="dxa"/>
              <w:right w:w="20" w:type="dxa"/>
            </w:tcMar>
            <w:vAlign w:val="bottom"/>
          </w:tcPr>
          <w:p w14:paraId="36CA2B3F" w14:textId="77777777" w:rsidR="00787570" w:rsidRDefault="00787570">
            <w:pPr>
              <w:jc w:val="right"/>
              <w:rPr>
                <w:rFonts w:ascii="宋体"/>
              </w:rPr>
            </w:pPr>
          </w:p>
        </w:tc>
        <w:tc>
          <w:tcPr>
            <w:tcW w:w="0" w:type="auto"/>
            <w:shd w:val="clear" w:color="auto" w:fill="auto"/>
          </w:tcPr>
          <w:p w14:paraId="36CA2B40" w14:textId="77777777" w:rsidR="00787570" w:rsidRDefault="00787570">
            <w:pPr>
              <w:rPr>
                <w:rFonts w:ascii="宋体"/>
              </w:rPr>
            </w:pPr>
          </w:p>
        </w:tc>
        <w:tc>
          <w:tcPr>
            <w:tcW w:w="0" w:type="auto"/>
            <w:shd w:val="clear" w:color="auto" w:fill="auto"/>
          </w:tcPr>
          <w:p w14:paraId="36CA2B41" w14:textId="77777777" w:rsidR="00787570" w:rsidRDefault="00787570">
            <w:pPr>
              <w:rPr>
                <w:rFonts w:ascii="宋体"/>
              </w:rPr>
            </w:pPr>
          </w:p>
        </w:tc>
        <w:tc>
          <w:tcPr>
            <w:tcW w:w="0" w:type="auto"/>
            <w:shd w:val="clear" w:color="auto" w:fill="auto"/>
          </w:tcPr>
          <w:p w14:paraId="36CA2B42" w14:textId="77777777" w:rsidR="00787570" w:rsidRDefault="00787570">
            <w:pPr>
              <w:rPr>
                <w:rFonts w:ascii="宋体"/>
              </w:rPr>
            </w:pPr>
          </w:p>
        </w:tc>
        <w:tc>
          <w:tcPr>
            <w:tcW w:w="0" w:type="auto"/>
            <w:shd w:val="clear" w:color="auto" w:fill="auto"/>
          </w:tcPr>
          <w:p w14:paraId="36CA2B43" w14:textId="77777777" w:rsidR="00787570" w:rsidRDefault="00787570">
            <w:pPr>
              <w:rPr>
                <w:rFonts w:ascii="宋体"/>
              </w:rPr>
            </w:pPr>
          </w:p>
        </w:tc>
        <w:tc>
          <w:tcPr>
            <w:tcW w:w="0" w:type="auto"/>
            <w:shd w:val="clear" w:color="auto" w:fill="auto"/>
          </w:tcPr>
          <w:p w14:paraId="36CA2B44" w14:textId="77777777" w:rsidR="00787570" w:rsidRDefault="00787570">
            <w:pPr>
              <w:rPr>
                <w:rFonts w:ascii="宋体"/>
              </w:rPr>
            </w:pPr>
          </w:p>
        </w:tc>
        <w:tc>
          <w:tcPr>
            <w:tcW w:w="0" w:type="auto"/>
            <w:shd w:val="clear" w:color="auto" w:fill="auto"/>
          </w:tcPr>
          <w:p w14:paraId="36CA2B45" w14:textId="77777777" w:rsidR="00787570" w:rsidRDefault="00787570">
            <w:pPr>
              <w:rPr>
                <w:rFonts w:ascii="宋体"/>
              </w:rPr>
            </w:pPr>
          </w:p>
        </w:tc>
        <w:tc>
          <w:tcPr>
            <w:tcW w:w="0" w:type="auto"/>
            <w:shd w:val="clear" w:color="auto" w:fill="auto"/>
          </w:tcPr>
          <w:p w14:paraId="36CA2B46" w14:textId="77777777" w:rsidR="00787570" w:rsidRDefault="00787570">
            <w:pPr>
              <w:rPr>
                <w:rFonts w:ascii="宋体"/>
              </w:rPr>
            </w:pPr>
          </w:p>
        </w:tc>
        <w:tc>
          <w:tcPr>
            <w:tcW w:w="0" w:type="auto"/>
            <w:shd w:val="clear" w:color="auto" w:fill="auto"/>
          </w:tcPr>
          <w:p w14:paraId="36CA2B47" w14:textId="77777777" w:rsidR="00787570" w:rsidRDefault="00787570">
            <w:pPr>
              <w:rPr>
                <w:rFonts w:ascii="宋体"/>
              </w:rPr>
            </w:pPr>
          </w:p>
        </w:tc>
        <w:tc>
          <w:tcPr>
            <w:tcW w:w="0" w:type="auto"/>
            <w:shd w:val="clear" w:color="auto" w:fill="auto"/>
          </w:tcPr>
          <w:p w14:paraId="36CA2B48" w14:textId="77777777" w:rsidR="00787570" w:rsidRDefault="00787570">
            <w:pPr>
              <w:rPr>
                <w:rFonts w:ascii="宋体"/>
              </w:rPr>
            </w:pPr>
          </w:p>
        </w:tc>
        <w:tc>
          <w:tcPr>
            <w:tcW w:w="0" w:type="auto"/>
            <w:shd w:val="clear" w:color="auto" w:fill="auto"/>
          </w:tcPr>
          <w:p w14:paraId="36CA2B49" w14:textId="77777777" w:rsidR="00787570" w:rsidRDefault="00787570">
            <w:pPr>
              <w:rPr>
                <w:rFonts w:ascii="宋体"/>
              </w:rPr>
            </w:pPr>
          </w:p>
        </w:tc>
        <w:tc>
          <w:tcPr>
            <w:tcW w:w="0" w:type="auto"/>
            <w:shd w:val="clear" w:color="auto" w:fill="auto"/>
          </w:tcPr>
          <w:p w14:paraId="36CA2B4A" w14:textId="77777777" w:rsidR="00787570" w:rsidRDefault="00787570">
            <w:pPr>
              <w:rPr>
                <w:rFonts w:ascii="宋体"/>
              </w:rPr>
            </w:pPr>
          </w:p>
        </w:tc>
        <w:tc>
          <w:tcPr>
            <w:tcW w:w="0" w:type="auto"/>
            <w:shd w:val="clear" w:color="auto" w:fill="auto"/>
          </w:tcPr>
          <w:p w14:paraId="36CA2B4B" w14:textId="77777777" w:rsidR="00787570" w:rsidRDefault="00787570">
            <w:pPr>
              <w:rPr>
                <w:rFonts w:ascii="宋体"/>
              </w:rPr>
            </w:pPr>
          </w:p>
        </w:tc>
      </w:tr>
      <w:tr w:rsidR="00787570" w14:paraId="36CA2B66" w14:textId="77777777">
        <w:tc>
          <w:tcPr>
            <w:tcW w:w="0" w:type="auto"/>
            <w:gridSpan w:val="3"/>
            <w:shd w:val="clear" w:color="auto" w:fill="auto"/>
            <w:tcMar>
              <w:top w:w="40" w:type="dxa"/>
              <w:left w:w="360" w:type="dxa"/>
              <w:bottom w:w="40" w:type="dxa"/>
              <w:right w:w="20" w:type="dxa"/>
            </w:tcMar>
            <w:vAlign w:val="bottom"/>
          </w:tcPr>
          <w:p w14:paraId="36CA2B4D" w14:textId="77777777" w:rsidR="00787570" w:rsidRDefault="000D56E2">
            <w:pPr>
              <w:textAlignment w:val="bottom"/>
            </w:pPr>
            <w:r>
              <w:rPr>
                <w:rFonts w:ascii="Arial" w:eastAsia="宋体" w:hAnsi="Arial" w:cs="Arial"/>
                <w:color w:val="333333"/>
                <w:sz w:val="18"/>
                <w:szCs w:val="18"/>
              </w:rPr>
              <w:t>CCG desktop platform</w:t>
            </w:r>
          </w:p>
        </w:tc>
        <w:tc>
          <w:tcPr>
            <w:tcW w:w="0" w:type="auto"/>
            <w:gridSpan w:val="3"/>
            <w:shd w:val="clear" w:color="auto" w:fill="auto"/>
            <w:tcMar>
              <w:left w:w="20" w:type="dxa"/>
              <w:right w:w="20" w:type="dxa"/>
            </w:tcMar>
            <w:vAlign w:val="bottom"/>
          </w:tcPr>
          <w:p w14:paraId="36CA2B4E"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2B4F" w14:textId="77777777" w:rsidR="00787570" w:rsidRDefault="000D56E2">
            <w:pPr>
              <w:jc w:val="right"/>
              <w:textAlignment w:val="bottom"/>
            </w:pPr>
            <w:r>
              <w:rPr>
                <w:rFonts w:ascii="Arial" w:eastAsia="宋体" w:hAnsi="Arial" w:cs="Arial"/>
                <w:color w:val="0071C5"/>
                <w:sz w:val="18"/>
                <w:szCs w:val="18"/>
              </w:rPr>
              <w:t>2,483 </w:t>
            </w:r>
          </w:p>
        </w:tc>
        <w:tc>
          <w:tcPr>
            <w:tcW w:w="0" w:type="auto"/>
            <w:shd w:val="clear" w:color="auto" w:fill="auto"/>
            <w:tcMar>
              <w:top w:w="40" w:type="dxa"/>
              <w:bottom w:w="40" w:type="dxa"/>
              <w:right w:w="20" w:type="dxa"/>
            </w:tcMar>
            <w:vAlign w:val="bottom"/>
          </w:tcPr>
          <w:p w14:paraId="36CA2B50"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2B51"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2B52" w14:textId="77777777" w:rsidR="00787570" w:rsidRDefault="000D56E2">
            <w:pPr>
              <w:jc w:val="right"/>
              <w:textAlignment w:val="bottom"/>
            </w:pPr>
            <w:r>
              <w:rPr>
                <w:rFonts w:ascii="Arial" w:eastAsia="宋体" w:hAnsi="Arial" w:cs="Arial"/>
                <w:color w:val="333333"/>
                <w:sz w:val="18"/>
                <w:szCs w:val="18"/>
              </w:rPr>
              <w:t>2,968 </w:t>
            </w:r>
          </w:p>
        </w:tc>
        <w:tc>
          <w:tcPr>
            <w:tcW w:w="0" w:type="auto"/>
            <w:shd w:val="clear" w:color="auto" w:fill="auto"/>
            <w:tcMar>
              <w:top w:w="40" w:type="dxa"/>
              <w:bottom w:w="40" w:type="dxa"/>
              <w:right w:w="20" w:type="dxa"/>
            </w:tcMar>
            <w:vAlign w:val="bottom"/>
          </w:tcPr>
          <w:p w14:paraId="36CA2B53"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2B54"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2B55" w14:textId="77777777" w:rsidR="00787570" w:rsidRDefault="000D56E2">
            <w:pPr>
              <w:jc w:val="right"/>
              <w:textAlignment w:val="bottom"/>
            </w:pPr>
            <w:r>
              <w:rPr>
                <w:rFonts w:ascii="Arial" w:eastAsia="宋体" w:hAnsi="Arial" w:cs="Arial"/>
                <w:color w:val="0071C5"/>
                <w:sz w:val="18"/>
                <w:szCs w:val="18"/>
              </w:rPr>
              <w:t>7,691 </w:t>
            </w:r>
          </w:p>
        </w:tc>
        <w:tc>
          <w:tcPr>
            <w:tcW w:w="0" w:type="auto"/>
            <w:shd w:val="clear" w:color="auto" w:fill="auto"/>
            <w:tcMar>
              <w:top w:w="40" w:type="dxa"/>
              <w:bottom w:w="40" w:type="dxa"/>
              <w:right w:w="20" w:type="dxa"/>
            </w:tcMar>
            <w:vAlign w:val="bottom"/>
          </w:tcPr>
          <w:p w14:paraId="36CA2B56"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2B57"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2B58" w14:textId="77777777" w:rsidR="00787570" w:rsidRDefault="000D56E2">
            <w:pPr>
              <w:jc w:val="right"/>
              <w:textAlignment w:val="bottom"/>
            </w:pPr>
            <w:r>
              <w:rPr>
                <w:rFonts w:ascii="Arial" w:eastAsia="宋体" w:hAnsi="Arial" w:cs="Arial"/>
                <w:color w:val="333333"/>
                <w:sz w:val="18"/>
                <w:szCs w:val="18"/>
              </w:rPr>
              <w:t>8,621 </w:t>
            </w:r>
          </w:p>
        </w:tc>
        <w:tc>
          <w:tcPr>
            <w:tcW w:w="0" w:type="auto"/>
            <w:shd w:val="clear" w:color="auto" w:fill="auto"/>
            <w:tcMar>
              <w:top w:w="40" w:type="dxa"/>
              <w:bottom w:w="40" w:type="dxa"/>
              <w:right w:w="20" w:type="dxa"/>
            </w:tcMar>
            <w:vAlign w:val="bottom"/>
          </w:tcPr>
          <w:p w14:paraId="36CA2B59" w14:textId="77777777" w:rsidR="00787570" w:rsidRDefault="00787570">
            <w:pPr>
              <w:jc w:val="right"/>
              <w:rPr>
                <w:rFonts w:ascii="宋体"/>
              </w:rPr>
            </w:pPr>
          </w:p>
        </w:tc>
        <w:tc>
          <w:tcPr>
            <w:tcW w:w="0" w:type="auto"/>
            <w:shd w:val="clear" w:color="auto" w:fill="auto"/>
          </w:tcPr>
          <w:p w14:paraId="36CA2B5A" w14:textId="77777777" w:rsidR="00787570" w:rsidRDefault="00787570">
            <w:pPr>
              <w:rPr>
                <w:rFonts w:ascii="宋体"/>
              </w:rPr>
            </w:pPr>
          </w:p>
        </w:tc>
        <w:tc>
          <w:tcPr>
            <w:tcW w:w="0" w:type="auto"/>
            <w:shd w:val="clear" w:color="auto" w:fill="auto"/>
          </w:tcPr>
          <w:p w14:paraId="36CA2B5B" w14:textId="77777777" w:rsidR="00787570" w:rsidRDefault="00787570">
            <w:pPr>
              <w:rPr>
                <w:rFonts w:ascii="宋体"/>
              </w:rPr>
            </w:pPr>
          </w:p>
        </w:tc>
        <w:tc>
          <w:tcPr>
            <w:tcW w:w="0" w:type="auto"/>
            <w:shd w:val="clear" w:color="auto" w:fill="auto"/>
          </w:tcPr>
          <w:p w14:paraId="36CA2B5C" w14:textId="77777777" w:rsidR="00787570" w:rsidRDefault="00787570">
            <w:pPr>
              <w:rPr>
                <w:rFonts w:ascii="宋体"/>
              </w:rPr>
            </w:pPr>
          </w:p>
        </w:tc>
        <w:tc>
          <w:tcPr>
            <w:tcW w:w="0" w:type="auto"/>
            <w:shd w:val="clear" w:color="auto" w:fill="auto"/>
          </w:tcPr>
          <w:p w14:paraId="36CA2B5D" w14:textId="77777777" w:rsidR="00787570" w:rsidRDefault="00787570">
            <w:pPr>
              <w:rPr>
                <w:rFonts w:ascii="宋体"/>
              </w:rPr>
            </w:pPr>
          </w:p>
        </w:tc>
        <w:tc>
          <w:tcPr>
            <w:tcW w:w="0" w:type="auto"/>
            <w:shd w:val="clear" w:color="auto" w:fill="auto"/>
          </w:tcPr>
          <w:p w14:paraId="36CA2B5E" w14:textId="77777777" w:rsidR="00787570" w:rsidRDefault="00787570">
            <w:pPr>
              <w:rPr>
                <w:rFonts w:ascii="宋体"/>
              </w:rPr>
            </w:pPr>
          </w:p>
        </w:tc>
        <w:tc>
          <w:tcPr>
            <w:tcW w:w="0" w:type="auto"/>
            <w:shd w:val="clear" w:color="auto" w:fill="auto"/>
          </w:tcPr>
          <w:p w14:paraId="36CA2B5F" w14:textId="77777777" w:rsidR="00787570" w:rsidRDefault="00787570">
            <w:pPr>
              <w:rPr>
                <w:rFonts w:ascii="宋体"/>
              </w:rPr>
            </w:pPr>
          </w:p>
        </w:tc>
        <w:tc>
          <w:tcPr>
            <w:tcW w:w="0" w:type="auto"/>
            <w:shd w:val="clear" w:color="auto" w:fill="auto"/>
          </w:tcPr>
          <w:p w14:paraId="36CA2B60" w14:textId="77777777" w:rsidR="00787570" w:rsidRDefault="00787570">
            <w:pPr>
              <w:rPr>
                <w:rFonts w:ascii="宋体"/>
              </w:rPr>
            </w:pPr>
          </w:p>
        </w:tc>
        <w:tc>
          <w:tcPr>
            <w:tcW w:w="0" w:type="auto"/>
            <w:shd w:val="clear" w:color="auto" w:fill="auto"/>
          </w:tcPr>
          <w:p w14:paraId="36CA2B61" w14:textId="77777777" w:rsidR="00787570" w:rsidRDefault="00787570">
            <w:pPr>
              <w:rPr>
                <w:rFonts w:ascii="宋体"/>
              </w:rPr>
            </w:pPr>
          </w:p>
        </w:tc>
        <w:tc>
          <w:tcPr>
            <w:tcW w:w="0" w:type="auto"/>
            <w:shd w:val="clear" w:color="auto" w:fill="auto"/>
          </w:tcPr>
          <w:p w14:paraId="36CA2B62" w14:textId="77777777" w:rsidR="00787570" w:rsidRDefault="00787570">
            <w:pPr>
              <w:rPr>
                <w:rFonts w:ascii="宋体"/>
              </w:rPr>
            </w:pPr>
          </w:p>
        </w:tc>
        <w:tc>
          <w:tcPr>
            <w:tcW w:w="0" w:type="auto"/>
            <w:shd w:val="clear" w:color="auto" w:fill="auto"/>
          </w:tcPr>
          <w:p w14:paraId="36CA2B63" w14:textId="77777777" w:rsidR="00787570" w:rsidRDefault="00787570">
            <w:pPr>
              <w:rPr>
                <w:rFonts w:ascii="宋体"/>
              </w:rPr>
            </w:pPr>
          </w:p>
        </w:tc>
        <w:tc>
          <w:tcPr>
            <w:tcW w:w="0" w:type="auto"/>
            <w:shd w:val="clear" w:color="auto" w:fill="auto"/>
          </w:tcPr>
          <w:p w14:paraId="36CA2B64" w14:textId="77777777" w:rsidR="00787570" w:rsidRDefault="00787570">
            <w:pPr>
              <w:rPr>
                <w:rFonts w:ascii="宋体"/>
              </w:rPr>
            </w:pPr>
          </w:p>
        </w:tc>
        <w:tc>
          <w:tcPr>
            <w:tcW w:w="0" w:type="auto"/>
            <w:shd w:val="clear" w:color="auto" w:fill="auto"/>
          </w:tcPr>
          <w:p w14:paraId="36CA2B65" w14:textId="77777777" w:rsidR="00787570" w:rsidRDefault="00787570">
            <w:pPr>
              <w:rPr>
                <w:rFonts w:ascii="宋体"/>
              </w:rPr>
            </w:pPr>
          </w:p>
        </w:tc>
      </w:tr>
      <w:tr w:rsidR="00787570" w14:paraId="36CA2B80" w14:textId="77777777">
        <w:tc>
          <w:tcPr>
            <w:tcW w:w="0" w:type="auto"/>
            <w:gridSpan w:val="3"/>
            <w:shd w:val="clear" w:color="auto" w:fill="auto"/>
            <w:tcMar>
              <w:top w:w="40" w:type="dxa"/>
              <w:left w:w="360" w:type="dxa"/>
              <w:bottom w:w="40" w:type="dxa"/>
              <w:right w:w="20" w:type="dxa"/>
            </w:tcMar>
            <w:vAlign w:val="bottom"/>
          </w:tcPr>
          <w:p w14:paraId="36CA2B67" w14:textId="77777777" w:rsidR="00787570" w:rsidRDefault="000D56E2">
            <w:pPr>
              <w:textAlignment w:val="bottom"/>
            </w:pPr>
            <w:r>
              <w:rPr>
                <w:rFonts w:ascii="Arial" w:eastAsia="宋体" w:hAnsi="Arial" w:cs="Arial"/>
                <w:color w:val="333333"/>
                <w:sz w:val="18"/>
                <w:szCs w:val="18"/>
              </w:rPr>
              <w:t>CCG notebook platform</w:t>
            </w:r>
          </w:p>
        </w:tc>
        <w:tc>
          <w:tcPr>
            <w:tcW w:w="0" w:type="auto"/>
            <w:gridSpan w:val="3"/>
            <w:shd w:val="clear" w:color="auto" w:fill="auto"/>
            <w:tcMar>
              <w:left w:w="20" w:type="dxa"/>
              <w:right w:w="20" w:type="dxa"/>
            </w:tcMar>
            <w:vAlign w:val="bottom"/>
          </w:tcPr>
          <w:p w14:paraId="36CA2B68"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2B69" w14:textId="77777777" w:rsidR="00787570" w:rsidRDefault="000D56E2">
            <w:pPr>
              <w:jc w:val="right"/>
              <w:textAlignment w:val="bottom"/>
            </w:pPr>
            <w:r>
              <w:rPr>
                <w:rFonts w:ascii="Arial" w:eastAsia="宋体" w:hAnsi="Arial" w:cs="Arial"/>
                <w:color w:val="0071C5"/>
                <w:sz w:val="18"/>
                <w:szCs w:val="18"/>
              </w:rPr>
              <w:t>6,275 </w:t>
            </w:r>
          </w:p>
        </w:tc>
        <w:tc>
          <w:tcPr>
            <w:tcW w:w="0" w:type="auto"/>
            <w:shd w:val="clear" w:color="auto" w:fill="auto"/>
            <w:tcMar>
              <w:top w:w="40" w:type="dxa"/>
              <w:bottom w:w="40" w:type="dxa"/>
              <w:right w:w="20" w:type="dxa"/>
            </w:tcMar>
            <w:vAlign w:val="bottom"/>
          </w:tcPr>
          <w:p w14:paraId="36CA2B6A"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2B6B"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2B6C" w14:textId="77777777" w:rsidR="00787570" w:rsidRDefault="000D56E2">
            <w:pPr>
              <w:jc w:val="right"/>
              <w:textAlignment w:val="bottom"/>
            </w:pPr>
            <w:r>
              <w:rPr>
                <w:rFonts w:ascii="Arial" w:eastAsia="宋体" w:hAnsi="Arial" w:cs="Arial"/>
                <w:color w:val="333333"/>
                <w:sz w:val="18"/>
                <w:szCs w:val="18"/>
              </w:rPr>
              <w:t>5,393 </w:t>
            </w:r>
          </w:p>
        </w:tc>
        <w:tc>
          <w:tcPr>
            <w:tcW w:w="0" w:type="auto"/>
            <w:shd w:val="clear" w:color="auto" w:fill="auto"/>
            <w:tcMar>
              <w:top w:w="40" w:type="dxa"/>
              <w:bottom w:w="40" w:type="dxa"/>
              <w:right w:w="20" w:type="dxa"/>
            </w:tcMar>
            <w:vAlign w:val="bottom"/>
          </w:tcPr>
          <w:p w14:paraId="36CA2B6D"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2B6E"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2B6F" w14:textId="77777777" w:rsidR="00787570" w:rsidRDefault="000D56E2">
            <w:pPr>
              <w:jc w:val="right"/>
              <w:textAlignment w:val="bottom"/>
            </w:pPr>
            <w:r>
              <w:rPr>
                <w:rFonts w:ascii="Arial" w:eastAsia="宋体" w:hAnsi="Arial" w:cs="Arial"/>
                <w:color w:val="0071C5"/>
                <w:sz w:val="18"/>
                <w:szCs w:val="18"/>
              </w:rPr>
              <w:t>17,976 </w:t>
            </w:r>
          </w:p>
        </w:tc>
        <w:tc>
          <w:tcPr>
            <w:tcW w:w="0" w:type="auto"/>
            <w:shd w:val="clear" w:color="auto" w:fill="auto"/>
            <w:tcMar>
              <w:top w:w="40" w:type="dxa"/>
              <w:bottom w:w="40" w:type="dxa"/>
              <w:right w:w="20" w:type="dxa"/>
            </w:tcMar>
            <w:vAlign w:val="bottom"/>
          </w:tcPr>
          <w:p w14:paraId="36CA2B70"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2B71"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2B72" w14:textId="77777777" w:rsidR="00787570" w:rsidRDefault="000D56E2">
            <w:pPr>
              <w:jc w:val="right"/>
              <w:textAlignment w:val="bottom"/>
            </w:pPr>
            <w:r>
              <w:rPr>
                <w:rFonts w:ascii="Arial" w:eastAsia="宋体" w:hAnsi="Arial" w:cs="Arial"/>
                <w:color w:val="333333"/>
                <w:sz w:val="18"/>
                <w:szCs w:val="18"/>
              </w:rPr>
              <w:t>15,456 </w:t>
            </w:r>
          </w:p>
        </w:tc>
        <w:tc>
          <w:tcPr>
            <w:tcW w:w="0" w:type="auto"/>
            <w:shd w:val="clear" w:color="auto" w:fill="auto"/>
            <w:tcMar>
              <w:top w:w="40" w:type="dxa"/>
              <w:bottom w:w="40" w:type="dxa"/>
              <w:right w:w="20" w:type="dxa"/>
            </w:tcMar>
            <w:vAlign w:val="bottom"/>
          </w:tcPr>
          <w:p w14:paraId="36CA2B73" w14:textId="77777777" w:rsidR="00787570" w:rsidRDefault="00787570">
            <w:pPr>
              <w:jc w:val="right"/>
              <w:rPr>
                <w:rFonts w:ascii="宋体"/>
              </w:rPr>
            </w:pPr>
          </w:p>
        </w:tc>
        <w:tc>
          <w:tcPr>
            <w:tcW w:w="0" w:type="auto"/>
            <w:shd w:val="clear" w:color="auto" w:fill="auto"/>
          </w:tcPr>
          <w:p w14:paraId="36CA2B74" w14:textId="77777777" w:rsidR="00787570" w:rsidRDefault="00787570">
            <w:pPr>
              <w:rPr>
                <w:rFonts w:ascii="宋体"/>
              </w:rPr>
            </w:pPr>
          </w:p>
        </w:tc>
        <w:tc>
          <w:tcPr>
            <w:tcW w:w="0" w:type="auto"/>
            <w:shd w:val="clear" w:color="auto" w:fill="auto"/>
          </w:tcPr>
          <w:p w14:paraId="36CA2B75" w14:textId="77777777" w:rsidR="00787570" w:rsidRDefault="00787570">
            <w:pPr>
              <w:rPr>
                <w:rFonts w:ascii="宋体"/>
              </w:rPr>
            </w:pPr>
          </w:p>
        </w:tc>
        <w:tc>
          <w:tcPr>
            <w:tcW w:w="0" w:type="auto"/>
            <w:shd w:val="clear" w:color="auto" w:fill="auto"/>
          </w:tcPr>
          <w:p w14:paraId="36CA2B76" w14:textId="77777777" w:rsidR="00787570" w:rsidRDefault="00787570">
            <w:pPr>
              <w:rPr>
                <w:rFonts w:ascii="宋体"/>
              </w:rPr>
            </w:pPr>
          </w:p>
        </w:tc>
        <w:tc>
          <w:tcPr>
            <w:tcW w:w="0" w:type="auto"/>
            <w:shd w:val="clear" w:color="auto" w:fill="auto"/>
          </w:tcPr>
          <w:p w14:paraId="36CA2B77" w14:textId="77777777" w:rsidR="00787570" w:rsidRDefault="00787570">
            <w:pPr>
              <w:rPr>
                <w:rFonts w:ascii="宋体"/>
              </w:rPr>
            </w:pPr>
          </w:p>
        </w:tc>
        <w:tc>
          <w:tcPr>
            <w:tcW w:w="0" w:type="auto"/>
            <w:shd w:val="clear" w:color="auto" w:fill="auto"/>
          </w:tcPr>
          <w:p w14:paraId="36CA2B78" w14:textId="77777777" w:rsidR="00787570" w:rsidRDefault="00787570">
            <w:pPr>
              <w:rPr>
                <w:rFonts w:ascii="宋体"/>
              </w:rPr>
            </w:pPr>
          </w:p>
        </w:tc>
        <w:tc>
          <w:tcPr>
            <w:tcW w:w="0" w:type="auto"/>
            <w:shd w:val="clear" w:color="auto" w:fill="auto"/>
          </w:tcPr>
          <w:p w14:paraId="36CA2B79" w14:textId="77777777" w:rsidR="00787570" w:rsidRDefault="00787570">
            <w:pPr>
              <w:rPr>
                <w:rFonts w:ascii="宋体"/>
              </w:rPr>
            </w:pPr>
          </w:p>
        </w:tc>
        <w:tc>
          <w:tcPr>
            <w:tcW w:w="0" w:type="auto"/>
            <w:shd w:val="clear" w:color="auto" w:fill="auto"/>
          </w:tcPr>
          <w:p w14:paraId="36CA2B7A" w14:textId="77777777" w:rsidR="00787570" w:rsidRDefault="00787570">
            <w:pPr>
              <w:rPr>
                <w:rFonts w:ascii="宋体"/>
              </w:rPr>
            </w:pPr>
          </w:p>
        </w:tc>
        <w:tc>
          <w:tcPr>
            <w:tcW w:w="0" w:type="auto"/>
            <w:shd w:val="clear" w:color="auto" w:fill="auto"/>
          </w:tcPr>
          <w:p w14:paraId="36CA2B7B" w14:textId="77777777" w:rsidR="00787570" w:rsidRDefault="00787570">
            <w:pPr>
              <w:rPr>
                <w:rFonts w:ascii="宋体"/>
              </w:rPr>
            </w:pPr>
          </w:p>
        </w:tc>
        <w:tc>
          <w:tcPr>
            <w:tcW w:w="0" w:type="auto"/>
            <w:shd w:val="clear" w:color="auto" w:fill="auto"/>
          </w:tcPr>
          <w:p w14:paraId="36CA2B7C" w14:textId="77777777" w:rsidR="00787570" w:rsidRDefault="00787570">
            <w:pPr>
              <w:rPr>
                <w:rFonts w:ascii="宋体"/>
              </w:rPr>
            </w:pPr>
          </w:p>
        </w:tc>
        <w:tc>
          <w:tcPr>
            <w:tcW w:w="0" w:type="auto"/>
            <w:shd w:val="clear" w:color="auto" w:fill="auto"/>
          </w:tcPr>
          <w:p w14:paraId="36CA2B7D" w14:textId="77777777" w:rsidR="00787570" w:rsidRDefault="00787570">
            <w:pPr>
              <w:rPr>
                <w:rFonts w:ascii="宋体"/>
              </w:rPr>
            </w:pPr>
          </w:p>
        </w:tc>
        <w:tc>
          <w:tcPr>
            <w:tcW w:w="0" w:type="auto"/>
            <w:shd w:val="clear" w:color="auto" w:fill="auto"/>
          </w:tcPr>
          <w:p w14:paraId="36CA2B7E" w14:textId="77777777" w:rsidR="00787570" w:rsidRDefault="00787570">
            <w:pPr>
              <w:rPr>
                <w:rFonts w:ascii="宋体"/>
              </w:rPr>
            </w:pPr>
          </w:p>
        </w:tc>
        <w:tc>
          <w:tcPr>
            <w:tcW w:w="0" w:type="auto"/>
            <w:shd w:val="clear" w:color="auto" w:fill="auto"/>
          </w:tcPr>
          <w:p w14:paraId="36CA2B7F" w14:textId="77777777" w:rsidR="00787570" w:rsidRDefault="00787570">
            <w:pPr>
              <w:rPr>
                <w:rFonts w:ascii="宋体"/>
              </w:rPr>
            </w:pPr>
          </w:p>
        </w:tc>
      </w:tr>
      <w:tr w:rsidR="00787570" w14:paraId="36CA2B9A" w14:textId="77777777">
        <w:tc>
          <w:tcPr>
            <w:tcW w:w="0" w:type="auto"/>
            <w:gridSpan w:val="3"/>
            <w:shd w:val="clear" w:color="auto" w:fill="auto"/>
            <w:tcMar>
              <w:top w:w="40" w:type="dxa"/>
              <w:left w:w="20" w:type="dxa"/>
              <w:bottom w:w="40" w:type="dxa"/>
              <w:right w:w="20" w:type="dxa"/>
            </w:tcMar>
            <w:vAlign w:val="bottom"/>
          </w:tcPr>
          <w:p w14:paraId="36CA2B81" w14:textId="77777777" w:rsidR="00787570" w:rsidRDefault="000D56E2">
            <w:pPr>
              <w:textAlignment w:val="bottom"/>
            </w:pPr>
            <w:r>
              <w:rPr>
                <w:rFonts w:ascii="Arial" w:eastAsia="宋体" w:hAnsi="Arial" w:cs="Arial"/>
                <w:color w:val="333333"/>
                <w:sz w:val="18"/>
                <w:szCs w:val="18"/>
              </w:rPr>
              <w:t>CCG other platform</w:t>
            </w:r>
            <w:r>
              <w:rPr>
                <w:rFonts w:ascii="Arial" w:eastAsia="宋体" w:hAnsi="Arial" w:cs="Arial"/>
                <w:color w:val="333333"/>
                <w:sz w:val="11"/>
                <w:szCs w:val="11"/>
              </w:rPr>
              <w:t>1</w:t>
            </w:r>
          </w:p>
        </w:tc>
        <w:tc>
          <w:tcPr>
            <w:tcW w:w="0" w:type="auto"/>
            <w:gridSpan w:val="3"/>
            <w:shd w:val="clear" w:color="auto" w:fill="auto"/>
            <w:tcMar>
              <w:left w:w="20" w:type="dxa"/>
              <w:right w:w="20" w:type="dxa"/>
            </w:tcMar>
            <w:vAlign w:val="bottom"/>
          </w:tcPr>
          <w:p w14:paraId="36CA2B82"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2B83" w14:textId="77777777" w:rsidR="00787570" w:rsidRDefault="000D56E2">
            <w:pPr>
              <w:jc w:val="right"/>
              <w:textAlignment w:val="bottom"/>
            </w:pPr>
            <w:r>
              <w:rPr>
                <w:rFonts w:ascii="Arial" w:eastAsia="宋体" w:hAnsi="Arial" w:cs="Arial"/>
                <w:color w:val="0071C5"/>
                <w:sz w:val="18"/>
                <w:szCs w:val="18"/>
              </w:rPr>
              <w:t>4 </w:t>
            </w:r>
          </w:p>
        </w:tc>
        <w:tc>
          <w:tcPr>
            <w:tcW w:w="0" w:type="auto"/>
            <w:shd w:val="clear" w:color="auto" w:fill="auto"/>
            <w:tcMar>
              <w:top w:w="40" w:type="dxa"/>
              <w:bottom w:w="40" w:type="dxa"/>
              <w:right w:w="20" w:type="dxa"/>
            </w:tcMar>
            <w:vAlign w:val="bottom"/>
          </w:tcPr>
          <w:p w14:paraId="36CA2B84"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2B85"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2B86" w14:textId="77777777" w:rsidR="00787570" w:rsidRDefault="000D56E2">
            <w:pPr>
              <w:jc w:val="right"/>
              <w:textAlignment w:val="bottom"/>
            </w:pPr>
            <w:r>
              <w:rPr>
                <w:rFonts w:ascii="Arial" w:eastAsia="宋体" w:hAnsi="Arial" w:cs="Arial"/>
                <w:color w:val="333333"/>
                <w:sz w:val="18"/>
                <w:szCs w:val="18"/>
              </w:rPr>
              <w:t>18 </w:t>
            </w:r>
          </w:p>
        </w:tc>
        <w:tc>
          <w:tcPr>
            <w:tcW w:w="0" w:type="auto"/>
            <w:shd w:val="clear" w:color="auto" w:fill="auto"/>
            <w:tcMar>
              <w:top w:w="40" w:type="dxa"/>
              <w:bottom w:w="40" w:type="dxa"/>
              <w:right w:w="20" w:type="dxa"/>
            </w:tcMar>
            <w:vAlign w:val="bottom"/>
          </w:tcPr>
          <w:p w14:paraId="36CA2B87"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2B88"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2B89" w14:textId="77777777" w:rsidR="00787570" w:rsidRDefault="000D56E2">
            <w:pPr>
              <w:jc w:val="right"/>
              <w:textAlignment w:val="bottom"/>
            </w:pPr>
            <w:r>
              <w:rPr>
                <w:rFonts w:ascii="Arial" w:eastAsia="宋体" w:hAnsi="Arial" w:cs="Arial"/>
                <w:color w:val="0071C5"/>
                <w:sz w:val="18"/>
                <w:szCs w:val="18"/>
              </w:rPr>
              <w:t>36 </w:t>
            </w:r>
          </w:p>
        </w:tc>
        <w:tc>
          <w:tcPr>
            <w:tcW w:w="0" w:type="auto"/>
            <w:shd w:val="clear" w:color="auto" w:fill="auto"/>
            <w:tcMar>
              <w:top w:w="40" w:type="dxa"/>
              <w:bottom w:w="40" w:type="dxa"/>
              <w:right w:w="20" w:type="dxa"/>
            </w:tcMar>
            <w:vAlign w:val="bottom"/>
          </w:tcPr>
          <w:p w14:paraId="36CA2B8A"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2B8B"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2B8C" w14:textId="77777777" w:rsidR="00787570" w:rsidRDefault="000D56E2">
            <w:pPr>
              <w:jc w:val="right"/>
              <w:textAlignment w:val="bottom"/>
            </w:pPr>
            <w:r>
              <w:rPr>
                <w:rFonts w:ascii="Arial" w:eastAsia="宋体" w:hAnsi="Arial" w:cs="Arial"/>
                <w:color w:val="333333"/>
                <w:sz w:val="18"/>
                <w:szCs w:val="18"/>
              </w:rPr>
              <w:t>51 </w:t>
            </w:r>
          </w:p>
        </w:tc>
        <w:tc>
          <w:tcPr>
            <w:tcW w:w="0" w:type="auto"/>
            <w:shd w:val="clear" w:color="auto" w:fill="auto"/>
            <w:tcMar>
              <w:top w:w="40" w:type="dxa"/>
              <w:bottom w:w="40" w:type="dxa"/>
              <w:right w:w="20" w:type="dxa"/>
            </w:tcMar>
            <w:vAlign w:val="bottom"/>
          </w:tcPr>
          <w:p w14:paraId="36CA2B8D" w14:textId="77777777" w:rsidR="00787570" w:rsidRDefault="00787570">
            <w:pPr>
              <w:jc w:val="right"/>
              <w:rPr>
                <w:rFonts w:ascii="宋体"/>
              </w:rPr>
            </w:pPr>
          </w:p>
        </w:tc>
        <w:tc>
          <w:tcPr>
            <w:tcW w:w="0" w:type="auto"/>
            <w:shd w:val="clear" w:color="auto" w:fill="auto"/>
          </w:tcPr>
          <w:p w14:paraId="36CA2B8E" w14:textId="77777777" w:rsidR="00787570" w:rsidRDefault="00787570">
            <w:pPr>
              <w:rPr>
                <w:rFonts w:ascii="宋体"/>
              </w:rPr>
            </w:pPr>
          </w:p>
        </w:tc>
        <w:tc>
          <w:tcPr>
            <w:tcW w:w="0" w:type="auto"/>
            <w:shd w:val="clear" w:color="auto" w:fill="auto"/>
          </w:tcPr>
          <w:p w14:paraId="36CA2B8F" w14:textId="77777777" w:rsidR="00787570" w:rsidRDefault="00787570">
            <w:pPr>
              <w:rPr>
                <w:rFonts w:ascii="宋体"/>
              </w:rPr>
            </w:pPr>
          </w:p>
        </w:tc>
        <w:tc>
          <w:tcPr>
            <w:tcW w:w="0" w:type="auto"/>
            <w:shd w:val="clear" w:color="auto" w:fill="auto"/>
          </w:tcPr>
          <w:p w14:paraId="36CA2B90" w14:textId="77777777" w:rsidR="00787570" w:rsidRDefault="00787570">
            <w:pPr>
              <w:rPr>
                <w:rFonts w:ascii="宋体"/>
              </w:rPr>
            </w:pPr>
          </w:p>
        </w:tc>
        <w:tc>
          <w:tcPr>
            <w:tcW w:w="0" w:type="auto"/>
            <w:shd w:val="clear" w:color="auto" w:fill="auto"/>
          </w:tcPr>
          <w:p w14:paraId="36CA2B91" w14:textId="77777777" w:rsidR="00787570" w:rsidRDefault="00787570">
            <w:pPr>
              <w:rPr>
                <w:rFonts w:ascii="宋体"/>
              </w:rPr>
            </w:pPr>
          </w:p>
        </w:tc>
        <w:tc>
          <w:tcPr>
            <w:tcW w:w="0" w:type="auto"/>
            <w:shd w:val="clear" w:color="auto" w:fill="auto"/>
          </w:tcPr>
          <w:p w14:paraId="36CA2B92" w14:textId="77777777" w:rsidR="00787570" w:rsidRDefault="00787570">
            <w:pPr>
              <w:rPr>
                <w:rFonts w:ascii="宋体"/>
              </w:rPr>
            </w:pPr>
          </w:p>
        </w:tc>
        <w:tc>
          <w:tcPr>
            <w:tcW w:w="0" w:type="auto"/>
            <w:shd w:val="clear" w:color="auto" w:fill="auto"/>
          </w:tcPr>
          <w:p w14:paraId="36CA2B93" w14:textId="77777777" w:rsidR="00787570" w:rsidRDefault="00787570">
            <w:pPr>
              <w:rPr>
                <w:rFonts w:ascii="宋体"/>
              </w:rPr>
            </w:pPr>
          </w:p>
        </w:tc>
        <w:tc>
          <w:tcPr>
            <w:tcW w:w="0" w:type="auto"/>
            <w:shd w:val="clear" w:color="auto" w:fill="auto"/>
          </w:tcPr>
          <w:p w14:paraId="36CA2B94" w14:textId="77777777" w:rsidR="00787570" w:rsidRDefault="00787570">
            <w:pPr>
              <w:rPr>
                <w:rFonts w:ascii="宋体"/>
              </w:rPr>
            </w:pPr>
          </w:p>
        </w:tc>
        <w:tc>
          <w:tcPr>
            <w:tcW w:w="0" w:type="auto"/>
            <w:shd w:val="clear" w:color="auto" w:fill="auto"/>
          </w:tcPr>
          <w:p w14:paraId="36CA2B95" w14:textId="77777777" w:rsidR="00787570" w:rsidRDefault="00787570">
            <w:pPr>
              <w:rPr>
                <w:rFonts w:ascii="宋体"/>
              </w:rPr>
            </w:pPr>
          </w:p>
        </w:tc>
        <w:tc>
          <w:tcPr>
            <w:tcW w:w="0" w:type="auto"/>
            <w:shd w:val="clear" w:color="auto" w:fill="auto"/>
          </w:tcPr>
          <w:p w14:paraId="36CA2B96" w14:textId="77777777" w:rsidR="00787570" w:rsidRDefault="00787570">
            <w:pPr>
              <w:rPr>
                <w:rFonts w:ascii="宋体"/>
              </w:rPr>
            </w:pPr>
          </w:p>
        </w:tc>
        <w:tc>
          <w:tcPr>
            <w:tcW w:w="0" w:type="auto"/>
            <w:shd w:val="clear" w:color="auto" w:fill="auto"/>
          </w:tcPr>
          <w:p w14:paraId="36CA2B97" w14:textId="77777777" w:rsidR="00787570" w:rsidRDefault="00787570">
            <w:pPr>
              <w:rPr>
                <w:rFonts w:ascii="宋体"/>
              </w:rPr>
            </w:pPr>
          </w:p>
        </w:tc>
        <w:tc>
          <w:tcPr>
            <w:tcW w:w="0" w:type="auto"/>
            <w:shd w:val="clear" w:color="auto" w:fill="auto"/>
          </w:tcPr>
          <w:p w14:paraId="36CA2B98" w14:textId="77777777" w:rsidR="00787570" w:rsidRDefault="00787570">
            <w:pPr>
              <w:rPr>
                <w:rFonts w:ascii="宋体"/>
              </w:rPr>
            </w:pPr>
          </w:p>
        </w:tc>
        <w:tc>
          <w:tcPr>
            <w:tcW w:w="0" w:type="auto"/>
            <w:shd w:val="clear" w:color="auto" w:fill="auto"/>
          </w:tcPr>
          <w:p w14:paraId="36CA2B99" w14:textId="77777777" w:rsidR="00787570" w:rsidRDefault="00787570">
            <w:pPr>
              <w:rPr>
                <w:rFonts w:ascii="宋体"/>
              </w:rPr>
            </w:pPr>
          </w:p>
        </w:tc>
      </w:tr>
      <w:tr w:rsidR="00787570" w14:paraId="36CA2BB4" w14:textId="77777777">
        <w:tc>
          <w:tcPr>
            <w:tcW w:w="0" w:type="auto"/>
            <w:gridSpan w:val="3"/>
            <w:shd w:val="clear" w:color="auto" w:fill="auto"/>
            <w:tcMar>
              <w:left w:w="20" w:type="dxa"/>
              <w:right w:w="20" w:type="dxa"/>
            </w:tcMar>
            <w:vAlign w:val="bottom"/>
          </w:tcPr>
          <w:p w14:paraId="36CA2B9B"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2B9C" w14:textId="77777777" w:rsidR="00787570" w:rsidRDefault="00787570">
            <w:pPr>
              <w:rPr>
                <w:rFonts w:ascii="宋体"/>
              </w:rPr>
            </w:pPr>
          </w:p>
        </w:tc>
        <w:tc>
          <w:tcPr>
            <w:tcW w:w="0" w:type="auto"/>
            <w:gridSpan w:val="2"/>
            <w:tcBorders>
              <w:top w:val="single" w:sz="8" w:space="0" w:color="333333"/>
            </w:tcBorders>
            <w:shd w:val="clear" w:color="auto" w:fill="auto"/>
            <w:tcMar>
              <w:top w:w="40" w:type="dxa"/>
              <w:left w:w="20" w:type="dxa"/>
              <w:bottom w:w="40" w:type="dxa"/>
              <w:right w:w="0" w:type="dxa"/>
            </w:tcMar>
            <w:vAlign w:val="bottom"/>
          </w:tcPr>
          <w:p w14:paraId="36CA2B9D" w14:textId="77777777" w:rsidR="00787570" w:rsidRDefault="000D56E2">
            <w:pPr>
              <w:jc w:val="right"/>
              <w:textAlignment w:val="bottom"/>
            </w:pPr>
            <w:r>
              <w:rPr>
                <w:rFonts w:ascii="Arial" w:eastAsia="宋体" w:hAnsi="Arial" w:cs="Arial"/>
                <w:b/>
                <w:bCs/>
                <w:color w:val="0071C5"/>
                <w:sz w:val="18"/>
                <w:szCs w:val="18"/>
              </w:rPr>
              <w:t>14,508</w:t>
            </w:r>
            <w:r>
              <w:rPr>
                <w:rFonts w:ascii="Arial" w:eastAsia="宋体" w:hAnsi="Arial" w:cs="Arial"/>
                <w:color w:val="0071C5"/>
                <w:sz w:val="18"/>
                <w:szCs w:val="18"/>
              </w:rPr>
              <w:t> </w:t>
            </w:r>
          </w:p>
        </w:tc>
        <w:tc>
          <w:tcPr>
            <w:tcW w:w="0" w:type="auto"/>
            <w:tcBorders>
              <w:top w:val="single" w:sz="8" w:space="0" w:color="333333"/>
            </w:tcBorders>
            <w:shd w:val="clear" w:color="auto" w:fill="auto"/>
            <w:tcMar>
              <w:top w:w="40" w:type="dxa"/>
              <w:bottom w:w="40" w:type="dxa"/>
              <w:right w:w="20" w:type="dxa"/>
            </w:tcMar>
            <w:vAlign w:val="bottom"/>
          </w:tcPr>
          <w:p w14:paraId="36CA2B9E"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2B9F" w14:textId="77777777" w:rsidR="00787570" w:rsidRDefault="00787570">
            <w:pPr>
              <w:rPr>
                <w:rFonts w:ascii="宋体"/>
              </w:rPr>
            </w:pPr>
          </w:p>
        </w:tc>
        <w:tc>
          <w:tcPr>
            <w:tcW w:w="0" w:type="auto"/>
            <w:gridSpan w:val="2"/>
            <w:tcBorders>
              <w:top w:val="single" w:sz="8" w:space="0" w:color="333333"/>
            </w:tcBorders>
            <w:shd w:val="clear" w:color="auto" w:fill="auto"/>
            <w:tcMar>
              <w:top w:w="40" w:type="dxa"/>
              <w:left w:w="20" w:type="dxa"/>
              <w:bottom w:w="40" w:type="dxa"/>
              <w:right w:w="0" w:type="dxa"/>
            </w:tcMar>
            <w:vAlign w:val="bottom"/>
          </w:tcPr>
          <w:p w14:paraId="36CA2BA0" w14:textId="77777777" w:rsidR="00787570" w:rsidRDefault="000D56E2">
            <w:pPr>
              <w:jc w:val="right"/>
              <w:textAlignment w:val="bottom"/>
            </w:pPr>
            <w:r>
              <w:rPr>
                <w:rFonts w:ascii="Arial" w:eastAsia="宋体" w:hAnsi="Arial" w:cs="Arial"/>
                <w:b/>
                <w:bCs/>
                <w:color w:val="333333"/>
                <w:sz w:val="18"/>
                <w:szCs w:val="18"/>
              </w:rPr>
              <w:t>15,121</w:t>
            </w:r>
            <w:r>
              <w:rPr>
                <w:rFonts w:ascii="Arial" w:eastAsia="宋体" w:hAnsi="Arial" w:cs="Arial"/>
                <w:color w:val="333333"/>
                <w:sz w:val="18"/>
                <w:szCs w:val="18"/>
              </w:rPr>
              <w:t> </w:t>
            </w:r>
          </w:p>
        </w:tc>
        <w:tc>
          <w:tcPr>
            <w:tcW w:w="0" w:type="auto"/>
            <w:tcBorders>
              <w:top w:val="single" w:sz="8" w:space="0" w:color="333333"/>
            </w:tcBorders>
            <w:shd w:val="clear" w:color="auto" w:fill="auto"/>
            <w:tcMar>
              <w:top w:w="40" w:type="dxa"/>
              <w:bottom w:w="40" w:type="dxa"/>
              <w:right w:w="20" w:type="dxa"/>
            </w:tcMar>
            <w:vAlign w:val="bottom"/>
          </w:tcPr>
          <w:p w14:paraId="36CA2BA1"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2BA2" w14:textId="77777777" w:rsidR="00787570" w:rsidRDefault="00787570">
            <w:pPr>
              <w:rPr>
                <w:rFonts w:ascii="宋体"/>
              </w:rPr>
            </w:pPr>
          </w:p>
        </w:tc>
        <w:tc>
          <w:tcPr>
            <w:tcW w:w="0" w:type="auto"/>
            <w:gridSpan w:val="2"/>
            <w:tcBorders>
              <w:top w:val="single" w:sz="8" w:space="0" w:color="333333"/>
            </w:tcBorders>
            <w:shd w:val="clear" w:color="auto" w:fill="auto"/>
            <w:tcMar>
              <w:top w:w="40" w:type="dxa"/>
              <w:left w:w="20" w:type="dxa"/>
              <w:bottom w:w="40" w:type="dxa"/>
              <w:right w:w="0" w:type="dxa"/>
            </w:tcMar>
            <w:vAlign w:val="bottom"/>
          </w:tcPr>
          <w:p w14:paraId="36CA2BA3" w14:textId="77777777" w:rsidR="00787570" w:rsidRDefault="000D56E2">
            <w:pPr>
              <w:jc w:val="right"/>
              <w:textAlignment w:val="bottom"/>
            </w:pPr>
            <w:r>
              <w:rPr>
                <w:rFonts w:ascii="Arial" w:eastAsia="宋体" w:hAnsi="Arial" w:cs="Arial"/>
                <w:b/>
                <w:bCs/>
                <w:color w:val="0071C5"/>
                <w:sz w:val="18"/>
                <w:szCs w:val="18"/>
              </w:rPr>
              <w:t>45,470</w:t>
            </w:r>
            <w:r>
              <w:rPr>
                <w:rFonts w:ascii="Arial" w:eastAsia="宋体" w:hAnsi="Arial" w:cs="Arial"/>
                <w:color w:val="0071C5"/>
                <w:sz w:val="18"/>
                <w:szCs w:val="18"/>
              </w:rPr>
              <w:t> </w:t>
            </w:r>
          </w:p>
        </w:tc>
        <w:tc>
          <w:tcPr>
            <w:tcW w:w="0" w:type="auto"/>
            <w:tcBorders>
              <w:top w:val="single" w:sz="8" w:space="0" w:color="333333"/>
            </w:tcBorders>
            <w:shd w:val="clear" w:color="auto" w:fill="auto"/>
            <w:tcMar>
              <w:top w:w="40" w:type="dxa"/>
              <w:bottom w:w="40" w:type="dxa"/>
              <w:right w:w="20" w:type="dxa"/>
            </w:tcMar>
            <w:vAlign w:val="bottom"/>
          </w:tcPr>
          <w:p w14:paraId="36CA2BA4"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2BA5" w14:textId="77777777" w:rsidR="00787570" w:rsidRDefault="00787570">
            <w:pPr>
              <w:rPr>
                <w:rFonts w:ascii="宋体"/>
              </w:rPr>
            </w:pPr>
          </w:p>
        </w:tc>
        <w:tc>
          <w:tcPr>
            <w:tcW w:w="0" w:type="auto"/>
            <w:gridSpan w:val="2"/>
            <w:tcBorders>
              <w:top w:val="single" w:sz="8" w:space="0" w:color="333333"/>
            </w:tcBorders>
            <w:shd w:val="clear" w:color="auto" w:fill="auto"/>
            <w:tcMar>
              <w:top w:w="40" w:type="dxa"/>
              <w:left w:w="20" w:type="dxa"/>
              <w:bottom w:w="40" w:type="dxa"/>
              <w:right w:w="0" w:type="dxa"/>
            </w:tcMar>
            <w:vAlign w:val="bottom"/>
          </w:tcPr>
          <w:p w14:paraId="36CA2BA6" w14:textId="77777777" w:rsidR="00787570" w:rsidRDefault="000D56E2">
            <w:pPr>
              <w:jc w:val="right"/>
              <w:textAlignment w:val="bottom"/>
            </w:pPr>
            <w:r>
              <w:rPr>
                <w:rFonts w:ascii="Arial" w:eastAsia="宋体" w:hAnsi="Arial" w:cs="Arial"/>
                <w:b/>
                <w:bCs/>
                <w:color w:val="333333"/>
                <w:sz w:val="18"/>
                <w:szCs w:val="18"/>
              </w:rPr>
              <w:t>41,621</w:t>
            </w:r>
            <w:r>
              <w:rPr>
                <w:rFonts w:ascii="Arial" w:eastAsia="宋体" w:hAnsi="Arial" w:cs="Arial"/>
                <w:color w:val="333333"/>
                <w:sz w:val="18"/>
                <w:szCs w:val="18"/>
              </w:rPr>
              <w:t> </w:t>
            </w:r>
          </w:p>
        </w:tc>
        <w:tc>
          <w:tcPr>
            <w:tcW w:w="0" w:type="auto"/>
            <w:tcBorders>
              <w:top w:val="single" w:sz="8" w:space="0" w:color="333333"/>
            </w:tcBorders>
            <w:shd w:val="clear" w:color="auto" w:fill="auto"/>
            <w:tcMar>
              <w:top w:w="40" w:type="dxa"/>
              <w:bottom w:w="40" w:type="dxa"/>
              <w:right w:w="20" w:type="dxa"/>
            </w:tcMar>
            <w:vAlign w:val="bottom"/>
          </w:tcPr>
          <w:p w14:paraId="36CA2BA7" w14:textId="77777777" w:rsidR="00787570" w:rsidRDefault="00787570">
            <w:pPr>
              <w:jc w:val="right"/>
              <w:rPr>
                <w:rFonts w:ascii="宋体"/>
              </w:rPr>
            </w:pPr>
          </w:p>
        </w:tc>
        <w:tc>
          <w:tcPr>
            <w:tcW w:w="0" w:type="auto"/>
            <w:shd w:val="clear" w:color="auto" w:fill="auto"/>
          </w:tcPr>
          <w:p w14:paraId="36CA2BA8" w14:textId="77777777" w:rsidR="00787570" w:rsidRDefault="00787570">
            <w:pPr>
              <w:rPr>
                <w:rFonts w:ascii="宋体"/>
              </w:rPr>
            </w:pPr>
          </w:p>
        </w:tc>
        <w:tc>
          <w:tcPr>
            <w:tcW w:w="0" w:type="auto"/>
            <w:shd w:val="clear" w:color="auto" w:fill="auto"/>
          </w:tcPr>
          <w:p w14:paraId="36CA2BA9" w14:textId="77777777" w:rsidR="00787570" w:rsidRDefault="00787570">
            <w:pPr>
              <w:rPr>
                <w:rFonts w:ascii="宋体"/>
              </w:rPr>
            </w:pPr>
          </w:p>
        </w:tc>
        <w:tc>
          <w:tcPr>
            <w:tcW w:w="0" w:type="auto"/>
            <w:shd w:val="clear" w:color="auto" w:fill="auto"/>
          </w:tcPr>
          <w:p w14:paraId="36CA2BAA" w14:textId="77777777" w:rsidR="00787570" w:rsidRDefault="00787570">
            <w:pPr>
              <w:rPr>
                <w:rFonts w:ascii="宋体"/>
              </w:rPr>
            </w:pPr>
          </w:p>
        </w:tc>
        <w:tc>
          <w:tcPr>
            <w:tcW w:w="0" w:type="auto"/>
            <w:shd w:val="clear" w:color="auto" w:fill="auto"/>
          </w:tcPr>
          <w:p w14:paraId="36CA2BAB" w14:textId="77777777" w:rsidR="00787570" w:rsidRDefault="00787570">
            <w:pPr>
              <w:rPr>
                <w:rFonts w:ascii="宋体"/>
              </w:rPr>
            </w:pPr>
          </w:p>
        </w:tc>
        <w:tc>
          <w:tcPr>
            <w:tcW w:w="0" w:type="auto"/>
            <w:shd w:val="clear" w:color="auto" w:fill="auto"/>
          </w:tcPr>
          <w:p w14:paraId="36CA2BAC" w14:textId="77777777" w:rsidR="00787570" w:rsidRDefault="00787570">
            <w:pPr>
              <w:rPr>
                <w:rFonts w:ascii="宋体"/>
              </w:rPr>
            </w:pPr>
          </w:p>
        </w:tc>
        <w:tc>
          <w:tcPr>
            <w:tcW w:w="0" w:type="auto"/>
            <w:shd w:val="clear" w:color="auto" w:fill="auto"/>
          </w:tcPr>
          <w:p w14:paraId="36CA2BAD" w14:textId="77777777" w:rsidR="00787570" w:rsidRDefault="00787570">
            <w:pPr>
              <w:rPr>
                <w:rFonts w:ascii="宋体"/>
              </w:rPr>
            </w:pPr>
          </w:p>
        </w:tc>
        <w:tc>
          <w:tcPr>
            <w:tcW w:w="0" w:type="auto"/>
            <w:shd w:val="clear" w:color="auto" w:fill="auto"/>
          </w:tcPr>
          <w:p w14:paraId="36CA2BAE" w14:textId="77777777" w:rsidR="00787570" w:rsidRDefault="00787570">
            <w:pPr>
              <w:rPr>
                <w:rFonts w:ascii="宋体"/>
              </w:rPr>
            </w:pPr>
          </w:p>
        </w:tc>
        <w:tc>
          <w:tcPr>
            <w:tcW w:w="0" w:type="auto"/>
            <w:shd w:val="clear" w:color="auto" w:fill="auto"/>
          </w:tcPr>
          <w:p w14:paraId="36CA2BAF" w14:textId="77777777" w:rsidR="00787570" w:rsidRDefault="00787570">
            <w:pPr>
              <w:rPr>
                <w:rFonts w:ascii="宋体"/>
              </w:rPr>
            </w:pPr>
          </w:p>
        </w:tc>
        <w:tc>
          <w:tcPr>
            <w:tcW w:w="0" w:type="auto"/>
            <w:shd w:val="clear" w:color="auto" w:fill="auto"/>
          </w:tcPr>
          <w:p w14:paraId="36CA2BB0" w14:textId="77777777" w:rsidR="00787570" w:rsidRDefault="00787570">
            <w:pPr>
              <w:rPr>
                <w:rFonts w:ascii="宋体"/>
              </w:rPr>
            </w:pPr>
          </w:p>
        </w:tc>
        <w:tc>
          <w:tcPr>
            <w:tcW w:w="0" w:type="auto"/>
            <w:shd w:val="clear" w:color="auto" w:fill="auto"/>
          </w:tcPr>
          <w:p w14:paraId="36CA2BB1" w14:textId="77777777" w:rsidR="00787570" w:rsidRDefault="00787570">
            <w:pPr>
              <w:rPr>
                <w:rFonts w:ascii="宋体"/>
              </w:rPr>
            </w:pPr>
          </w:p>
        </w:tc>
        <w:tc>
          <w:tcPr>
            <w:tcW w:w="0" w:type="auto"/>
            <w:shd w:val="clear" w:color="auto" w:fill="auto"/>
          </w:tcPr>
          <w:p w14:paraId="36CA2BB2" w14:textId="77777777" w:rsidR="00787570" w:rsidRDefault="00787570">
            <w:pPr>
              <w:rPr>
                <w:rFonts w:ascii="宋体"/>
              </w:rPr>
            </w:pPr>
          </w:p>
        </w:tc>
        <w:tc>
          <w:tcPr>
            <w:tcW w:w="0" w:type="auto"/>
            <w:shd w:val="clear" w:color="auto" w:fill="auto"/>
          </w:tcPr>
          <w:p w14:paraId="36CA2BB3" w14:textId="77777777" w:rsidR="00787570" w:rsidRDefault="00787570">
            <w:pPr>
              <w:rPr>
                <w:rFonts w:ascii="宋体"/>
              </w:rPr>
            </w:pPr>
          </w:p>
        </w:tc>
      </w:tr>
      <w:tr w:rsidR="00787570" w14:paraId="36CA2BCA" w14:textId="77777777">
        <w:trPr>
          <w:trHeight w:val="60"/>
        </w:trPr>
        <w:tc>
          <w:tcPr>
            <w:tcW w:w="0" w:type="auto"/>
            <w:gridSpan w:val="3"/>
            <w:shd w:val="clear" w:color="auto" w:fill="auto"/>
            <w:tcMar>
              <w:left w:w="20" w:type="dxa"/>
              <w:right w:w="20" w:type="dxa"/>
            </w:tcMar>
            <w:vAlign w:val="bottom"/>
          </w:tcPr>
          <w:p w14:paraId="36CA2BB5"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2BB6"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2BB7"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2BB8"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2BB9"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2BBA"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2BBB"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2BBC"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2BBD" w14:textId="77777777" w:rsidR="00787570" w:rsidRDefault="00787570">
            <w:pPr>
              <w:rPr>
                <w:rFonts w:ascii="宋体"/>
              </w:rPr>
            </w:pPr>
          </w:p>
        </w:tc>
        <w:tc>
          <w:tcPr>
            <w:tcW w:w="0" w:type="auto"/>
            <w:shd w:val="clear" w:color="auto" w:fill="auto"/>
          </w:tcPr>
          <w:p w14:paraId="36CA2BBE" w14:textId="77777777" w:rsidR="00787570" w:rsidRDefault="00787570">
            <w:pPr>
              <w:rPr>
                <w:rFonts w:ascii="宋体"/>
              </w:rPr>
            </w:pPr>
          </w:p>
        </w:tc>
        <w:tc>
          <w:tcPr>
            <w:tcW w:w="0" w:type="auto"/>
            <w:shd w:val="clear" w:color="auto" w:fill="auto"/>
          </w:tcPr>
          <w:p w14:paraId="36CA2BBF" w14:textId="77777777" w:rsidR="00787570" w:rsidRDefault="00787570">
            <w:pPr>
              <w:rPr>
                <w:rFonts w:ascii="宋体"/>
              </w:rPr>
            </w:pPr>
          </w:p>
        </w:tc>
        <w:tc>
          <w:tcPr>
            <w:tcW w:w="0" w:type="auto"/>
            <w:shd w:val="clear" w:color="auto" w:fill="auto"/>
          </w:tcPr>
          <w:p w14:paraId="36CA2BC0" w14:textId="77777777" w:rsidR="00787570" w:rsidRDefault="00787570">
            <w:pPr>
              <w:rPr>
                <w:rFonts w:ascii="宋体"/>
              </w:rPr>
            </w:pPr>
          </w:p>
        </w:tc>
        <w:tc>
          <w:tcPr>
            <w:tcW w:w="0" w:type="auto"/>
            <w:shd w:val="clear" w:color="auto" w:fill="auto"/>
          </w:tcPr>
          <w:p w14:paraId="36CA2BC1" w14:textId="77777777" w:rsidR="00787570" w:rsidRDefault="00787570">
            <w:pPr>
              <w:rPr>
                <w:rFonts w:ascii="宋体"/>
              </w:rPr>
            </w:pPr>
          </w:p>
        </w:tc>
        <w:tc>
          <w:tcPr>
            <w:tcW w:w="0" w:type="auto"/>
            <w:shd w:val="clear" w:color="auto" w:fill="auto"/>
          </w:tcPr>
          <w:p w14:paraId="36CA2BC2" w14:textId="77777777" w:rsidR="00787570" w:rsidRDefault="00787570">
            <w:pPr>
              <w:rPr>
                <w:rFonts w:ascii="宋体"/>
              </w:rPr>
            </w:pPr>
          </w:p>
        </w:tc>
        <w:tc>
          <w:tcPr>
            <w:tcW w:w="0" w:type="auto"/>
            <w:shd w:val="clear" w:color="auto" w:fill="auto"/>
          </w:tcPr>
          <w:p w14:paraId="36CA2BC3" w14:textId="77777777" w:rsidR="00787570" w:rsidRDefault="00787570">
            <w:pPr>
              <w:rPr>
                <w:rFonts w:ascii="宋体"/>
              </w:rPr>
            </w:pPr>
          </w:p>
        </w:tc>
        <w:tc>
          <w:tcPr>
            <w:tcW w:w="0" w:type="auto"/>
            <w:shd w:val="clear" w:color="auto" w:fill="auto"/>
          </w:tcPr>
          <w:p w14:paraId="36CA2BC4" w14:textId="77777777" w:rsidR="00787570" w:rsidRDefault="00787570">
            <w:pPr>
              <w:rPr>
                <w:rFonts w:ascii="宋体"/>
              </w:rPr>
            </w:pPr>
          </w:p>
        </w:tc>
        <w:tc>
          <w:tcPr>
            <w:tcW w:w="0" w:type="auto"/>
            <w:shd w:val="clear" w:color="auto" w:fill="auto"/>
          </w:tcPr>
          <w:p w14:paraId="36CA2BC5" w14:textId="77777777" w:rsidR="00787570" w:rsidRDefault="00787570">
            <w:pPr>
              <w:rPr>
                <w:rFonts w:ascii="宋体"/>
              </w:rPr>
            </w:pPr>
          </w:p>
        </w:tc>
        <w:tc>
          <w:tcPr>
            <w:tcW w:w="0" w:type="auto"/>
            <w:shd w:val="clear" w:color="auto" w:fill="auto"/>
          </w:tcPr>
          <w:p w14:paraId="36CA2BC6" w14:textId="77777777" w:rsidR="00787570" w:rsidRDefault="00787570">
            <w:pPr>
              <w:rPr>
                <w:rFonts w:ascii="宋体"/>
              </w:rPr>
            </w:pPr>
          </w:p>
        </w:tc>
        <w:tc>
          <w:tcPr>
            <w:tcW w:w="0" w:type="auto"/>
            <w:shd w:val="clear" w:color="auto" w:fill="auto"/>
          </w:tcPr>
          <w:p w14:paraId="36CA2BC7" w14:textId="77777777" w:rsidR="00787570" w:rsidRDefault="00787570">
            <w:pPr>
              <w:rPr>
                <w:rFonts w:ascii="宋体"/>
              </w:rPr>
            </w:pPr>
          </w:p>
        </w:tc>
        <w:tc>
          <w:tcPr>
            <w:tcW w:w="0" w:type="auto"/>
            <w:shd w:val="clear" w:color="auto" w:fill="auto"/>
          </w:tcPr>
          <w:p w14:paraId="36CA2BC8" w14:textId="77777777" w:rsidR="00787570" w:rsidRDefault="00787570">
            <w:pPr>
              <w:rPr>
                <w:rFonts w:ascii="宋体"/>
              </w:rPr>
            </w:pPr>
          </w:p>
        </w:tc>
        <w:tc>
          <w:tcPr>
            <w:tcW w:w="0" w:type="auto"/>
            <w:shd w:val="clear" w:color="auto" w:fill="auto"/>
          </w:tcPr>
          <w:p w14:paraId="36CA2BC9" w14:textId="77777777" w:rsidR="00787570" w:rsidRDefault="00787570">
            <w:pPr>
              <w:rPr>
                <w:rFonts w:ascii="宋体"/>
              </w:rPr>
            </w:pPr>
          </w:p>
        </w:tc>
      </w:tr>
      <w:tr w:rsidR="00787570" w14:paraId="36CA2BE4" w14:textId="77777777">
        <w:tc>
          <w:tcPr>
            <w:tcW w:w="0" w:type="auto"/>
            <w:gridSpan w:val="3"/>
            <w:shd w:val="clear" w:color="auto" w:fill="auto"/>
            <w:tcMar>
              <w:top w:w="40" w:type="dxa"/>
              <w:left w:w="20" w:type="dxa"/>
              <w:bottom w:w="40" w:type="dxa"/>
              <w:right w:w="20" w:type="dxa"/>
            </w:tcMar>
            <w:vAlign w:val="bottom"/>
          </w:tcPr>
          <w:p w14:paraId="36CA2BCB" w14:textId="77777777" w:rsidR="00787570" w:rsidRDefault="000D56E2">
            <w:pPr>
              <w:textAlignment w:val="bottom"/>
            </w:pPr>
            <w:r>
              <w:rPr>
                <w:rFonts w:ascii="Arial" w:eastAsia="宋体" w:hAnsi="Arial" w:cs="Arial"/>
                <w:b/>
                <w:bCs/>
                <w:color w:val="333333"/>
                <w:sz w:val="18"/>
                <w:szCs w:val="18"/>
              </w:rPr>
              <w:t>Adjacent revenue</w:t>
            </w:r>
            <w:r>
              <w:rPr>
                <w:rFonts w:ascii="Arial" w:eastAsia="宋体" w:hAnsi="Arial" w:cs="Arial"/>
                <w:b/>
                <w:bCs/>
                <w:color w:val="333333"/>
                <w:sz w:val="11"/>
                <w:szCs w:val="11"/>
              </w:rPr>
              <w:t>2</w:t>
            </w:r>
          </w:p>
        </w:tc>
        <w:tc>
          <w:tcPr>
            <w:tcW w:w="0" w:type="auto"/>
            <w:gridSpan w:val="3"/>
            <w:shd w:val="clear" w:color="auto" w:fill="auto"/>
            <w:tcMar>
              <w:left w:w="20" w:type="dxa"/>
              <w:right w:w="20" w:type="dxa"/>
            </w:tcMar>
            <w:vAlign w:val="bottom"/>
          </w:tcPr>
          <w:p w14:paraId="36CA2BCC"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2BCD" w14:textId="77777777" w:rsidR="00787570" w:rsidRDefault="000D56E2">
            <w:pPr>
              <w:jc w:val="right"/>
              <w:textAlignment w:val="bottom"/>
            </w:pPr>
            <w:r>
              <w:rPr>
                <w:rFonts w:ascii="Arial" w:eastAsia="宋体" w:hAnsi="Arial" w:cs="Arial"/>
                <w:b/>
                <w:bCs/>
                <w:color w:val="0071C5"/>
                <w:sz w:val="18"/>
                <w:szCs w:val="18"/>
              </w:rPr>
              <w:t>3,825</w:t>
            </w:r>
            <w:r>
              <w:rPr>
                <w:rFonts w:ascii="Arial" w:eastAsia="宋体" w:hAnsi="Arial" w:cs="Arial"/>
                <w:color w:val="0071C5"/>
                <w:sz w:val="18"/>
                <w:szCs w:val="18"/>
              </w:rPr>
              <w:t> </w:t>
            </w:r>
          </w:p>
        </w:tc>
        <w:tc>
          <w:tcPr>
            <w:tcW w:w="0" w:type="auto"/>
            <w:shd w:val="clear" w:color="auto" w:fill="auto"/>
            <w:tcMar>
              <w:top w:w="40" w:type="dxa"/>
              <w:bottom w:w="40" w:type="dxa"/>
              <w:right w:w="20" w:type="dxa"/>
            </w:tcMar>
            <w:vAlign w:val="bottom"/>
          </w:tcPr>
          <w:p w14:paraId="36CA2BCE"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2BCF"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2BD0" w14:textId="77777777" w:rsidR="00787570" w:rsidRDefault="000D56E2">
            <w:pPr>
              <w:jc w:val="right"/>
              <w:textAlignment w:val="bottom"/>
            </w:pPr>
            <w:r>
              <w:rPr>
                <w:rFonts w:ascii="Arial" w:eastAsia="宋体" w:hAnsi="Arial" w:cs="Arial"/>
                <w:b/>
                <w:bCs/>
                <w:color w:val="333333"/>
                <w:sz w:val="18"/>
                <w:szCs w:val="18"/>
              </w:rPr>
              <w:t>4,069</w:t>
            </w:r>
            <w:r>
              <w:rPr>
                <w:rFonts w:ascii="Arial" w:eastAsia="宋体" w:hAnsi="Arial" w:cs="Arial"/>
                <w:color w:val="333333"/>
                <w:sz w:val="18"/>
                <w:szCs w:val="18"/>
              </w:rPr>
              <w:t> </w:t>
            </w:r>
          </w:p>
        </w:tc>
        <w:tc>
          <w:tcPr>
            <w:tcW w:w="0" w:type="auto"/>
            <w:shd w:val="clear" w:color="auto" w:fill="auto"/>
            <w:tcMar>
              <w:top w:w="40" w:type="dxa"/>
              <w:bottom w:w="40" w:type="dxa"/>
              <w:right w:w="20" w:type="dxa"/>
            </w:tcMar>
            <w:vAlign w:val="bottom"/>
          </w:tcPr>
          <w:p w14:paraId="36CA2BD1"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2BD2"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2BD3" w14:textId="77777777" w:rsidR="00787570" w:rsidRDefault="000D56E2">
            <w:pPr>
              <w:jc w:val="right"/>
              <w:textAlignment w:val="bottom"/>
            </w:pPr>
            <w:r>
              <w:rPr>
                <w:rFonts w:ascii="Arial" w:eastAsia="宋体" w:hAnsi="Arial" w:cs="Arial"/>
                <w:b/>
                <w:bCs/>
                <w:color w:val="0071C5"/>
                <w:sz w:val="18"/>
                <w:szCs w:val="18"/>
              </w:rPr>
              <w:t>12,419</w:t>
            </w:r>
            <w:r>
              <w:rPr>
                <w:rFonts w:ascii="Arial" w:eastAsia="宋体" w:hAnsi="Arial" w:cs="Arial"/>
                <w:color w:val="0071C5"/>
                <w:sz w:val="18"/>
                <w:szCs w:val="18"/>
              </w:rPr>
              <w:t> </w:t>
            </w:r>
          </w:p>
        </w:tc>
        <w:tc>
          <w:tcPr>
            <w:tcW w:w="0" w:type="auto"/>
            <w:shd w:val="clear" w:color="auto" w:fill="auto"/>
            <w:tcMar>
              <w:top w:w="40" w:type="dxa"/>
              <w:bottom w:w="40" w:type="dxa"/>
              <w:right w:w="20" w:type="dxa"/>
            </w:tcMar>
            <w:vAlign w:val="bottom"/>
          </w:tcPr>
          <w:p w14:paraId="36CA2BD4"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2BD5"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2BD6" w14:textId="77777777" w:rsidR="00787570" w:rsidRDefault="000D56E2">
            <w:pPr>
              <w:jc w:val="right"/>
              <w:textAlignment w:val="bottom"/>
            </w:pPr>
            <w:r>
              <w:rPr>
                <w:rFonts w:ascii="Arial" w:eastAsia="宋体" w:hAnsi="Arial" w:cs="Arial"/>
                <w:b/>
                <w:bCs/>
                <w:color w:val="333333"/>
                <w:sz w:val="18"/>
                <w:szCs w:val="18"/>
              </w:rPr>
              <w:t>10,135</w:t>
            </w:r>
            <w:r>
              <w:rPr>
                <w:rFonts w:ascii="Arial" w:eastAsia="宋体" w:hAnsi="Arial" w:cs="Arial"/>
                <w:color w:val="333333"/>
                <w:sz w:val="18"/>
                <w:szCs w:val="18"/>
              </w:rPr>
              <w:t> </w:t>
            </w:r>
          </w:p>
        </w:tc>
        <w:tc>
          <w:tcPr>
            <w:tcW w:w="0" w:type="auto"/>
            <w:shd w:val="clear" w:color="auto" w:fill="auto"/>
            <w:tcMar>
              <w:top w:w="40" w:type="dxa"/>
              <w:bottom w:w="40" w:type="dxa"/>
              <w:right w:w="20" w:type="dxa"/>
            </w:tcMar>
            <w:vAlign w:val="bottom"/>
          </w:tcPr>
          <w:p w14:paraId="36CA2BD7" w14:textId="77777777" w:rsidR="00787570" w:rsidRDefault="00787570">
            <w:pPr>
              <w:jc w:val="right"/>
              <w:rPr>
                <w:rFonts w:ascii="宋体"/>
              </w:rPr>
            </w:pPr>
          </w:p>
        </w:tc>
        <w:tc>
          <w:tcPr>
            <w:tcW w:w="0" w:type="auto"/>
            <w:shd w:val="clear" w:color="auto" w:fill="auto"/>
          </w:tcPr>
          <w:p w14:paraId="36CA2BD8" w14:textId="77777777" w:rsidR="00787570" w:rsidRDefault="00787570">
            <w:pPr>
              <w:rPr>
                <w:rFonts w:ascii="宋体"/>
              </w:rPr>
            </w:pPr>
          </w:p>
        </w:tc>
        <w:tc>
          <w:tcPr>
            <w:tcW w:w="0" w:type="auto"/>
            <w:shd w:val="clear" w:color="auto" w:fill="auto"/>
          </w:tcPr>
          <w:p w14:paraId="36CA2BD9" w14:textId="77777777" w:rsidR="00787570" w:rsidRDefault="00787570">
            <w:pPr>
              <w:rPr>
                <w:rFonts w:ascii="宋体"/>
              </w:rPr>
            </w:pPr>
          </w:p>
        </w:tc>
        <w:tc>
          <w:tcPr>
            <w:tcW w:w="0" w:type="auto"/>
            <w:shd w:val="clear" w:color="auto" w:fill="auto"/>
          </w:tcPr>
          <w:p w14:paraId="36CA2BDA" w14:textId="77777777" w:rsidR="00787570" w:rsidRDefault="00787570">
            <w:pPr>
              <w:rPr>
                <w:rFonts w:ascii="宋体"/>
              </w:rPr>
            </w:pPr>
          </w:p>
        </w:tc>
        <w:tc>
          <w:tcPr>
            <w:tcW w:w="0" w:type="auto"/>
            <w:shd w:val="clear" w:color="auto" w:fill="auto"/>
          </w:tcPr>
          <w:p w14:paraId="36CA2BDB" w14:textId="77777777" w:rsidR="00787570" w:rsidRDefault="00787570">
            <w:pPr>
              <w:rPr>
                <w:rFonts w:ascii="宋体"/>
              </w:rPr>
            </w:pPr>
          </w:p>
        </w:tc>
        <w:tc>
          <w:tcPr>
            <w:tcW w:w="0" w:type="auto"/>
            <w:shd w:val="clear" w:color="auto" w:fill="auto"/>
          </w:tcPr>
          <w:p w14:paraId="36CA2BDC" w14:textId="77777777" w:rsidR="00787570" w:rsidRDefault="00787570">
            <w:pPr>
              <w:rPr>
                <w:rFonts w:ascii="宋体"/>
              </w:rPr>
            </w:pPr>
          </w:p>
        </w:tc>
        <w:tc>
          <w:tcPr>
            <w:tcW w:w="0" w:type="auto"/>
            <w:shd w:val="clear" w:color="auto" w:fill="auto"/>
          </w:tcPr>
          <w:p w14:paraId="36CA2BDD" w14:textId="77777777" w:rsidR="00787570" w:rsidRDefault="00787570">
            <w:pPr>
              <w:rPr>
                <w:rFonts w:ascii="宋体"/>
              </w:rPr>
            </w:pPr>
          </w:p>
        </w:tc>
        <w:tc>
          <w:tcPr>
            <w:tcW w:w="0" w:type="auto"/>
            <w:shd w:val="clear" w:color="auto" w:fill="auto"/>
          </w:tcPr>
          <w:p w14:paraId="36CA2BDE" w14:textId="77777777" w:rsidR="00787570" w:rsidRDefault="00787570">
            <w:pPr>
              <w:rPr>
                <w:rFonts w:ascii="宋体"/>
              </w:rPr>
            </w:pPr>
          </w:p>
        </w:tc>
        <w:tc>
          <w:tcPr>
            <w:tcW w:w="0" w:type="auto"/>
            <w:shd w:val="clear" w:color="auto" w:fill="auto"/>
          </w:tcPr>
          <w:p w14:paraId="36CA2BDF" w14:textId="77777777" w:rsidR="00787570" w:rsidRDefault="00787570">
            <w:pPr>
              <w:rPr>
                <w:rFonts w:ascii="宋体"/>
              </w:rPr>
            </w:pPr>
          </w:p>
        </w:tc>
        <w:tc>
          <w:tcPr>
            <w:tcW w:w="0" w:type="auto"/>
            <w:shd w:val="clear" w:color="auto" w:fill="auto"/>
          </w:tcPr>
          <w:p w14:paraId="36CA2BE0" w14:textId="77777777" w:rsidR="00787570" w:rsidRDefault="00787570">
            <w:pPr>
              <w:rPr>
                <w:rFonts w:ascii="宋体"/>
              </w:rPr>
            </w:pPr>
          </w:p>
        </w:tc>
        <w:tc>
          <w:tcPr>
            <w:tcW w:w="0" w:type="auto"/>
            <w:shd w:val="clear" w:color="auto" w:fill="auto"/>
          </w:tcPr>
          <w:p w14:paraId="36CA2BE1" w14:textId="77777777" w:rsidR="00787570" w:rsidRDefault="00787570">
            <w:pPr>
              <w:rPr>
                <w:rFonts w:ascii="宋体"/>
              </w:rPr>
            </w:pPr>
          </w:p>
        </w:tc>
        <w:tc>
          <w:tcPr>
            <w:tcW w:w="0" w:type="auto"/>
            <w:shd w:val="clear" w:color="auto" w:fill="auto"/>
          </w:tcPr>
          <w:p w14:paraId="36CA2BE2" w14:textId="77777777" w:rsidR="00787570" w:rsidRDefault="00787570">
            <w:pPr>
              <w:rPr>
                <w:rFonts w:ascii="宋体"/>
              </w:rPr>
            </w:pPr>
          </w:p>
        </w:tc>
        <w:tc>
          <w:tcPr>
            <w:tcW w:w="0" w:type="auto"/>
            <w:shd w:val="clear" w:color="auto" w:fill="auto"/>
          </w:tcPr>
          <w:p w14:paraId="36CA2BE3" w14:textId="77777777" w:rsidR="00787570" w:rsidRDefault="00787570">
            <w:pPr>
              <w:rPr>
                <w:rFonts w:ascii="宋体"/>
              </w:rPr>
            </w:pPr>
          </w:p>
        </w:tc>
      </w:tr>
      <w:tr w:rsidR="00787570" w14:paraId="36CA2C02" w14:textId="77777777">
        <w:tc>
          <w:tcPr>
            <w:tcW w:w="0" w:type="auto"/>
            <w:gridSpan w:val="3"/>
            <w:shd w:val="clear" w:color="auto" w:fill="auto"/>
            <w:tcMar>
              <w:top w:w="40" w:type="dxa"/>
              <w:left w:w="20" w:type="dxa"/>
              <w:bottom w:w="40" w:type="dxa"/>
              <w:right w:w="20" w:type="dxa"/>
            </w:tcMar>
            <w:vAlign w:val="bottom"/>
          </w:tcPr>
          <w:p w14:paraId="36CA2BE5" w14:textId="77777777" w:rsidR="00787570" w:rsidRDefault="000D56E2">
            <w:pPr>
              <w:textAlignment w:val="bottom"/>
            </w:pPr>
            <w:r>
              <w:rPr>
                <w:rFonts w:ascii="Arial" w:eastAsia="宋体" w:hAnsi="Arial" w:cs="Arial"/>
                <w:b/>
                <w:bCs/>
                <w:color w:val="333333"/>
                <w:sz w:val="18"/>
                <w:szCs w:val="18"/>
              </w:rPr>
              <w:t>Total revenue</w:t>
            </w:r>
          </w:p>
        </w:tc>
        <w:tc>
          <w:tcPr>
            <w:tcW w:w="0" w:type="auto"/>
            <w:gridSpan w:val="3"/>
            <w:shd w:val="clear" w:color="auto" w:fill="auto"/>
            <w:tcMar>
              <w:left w:w="20" w:type="dxa"/>
              <w:right w:w="20" w:type="dxa"/>
            </w:tcMar>
            <w:vAlign w:val="bottom"/>
          </w:tcPr>
          <w:p w14:paraId="36CA2BE6" w14:textId="77777777" w:rsidR="00787570" w:rsidRDefault="00787570">
            <w:pPr>
              <w:rPr>
                <w:rFonts w:ascii="宋体"/>
              </w:rPr>
            </w:pPr>
          </w:p>
        </w:tc>
        <w:tc>
          <w:tcPr>
            <w:tcW w:w="0" w:type="auto"/>
            <w:tcBorders>
              <w:top w:val="single" w:sz="8" w:space="0" w:color="333333"/>
              <w:bottom w:val="double" w:sz="6" w:space="0" w:color="333333"/>
            </w:tcBorders>
            <w:shd w:val="clear" w:color="auto" w:fill="auto"/>
            <w:tcMar>
              <w:top w:w="40" w:type="dxa"/>
              <w:left w:w="20" w:type="dxa"/>
              <w:bottom w:w="40" w:type="dxa"/>
            </w:tcMar>
            <w:vAlign w:val="bottom"/>
          </w:tcPr>
          <w:p w14:paraId="36CA2BE7" w14:textId="77777777" w:rsidR="00787570" w:rsidRDefault="000D56E2">
            <w:pPr>
              <w:textAlignment w:val="bottom"/>
            </w:pPr>
            <w:r>
              <w:rPr>
                <w:rFonts w:ascii="Arial" w:eastAsia="宋体" w:hAnsi="Arial" w:cs="Arial"/>
                <w:b/>
                <w:bCs/>
                <w:color w:val="0071C5"/>
                <w:sz w:val="18"/>
                <w:szCs w:val="18"/>
              </w:rPr>
              <w:t>$</w:t>
            </w:r>
          </w:p>
        </w:tc>
        <w:tc>
          <w:tcPr>
            <w:tcW w:w="0" w:type="auto"/>
            <w:tcBorders>
              <w:top w:val="single" w:sz="8" w:space="0" w:color="333333"/>
              <w:bottom w:val="double" w:sz="6" w:space="0" w:color="333333"/>
            </w:tcBorders>
            <w:shd w:val="clear" w:color="auto" w:fill="auto"/>
            <w:tcMar>
              <w:top w:w="40" w:type="dxa"/>
              <w:bottom w:w="40" w:type="dxa"/>
              <w:right w:w="0" w:type="dxa"/>
            </w:tcMar>
            <w:vAlign w:val="bottom"/>
          </w:tcPr>
          <w:p w14:paraId="36CA2BE8" w14:textId="77777777" w:rsidR="00787570" w:rsidRDefault="000D56E2">
            <w:pPr>
              <w:jc w:val="right"/>
              <w:textAlignment w:val="bottom"/>
            </w:pPr>
            <w:r>
              <w:rPr>
                <w:rFonts w:ascii="Arial" w:eastAsia="宋体" w:hAnsi="Arial" w:cs="Arial"/>
                <w:b/>
                <w:bCs/>
                <w:color w:val="0071C5"/>
                <w:sz w:val="18"/>
                <w:szCs w:val="18"/>
              </w:rPr>
              <w:t>18,333</w:t>
            </w:r>
            <w:r>
              <w:rPr>
                <w:rFonts w:ascii="Arial" w:eastAsia="宋体" w:hAnsi="Arial" w:cs="Arial"/>
                <w:color w:val="0071C5"/>
                <w:sz w:val="18"/>
                <w:szCs w:val="18"/>
              </w:rPr>
              <w:t> </w:t>
            </w:r>
          </w:p>
        </w:tc>
        <w:tc>
          <w:tcPr>
            <w:tcW w:w="0" w:type="auto"/>
            <w:tcBorders>
              <w:top w:val="single" w:sz="8" w:space="0" w:color="333333"/>
              <w:bottom w:val="double" w:sz="6" w:space="0" w:color="333333"/>
            </w:tcBorders>
            <w:shd w:val="clear" w:color="auto" w:fill="auto"/>
            <w:tcMar>
              <w:top w:w="40" w:type="dxa"/>
              <w:bottom w:w="40" w:type="dxa"/>
              <w:right w:w="20" w:type="dxa"/>
            </w:tcMar>
            <w:vAlign w:val="bottom"/>
          </w:tcPr>
          <w:p w14:paraId="36CA2BE9"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2BEA" w14:textId="77777777" w:rsidR="00787570" w:rsidRDefault="00787570">
            <w:pPr>
              <w:rPr>
                <w:rFonts w:ascii="宋体"/>
              </w:rPr>
            </w:pPr>
          </w:p>
        </w:tc>
        <w:tc>
          <w:tcPr>
            <w:tcW w:w="0" w:type="auto"/>
            <w:tcBorders>
              <w:top w:val="single" w:sz="8" w:space="0" w:color="333333"/>
              <w:bottom w:val="double" w:sz="6" w:space="0" w:color="333333"/>
            </w:tcBorders>
            <w:shd w:val="clear" w:color="auto" w:fill="auto"/>
            <w:tcMar>
              <w:top w:w="40" w:type="dxa"/>
              <w:left w:w="20" w:type="dxa"/>
              <w:bottom w:w="40" w:type="dxa"/>
            </w:tcMar>
            <w:vAlign w:val="bottom"/>
          </w:tcPr>
          <w:p w14:paraId="36CA2BEB" w14:textId="77777777" w:rsidR="00787570" w:rsidRDefault="000D56E2">
            <w:pPr>
              <w:textAlignment w:val="bottom"/>
            </w:pPr>
            <w:r>
              <w:rPr>
                <w:rFonts w:ascii="Arial" w:eastAsia="宋体" w:hAnsi="Arial" w:cs="Arial"/>
                <w:b/>
                <w:bCs/>
                <w:color w:val="333333"/>
                <w:sz w:val="18"/>
                <w:szCs w:val="18"/>
              </w:rPr>
              <w:t>$</w:t>
            </w:r>
          </w:p>
        </w:tc>
        <w:tc>
          <w:tcPr>
            <w:tcW w:w="0" w:type="auto"/>
            <w:tcBorders>
              <w:top w:val="single" w:sz="8" w:space="0" w:color="333333"/>
              <w:bottom w:val="double" w:sz="6" w:space="0" w:color="333333"/>
            </w:tcBorders>
            <w:shd w:val="clear" w:color="auto" w:fill="auto"/>
            <w:tcMar>
              <w:top w:w="40" w:type="dxa"/>
              <w:bottom w:w="40" w:type="dxa"/>
              <w:right w:w="0" w:type="dxa"/>
            </w:tcMar>
            <w:vAlign w:val="bottom"/>
          </w:tcPr>
          <w:p w14:paraId="36CA2BEC" w14:textId="77777777" w:rsidR="00787570" w:rsidRDefault="000D56E2">
            <w:pPr>
              <w:jc w:val="right"/>
              <w:textAlignment w:val="bottom"/>
            </w:pPr>
            <w:r>
              <w:rPr>
                <w:rFonts w:ascii="Arial" w:eastAsia="宋体" w:hAnsi="Arial" w:cs="Arial"/>
                <w:b/>
                <w:bCs/>
                <w:color w:val="333333"/>
                <w:sz w:val="18"/>
                <w:szCs w:val="18"/>
              </w:rPr>
              <w:t>19,190</w:t>
            </w:r>
            <w:r>
              <w:rPr>
                <w:rFonts w:ascii="Arial" w:eastAsia="宋体" w:hAnsi="Arial" w:cs="Arial"/>
                <w:color w:val="333333"/>
                <w:sz w:val="18"/>
                <w:szCs w:val="18"/>
              </w:rPr>
              <w:t> </w:t>
            </w:r>
          </w:p>
        </w:tc>
        <w:tc>
          <w:tcPr>
            <w:tcW w:w="0" w:type="auto"/>
            <w:tcBorders>
              <w:top w:val="single" w:sz="8" w:space="0" w:color="333333"/>
              <w:bottom w:val="double" w:sz="6" w:space="0" w:color="333333"/>
            </w:tcBorders>
            <w:shd w:val="clear" w:color="auto" w:fill="auto"/>
            <w:tcMar>
              <w:top w:w="40" w:type="dxa"/>
              <w:bottom w:w="40" w:type="dxa"/>
              <w:right w:w="20" w:type="dxa"/>
            </w:tcMar>
            <w:vAlign w:val="bottom"/>
          </w:tcPr>
          <w:p w14:paraId="36CA2BED"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2BEE" w14:textId="77777777" w:rsidR="00787570" w:rsidRDefault="00787570">
            <w:pPr>
              <w:rPr>
                <w:rFonts w:ascii="宋体"/>
              </w:rPr>
            </w:pPr>
          </w:p>
        </w:tc>
        <w:tc>
          <w:tcPr>
            <w:tcW w:w="0" w:type="auto"/>
            <w:tcBorders>
              <w:top w:val="single" w:sz="8" w:space="0" w:color="333333"/>
              <w:bottom w:val="double" w:sz="6" w:space="0" w:color="333333"/>
            </w:tcBorders>
            <w:shd w:val="clear" w:color="auto" w:fill="auto"/>
            <w:tcMar>
              <w:top w:w="40" w:type="dxa"/>
              <w:left w:w="20" w:type="dxa"/>
              <w:bottom w:w="40" w:type="dxa"/>
            </w:tcMar>
            <w:vAlign w:val="bottom"/>
          </w:tcPr>
          <w:p w14:paraId="36CA2BEF" w14:textId="77777777" w:rsidR="00787570" w:rsidRDefault="000D56E2">
            <w:pPr>
              <w:textAlignment w:val="bottom"/>
            </w:pPr>
            <w:r>
              <w:rPr>
                <w:rFonts w:ascii="Arial" w:eastAsia="宋体" w:hAnsi="Arial" w:cs="Arial"/>
                <w:b/>
                <w:bCs/>
                <w:color w:val="0071C5"/>
                <w:sz w:val="18"/>
                <w:szCs w:val="18"/>
              </w:rPr>
              <w:t>$</w:t>
            </w:r>
          </w:p>
        </w:tc>
        <w:tc>
          <w:tcPr>
            <w:tcW w:w="0" w:type="auto"/>
            <w:tcBorders>
              <w:top w:val="single" w:sz="8" w:space="0" w:color="333333"/>
              <w:bottom w:val="double" w:sz="6" w:space="0" w:color="333333"/>
            </w:tcBorders>
            <w:shd w:val="clear" w:color="auto" w:fill="auto"/>
            <w:tcMar>
              <w:top w:w="40" w:type="dxa"/>
              <w:bottom w:w="40" w:type="dxa"/>
              <w:right w:w="0" w:type="dxa"/>
            </w:tcMar>
            <w:vAlign w:val="bottom"/>
          </w:tcPr>
          <w:p w14:paraId="36CA2BF0" w14:textId="77777777" w:rsidR="00787570" w:rsidRDefault="000D56E2">
            <w:pPr>
              <w:jc w:val="right"/>
              <w:textAlignment w:val="bottom"/>
            </w:pPr>
            <w:r>
              <w:rPr>
                <w:rFonts w:ascii="Arial" w:eastAsia="宋体" w:hAnsi="Arial" w:cs="Arial"/>
                <w:b/>
                <w:bCs/>
                <w:color w:val="0071C5"/>
                <w:sz w:val="18"/>
                <w:szCs w:val="18"/>
              </w:rPr>
              <w:t>57,889</w:t>
            </w:r>
            <w:r>
              <w:rPr>
                <w:rFonts w:ascii="Arial" w:eastAsia="宋体" w:hAnsi="Arial" w:cs="Arial"/>
                <w:color w:val="0071C5"/>
                <w:sz w:val="18"/>
                <w:szCs w:val="18"/>
              </w:rPr>
              <w:t> </w:t>
            </w:r>
          </w:p>
        </w:tc>
        <w:tc>
          <w:tcPr>
            <w:tcW w:w="0" w:type="auto"/>
            <w:tcBorders>
              <w:top w:val="single" w:sz="8" w:space="0" w:color="333333"/>
              <w:bottom w:val="double" w:sz="6" w:space="0" w:color="333333"/>
            </w:tcBorders>
            <w:shd w:val="clear" w:color="auto" w:fill="auto"/>
            <w:tcMar>
              <w:top w:w="40" w:type="dxa"/>
              <w:bottom w:w="40" w:type="dxa"/>
              <w:right w:w="20" w:type="dxa"/>
            </w:tcMar>
            <w:vAlign w:val="bottom"/>
          </w:tcPr>
          <w:p w14:paraId="36CA2BF1"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2BF2" w14:textId="77777777" w:rsidR="00787570" w:rsidRDefault="00787570">
            <w:pPr>
              <w:rPr>
                <w:rFonts w:ascii="宋体"/>
              </w:rPr>
            </w:pPr>
          </w:p>
        </w:tc>
        <w:tc>
          <w:tcPr>
            <w:tcW w:w="0" w:type="auto"/>
            <w:tcBorders>
              <w:top w:val="single" w:sz="8" w:space="0" w:color="333333"/>
              <w:bottom w:val="double" w:sz="6" w:space="0" w:color="333333"/>
            </w:tcBorders>
            <w:shd w:val="clear" w:color="auto" w:fill="auto"/>
            <w:tcMar>
              <w:top w:w="40" w:type="dxa"/>
              <w:left w:w="20" w:type="dxa"/>
              <w:bottom w:w="40" w:type="dxa"/>
            </w:tcMar>
            <w:vAlign w:val="bottom"/>
          </w:tcPr>
          <w:p w14:paraId="36CA2BF3" w14:textId="77777777" w:rsidR="00787570" w:rsidRDefault="000D56E2">
            <w:pPr>
              <w:textAlignment w:val="bottom"/>
            </w:pPr>
            <w:r>
              <w:rPr>
                <w:rFonts w:ascii="Arial" w:eastAsia="宋体" w:hAnsi="Arial" w:cs="Arial"/>
                <w:b/>
                <w:bCs/>
                <w:color w:val="333333"/>
                <w:sz w:val="18"/>
                <w:szCs w:val="18"/>
              </w:rPr>
              <w:t>$</w:t>
            </w:r>
          </w:p>
        </w:tc>
        <w:tc>
          <w:tcPr>
            <w:tcW w:w="0" w:type="auto"/>
            <w:tcBorders>
              <w:top w:val="single" w:sz="8" w:space="0" w:color="333333"/>
              <w:bottom w:val="double" w:sz="6" w:space="0" w:color="333333"/>
            </w:tcBorders>
            <w:shd w:val="clear" w:color="auto" w:fill="auto"/>
            <w:tcMar>
              <w:top w:w="40" w:type="dxa"/>
              <w:bottom w:w="40" w:type="dxa"/>
              <w:right w:w="0" w:type="dxa"/>
            </w:tcMar>
            <w:vAlign w:val="bottom"/>
          </w:tcPr>
          <w:p w14:paraId="36CA2BF4" w14:textId="77777777" w:rsidR="00787570" w:rsidRDefault="000D56E2">
            <w:pPr>
              <w:jc w:val="right"/>
              <w:textAlignment w:val="bottom"/>
            </w:pPr>
            <w:r>
              <w:rPr>
                <w:rFonts w:ascii="Arial" w:eastAsia="宋体" w:hAnsi="Arial" w:cs="Arial"/>
                <w:b/>
                <w:bCs/>
                <w:color w:val="333333"/>
                <w:sz w:val="18"/>
                <w:szCs w:val="18"/>
              </w:rPr>
              <w:t>51,756</w:t>
            </w:r>
            <w:r>
              <w:rPr>
                <w:rFonts w:ascii="Arial" w:eastAsia="宋体" w:hAnsi="Arial" w:cs="Arial"/>
                <w:color w:val="333333"/>
                <w:sz w:val="18"/>
                <w:szCs w:val="18"/>
              </w:rPr>
              <w:t> </w:t>
            </w:r>
          </w:p>
        </w:tc>
        <w:tc>
          <w:tcPr>
            <w:tcW w:w="0" w:type="auto"/>
            <w:tcBorders>
              <w:top w:val="single" w:sz="8" w:space="0" w:color="333333"/>
              <w:bottom w:val="double" w:sz="6" w:space="0" w:color="333333"/>
            </w:tcBorders>
            <w:shd w:val="clear" w:color="auto" w:fill="auto"/>
            <w:tcMar>
              <w:top w:w="40" w:type="dxa"/>
              <w:bottom w:w="40" w:type="dxa"/>
              <w:right w:w="20" w:type="dxa"/>
            </w:tcMar>
            <w:vAlign w:val="bottom"/>
          </w:tcPr>
          <w:p w14:paraId="36CA2BF5" w14:textId="77777777" w:rsidR="00787570" w:rsidRDefault="00787570">
            <w:pPr>
              <w:jc w:val="right"/>
              <w:rPr>
                <w:rFonts w:ascii="宋体"/>
              </w:rPr>
            </w:pPr>
          </w:p>
        </w:tc>
        <w:tc>
          <w:tcPr>
            <w:tcW w:w="0" w:type="auto"/>
            <w:shd w:val="clear" w:color="auto" w:fill="auto"/>
          </w:tcPr>
          <w:p w14:paraId="36CA2BF6" w14:textId="77777777" w:rsidR="00787570" w:rsidRDefault="00787570">
            <w:pPr>
              <w:rPr>
                <w:rFonts w:ascii="宋体"/>
              </w:rPr>
            </w:pPr>
          </w:p>
        </w:tc>
        <w:tc>
          <w:tcPr>
            <w:tcW w:w="0" w:type="auto"/>
            <w:shd w:val="clear" w:color="auto" w:fill="auto"/>
          </w:tcPr>
          <w:p w14:paraId="36CA2BF7" w14:textId="77777777" w:rsidR="00787570" w:rsidRDefault="00787570">
            <w:pPr>
              <w:rPr>
                <w:rFonts w:ascii="宋体"/>
              </w:rPr>
            </w:pPr>
          </w:p>
        </w:tc>
        <w:tc>
          <w:tcPr>
            <w:tcW w:w="0" w:type="auto"/>
            <w:shd w:val="clear" w:color="auto" w:fill="auto"/>
          </w:tcPr>
          <w:p w14:paraId="36CA2BF8" w14:textId="77777777" w:rsidR="00787570" w:rsidRDefault="00787570">
            <w:pPr>
              <w:rPr>
                <w:rFonts w:ascii="宋体"/>
              </w:rPr>
            </w:pPr>
          </w:p>
        </w:tc>
        <w:tc>
          <w:tcPr>
            <w:tcW w:w="0" w:type="auto"/>
            <w:shd w:val="clear" w:color="auto" w:fill="auto"/>
          </w:tcPr>
          <w:p w14:paraId="36CA2BF9" w14:textId="77777777" w:rsidR="00787570" w:rsidRDefault="00787570">
            <w:pPr>
              <w:rPr>
                <w:rFonts w:ascii="宋体"/>
              </w:rPr>
            </w:pPr>
          </w:p>
        </w:tc>
        <w:tc>
          <w:tcPr>
            <w:tcW w:w="0" w:type="auto"/>
            <w:shd w:val="clear" w:color="auto" w:fill="auto"/>
          </w:tcPr>
          <w:p w14:paraId="36CA2BFA" w14:textId="77777777" w:rsidR="00787570" w:rsidRDefault="00787570">
            <w:pPr>
              <w:rPr>
                <w:rFonts w:ascii="宋体"/>
              </w:rPr>
            </w:pPr>
          </w:p>
        </w:tc>
        <w:tc>
          <w:tcPr>
            <w:tcW w:w="0" w:type="auto"/>
            <w:shd w:val="clear" w:color="auto" w:fill="auto"/>
          </w:tcPr>
          <w:p w14:paraId="36CA2BFB" w14:textId="77777777" w:rsidR="00787570" w:rsidRDefault="00787570">
            <w:pPr>
              <w:rPr>
                <w:rFonts w:ascii="宋体"/>
              </w:rPr>
            </w:pPr>
          </w:p>
        </w:tc>
        <w:tc>
          <w:tcPr>
            <w:tcW w:w="0" w:type="auto"/>
            <w:shd w:val="clear" w:color="auto" w:fill="auto"/>
          </w:tcPr>
          <w:p w14:paraId="36CA2BFC" w14:textId="77777777" w:rsidR="00787570" w:rsidRDefault="00787570">
            <w:pPr>
              <w:rPr>
                <w:rFonts w:ascii="宋体"/>
              </w:rPr>
            </w:pPr>
          </w:p>
        </w:tc>
        <w:tc>
          <w:tcPr>
            <w:tcW w:w="0" w:type="auto"/>
            <w:shd w:val="clear" w:color="auto" w:fill="auto"/>
          </w:tcPr>
          <w:p w14:paraId="36CA2BFD" w14:textId="77777777" w:rsidR="00787570" w:rsidRDefault="00787570">
            <w:pPr>
              <w:rPr>
                <w:rFonts w:ascii="宋体"/>
              </w:rPr>
            </w:pPr>
          </w:p>
        </w:tc>
        <w:tc>
          <w:tcPr>
            <w:tcW w:w="0" w:type="auto"/>
            <w:shd w:val="clear" w:color="auto" w:fill="auto"/>
          </w:tcPr>
          <w:p w14:paraId="36CA2BFE" w14:textId="77777777" w:rsidR="00787570" w:rsidRDefault="00787570">
            <w:pPr>
              <w:rPr>
                <w:rFonts w:ascii="宋体"/>
              </w:rPr>
            </w:pPr>
          </w:p>
        </w:tc>
        <w:tc>
          <w:tcPr>
            <w:tcW w:w="0" w:type="auto"/>
            <w:shd w:val="clear" w:color="auto" w:fill="auto"/>
          </w:tcPr>
          <w:p w14:paraId="36CA2BFF" w14:textId="77777777" w:rsidR="00787570" w:rsidRDefault="00787570">
            <w:pPr>
              <w:rPr>
                <w:rFonts w:ascii="宋体"/>
              </w:rPr>
            </w:pPr>
          </w:p>
        </w:tc>
        <w:tc>
          <w:tcPr>
            <w:tcW w:w="0" w:type="auto"/>
            <w:shd w:val="clear" w:color="auto" w:fill="auto"/>
          </w:tcPr>
          <w:p w14:paraId="36CA2C00" w14:textId="77777777" w:rsidR="00787570" w:rsidRDefault="00787570">
            <w:pPr>
              <w:rPr>
                <w:rFonts w:ascii="宋体"/>
              </w:rPr>
            </w:pPr>
          </w:p>
        </w:tc>
        <w:tc>
          <w:tcPr>
            <w:tcW w:w="0" w:type="auto"/>
            <w:shd w:val="clear" w:color="auto" w:fill="auto"/>
          </w:tcPr>
          <w:p w14:paraId="36CA2C01" w14:textId="77777777" w:rsidR="00787570" w:rsidRDefault="00787570">
            <w:pPr>
              <w:rPr>
                <w:rFonts w:ascii="宋体"/>
              </w:rPr>
            </w:pPr>
          </w:p>
        </w:tc>
      </w:tr>
    </w:tbl>
    <w:p w14:paraId="36CA2C03" w14:textId="77777777" w:rsidR="00787570" w:rsidRDefault="000D56E2">
      <w:pPr>
        <w:spacing w:before="180"/>
        <w:ind w:hanging="180"/>
      </w:pPr>
      <w:r>
        <w:rPr>
          <w:rFonts w:ascii="Arial" w:eastAsia="宋体" w:hAnsi="Arial" w:cs="Arial"/>
          <w:i/>
          <w:iCs/>
          <w:color w:val="333333"/>
          <w:sz w:val="10"/>
          <w:szCs w:val="10"/>
        </w:rPr>
        <w:t>1    </w:t>
      </w:r>
      <w:r>
        <w:rPr>
          <w:rFonts w:ascii="Arial" w:eastAsia="宋体" w:hAnsi="Arial" w:cs="Arial"/>
          <w:i/>
          <w:iCs/>
          <w:color w:val="333333"/>
          <w:sz w:val="16"/>
          <w:szCs w:val="16"/>
        </w:rPr>
        <w:t>Includes our tablet and service provider revenue.</w:t>
      </w:r>
    </w:p>
    <w:p w14:paraId="36CA2C04" w14:textId="77777777" w:rsidR="00787570" w:rsidRDefault="000D56E2">
      <w:pPr>
        <w:spacing w:after="180"/>
        <w:ind w:hanging="180"/>
      </w:pPr>
      <w:r>
        <w:rPr>
          <w:rFonts w:ascii="Arial" w:eastAsia="宋体" w:hAnsi="Arial" w:cs="Arial"/>
          <w:i/>
          <w:iCs/>
          <w:color w:val="333333"/>
          <w:sz w:val="10"/>
          <w:szCs w:val="10"/>
        </w:rPr>
        <w:t>2    </w:t>
      </w:r>
      <w:r>
        <w:rPr>
          <w:rFonts w:ascii="Arial" w:eastAsia="宋体" w:hAnsi="Arial" w:cs="Arial"/>
          <w:i/>
          <w:iCs/>
          <w:color w:val="333333"/>
          <w:sz w:val="16"/>
          <w:szCs w:val="16"/>
        </w:rPr>
        <w:t>Includes all of our non</w:t>
      </w:r>
      <w:r>
        <w:rPr>
          <w:rFonts w:ascii="Arial" w:eastAsia="宋体" w:hAnsi="Arial" w:cs="Arial"/>
          <w:i/>
          <w:iCs/>
          <w:color w:val="333333"/>
          <w:sz w:val="16"/>
          <w:szCs w:val="16"/>
        </w:rPr>
        <w:t>-platform products for DCG, IOTG, and CCG such as modem, Ethernet, and silicon photonics, as well as Mobileye, NSG, and PSG products.</w:t>
      </w:r>
    </w:p>
    <w:p w14:paraId="36CA2C05" w14:textId="77777777" w:rsidR="00787570" w:rsidRDefault="000D56E2">
      <w:pPr>
        <w:spacing w:after="120"/>
      </w:pPr>
      <w:r>
        <w:rPr>
          <w:rFonts w:ascii="Arial" w:eastAsia="宋体" w:hAnsi="Arial" w:cs="Arial"/>
          <w:b/>
          <w:bCs/>
          <w:color w:val="333333"/>
          <w:sz w:val="18"/>
          <w:szCs w:val="18"/>
        </w:rPr>
        <w:t>Planned divestiture of NAND Memory Business</w:t>
      </w:r>
    </w:p>
    <w:p w14:paraId="36CA2C06" w14:textId="77777777" w:rsidR="00787570" w:rsidRDefault="000D56E2">
      <w:pPr>
        <w:spacing w:after="180"/>
      </w:pPr>
      <w:r>
        <w:rPr>
          <w:rFonts w:ascii="Arial" w:eastAsia="宋体" w:hAnsi="Arial" w:cs="Arial"/>
          <w:color w:val="333333"/>
          <w:sz w:val="18"/>
          <w:szCs w:val="18"/>
        </w:rPr>
        <w:t xml:space="preserve">On October 19, 2020, we signed an agreement with SK hynix Inc. (SK hynix), to </w:t>
      </w:r>
      <w:r>
        <w:rPr>
          <w:rFonts w:ascii="Arial" w:eastAsia="宋体" w:hAnsi="Arial" w:cs="Arial"/>
          <w:color w:val="333333"/>
          <w:sz w:val="18"/>
          <w:szCs w:val="18"/>
        </w:rPr>
        <w:t>divest of our NAND memory business, including our NAND memory fabrication facility in Dalian, China and certain related equipment and tangible assets (the “Fab Assets”), our NAND solid-state drive business (the “NAND SSD Business”), and our NAND memory tec</w:t>
      </w:r>
      <w:r>
        <w:rPr>
          <w:rFonts w:ascii="Arial" w:eastAsia="宋体" w:hAnsi="Arial" w:cs="Arial"/>
          <w:color w:val="333333"/>
          <w:sz w:val="18"/>
          <w:szCs w:val="18"/>
        </w:rPr>
        <w:t>hnology and manufacturing business (the “NAND Business”). Our Intel</w:t>
      </w:r>
      <w:r>
        <w:rPr>
          <w:rFonts w:ascii="Arial" w:eastAsia="宋体" w:hAnsi="Arial" w:cs="Arial"/>
          <w:color w:val="333333"/>
          <w:sz w:val="11"/>
          <w:szCs w:val="11"/>
        </w:rPr>
        <w:t xml:space="preserve">® </w:t>
      </w:r>
      <w:r>
        <w:rPr>
          <w:rFonts w:ascii="Arial" w:eastAsia="宋体" w:hAnsi="Arial" w:cs="Arial"/>
          <w:color w:val="333333"/>
          <w:sz w:val="18"/>
          <w:szCs w:val="18"/>
        </w:rPr>
        <w:t>Optane™ memory business is expressly excluded from the transaction.</w:t>
      </w:r>
    </w:p>
    <w:p w14:paraId="36CA2C07" w14:textId="77777777" w:rsidR="00787570" w:rsidRDefault="000D56E2">
      <w:pPr>
        <w:spacing w:after="180"/>
      </w:pPr>
      <w:r>
        <w:rPr>
          <w:rFonts w:ascii="Arial" w:eastAsia="宋体" w:hAnsi="Arial" w:cs="Arial"/>
          <w:color w:val="333333"/>
          <w:sz w:val="18"/>
          <w:szCs w:val="18"/>
        </w:rPr>
        <w:t xml:space="preserve">The transaction will occur over two closings for total consideration of $9.0 billion in cash, of which, $7.0 billion will be received upon initial closing and the remaining $2.0 billion will be received no earlier than March 2025. </w:t>
      </w:r>
    </w:p>
    <w:p w14:paraId="36CA2C08" w14:textId="77777777" w:rsidR="00787570" w:rsidRDefault="000D56E2">
      <w:pPr>
        <w:spacing w:after="180"/>
      </w:pPr>
      <w:r>
        <w:rPr>
          <w:rFonts w:ascii="Arial" w:eastAsia="宋体" w:hAnsi="Arial" w:cs="Arial"/>
          <w:color w:val="333333"/>
          <w:sz w:val="18"/>
          <w:szCs w:val="18"/>
        </w:rPr>
        <w:t>In connection with the f</w:t>
      </w:r>
      <w:r>
        <w:rPr>
          <w:rFonts w:ascii="Arial" w:eastAsia="宋体" w:hAnsi="Arial" w:cs="Arial"/>
          <w:color w:val="333333"/>
          <w:sz w:val="18"/>
          <w:szCs w:val="18"/>
        </w:rPr>
        <w:t>irst closing, we and certain affiliates of SK hynix will also enter into a NAND wafer manufacturing and sale agreement pursuant to which, we will manufacture and sell to SK hynix, NAND memory wafers to be manufactured using the Fab Assets in Dalian, China,</w:t>
      </w:r>
      <w:r>
        <w:rPr>
          <w:rFonts w:ascii="Arial" w:eastAsia="宋体" w:hAnsi="Arial" w:cs="Arial"/>
          <w:color w:val="333333"/>
          <w:sz w:val="18"/>
          <w:szCs w:val="18"/>
        </w:rPr>
        <w:t xml:space="preserve"> until the second closing.</w:t>
      </w:r>
    </w:p>
    <w:p w14:paraId="36CA2C09" w14:textId="77777777" w:rsidR="00787570" w:rsidRDefault="000D56E2">
      <w:pPr>
        <w:spacing w:after="180"/>
      </w:pPr>
      <w:r>
        <w:rPr>
          <w:rFonts w:ascii="Arial" w:eastAsia="宋体" w:hAnsi="Arial" w:cs="Arial"/>
          <w:color w:val="333333"/>
          <w:sz w:val="18"/>
          <w:szCs w:val="18"/>
        </w:rPr>
        <w:t xml:space="preserve">The consummation of the first closing and the second closing is subject to customary conditions, including the receipt of certain governmental approvals. The first closing will not occur prior to November 1, 2021, and the second </w:t>
      </w:r>
      <w:r>
        <w:rPr>
          <w:rFonts w:ascii="Arial" w:eastAsia="宋体" w:hAnsi="Arial" w:cs="Arial"/>
          <w:color w:val="333333"/>
          <w:sz w:val="18"/>
          <w:szCs w:val="18"/>
        </w:rPr>
        <w:t xml:space="preserve">is expected to occur no earlier than March 2025. </w:t>
      </w:r>
    </w:p>
    <w:p w14:paraId="36CA2C0A" w14:textId="77777777" w:rsidR="00787570" w:rsidRDefault="000D56E2">
      <w:r>
        <w:rPr>
          <w:rFonts w:ascii="Arial" w:eastAsia="宋体" w:hAnsi="Arial" w:cs="Arial"/>
          <w:color w:val="333333"/>
          <w:sz w:val="18"/>
          <w:szCs w:val="18"/>
        </w:rPr>
        <w:t>Beginning with the first quarter of 2021, we expect our DCG operating segment to include the results of our Intel</w:t>
      </w:r>
      <w:r>
        <w:rPr>
          <w:rFonts w:ascii="Arial" w:eastAsia="宋体" w:hAnsi="Arial" w:cs="Arial"/>
          <w:color w:val="333333"/>
          <w:sz w:val="11"/>
          <w:szCs w:val="11"/>
        </w:rPr>
        <w:t>®</w:t>
      </w:r>
      <w:r>
        <w:rPr>
          <w:rFonts w:ascii="Arial" w:eastAsia="宋体" w:hAnsi="Arial" w:cs="Arial"/>
          <w:color w:val="333333"/>
          <w:sz w:val="18"/>
          <w:szCs w:val="18"/>
        </w:rPr>
        <w:t xml:space="preserve"> Optane™ memory business, and our NSG segment will be composed of our NAND businesses.</w:t>
      </w:r>
    </w:p>
    <w:tbl>
      <w:tblPr>
        <w:tblW w:w="5000" w:type="pct"/>
        <w:tblCellMar>
          <w:top w:w="15" w:type="dxa"/>
          <w:left w:w="15" w:type="dxa"/>
          <w:bottom w:w="15" w:type="dxa"/>
          <w:right w:w="15" w:type="dxa"/>
        </w:tblCellMar>
        <w:tblLook w:val="04A0" w:firstRow="1" w:lastRow="0" w:firstColumn="1" w:lastColumn="0" w:noHBand="0" w:noVBand="1"/>
      </w:tblPr>
      <w:tblGrid>
        <w:gridCol w:w="69"/>
        <w:gridCol w:w="998"/>
        <w:gridCol w:w="36"/>
        <w:gridCol w:w="69"/>
        <w:gridCol w:w="7128"/>
        <w:gridCol w:w="36"/>
      </w:tblGrid>
      <w:tr w:rsidR="00787570" w14:paraId="36CA2C11" w14:textId="77777777">
        <w:tc>
          <w:tcPr>
            <w:tcW w:w="50" w:type="pct"/>
            <w:shd w:val="clear" w:color="auto" w:fill="auto"/>
          </w:tcPr>
          <w:p w14:paraId="36CA2C0B" w14:textId="77777777" w:rsidR="00787570" w:rsidRDefault="00787570">
            <w:pPr>
              <w:rPr>
                <w:rFonts w:ascii="宋体"/>
              </w:rPr>
            </w:pPr>
          </w:p>
        </w:tc>
        <w:tc>
          <w:tcPr>
            <w:tcW w:w="607" w:type="pct"/>
            <w:shd w:val="clear" w:color="auto" w:fill="auto"/>
          </w:tcPr>
          <w:p w14:paraId="36CA2C0C" w14:textId="77777777" w:rsidR="00787570" w:rsidRDefault="00787570">
            <w:pPr>
              <w:rPr>
                <w:rFonts w:ascii="宋体"/>
              </w:rPr>
            </w:pPr>
          </w:p>
        </w:tc>
        <w:tc>
          <w:tcPr>
            <w:tcW w:w="5" w:type="pct"/>
            <w:shd w:val="clear" w:color="auto" w:fill="auto"/>
          </w:tcPr>
          <w:p w14:paraId="36CA2C0D" w14:textId="77777777" w:rsidR="00787570" w:rsidRDefault="00787570">
            <w:pPr>
              <w:rPr>
                <w:rFonts w:ascii="宋体"/>
              </w:rPr>
            </w:pPr>
          </w:p>
        </w:tc>
        <w:tc>
          <w:tcPr>
            <w:tcW w:w="50" w:type="pct"/>
            <w:shd w:val="clear" w:color="auto" w:fill="auto"/>
          </w:tcPr>
          <w:p w14:paraId="36CA2C0E" w14:textId="77777777" w:rsidR="00787570" w:rsidRDefault="00787570">
            <w:pPr>
              <w:rPr>
                <w:rFonts w:ascii="宋体"/>
              </w:rPr>
            </w:pPr>
          </w:p>
        </w:tc>
        <w:tc>
          <w:tcPr>
            <w:tcW w:w="4282" w:type="pct"/>
            <w:shd w:val="clear" w:color="auto" w:fill="auto"/>
          </w:tcPr>
          <w:p w14:paraId="36CA2C0F" w14:textId="77777777" w:rsidR="00787570" w:rsidRDefault="00787570">
            <w:pPr>
              <w:rPr>
                <w:rFonts w:ascii="宋体"/>
              </w:rPr>
            </w:pPr>
          </w:p>
        </w:tc>
        <w:tc>
          <w:tcPr>
            <w:tcW w:w="5" w:type="pct"/>
            <w:shd w:val="clear" w:color="auto" w:fill="auto"/>
          </w:tcPr>
          <w:p w14:paraId="36CA2C10" w14:textId="77777777" w:rsidR="00787570" w:rsidRDefault="00787570">
            <w:pPr>
              <w:rPr>
                <w:rFonts w:ascii="宋体"/>
              </w:rPr>
            </w:pPr>
          </w:p>
        </w:tc>
      </w:tr>
      <w:tr w:rsidR="00787570" w14:paraId="36CA2C14" w14:textId="77777777">
        <w:tc>
          <w:tcPr>
            <w:tcW w:w="0" w:type="auto"/>
            <w:gridSpan w:val="3"/>
            <w:tcBorders>
              <w:bottom w:val="single" w:sz="8" w:space="0" w:color="0071C5"/>
            </w:tcBorders>
            <w:shd w:val="clear" w:color="auto" w:fill="0071C5"/>
            <w:tcMar>
              <w:top w:w="40" w:type="dxa"/>
              <w:left w:w="20" w:type="dxa"/>
              <w:bottom w:w="40" w:type="dxa"/>
              <w:right w:w="20" w:type="dxa"/>
            </w:tcMar>
            <w:vAlign w:val="bottom"/>
          </w:tcPr>
          <w:p w14:paraId="36CA2C12" w14:textId="77777777" w:rsidR="00787570" w:rsidRDefault="000D56E2">
            <w:pPr>
              <w:textAlignment w:val="bottom"/>
            </w:pPr>
            <w:r>
              <w:rPr>
                <w:rFonts w:ascii="Arial" w:eastAsia="宋体" w:hAnsi="Arial" w:cs="Arial"/>
                <w:b/>
                <w:bCs/>
                <w:color w:val="FFFFFF"/>
                <w:sz w:val="28"/>
                <w:szCs w:val="28"/>
              </w:rPr>
              <w:t xml:space="preserve">NOTE 3 : </w:t>
            </w:r>
          </w:p>
        </w:tc>
        <w:tc>
          <w:tcPr>
            <w:tcW w:w="0" w:type="auto"/>
            <w:gridSpan w:val="3"/>
            <w:tcBorders>
              <w:bottom w:val="single" w:sz="8" w:space="0" w:color="0071C5"/>
            </w:tcBorders>
            <w:shd w:val="clear" w:color="auto" w:fill="auto"/>
            <w:tcMar>
              <w:top w:w="40" w:type="dxa"/>
              <w:left w:w="20" w:type="dxa"/>
              <w:bottom w:w="40" w:type="dxa"/>
              <w:right w:w="20" w:type="dxa"/>
            </w:tcMar>
            <w:vAlign w:val="bottom"/>
          </w:tcPr>
          <w:p w14:paraId="36CA2C13" w14:textId="77777777" w:rsidR="00787570" w:rsidRDefault="000D56E2">
            <w:pPr>
              <w:textAlignment w:val="bottom"/>
            </w:pPr>
            <w:r>
              <w:rPr>
                <w:rFonts w:ascii="Arial" w:eastAsia="宋体" w:hAnsi="Arial" w:cs="Arial"/>
                <w:b/>
                <w:bCs/>
                <w:color w:val="0071C5"/>
                <w:sz w:val="28"/>
                <w:szCs w:val="28"/>
              </w:rPr>
              <w:t>EARNINGS PER SHARE</w:t>
            </w:r>
          </w:p>
        </w:tc>
      </w:tr>
    </w:tbl>
    <w:p w14:paraId="36CA2C15" w14:textId="77777777" w:rsidR="00787570" w:rsidRDefault="000D56E2">
      <w:pPr>
        <w:spacing w:before="180" w:after="180"/>
      </w:pPr>
      <w:r>
        <w:rPr>
          <w:rFonts w:ascii="Arial" w:eastAsia="宋体" w:hAnsi="Arial" w:cs="Arial"/>
          <w:color w:val="333333"/>
          <w:sz w:val="18"/>
          <w:szCs w:val="18"/>
        </w:rPr>
        <w:t>We computed basic earnings per share of common stock based on the weighted average number of shares of common stock outstanding during the period. We computed diluted earnings per share of common stock based on the weighted average number of shares of comm</w:t>
      </w:r>
      <w:r>
        <w:rPr>
          <w:rFonts w:ascii="Arial" w:eastAsia="宋体" w:hAnsi="Arial" w:cs="Arial"/>
          <w:color w:val="333333"/>
          <w:sz w:val="18"/>
          <w:szCs w:val="18"/>
        </w:rPr>
        <w:t xml:space="preserve">on stock outstanding plus potentially dilutive shares of common stock outstanding during the period. </w:t>
      </w:r>
    </w:p>
    <w:tbl>
      <w:tblPr>
        <w:tblW w:w="5000" w:type="pct"/>
        <w:tblCellMar>
          <w:top w:w="15" w:type="dxa"/>
          <w:left w:w="15" w:type="dxa"/>
          <w:bottom w:w="15" w:type="dxa"/>
          <w:right w:w="15" w:type="dxa"/>
        </w:tblCellMar>
        <w:tblLook w:val="04A0" w:firstRow="1" w:lastRow="0" w:firstColumn="1" w:lastColumn="0" w:noHBand="0" w:noVBand="1"/>
      </w:tblPr>
      <w:tblGrid>
        <w:gridCol w:w="40"/>
        <w:gridCol w:w="4062"/>
        <w:gridCol w:w="39"/>
        <w:gridCol w:w="36"/>
        <w:gridCol w:w="36"/>
        <w:gridCol w:w="36"/>
        <w:gridCol w:w="136"/>
        <w:gridCol w:w="655"/>
        <w:gridCol w:w="41"/>
        <w:gridCol w:w="36"/>
        <w:gridCol w:w="36"/>
        <w:gridCol w:w="36"/>
        <w:gridCol w:w="136"/>
        <w:gridCol w:w="655"/>
        <w:gridCol w:w="41"/>
        <w:gridCol w:w="36"/>
        <w:gridCol w:w="36"/>
        <w:gridCol w:w="36"/>
        <w:gridCol w:w="136"/>
        <w:gridCol w:w="656"/>
        <w:gridCol w:w="41"/>
        <w:gridCol w:w="36"/>
        <w:gridCol w:w="36"/>
        <w:gridCol w:w="36"/>
        <w:gridCol w:w="136"/>
        <w:gridCol w:w="657"/>
        <w:gridCol w:w="41"/>
        <w:gridCol w:w="36"/>
        <w:gridCol w:w="36"/>
        <w:gridCol w:w="36"/>
        <w:gridCol w:w="36"/>
        <w:gridCol w:w="36"/>
        <w:gridCol w:w="36"/>
        <w:gridCol w:w="36"/>
        <w:gridCol w:w="36"/>
        <w:gridCol w:w="36"/>
        <w:gridCol w:w="36"/>
        <w:gridCol w:w="36"/>
        <w:gridCol w:w="36"/>
      </w:tblGrid>
      <w:tr w:rsidR="00787570" w14:paraId="36CA2C31" w14:textId="77777777">
        <w:trPr>
          <w:gridAfter w:val="12"/>
        </w:trPr>
        <w:tc>
          <w:tcPr>
            <w:tcW w:w="50" w:type="pct"/>
            <w:shd w:val="clear" w:color="auto" w:fill="auto"/>
          </w:tcPr>
          <w:p w14:paraId="36CA2C16" w14:textId="77777777" w:rsidR="00787570" w:rsidRDefault="00787570">
            <w:pPr>
              <w:rPr>
                <w:rFonts w:ascii="宋体"/>
              </w:rPr>
            </w:pPr>
          </w:p>
        </w:tc>
        <w:tc>
          <w:tcPr>
            <w:tcW w:w="2622" w:type="pct"/>
            <w:shd w:val="clear" w:color="auto" w:fill="auto"/>
          </w:tcPr>
          <w:p w14:paraId="36CA2C17" w14:textId="77777777" w:rsidR="00787570" w:rsidRDefault="00787570">
            <w:pPr>
              <w:rPr>
                <w:rFonts w:ascii="宋体"/>
              </w:rPr>
            </w:pPr>
          </w:p>
        </w:tc>
        <w:tc>
          <w:tcPr>
            <w:tcW w:w="5" w:type="pct"/>
            <w:shd w:val="clear" w:color="auto" w:fill="auto"/>
          </w:tcPr>
          <w:p w14:paraId="36CA2C18" w14:textId="77777777" w:rsidR="00787570" w:rsidRDefault="00787570">
            <w:pPr>
              <w:rPr>
                <w:rFonts w:ascii="宋体"/>
              </w:rPr>
            </w:pPr>
          </w:p>
        </w:tc>
        <w:tc>
          <w:tcPr>
            <w:tcW w:w="5" w:type="pct"/>
            <w:shd w:val="clear" w:color="auto" w:fill="auto"/>
          </w:tcPr>
          <w:p w14:paraId="36CA2C19" w14:textId="77777777" w:rsidR="00787570" w:rsidRDefault="00787570">
            <w:pPr>
              <w:rPr>
                <w:rFonts w:ascii="宋体"/>
              </w:rPr>
            </w:pPr>
          </w:p>
        </w:tc>
        <w:tc>
          <w:tcPr>
            <w:tcW w:w="24" w:type="pct"/>
            <w:shd w:val="clear" w:color="auto" w:fill="auto"/>
          </w:tcPr>
          <w:p w14:paraId="36CA2C1A" w14:textId="77777777" w:rsidR="00787570" w:rsidRDefault="00787570">
            <w:pPr>
              <w:rPr>
                <w:rFonts w:ascii="宋体"/>
              </w:rPr>
            </w:pPr>
          </w:p>
        </w:tc>
        <w:tc>
          <w:tcPr>
            <w:tcW w:w="5" w:type="pct"/>
            <w:shd w:val="clear" w:color="auto" w:fill="auto"/>
          </w:tcPr>
          <w:p w14:paraId="36CA2C1B" w14:textId="77777777" w:rsidR="00787570" w:rsidRDefault="00787570">
            <w:pPr>
              <w:rPr>
                <w:rFonts w:ascii="宋体"/>
              </w:rPr>
            </w:pPr>
          </w:p>
        </w:tc>
        <w:tc>
          <w:tcPr>
            <w:tcW w:w="50" w:type="pct"/>
            <w:shd w:val="clear" w:color="auto" w:fill="auto"/>
          </w:tcPr>
          <w:p w14:paraId="36CA2C1C" w14:textId="77777777" w:rsidR="00787570" w:rsidRDefault="00787570">
            <w:pPr>
              <w:rPr>
                <w:rFonts w:ascii="宋体"/>
              </w:rPr>
            </w:pPr>
          </w:p>
        </w:tc>
        <w:tc>
          <w:tcPr>
            <w:tcW w:w="491" w:type="pct"/>
            <w:shd w:val="clear" w:color="auto" w:fill="auto"/>
          </w:tcPr>
          <w:p w14:paraId="36CA2C1D" w14:textId="77777777" w:rsidR="00787570" w:rsidRDefault="00787570">
            <w:pPr>
              <w:rPr>
                <w:rFonts w:ascii="宋体"/>
              </w:rPr>
            </w:pPr>
          </w:p>
        </w:tc>
        <w:tc>
          <w:tcPr>
            <w:tcW w:w="5" w:type="pct"/>
            <w:shd w:val="clear" w:color="auto" w:fill="auto"/>
          </w:tcPr>
          <w:p w14:paraId="36CA2C1E" w14:textId="77777777" w:rsidR="00787570" w:rsidRDefault="00787570">
            <w:pPr>
              <w:rPr>
                <w:rFonts w:ascii="宋体"/>
              </w:rPr>
            </w:pPr>
          </w:p>
        </w:tc>
        <w:tc>
          <w:tcPr>
            <w:tcW w:w="5" w:type="pct"/>
            <w:shd w:val="clear" w:color="auto" w:fill="auto"/>
          </w:tcPr>
          <w:p w14:paraId="36CA2C1F" w14:textId="77777777" w:rsidR="00787570" w:rsidRDefault="00787570">
            <w:pPr>
              <w:rPr>
                <w:rFonts w:ascii="宋体"/>
              </w:rPr>
            </w:pPr>
          </w:p>
        </w:tc>
        <w:tc>
          <w:tcPr>
            <w:tcW w:w="24" w:type="pct"/>
            <w:shd w:val="clear" w:color="auto" w:fill="auto"/>
          </w:tcPr>
          <w:p w14:paraId="36CA2C20" w14:textId="77777777" w:rsidR="00787570" w:rsidRDefault="00787570">
            <w:pPr>
              <w:rPr>
                <w:rFonts w:ascii="宋体"/>
              </w:rPr>
            </w:pPr>
          </w:p>
        </w:tc>
        <w:tc>
          <w:tcPr>
            <w:tcW w:w="5" w:type="pct"/>
            <w:shd w:val="clear" w:color="auto" w:fill="auto"/>
          </w:tcPr>
          <w:p w14:paraId="36CA2C21" w14:textId="77777777" w:rsidR="00787570" w:rsidRDefault="00787570">
            <w:pPr>
              <w:rPr>
                <w:rFonts w:ascii="宋体"/>
              </w:rPr>
            </w:pPr>
          </w:p>
        </w:tc>
        <w:tc>
          <w:tcPr>
            <w:tcW w:w="50" w:type="pct"/>
            <w:shd w:val="clear" w:color="auto" w:fill="auto"/>
          </w:tcPr>
          <w:p w14:paraId="36CA2C22" w14:textId="77777777" w:rsidR="00787570" w:rsidRDefault="00787570">
            <w:pPr>
              <w:rPr>
                <w:rFonts w:ascii="宋体"/>
              </w:rPr>
            </w:pPr>
          </w:p>
        </w:tc>
        <w:tc>
          <w:tcPr>
            <w:tcW w:w="491" w:type="pct"/>
            <w:shd w:val="clear" w:color="auto" w:fill="auto"/>
          </w:tcPr>
          <w:p w14:paraId="36CA2C23" w14:textId="77777777" w:rsidR="00787570" w:rsidRDefault="00787570">
            <w:pPr>
              <w:rPr>
                <w:rFonts w:ascii="宋体"/>
              </w:rPr>
            </w:pPr>
          </w:p>
        </w:tc>
        <w:tc>
          <w:tcPr>
            <w:tcW w:w="5" w:type="pct"/>
            <w:shd w:val="clear" w:color="auto" w:fill="auto"/>
          </w:tcPr>
          <w:p w14:paraId="36CA2C24" w14:textId="77777777" w:rsidR="00787570" w:rsidRDefault="00787570">
            <w:pPr>
              <w:rPr>
                <w:rFonts w:ascii="宋体"/>
              </w:rPr>
            </w:pPr>
          </w:p>
        </w:tc>
        <w:tc>
          <w:tcPr>
            <w:tcW w:w="5" w:type="pct"/>
            <w:shd w:val="clear" w:color="auto" w:fill="auto"/>
          </w:tcPr>
          <w:p w14:paraId="36CA2C25" w14:textId="77777777" w:rsidR="00787570" w:rsidRDefault="00787570">
            <w:pPr>
              <w:rPr>
                <w:rFonts w:ascii="宋体"/>
              </w:rPr>
            </w:pPr>
          </w:p>
        </w:tc>
        <w:tc>
          <w:tcPr>
            <w:tcW w:w="24" w:type="pct"/>
            <w:shd w:val="clear" w:color="auto" w:fill="auto"/>
          </w:tcPr>
          <w:p w14:paraId="36CA2C26" w14:textId="77777777" w:rsidR="00787570" w:rsidRDefault="00787570">
            <w:pPr>
              <w:rPr>
                <w:rFonts w:ascii="宋体"/>
              </w:rPr>
            </w:pPr>
          </w:p>
        </w:tc>
        <w:tc>
          <w:tcPr>
            <w:tcW w:w="5" w:type="pct"/>
            <w:shd w:val="clear" w:color="auto" w:fill="auto"/>
          </w:tcPr>
          <w:p w14:paraId="36CA2C27" w14:textId="77777777" w:rsidR="00787570" w:rsidRDefault="00787570">
            <w:pPr>
              <w:rPr>
                <w:rFonts w:ascii="宋体"/>
              </w:rPr>
            </w:pPr>
          </w:p>
        </w:tc>
        <w:tc>
          <w:tcPr>
            <w:tcW w:w="50" w:type="pct"/>
            <w:shd w:val="clear" w:color="auto" w:fill="auto"/>
          </w:tcPr>
          <w:p w14:paraId="36CA2C28" w14:textId="77777777" w:rsidR="00787570" w:rsidRDefault="00787570">
            <w:pPr>
              <w:rPr>
                <w:rFonts w:ascii="宋体"/>
              </w:rPr>
            </w:pPr>
          </w:p>
        </w:tc>
        <w:tc>
          <w:tcPr>
            <w:tcW w:w="491" w:type="pct"/>
            <w:shd w:val="clear" w:color="auto" w:fill="auto"/>
          </w:tcPr>
          <w:p w14:paraId="36CA2C29" w14:textId="77777777" w:rsidR="00787570" w:rsidRDefault="00787570">
            <w:pPr>
              <w:rPr>
                <w:rFonts w:ascii="宋体"/>
              </w:rPr>
            </w:pPr>
          </w:p>
        </w:tc>
        <w:tc>
          <w:tcPr>
            <w:tcW w:w="5" w:type="pct"/>
            <w:shd w:val="clear" w:color="auto" w:fill="auto"/>
          </w:tcPr>
          <w:p w14:paraId="36CA2C2A" w14:textId="77777777" w:rsidR="00787570" w:rsidRDefault="00787570">
            <w:pPr>
              <w:rPr>
                <w:rFonts w:ascii="宋体"/>
              </w:rPr>
            </w:pPr>
          </w:p>
        </w:tc>
        <w:tc>
          <w:tcPr>
            <w:tcW w:w="5" w:type="pct"/>
            <w:shd w:val="clear" w:color="auto" w:fill="auto"/>
          </w:tcPr>
          <w:p w14:paraId="36CA2C2B" w14:textId="77777777" w:rsidR="00787570" w:rsidRDefault="00787570">
            <w:pPr>
              <w:rPr>
                <w:rFonts w:ascii="宋体"/>
              </w:rPr>
            </w:pPr>
          </w:p>
        </w:tc>
        <w:tc>
          <w:tcPr>
            <w:tcW w:w="24" w:type="pct"/>
            <w:shd w:val="clear" w:color="auto" w:fill="auto"/>
          </w:tcPr>
          <w:p w14:paraId="36CA2C2C" w14:textId="77777777" w:rsidR="00787570" w:rsidRDefault="00787570">
            <w:pPr>
              <w:rPr>
                <w:rFonts w:ascii="宋体"/>
              </w:rPr>
            </w:pPr>
          </w:p>
        </w:tc>
        <w:tc>
          <w:tcPr>
            <w:tcW w:w="5" w:type="pct"/>
            <w:shd w:val="clear" w:color="auto" w:fill="auto"/>
          </w:tcPr>
          <w:p w14:paraId="36CA2C2D" w14:textId="77777777" w:rsidR="00787570" w:rsidRDefault="00787570">
            <w:pPr>
              <w:rPr>
                <w:rFonts w:ascii="宋体"/>
              </w:rPr>
            </w:pPr>
          </w:p>
        </w:tc>
        <w:tc>
          <w:tcPr>
            <w:tcW w:w="50" w:type="pct"/>
            <w:shd w:val="clear" w:color="auto" w:fill="auto"/>
          </w:tcPr>
          <w:p w14:paraId="36CA2C2E" w14:textId="77777777" w:rsidR="00787570" w:rsidRDefault="00787570">
            <w:pPr>
              <w:rPr>
                <w:rFonts w:ascii="宋体"/>
              </w:rPr>
            </w:pPr>
          </w:p>
        </w:tc>
        <w:tc>
          <w:tcPr>
            <w:tcW w:w="491" w:type="pct"/>
            <w:shd w:val="clear" w:color="auto" w:fill="auto"/>
          </w:tcPr>
          <w:p w14:paraId="36CA2C2F" w14:textId="77777777" w:rsidR="00787570" w:rsidRDefault="00787570">
            <w:pPr>
              <w:rPr>
                <w:rFonts w:ascii="宋体"/>
              </w:rPr>
            </w:pPr>
          </w:p>
        </w:tc>
        <w:tc>
          <w:tcPr>
            <w:tcW w:w="5" w:type="pct"/>
            <w:shd w:val="clear" w:color="auto" w:fill="auto"/>
          </w:tcPr>
          <w:p w14:paraId="36CA2C30" w14:textId="77777777" w:rsidR="00787570" w:rsidRDefault="00787570">
            <w:pPr>
              <w:rPr>
                <w:rFonts w:ascii="宋体"/>
              </w:rPr>
            </w:pPr>
          </w:p>
        </w:tc>
      </w:tr>
      <w:tr w:rsidR="00787570" w14:paraId="36CA2C3B" w14:textId="77777777">
        <w:tc>
          <w:tcPr>
            <w:tcW w:w="0" w:type="auto"/>
            <w:gridSpan w:val="3"/>
            <w:shd w:val="clear" w:color="auto" w:fill="auto"/>
            <w:tcMar>
              <w:top w:w="40" w:type="dxa"/>
              <w:left w:w="20" w:type="dxa"/>
              <w:bottom w:w="40" w:type="dxa"/>
              <w:right w:w="20" w:type="dxa"/>
            </w:tcMar>
            <w:vAlign w:val="bottom"/>
          </w:tcPr>
          <w:p w14:paraId="36CA2C32" w14:textId="77777777" w:rsidR="00787570" w:rsidRDefault="000D56E2">
            <w:pPr>
              <w:ind w:hanging="180"/>
              <w:textAlignment w:val="bottom"/>
            </w:pPr>
            <w:r>
              <w:rPr>
                <w:rFonts w:ascii="Arial" w:eastAsia="宋体" w:hAnsi="Arial" w:cs="Arial"/>
                <w:color w:val="333333"/>
                <w:sz w:val="16"/>
                <w:szCs w:val="16"/>
              </w:rPr>
              <w:t> </w:t>
            </w:r>
          </w:p>
        </w:tc>
        <w:tc>
          <w:tcPr>
            <w:tcW w:w="0" w:type="auto"/>
            <w:gridSpan w:val="3"/>
            <w:shd w:val="clear" w:color="auto" w:fill="auto"/>
            <w:tcMar>
              <w:left w:w="20" w:type="dxa"/>
              <w:right w:w="20" w:type="dxa"/>
            </w:tcMar>
            <w:vAlign w:val="bottom"/>
          </w:tcPr>
          <w:p w14:paraId="36CA2C33" w14:textId="77777777" w:rsidR="00787570" w:rsidRDefault="00787570">
            <w:pPr>
              <w:rPr>
                <w:rFonts w:ascii="宋体"/>
              </w:rPr>
            </w:pPr>
          </w:p>
        </w:tc>
        <w:tc>
          <w:tcPr>
            <w:tcW w:w="0" w:type="auto"/>
            <w:gridSpan w:val="9"/>
            <w:shd w:val="clear" w:color="auto" w:fill="auto"/>
            <w:tcMar>
              <w:top w:w="40" w:type="dxa"/>
              <w:left w:w="20" w:type="dxa"/>
              <w:bottom w:w="40" w:type="dxa"/>
              <w:right w:w="20" w:type="dxa"/>
            </w:tcMar>
            <w:vAlign w:val="bottom"/>
          </w:tcPr>
          <w:p w14:paraId="36CA2C34" w14:textId="77777777" w:rsidR="00787570" w:rsidRDefault="000D56E2">
            <w:pPr>
              <w:jc w:val="center"/>
              <w:textAlignment w:val="bottom"/>
            </w:pPr>
            <w:r>
              <w:rPr>
                <w:rFonts w:ascii="Arial" w:eastAsia="宋体" w:hAnsi="Arial" w:cs="Arial"/>
                <w:b/>
                <w:bCs/>
                <w:color w:val="333333"/>
                <w:sz w:val="18"/>
                <w:szCs w:val="18"/>
              </w:rPr>
              <w:t>Three Months Ended</w:t>
            </w:r>
          </w:p>
        </w:tc>
        <w:tc>
          <w:tcPr>
            <w:tcW w:w="0" w:type="auto"/>
            <w:gridSpan w:val="3"/>
            <w:shd w:val="clear" w:color="auto" w:fill="auto"/>
          </w:tcPr>
          <w:p w14:paraId="36CA2C35" w14:textId="77777777" w:rsidR="00787570" w:rsidRDefault="00787570">
            <w:pPr>
              <w:rPr>
                <w:rFonts w:ascii="宋体"/>
                <w:vanish/>
              </w:rPr>
            </w:pPr>
          </w:p>
        </w:tc>
        <w:tc>
          <w:tcPr>
            <w:tcW w:w="0" w:type="auto"/>
            <w:gridSpan w:val="3"/>
            <w:shd w:val="clear" w:color="auto" w:fill="auto"/>
          </w:tcPr>
          <w:p w14:paraId="36CA2C36" w14:textId="77777777" w:rsidR="00787570" w:rsidRDefault="00787570">
            <w:pPr>
              <w:rPr>
                <w:rFonts w:ascii="宋体"/>
                <w:vanish/>
              </w:rPr>
            </w:pPr>
          </w:p>
        </w:tc>
        <w:tc>
          <w:tcPr>
            <w:tcW w:w="0" w:type="auto"/>
            <w:gridSpan w:val="3"/>
            <w:shd w:val="clear" w:color="auto" w:fill="auto"/>
            <w:tcMar>
              <w:left w:w="20" w:type="dxa"/>
              <w:right w:w="20" w:type="dxa"/>
            </w:tcMar>
            <w:vAlign w:val="bottom"/>
          </w:tcPr>
          <w:p w14:paraId="36CA2C37" w14:textId="77777777" w:rsidR="00787570" w:rsidRDefault="00787570">
            <w:pPr>
              <w:rPr>
                <w:rFonts w:ascii="宋体"/>
              </w:rPr>
            </w:pPr>
          </w:p>
        </w:tc>
        <w:tc>
          <w:tcPr>
            <w:tcW w:w="0" w:type="auto"/>
            <w:gridSpan w:val="9"/>
            <w:shd w:val="clear" w:color="auto" w:fill="auto"/>
            <w:tcMar>
              <w:top w:w="40" w:type="dxa"/>
              <w:left w:w="20" w:type="dxa"/>
              <w:bottom w:w="40" w:type="dxa"/>
              <w:right w:w="20" w:type="dxa"/>
            </w:tcMar>
            <w:vAlign w:val="bottom"/>
          </w:tcPr>
          <w:p w14:paraId="36CA2C38" w14:textId="77777777" w:rsidR="00787570" w:rsidRDefault="000D56E2">
            <w:pPr>
              <w:jc w:val="center"/>
              <w:textAlignment w:val="bottom"/>
            </w:pPr>
            <w:r>
              <w:rPr>
                <w:rFonts w:ascii="Arial" w:eastAsia="宋体" w:hAnsi="Arial" w:cs="Arial"/>
                <w:b/>
                <w:bCs/>
                <w:color w:val="333333"/>
                <w:sz w:val="18"/>
                <w:szCs w:val="18"/>
              </w:rPr>
              <w:t>Nine Months Ended</w:t>
            </w:r>
          </w:p>
        </w:tc>
        <w:tc>
          <w:tcPr>
            <w:tcW w:w="0" w:type="auto"/>
            <w:gridSpan w:val="3"/>
            <w:shd w:val="clear" w:color="auto" w:fill="auto"/>
          </w:tcPr>
          <w:p w14:paraId="36CA2C39" w14:textId="77777777" w:rsidR="00787570" w:rsidRDefault="00787570">
            <w:pPr>
              <w:rPr>
                <w:rFonts w:ascii="宋体"/>
                <w:vanish/>
              </w:rPr>
            </w:pPr>
          </w:p>
        </w:tc>
        <w:tc>
          <w:tcPr>
            <w:tcW w:w="0" w:type="auto"/>
            <w:gridSpan w:val="3"/>
            <w:shd w:val="clear" w:color="auto" w:fill="auto"/>
          </w:tcPr>
          <w:p w14:paraId="36CA2C3A" w14:textId="77777777" w:rsidR="00787570" w:rsidRDefault="00787570">
            <w:pPr>
              <w:rPr>
                <w:rFonts w:ascii="宋体"/>
                <w:vanish/>
              </w:rPr>
            </w:pPr>
          </w:p>
        </w:tc>
      </w:tr>
      <w:tr w:rsidR="00787570" w14:paraId="36CA2C51" w14:textId="77777777">
        <w:tc>
          <w:tcPr>
            <w:tcW w:w="0" w:type="auto"/>
            <w:gridSpan w:val="3"/>
            <w:shd w:val="clear" w:color="auto" w:fill="auto"/>
            <w:tcMar>
              <w:top w:w="40" w:type="dxa"/>
              <w:left w:w="20" w:type="dxa"/>
              <w:bottom w:w="40" w:type="dxa"/>
              <w:right w:w="20" w:type="dxa"/>
            </w:tcMar>
            <w:vAlign w:val="bottom"/>
          </w:tcPr>
          <w:p w14:paraId="36CA2C3C" w14:textId="77777777" w:rsidR="00787570" w:rsidRDefault="000D56E2">
            <w:pPr>
              <w:textAlignment w:val="bottom"/>
            </w:pPr>
            <w:r>
              <w:rPr>
                <w:rFonts w:ascii="Arial" w:eastAsia="宋体" w:hAnsi="Arial" w:cs="Arial"/>
                <w:b/>
                <w:bCs/>
                <w:color w:val="333333"/>
                <w:sz w:val="18"/>
                <w:szCs w:val="18"/>
              </w:rPr>
              <w:t>(In Millions, Except Per Share Amounts)</w:t>
            </w:r>
          </w:p>
        </w:tc>
        <w:tc>
          <w:tcPr>
            <w:tcW w:w="0" w:type="auto"/>
            <w:gridSpan w:val="3"/>
            <w:shd w:val="clear" w:color="auto" w:fill="auto"/>
            <w:tcMar>
              <w:left w:w="20" w:type="dxa"/>
              <w:right w:w="20" w:type="dxa"/>
            </w:tcMar>
            <w:vAlign w:val="bottom"/>
          </w:tcPr>
          <w:p w14:paraId="36CA2C3D" w14:textId="77777777" w:rsidR="00787570" w:rsidRDefault="00787570">
            <w:pPr>
              <w:rPr>
                <w:rFonts w:ascii="宋体"/>
              </w:rPr>
            </w:pPr>
          </w:p>
        </w:tc>
        <w:tc>
          <w:tcPr>
            <w:tcW w:w="0" w:type="auto"/>
            <w:gridSpan w:val="3"/>
            <w:tcBorders>
              <w:top w:val="single" w:sz="8" w:space="0" w:color="0071C5"/>
            </w:tcBorders>
            <w:shd w:val="clear" w:color="auto" w:fill="auto"/>
            <w:tcMar>
              <w:top w:w="40" w:type="dxa"/>
              <w:left w:w="20" w:type="dxa"/>
              <w:bottom w:w="40" w:type="dxa"/>
              <w:right w:w="20" w:type="dxa"/>
            </w:tcMar>
            <w:vAlign w:val="bottom"/>
          </w:tcPr>
          <w:p w14:paraId="36CA2C3E" w14:textId="77777777" w:rsidR="00787570" w:rsidRDefault="000D56E2">
            <w:pPr>
              <w:jc w:val="center"/>
              <w:textAlignment w:val="bottom"/>
            </w:pPr>
            <w:r>
              <w:rPr>
                <w:rFonts w:ascii="Arial" w:eastAsia="宋体" w:hAnsi="Arial" w:cs="Arial"/>
                <w:b/>
                <w:bCs/>
                <w:color w:val="333333"/>
                <w:sz w:val="18"/>
                <w:szCs w:val="18"/>
              </w:rPr>
              <w:t>Sep 26, 2020</w:t>
            </w:r>
          </w:p>
        </w:tc>
        <w:tc>
          <w:tcPr>
            <w:tcW w:w="0" w:type="auto"/>
            <w:gridSpan w:val="3"/>
            <w:tcBorders>
              <w:top w:val="single" w:sz="8" w:space="0" w:color="0071C5"/>
            </w:tcBorders>
            <w:shd w:val="clear" w:color="auto" w:fill="auto"/>
            <w:tcMar>
              <w:left w:w="20" w:type="dxa"/>
              <w:right w:w="20" w:type="dxa"/>
            </w:tcMar>
            <w:vAlign w:val="bottom"/>
          </w:tcPr>
          <w:p w14:paraId="36CA2C3F" w14:textId="77777777" w:rsidR="00787570" w:rsidRDefault="00787570">
            <w:pPr>
              <w:rPr>
                <w:rFonts w:ascii="宋体"/>
              </w:rPr>
            </w:pPr>
          </w:p>
        </w:tc>
        <w:tc>
          <w:tcPr>
            <w:tcW w:w="0" w:type="auto"/>
            <w:gridSpan w:val="3"/>
            <w:tcBorders>
              <w:top w:val="single" w:sz="8" w:space="0" w:color="0071C5"/>
            </w:tcBorders>
            <w:shd w:val="clear" w:color="auto" w:fill="auto"/>
            <w:tcMar>
              <w:top w:w="40" w:type="dxa"/>
              <w:left w:w="20" w:type="dxa"/>
              <w:bottom w:w="40" w:type="dxa"/>
              <w:right w:w="20" w:type="dxa"/>
            </w:tcMar>
            <w:vAlign w:val="bottom"/>
          </w:tcPr>
          <w:p w14:paraId="36CA2C40" w14:textId="77777777" w:rsidR="00787570" w:rsidRDefault="000D56E2">
            <w:pPr>
              <w:jc w:val="center"/>
              <w:textAlignment w:val="bottom"/>
            </w:pPr>
            <w:r>
              <w:rPr>
                <w:rFonts w:ascii="Arial" w:eastAsia="宋体" w:hAnsi="Arial" w:cs="Arial"/>
                <w:b/>
                <w:bCs/>
                <w:color w:val="333333"/>
                <w:sz w:val="18"/>
                <w:szCs w:val="18"/>
              </w:rPr>
              <w:t>Sep 28, 2019</w:t>
            </w:r>
          </w:p>
        </w:tc>
        <w:tc>
          <w:tcPr>
            <w:tcW w:w="0" w:type="auto"/>
            <w:gridSpan w:val="3"/>
            <w:shd w:val="clear" w:color="auto" w:fill="auto"/>
            <w:tcMar>
              <w:left w:w="20" w:type="dxa"/>
              <w:right w:w="20" w:type="dxa"/>
            </w:tcMar>
            <w:vAlign w:val="bottom"/>
          </w:tcPr>
          <w:p w14:paraId="36CA2C41" w14:textId="77777777" w:rsidR="00787570" w:rsidRDefault="00787570">
            <w:pPr>
              <w:rPr>
                <w:rFonts w:ascii="宋体"/>
              </w:rPr>
            </w:pPr>
          </w:p>
        </w:tc>
        <w:tc>
          <w:tcPr>
            <w:tcW w:w="0" w:type="auto"/>
            <w:gridSpan w:val="3"/>
            <w:tcBorders>
              <w:top w:val="single" w:sz="8" w:space="0" w:color="0071C5"/>
            </w:tcBorders>
            <w:shd w:val="clear" w:color="auto" w:fill="auto"/>
            <w:tcMar>
              <w:top w:w="40" w:type="dxa"/>
              <w:left w:w="20" w:type="dxa"/>
              <w:bottom w:w="40" w:type="dxa"/>
              <w:right w:w="20" w:type="dxa"/>
            </w:tcMar>
            <w:vAlign w:val="bottom"/>
          </w:tcPr>
          <w:p w14:paraId="36CA2C42" w14:textId="77777777" w:rsidR="00787570" w:rsidRDefault="000D56E2">
            <w:pPr>
              <w:jc w:val="center"/>
              <w:textAlignment w:val="bottom"/>
            </w:pPr>
            <w:r>
              <w:rPr>
                <w:rFonts w:ascii="Arial" w:eastAsia="宋体" w:hAnsi="Arial" w:cs="Arial"/>
                <w:b/>
                <w:bCs/>
                <w:color w:val="333333"/>
                <w:sz w:val="18"/>
                <w:szCs w:val="18"/>
              </w:rPr>
              <w:t>Sep 26, 2020</w:t>
            </w:r>
          </w:p>
        </w:tc>
        <w:tc>
          <w:tcPr>
            <w:tcW w:w="0" w:type="auto"/>
            <w:gridSpan w:val="3"/>
            <w:tcBorders>
              <w:top w:val="single" w:sz="8" w:space="0" w:color="0071C5"/>
            </w:tcBorders>
            <w:shd w:val="clear" w:color="auto" w:fill="auto"/>
            <w:tcMar>
              <w:left w:w="20" w:type="dxa"/>
              <w:right w:w="20" w:type="dxa"/>
            </w:tcMar>
            <w:vAlign w:val="bottom"/>
          </w:tcPr>
          <w:p w14:paraId="36CA2C43" w14:textId="77777777" w:rsidR="00787570" w:rsidRDefault="00787570">
            <w:pPr>
              <w:rPr>
                <w:rFonts w:ascii="宋体"/>
              </w:rPr>
            </w:pPr>
          </w:p>
        </w:tc>
        <w:tc>
          <w:tcPr>
            <w:tcW w:w="0" w:type="auto"/>
            <w:gridSpan w:val="3"/>
            <w:tcBorders>
              <w:top w:val="single" w:sz="8" w:space="0" w:color="0071C5"/>
            </w:tcBorders>
            <w:shd w:val="clear" w:color="auto" w:fill="auto"/>
            <w:tcMar>
              <w:top w:w="40" w:type="dxa"/>
              <w:left w:w="20" w:type="dxa"/>
              <w:bottom w:w="40" w:type="dxa"/>
              <w:right w:w="20" w:type="dxa"/>
            </w:tcMar>
            <w:vAlign w:val="bottom"/>
          </w:tcPr>
          <w:p w14:paraId="36CA2C44" w14:textId="77777777" w:rsidR="00787570" w:rsidRDefault="000D56E2">
            <w:pPr>
              <w:jc w:val="center"/>
              <w:textAlignment w:val="bottom"/>
            </w:pPr>
            <w:r>
              <w:rPr>
                <w:rFonts w:ascii="Arial" w:eastAsia="宋体" w:hAnsi="Arial" w:cs="Arial"/>
                <w:b/>
                <w:bCs/>
                <w:color w:val="333333"/>
                <w:sz w:val="18"/>
                <w:szCs w:val="18"/>
              </w:rPr>
              <w:t>Sep 28, 2019</w:t>
            </w:r>
          </w:p>
        </w:tc>
        <w:tc>
          <w:tcPr>
            <w:tcW w:w="0" w:type="auto"/>
            <w:shd w:val="clear" w:color="auto" w:fill="auto"/>
          </w:tcPr>
          <w:p w14:paraId="36CA2C45" w14:textId="77777777" w:rsidR="00787570" w:rsidRDefault="00787570">
            <w:pPr>
              <w:rPr>
                <w:rFonts w:ascii="宋体"/>
              </w:rPr>
            </w:pPr>
          </w:p>
        </w:tc>
        <w:tc>
          <w:tcPr>
            <w:tcW w:w="0" w:type="auto"/>
            <w:shd w:val="clear" w:color="auto" w:fill="auto"/>
          </w:tcPr>
          <w:p w14:paraId="36CA2C46" w14:textId="77777777" w:rsidR="00787570" w:rsidRDefault="00787570">
            <w:pPr>
              <w:rPr>
                <w:rFonts w:ascii="宋体"/>
              </w:rPr>
            </w:pPr>
          </w:p>
        </w:tc>
        <w:tc>
          <w:tcPr>
            <w:tcW w:w="0" w:type="auto"/>
            <w:shd w:val="clear" w:color="auto" w:fill="auto"/>
          </w:tcPr>
          <w:p w14:paraId="36CA2C47" w14:textId="77777777" w:rsidR="00787570" w:rsidRDefault="00787570">
            <w:pPr>
              <w:rPr>
                <w:rFonts w:ascii="宋体"/>
              </w:rPr>
            </w:pPr>
          </w:p>
        </w:tc>
        <w:tc>
          <w:tcPr>
            <w:tcW w:w="0" w:type="auto"/>
            <w:shd w:val="clear" w:color="auto" w:fill="auto"/>
          </w:tcPr>
          <w:p w14:paraId="36CA2C48" w14:textId="77777777" w:rsidR="00787570" w:rsidRDefault="00787570">
            <w:pPr>
              <w:rPr>
                <w:rFonts w:ascii="宋体"/>
              </w:rPr>
            </w:pPr>
          </w:p>
        </w:tc>
        <w:tc>
          <w:tcPr>
            <w:tcW w:w="0" w:type="auto"/>
            <w:shd w:val="clear" w:color="auto" w:fill="auto"/>
          </w:tcPr>
          <w:p w14:paraId="36CA2C49" w14:textId="77777777" w:rsidR="00787570" w:rsidRDefault="00787570">
            <w:pPr>
              <w:rPr>
                <w:rFonts w:ascii="宋体"/>
              </w:rPr>
            </w:pPr>
          </w:p>
        </w:tc>
        <w:tc>
          <w:tcPr>
            <w:tcW w:w="0" w:type="auto"/>
            <w:shd w:val="clear" w:color="auto" w:fill="auto"/>
          </w:tcPr>
          <w:p w14:paraId="36CA2C4A" w14:textId="77777777" w:rsidR="00787570" w:rsidRDefault="00787570">
            <w:pPr>
              <w:rPr>
                <w:rFonts w:ascii="宋体"/>
              </w:rPr>
            </w:pPr>
          </w:p>
        </w:tc>
        <w:tc>
          <w:tcPr>
            <w:tcW w:w="0" w:type="auto"/>
            <w:shd w:val="clear" w:color="auto" w:fill="auto"/>
          </w:tcPr>
          <w:p w14:paraId="36CA2C4B" w14:textId="77777777" w:rsidR="00787570" w:rsidRDefault="00787570">
            <w:pPr>
              <w:rPr>
                <w:rFonts w:ascii="宋体"/>
              </w:rPr>
            </w:pPr>
          </w:p>
        </w:tc>
        <w:tc>
          <w:tcPr>
            <w:tcW w:w="0" w:type="auto"/>
            <w:shd w:val="clear" w:color="auto" w:fill="auto"/>
          </w:tcPr>
          <w:p w14:paraId="36CA2C4C" w14:textId="77777777" w:rsidR="00787570" w:rsidRDefault="00787570">
            <w:pPr>
              <w:rPr>
                <w:rFonts w:ascii="宋体"/>
              </w:rPr>
            </w:pPr>
          </w:p>
        </w:tc>
        <w:tc>
          <w:tcPr>
            <w:tcW w:w="0" w:type="auto"/>
            <w:shd w:val="clear" w:color="auto" w:fill="auto"/>
          </w:tcPr>
          <w:p w14:paraId="36CA2C4D" w14:textId="77777777" w:rsidR="00787570" w:rsidRDefault="00787570">
            <w:pPr>
              <w:rPr>
                <w:rFonts w:ascii="宋体"/>
              </w:rPr>
            </w:pPr>
          </w:p>
        </w:tc>
        <w:tc>
          <w:tcPr>
            <w:tcW w:w="0" w:type="auto"/>
            <w:shd w:val="clear" w:color="auto" w:fill="auto"/>
          </w:tcPr>
          <w:p w14:paraId="36CA2C4E" w14:textId="77777777" w:rsidR="00787570" w:rsidRDefault="00787570">
            <w:pPr>
              <w:rPr>
                <w:rFonts w:ascii="宋体"/>
              </w:rPr>
            </w:pPr>
          </w:p>
        </w:tc>
        <w:tc>
          <w:tcPr>
            <w:tcW w:w="0" w:type="auto"/>
            <w:shd w:val="clear" w:color="auto" w:fill="auto"/>
          </w:tcPr>
          <w:p w14:paraId="36CA2C4F" w14:textId="77777777" w:rsidR="00787570" w:rsidRDefault="00787570">
            <w:pPr>
              <w:rPr>
                <w:rFonts w:ascii="宋体"/>
              </w:rPr>
            </w:pPr>
          </w:p>
        </w:tc>
        <w:tc>
          <w:tcPr>
            <w:tcW w:w="0" w:type="auto"/>
            <w:shd w:val="clear" w:color="auto" w:fill="auto"/>
          </w:tcPr>
          <w:p w14:paraId="36CA2C50" w14:textId="77777777" w:rsidR="00787570" w:rsidRDefault="00787570">
            <w:pPr>
              <w:rPr>
                <w:rFonts w:ascii="宋体"/>
              </w:rPr>
            </w:pPr>
          </w:p>
        </w:tc>
      </w:tr>
      <w:tr w:rsidR="00787570" w14:paraId="36CA2C6F" w14:textId="77777777">
        <w:tc>
          <w:tcPr>
            <w:tcW w:w="0" w:type="auto"/>
            <w:gridSpan w:val="3"/>
            <w:tcBorders>
              <w:top w:val="single" w:sz="8" w:space="0" w:color="0071C5"/>
            </w:tcBorders>
            <w:shd w:val="clear" w:color="auto" w:fill="auto"/>
            <w:tcMar>
              <w:top w:w="40" w:type="dxa"/>
              <w:left w:w="20" w:type="dxa"/>
              <w:bottom w:w="40" w:type="dxa"/>
              <w:right w:w="20" w:type="dxa"/>
            </w:tcMar>
          </w:tcPr>
          <w:p w14:paraId="36CA2C52" w14:textId="77777777" w:rsidR="00787570" w:rsidRDefault="000D56E2">
            <w:pPr>
              <w:textAlignment w:val="top"/>
            </w:pPr>
            <w:r>
              <w:rPr>
                <w:rFonts w:ascii="Arial" w:eastAsia="宋体" w:hAnsi="Arial" w:cs="Arial"/>
                <w:b/>
                <w:bCs/>
                <w:color w:val="333333"/>
                <w:sz w:val="18"/>
                <w:szCs w:val="18"/>
              </w:rPr>
              <w:t xml:space="preserve">Net </w:t>
            </w:r>
            <w:r>
              <w:rPr>
                <w:rFonts w:ascii="Arial" w:eastAsia="宋体" w:hAnsi="Arial" w:cs="Arial"/>
                <w:b/>
                <w:bCs/>
                <w:color w:val="333333"/>
                <w:sz w:val="18"/>
                <w:szCs w:val="18"/>
              </w:rPr>
              <w:t>income available to common stockholders</w:t>
            </w:r>
          </w:p>
        </w:tc>
        <w:tc>
          <w:tcPr>
            <w:tcW w:w="0" w:type="auto"/>
            <w:gridSpan w:val="3"/>
            <w:shd w:val="clear" w:color="auto" w:fill="auto"/>
            <w:tcMar>
              <w:left w:w="20" w:type="dxa"/>
              <w:right w:w="20" w:type="dxa"/>
            </w:tcMar>
            <w:vAlign w:val="bottom"/>
          </w:tcPr>
          <w:p w14:paraId="36CA2C53" w14:textId="77777777" w:rsidR="00787570" w:rsidRDefault="00787570">
            <w:pPr>
              <w:rPr>
                <w:rFonts w:ascii="宋体"/>
              </w:rPr>
            </w:pPr>
          </w:p>
        </w:tc>
        <w:tc>
          <w:tcPr>
            <w:tcW w:w="0" w:type="auto"/>
            <w:tcBorders>
              <w:top w:val="single" w:sz="8" w:space="0" w:color="0071C5"/>
            </w:tcBorders>
            <w:shd w:val="clear" w:color="auto" w:fill="auto"/>
            <w:tcMar>
              <w:top w:w="40" w:type="dxa"/>
              <w:left w:w="20" w:type="dxa"/>
              <w:bottom w:w="40" w:type="dxa"/>
            </w:tcMar>
            <w:vAlign w:val="bottom"/>
          </w:tcPr>
          <w:p w14:paraId="36CA2C54" w14:textId="77777777" w:rsidR="00787570" w:rsidRDefault="000D56E2">
            <w:pPr>
              <w:textAlignment w:val="bottom"/>
            </w:pPr>
            <w:r>
              <w:rPr>
                <w:rFonts w:ascii="Arial" w:eastAsia="宋体" w:hAnsi="Arial" w:cs="Arial"/>
                <w:b/>
                <w:bCs/>
                <w:color w:val="026DCE"/>
                <w:sz w:val="18"/>
                <w:szCs w:val="18"/>
              </w:rPr>
              <w:t>$</w:t>
            </w:r>
          </w:p>
        </w:tc>
        <w:tc>
          <w:tcPr>
            <w:tcW w:w="0" w:type="auto"/>
            <w:tcBorders>
              <w:top w:val="single" w:sz="8" w:space="0" w:color="0071C5"/>
            </w:tcBorders>
            <w:shd w:val="clear" w:color="auto" w:fill="auto"/>
            <w:tcMar>
              <w:top w:w="40" w:type="dxa"/>
              <w:bottom w:w="40" w:type="dxa"/>
              <w:right w:w="0" w:type="dxa"/>
            </w:tcMar>
            <w:vAlign w:val="bottom"/>
          </w:tcPr>
          <w:p w14:paraId="36CA2C55" w14:textId="77777777" w:rsidR="00787570" w:rsidRDefault="000D56E2">
            <w:pPr>
              <w:jc w:val="right"/>
              <w:textAlignment w:val="bottom"/>
            </w:pPr>
            <w:r>
              <w:rPr>
                <w:rFonts w:ascii="Arial" w:eastAsia="宋体" w:hAnsi="Arial" w:cs="Arial"/>
                <w:b/>
                <w:bCs/>
                <w:color w:val="026DCE"/>
                <w:sz w:val="18"/>
                <w:szCs w:val="18"/>
              </w:rPr>
              <w:t>4,276</w:t>
            </w:r>
            <w:r>
              <w:rPr>
                <w:rFonts w:ascii="Arial" w:eastAsia="宋体" w:hAnsi="Arial" w:cs="Arial"/>
                <w:color w:val="026DCE"/>
                <w:sz w:val="18"/>
                <w:szCs w:val="18"/>
              </w:rPr>
              <w:t> </w:t>
            </w:r>
          </w:p>
        </w:tc>
        <w:tc>
          <w:tcPr>
            <w:tcW w:w="0" w:type="auto"/>
            <w:tcBorders>
              <w:top w:val="single" w:sz="8" w:space="0" w:color="0071C5"/>
            </w:tcBorders>
            <w:shd w:val="clear" w:color="auto" w:fill="auto"/>
            <w:tcMar>
              <w:top w:w="40" w:type="dxa"/>
              <w:bottom w:w="40" w:type="dxa"/>
              <w:right w:w="20" w:type="dxa"/>
            </w:tcMar>
            <w:vAlign w:val="bottom"/>
          </w:tcPr>
          <w:p w14:paraId="36CA2C56"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2C57" w14:textId="77777777" w:rsidR="00787570" w:rsidRDefault="00787570">
            <w:pPr>
              <w:rPr>
                <w:rFonts w:ascii="宋体"/>
              </w:rPr>
            </w:pPr>
          </w:p>
        </w:tc>
        <w:tc>
          <w:tcPr>
            <w:tcW w:w="0" w:type="auto"/>
            <w:tcBorders>
              <w:top w:val="single" w:sz="8" w:space="0" w:color="0071C5"/>
            </w:tcBorders>
            <w:shd w:val="clear" w:color="auto" w:fill="auto"/>
            <w:tcMar>
              <w:top w:w="40" w:type="dxa"/>
              <w:left w:w="20" w:type="dxa"/>
              <w:bottom w:w="40" w:type="dxa"/>
            </w:tcMar>
            <w:vAlign w:val="bottom"/>
          </w:tcPr>
          <w:p w14:paraId="36CA2C58" w14:textId="77777777" w:rsidR="00787570" w:rsidRDefault="000D56E2">
            <w:pPr>
              <w:textAlignment w:val="bottom"/>
            </w:pPr>
            <w:r>
              <w:rPr>
                <w:rFonts w:ascii="Arial" w:eastAsia="宋体" w:hAnsi="Arial" w:cs="Arial"/>
                <w:b/>
                <w:bCs/>
                <w:color w:val="333333"/>
                <w:sz w:val="18"/>
                <w:szCs w:val="18"/>
              </w:rPr>
              <w:t>$</w:t>
            </w:r>
          </w:p>
        </w:tc>
        <w:tc>
          <w:tcPr>
            <w:tcW w:w="0" w:type="auto"/>
            <w:tcBorders>
              <w:top w:val="single" w:sz="8" w:space="0" w:color="0071C5"/>
            </w:tcBorders>
            <w:shd w:val="clear" w:color="auto" w:fill="auto"/>
            <w:tcMar>
              <w:top w:w="40" w:type="dxa"/>
              <w:bottom w:w="40" w:type="dxa"/>
              <w:right w:w="0" w:type="dxa"/>
            </w:tcMar>
            <w:vAlign w:val="bottom"/>
          </w:tcPr>
          <w:p w14:paraId="36CA2C59" w14:textId="77777777" w:rsidR="00787570" w:rsidRDefault="000D56E2">
            <w:pPr>
              <w:jc w:val="right"/>
              <w:textAlignment w:val="bottom"/>
            </w:pPr>
            <w:r>
              <w:rPr>
                <w:rFonts w:ascii="Arial" w:eastAsia="宋体" w:hAnsi="Arial" w:cs="Arial"/>
                <w:b/>
                <w:bCs/>
                <w:color w:val="333333"/>
                <w:sz w:val="18"/>
                <w:szCs w:val="18"/>
              </w:rPr>
              <w:t>5,990</w:t>
            </w:r>
            <w:r>
              <w:rPr>
                <w:rFonts w:ascii="Arial" w:eastAsia="宋体" w:hAnsi="Arial" w:cs="Arial"/>
                <w:color w:val="333333"/>
                <w:sz w:val="18"/>
                <w:szCs w:val="18"/>
              </w:rPr>
              <w:t> </w:t>
            </w:r>
          </w:p>
        </w:tc>
        <w:tc>
          <w:tcPr>
            <w:tcW w:w="0" w:type="auto"/>
            <w:tcBorders>
              <w:top w:val="single" w:sz="8" w:space="0" w:color="0071C5"/>
            </w:tcBorders>
            <w:shd w:val="clear" w:color="auto" w:fill="auto"/>
            <w:tcMar>
              <w:top w:w="40" w:type="dxa"/>
              <w:bottom w:w="40" w:type="dxa"/>
              <w:right w:w="20" w:type="dxa"/>
            </w:tcMar>
            <w:vAlign w:val="bottom"/>
          </w:tcPr>
          <w:p w14:paraId="36CA2C5A"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2C5B" w14:textId="77777777" w:rsidR="00787570" w:rsidRDefault="00787570">
            <w:pPr>
              <w:rPr>
                <w:rFonts w:ascii="宋体"/>
              </w:rPr>
            </w:pPr>
          </w:p>
        </w:tc>
        <w:tc>
          <w:tcPr>
            <w:tcW w:w="0" w:type="auto"/>
            <w:tcBorders>
              <w:top w:val="single" w:sz="8" w:space="0" w:color="0071C5"/>
            </w:tcBorders>
            <w:shd w:val="clear" w:color="auto" w:fill="auto"/>
            <w:tcMar>
              <w:top w:w="40" w:type="dxa"/>
              <w:left w:w="20" w:type="dxa"/>
              <w:bottom w:w="40" w:type="dxa"/>
            </w:tcMar>
            <w:vAlign w:val="bottom"/>
          </w:tcPr>
          <w:p w14:paraId="36CA2C5C" w14:textId="77777777" w:rsidR="00787570" w:rsidRDefault="000D56E2">
            <w:pPr>
              <w:textAlignment w:val="bottom"/>
            </w:pPr>
            <w:r>
              <w:rPr>
                <w:rFonts w:ascii="Arial" w:eastAsia="宋体" w:hAnsi="Arial" w:cs="Arial"/>
                <w:b/>
                <w:bCs/>
                <w:color w:val="0071C5"/>
                <w:sz w:val="18"/>
                <w:szCs w:val="18"/>
              </w:rPr>
              <w:t>$</w:t>
            </w:r>
          </w:p>
        </w:tc>
        <w:tc>
          <w:tcPr>
            <w:tcW w:w="0" w:type="auto"/>
            <w:tcBorders>
              <w:top w:val="single" w:sz="8" w:space="0" w:color="0071C5"/>
            </w:tcBorders>
            <w:shd w:val="clear" w:color="auto" w:fill="auto"/>
            <w:tcMar>
              <w:top w:w="40" w:type="dxa"/>
              <w:bottom w:w="40" w:type="dxa"/>
              <w:right w:w="0" w:type="dxa"/>
            </w:tcMar>
            <w:vAlign w:val="bottom"/>
          </w:tcPr>
          <w:p w14:paraId="36CA2C5D" w14:textId="77777777" w:rsidR="00787570" w:rsidRDefault="000D56E2">
            <w:pPr>
              <w:jc w:val="right"/>
              <w:textAlignment w:val="bottom"/>
            </w:pPr>
            <w:r>
              <w:rPr>
                <w:rFonts w:ascii="Arial" w:eastAsia="宋体" w:hAnsi="Arial" w:cs="Arial"/>
                <w:b/>
                <w:bCs/>
                <w:color w:val="0071C5"/>
                <w:sz w:val="18"/>
                <w:szCs w:val="18"/>
              </w:rPr>
              <w:t>15,042</w:t>
            </w:r>
            <w:r>
              <w:rPr>
                <w:rFonts w:ascii="Arial" w:eastAsia="宋体" w:hAnsi="Arial" w:cs="Arial"/>
                <w:color w:val="0071C5"/>
                <w:sz w:val="18"/>
                <w:szCs w:val="18"/>
              </w:rPr>
              <w:t> </w:t>
            </w:r>
          </w:p>
        </w:tc>
        <w:tc>
          <w:tcPr>
            <w:tcW w:w="0" w:type="auto"/>
            <w:tcBorders>
              <w:top w:val="single" w:sz="8" w:space="0" w:color="0071C5"/>
            </w:tcBorders>
            <w:shd w:val="clear" w:color="auto" w:fill="auto"/>
            <w:tcMar>
              <w:top w:w="40" w:type="dxa"/>
              <w:bottom w:w="40" w:type="dxa"/>
              <w:right w:w="20" w:type="dxa"/>
            </w:tcMar>
            <w:vAlign w:val="bottom"/>
          </w:tcPr>
          <w:p w14:paraId="36CA2C5E"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2C5F" w14:textId="77777777" w:rsidR="00787570" w:rsidRDefault="00787570">
            <w:pPr>
              <w:rPr>
                <w:rFonts w:ascii="宋体"/>
              </w:rPr>
            </w:pPr>
          </w:p>
        </w:tc>
        <w:tc>
          <w:tcPr>
            <w:tcW w:w="0" w:type="auto"/>
            <w:tcBorders>
              <w:top w:val="single" w:sz="8" w:space="0" w:color="0071C5"/>
            </w:tcBorders>
            <w:shd w:val="clear" w:color="auto" w:fill="auto"/>
            <w:tcMar>
              <w:top w:w="40" w:type="dxa"/>
              <w:left w:w="20" w:type="dxa"/>
              <w:bottom w:w="40" w:type="dxa"/>
            </w:tcMar>
            <w:vAlign w:val="bottom"/>
          </w:tcPr>
          <w:p w14:paraId="36CA2C60" w14:textId="77777777" w:rsidR="00787570" w:rsidRDefault="000D56E2">
            <w:pPr>
              <w:textAlignment w:val="bottom"/>
            </w:pPr>
            <w:r>
              <w:rPr>
                <w:rFonts w:ascii="Arial" w:eastAsia="宋体" w:hAnsi="Arial" w:cs="Arial"/>
                <w:b/>
                <w:bCs/>
                <w:color w:val="333333"/>
                <w:sz w:val="18"/>
                <w:szCs w:val="18"/>
              </w:rPr>
              <w:t>$</w:t>
            </w:r>
          </w:p>
        </w:tc>
        <w:tc>
          <w:tcPr>
            <w:tcW w:w="0" w:type="auto"/>
            <w:tcBorders>
              <w:top w:val="single" w:sz="8" w:space="0" w:color="0071C5"/>
            </w:tcBorders>
            <w:shd w:val="clear" w:color="auto" w:fill="auto"/>
            <w:tcMar>
              <w:top w:w="40" w:type="dxa"/>
              <w:bottom w:w="40" w:type="dxa"/>
              <w:right w:w="0" w:type="dxa"/>
            </w:tcMar>
            <w:vAlign w:val="bottom"/>
          </w:tcPr>
          <w:p w14:paraId="36CA2C61" w14:textId="77777777" w:rsidR="00787570" w:rsidRDefault="000D56E2">
            <w:pPr>
              <w:jc w:val="right"/>
              <w:textAlignment w:val="bottom"/>
            </w:pPr>
            <w:r>
              <w:rPr>
                <w:rFonts w:ascii="Arial" w:eastAsia="宋体" w:hAnsi="Arial" w:cs="Arial"/>
                <w:b/>
                <w:bCs/>
                <w:color w:val="333333"/>
                <w:sz w:val="18"/>
                <w:szCs w:val="18"/>
              </w:rPr>
              <w:t>14,143</w:t>
            </w:r>
            <w:r>
              <w:rPr>
                <w:rFonts w:ascii="Arial" w:eastAsia="宋体" w:hAnsi="Arial" w:cs="Arial"/>
                <w:color w:val="333333"/>
                <w:sz w:val="18"/>
                <w:szCs w:val="18"/>
              </w:rPr>
              <w:t> </w:t>
            </w:r>
          </w:p>
        </w:tc>
        <w:tc>
          <w:tcPr>
            <w:tcW w:w="0" w:type="auto"/>
            <w:tcBorders>
              <w:top w:val="single" w:sz="8" w:space="0" w:color="0071C5"/>
            </w:tcBorders>
            <w:shd w:val="clear" w:color="auto" w:fill="auto"/>
            <w:tcMar>
              <w:top w:w="40" w:type="dxa"/>
              <w:bottom w:w="40" w:type="dxa"/>
              <w:right w:w="20" w:type="dxa"/>
            </w:tcMar>
            <w:vAlign w:val="bottom"/>
          </w:tcPr>
          <w:p w14:paraId="36CA2C62" w14:textId="77777777" w:rsidR="00787570" w:rsidRDefault="00787570">
            <w:pPr>
              <w:jc w:val="right"/>
              <w:rPr>
                <w:rFonts w:ascii="宋体"/>
              </w:rPr>
            </w:pPr>
          </w:p>
        </w:tc>
        <w:tc>
          <w:tcPr>
            <w:tcW w:w="0" w:type="auto"/>
            <w:shd w:val="clear" w:color="auto" w:fill="auto"/>
          </w:tcPr>
          <w:p w14:paraId="36CA2C63" w14:textId="77777777" w:rsidR="00787570" w:rsidRDefault="00787570">
            <w:pPr>
              <w:rPr>
                <w:rFonts w:ascii="宋体"/>
              </w:rPr>
            </w:pPr>
          </w:p>
        </w:tc>
        <w:tc>
          <w:tcPr>
            <w:tcW w:w="0" w:type="auto"/>
            <w:shd w:val="clear" w:color="auto" w:fill="auto"/>
          </w:tcPr>
          <w:p w14:paraId="36CA2C64" w14:textId="77777777" w:rsidR="00787570" w:rsidRDefault="00787570">
            <w:pPr>
              <w:rPr>
                <w:rFonts w:ascii="宋体"/>
              </w:rPr>
            </w:pPr>
          </w:p>
        </w:tc>
        <w:tc>
          <w:tcPr>
            <w:tcW w:w="0" w:type="auto"/>
            <w:shd w:val="clear" w:color="auto" w:fill="auto"/>
          </w:tcPr>
          <w:p w14:paraId="36CA2C65" w14:textId="77777777" w:rsidR="00787570" w:rsidRDefault="00787570">
            <w:pPr>
              <w:rPr>
                <w:rFonts w:ascii="宋体"/>
              </w:rPr>
            </w:pPr>
          </w:p>
        </w:tc>
        <w:tc>
          <w:tcPr>
            <w:tcW w:w="0" w:type="auto"/>
            <w:shd w:val="clear" w:color="auto" w:fill="auto"/>
          </w:tcPr>
          <w:p w14:paraId="36CA2C66" w14:textId="77777777" w:rsidR="00787570" w:rsidRDefault="00787570">
            <w:pPr>
              <w:rPr>
                <w:rFonts w:ascii="宋体"/>
              </w:rPr>
            </w:pPr>
          </w:p>
        </w:tc>
        <w:tc>
          <w:tcPr>
            <w:tcW w:w="0" w:type="auto"/>
            <w:shd w:val="clear" w:color="auto" w:fill="auto"/>
          </w:tcPr>
          <w:p w14:paraId="36CA2C67" w14:textId="77777777" w:rsidR="00787570" w:rsidRDefault="00787570">
            <w:pPr>
              <w:rPr>
                <w:rFonts w:ascii="宋体"/>
              </w:rPr>
            </w:pPr>
          </w:p>
        </w:tc>
        <w:tc>
          <w:tcPr>
            <w:tcW w:w="0" w:type="auto"/>
            <w:shd w:val="clear" w:color="auto" w:fill="auto"/>
          </w:tcPr>
          <w:p w14:paraId="36CA2C68" w14:textId="77777777" w:rsidR="00787570" w:rsidRDefault="00787570">
            <w:pPr>
              <w:rPr>
                <w:rFonts w:ascii="宋体"/>
              </w:rPr>
            </w:pPr>
          </w:p>
        </w:tc>
        <w:tc>
          <w:tcPr>
            <w:tcW w:w="0" w:type="auto"/>
            <w:shd w:val="clear" w:color="auto" w:fill="auto"/>
          </w:tcPr>
          <w:p w14:paraId="36CA2C69" w14:textId="77777777" w:rsidR="00787570" w:rsidRDefault="00787570">
            <w:pPr>
              <w:rPr>
                <w:rFonts w:ascii="宋体"/>
              </w:rPr>
            </w:pPr>
          </w:p>
        </w:tc>
        <w:tc>
          <w:tcPr>
            <w:tcW w:w="0" w:type="auto"/>
            <w:shd w:val="clear" w:color="auto" w:fill="auto"/>
          </w:tcPr>
          <w:p w14:paraId="36CA2C6A" w14:textId="77777777" w:rsidR="00787570" w:rsidRDefault="00787570">
            <w:pPr>
              <w:rPr>
                <w:rFonts w:ascii="宋体"/>
              </w:rPr>
            </w:pPr>
          </w:p>
        </w:tc>
        <w:tc>
          <w:tcPr>
            <w:tcW w:w="0" w:type="auto"/>
            <w:shd w:val="clear" w:color="auto" w:fill="auto"/>
          </w:tcPr>
          <w:p w14:paraId="36CA2C6B" w14:textId="77777777" w:rsidR="00787570" w:rsidRDefault="00787570">
            <w:pPr>
              <w:rPr>
                <w:rFonts w:ascii="宋体"/>
              </w:rPr>
            </w:pPr>
          </w:p>
        </w:tc>
        <w:tc>
          <w:tcPr>
            <w:tcW w:w="0" w:type="auto"/>
            <w:shd w:val="clear" w:color="auto" w:fill="auto"/>
          </w:tcPr>
          <w:p w14:paraId="36CA2C6C" w14:textId="77777777" w:rsidR="00787570" w:rsidRDefault="00787570">
            <w:pPr>
              <w:rPr>
                <w:rFonts w:ascii="宋体"/>
              </w:rPr>
            </w:pPr>
          </w:p>
        </w:tc>
        <w:tc>
          <w:tcPr>
            <w:tcW w:w="0" w:type="auto"/>
            <w:shd w:val="clear" w:color="auto" w:fill="auto"/>
          </w:tcPr>
          <w:p w14:paraId="36CA2C6D" w14:textId="77777777" w:rsidR="00787570" w:rsidRDefault="00787570">
            <w:pPr>
              <w:rPr>
                <w:rFonts w:ascii="宋体"/>
              </w:rPr>
            </w:pPr>
          </w:p>
        </w:tc>
        <w:tc>
          <w:tcPr>
            <w:tcW w:w="0" w:type="auto"/>
            <w:shd w:val="clear" w:color="auto" w:fill="auto"/>
          </w:tcPr>
          <w:p w14:paraId="36CA2C6E" w14:textId="77777777" w:rsidR="00787570" w:rsidRDefault="00787570">
            <w:pPr>
              <w:rPr>
                <w:rFonts w:ascii="宋体"/>
              </w:rPr>
            </w:pPr>
          </w:p>
        </w:tc>
      </w:tr>
      <w:tr w:rsidR="00787570" w14:paraId="36CA2C89" w14:textId="77777777">
        <w:tc>
          <w:tcPr>
            <w:tcW w:w="0" w:type="auto"/>
            <w:gridSpan w:val="3"/>
            <w:shd w:val="clear" w:color="auto" w:fill="auto"/>
            <w:tcMar>
              <w:top w:w="40" w:type="dxa"/>
              <w:left w:w="20" w:type="dxa"/>
              <w:bottom w:w="40" w:type="dxa"/>
              <w:right w:w="20" w:type="dxa"/>
            </w:tcMar>
          </w:tcPr>
          <w:p w14:paraId="36CA2C70" w14:textId="77777777" w:rsidR="00787570" w:rsidRDefault="000D56E2">
            <w:pPr>
              <w:textAlignment w:val="top"/>
            </w:pPr>
            <w:r>
              <w:rPr>
                <w:rFonts w:ascii="Arial" w:eastAsia="宋体" w:hAnsi="Arial" w:cs="Arial"/>
                <w:b/>
                <w:bCs/>
                <w:color w:val="333333"/>
                <w:sz w:val="18"/>
                <w:szCs w:val="18"/>
              </w:rPr>
              <w:t>Weighted average shares of common stock outstanding—basic</w:t>
            </w:r>
          </w:p>
        </w:tc>
        <w:tc>
          <w:tcPr>
            <w:tcW w:w="0" w:type="auto"/>
            <w:gridSpan w:val="3"/>
            <w:shd w:val="clear" w:color="auto" w:fill="auto"/>
            <w:tcMar>
              <w:left w:w="20" w:type="dxa"/>
              <w:right w:w="20" w:type="dxa"/>
            </w:tcMar>
            <w:vAlign w:val="bottom"/>
          </w:tcPr>
          <w:p w14:paraId="36CA2C71"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2C72" w14:textId="77777777" w:rsidR="00787570" w:rsidRDefault="000D56E2">
            <w:pPr>
              <w:jc w:val="right"/>
              <w:textAlignment w:val="bottom"/>
            </w:pPr>
            <w:r>
              <w:rPr>
                <w:rFonts w:ascii="Arial" w:eastAsia="宋体" w:hAnsi="Arial" w:cs="Arial"/>
                <w:b/>
                <w:bCs/>
                <w:color w:val="026DCE"/>
                <w:sz w:val="18"/>
                <w:szCs w:val="18"/>
              </w:rPr>
              <w:t>4,188</w:t>
            </w:r>
            <w:r>
              <w:rPr>
                <w:rFonts w:ascii="Arial" w:eastAsia="宋体" w:hAnsi="Arial" w:cs="Arial"/>
                <w:color w:val="026DCE"/>
                <w:sz w:val="18"/>
                <w:szCs w:val="18"/>
              </w:rPr>
              <w:t> </w:t>
            </w:r>
          </w:p>
        </w:tc>
        <w:tc>
          <w:tcPr>
            <w:tcW w:w="0" w:type="auto"/>
            <w:shd w:val="clear" w:color="auto" w:fill="auto"/>
            <w:tcMar>
              <w:top w:w="40" w:type="dxa"/>
              <w:bottom w:w="40" w:type="dxa"/>
              <w:right w:w="20" w:type="dxa"/>
            </w:tcMar>
            <w:vAlign w:val="bottom"/>
          </w:tcPr>
          <w:p w14:paraId="36CA2C73"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2C74"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2C75" w14:textId="77777777" w:rsidR="00787570" w:rsidRDefault="000D56E2">
            <w:pPr>
              <w:jc w:val="right"/>
              <w:textAlignment w:val="bottom"/>
            </w:pPr>
            <w:r>
              <w:rPr>
                <w:rFonts w:ascii="Arial" w:eastAsia="宋体" w:hAnsi="Arial" w:cs="Arial"/>
                <w:b/>
                <w:bCs/>
                <w:color w:val="333333"/>
                <w:sz w:val="18"/>
                <w:szCs w:val="18"/>
              </w:rPr>
              <w:t>4,391</w:t>
            </w:r>
            <w:r>
              <w:rPr>
                <w:rFonts w:ascii="Arial" w:eastAsia="宋体" w:hAnsi="Arial" w:cs="Arial"/>
                <w:color w:val="333333"/>
                <w:sz w:val="18"/>
                <w:szCs w:val="18"/>
              </w:rPr>
              <w:t> </w:t>
            </w:r>
          </w:p>
        </w:tc>
        <w:tc>
          <w:tcPr>
            <w:tcW w:w="0" w:type="auto"/>
            <w:shd w:val="clear" w:color="auto" w:fill="auto"/>
            <w:tcMar>
              <w:top w:w="40" w:type="dxa"/>
              <w:bottom w:w="40" w:type="dxa"/>
              <w:right w:w="20" w:type="dxa"/>
            </w:tcMar>
            <w:vAlign w:val="bottom"/>
          </w:tcPr>
          <w:p w14:paraId="36CA2C76"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2C77"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2C78" w14:textId="77777777" w:rsidR="00787570" w:rsidRDefault="000D56E2">
            <w:pPr>
              <w:jc w:val="right"/>
              <w:textAlignment w:val="bottom"/>
            </w:pPr>
            <w:r>
              <w:rPr>
                <w:rFonts w:ascii="Arial" w:eastAsia="宋体" w:hAnsi="Arial" w:cs="Arial"/>
                <w:b/>
                <w:bCs/>
                <w:color w:val="0071C5"/>
                <w:sz w:val="18"/>
                <w:szCs w:val="18"/>
              </w:rPr>
              <w:t>4,233</w:t>
            </w:r>
            <w:r>
              <w:rPr>
                <w:rFonts w:ascii="Arial" w:eastAsia="宋体" w:hAnsi="Arial" w:cs="Arial"/>
                <w:color w:val="0071C5"/>
                <w:sz w:val="18"/>
                <w:szCs w:val="18"/>
              </w:rPr>
              <w:t> </w:t>
            </w:r>
          </w:p>
        </w:tc>
        <w:tc>
          <w:tcPr>
            <w:tcW w:w="0" w:type="auto"/>
            <w:shd w:val="clear" w:color="auto" w:fill="auto"/>
            <w:tcMar>
              <w:top w:w="40" w:type="dxa"/>
              <w:bottom w:w="40" w:type="dxa"/>
              <w:right w:w="20" w:type="dxa"/>
            </w:tcMar>
            <w:vAlign w:val="bottom"/>
          </w:tcPr>
          <w:p w14:paraId="36CA2C79"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2C7A"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2C7B" w14:textId="77777777" w:rsidR="00787570" w:rsidRDefault="000D56E2">
            <w:pPr>
              <w:jc w:val="right"/>
              <w:textAlignment w:val="bottom"/>
            </w:pPr>
            <w:r>
              <w:rPr>
                <w:rFonts w:ascii="Arial" w:eastAsia="宋体" w:hAnsi="Arial" w:cs="Arial"/>
                <w:b/>
                <w:bCs/>
                <w:color w:val="333333"/>
                <w:sz w:val="18"/>
                <w:szCs w:val="18"/>
              </w:rPr>
              <w:t>4,450</w:t>
            </w:r>
            <w:r>
              <w:rPr>
                <w:rFonts w:ascii="Arial" w:eastAsia="宋体" w:hAnsi="Arial" w:cs="Arial"/>
                <w:color w:val="333333"/>
                <w:sz w:val="18"/>
                <w:szCs w:val="18"/>
              </w:rPr>
              <w:t> </w:t>
            </w:r>
          </w:p>
        </w:tc>
        <w:tc>
          <w:tcPr>
            <w:tcW w:w="0" w:type="auto"/>
            <w:shd w:val="clear" w:color="auto" w:fill="auto"/>
            <w:tcMar>
              <w:top w:w="40" w:type="dxa"/>
              <w:bottom w:w="40" w:type="dxa"/>
              <w:right w:w="20" w:type="dxa"/>
            </w:tcMar>
            <w:vAlign w:val="bottom"/>
          </w:tcPr>
          <w:p w14:paraId="36CA2C7C" w14:textId="77777777" w:rsidR="00787570" w:rsidRDefault="00787570">
            <w:pPr>
              <w:jc w:val="right"/>
              <w:rPr>
                <w:rFonts w:ascii="宋体"/>
              </w:rPr>
            </w:pPr>
          </w:p>
        </w:tc>
        <w:tc>
          <w:tcPr>
            <w:tcW w:w="0" w:type="auto"/>
            <w:shd w:val="clear" w:color="auto" w:fill="auto"/>
          </w:tcPr>
          <w:p w14:paraId="36CA2C7D" w14:textId="77777777" w:rsidR="00787570" w:rsidRDefault="00787570">
            <w:pPr>
              <w:rPr>
                <w:rFonts w:ascii="宋体"/>
              </w:rPr>
            </w:pPr>
          </w:p>
        </w:tc>
        <w:tc>
          <w:tcPr>
            <w:tcW w:w="0" w:type="auto"/>
            <w:shd w:val="clear" w:color="auto" w:fill="auto"/>
          </w:tcPr>
          <w:p w14:paraId="36CA2C7E" w14:textId="77777777" w:rsidR="00787570" w:rsidRDefault="00787570">
            <w:pPr>
              <w:rPr>
                <w:rFonts w:ascii="宋体"/>
              </w:rPr>
            </w:pPr>
          </w:p>
        </w:tc>
        <w:tc>
          <w:tcPr>
            <w:tcW w:w="0" w:type="auto"/>
            <w:shd w:val="clear" w:color="auto" w:fill="auto"/>
          </w:tcPr>
          <w:p w14:paraId="36CA2C7F" w14:textId="77777777" w:rsidR="00787570" w:rsidRDefault="00787570">
            <w:pPr>
              <w:rPr>
                <w:rFonts w:ascii="宋体"/>
              </w:rPr>
            </w:pPr>
          </w:p>
        </w:tc>
        <w:tc>
          <w:tcPr>
            <w:tcW w:w="0" w:type="auto"/>
            <w:shd w:val="clear" w:color="auto" w:fill="auto"/>
          </w:tcPr>
          <w:p w14:paraId="36CA2C80" w14:textId="77777777" w:rsidR="00787570" w:rsidRDefault="00787570">
            <w:pPr>
              <w:rPr>
                <w:rFonts w:ascii="宋体"/>
              </w:rPr>
            </w:pPr>
          </w:p>
        </w:tc>
        <w:tc>
          <w:tcPr>
            <w:tcW w:w="0" w:type="auto"/>
            <w:shd w:val="clear" w:color="auto" w:fill="auto"/>
          </w:tcPr>
          <w:p w14:paraId="36CA2C81" w14:textId="77777777" w:rsidR="00787570" w:rsidRDefault="00787570">
            <w:pPr>
              <w:rPr>
                <w:rFonts w:ascii="宋体"/>
              </w:rPr>
            </w:pPr>
          </w:p>
        </w:tc>
        <w:tc>
          <w:tcPr>
            <w:tcW w:w="0" w:type="auto"/>
            <w:shd w:val="clear" w:color="auto" w:fill="auto"/>
          </w:tcPr>
          <w:p w14:paraId="36CA2C82" w14:textId="77777777" w:rsidR="00787570" w:rsidRDefault="00787570">
            <w:pPr>
              <w:rPr>
                <w:rFonts w:ascii="宋体"/>
              </w:rPr>
            </w:pPr>
          </w:p>
        </w:tc>
        <w:tc>
          <w:tcPr>
            <w:tcW w:w="0" w:type="auto"/>
            <w:shd w:val="clear" w:color="auto" w:fill="auto"/>
          </w:tcPr>
          <w:p w14:paraId="36CA2C83" w14:textId="77777777" w:rsidR="00787570" w:rsidRDefault="00787570">
            <w:pPr>
              <w:rPr>
                <w:rFonts w:ascii="宋体"/>
              </w:rPr>
            </w:pPr>
          </w:p>
        </w:tc>
        <w:tc>
          <w:tcPr>
            <w:tcW w:w="0" w:type="auto"/>
            <w:shd w:val="clear" w:color="auto" w:fill="auto"/>
          </w:tcPr>
          <w:p w14:paraId="36CA2C84" w14:textId="77777777" w:rsidR="00787570" w:rsidRDefault="00787570">
            <w:pPr>
              <w:rPr>
                <w:rFonts w:ascii="宋体"/>
              </w:rPr>
            </w:pPr>
          </w:p>
        </w:tc>
        <w:tc>
          <w:tcPr>
            <w:tcW w:w="0" w:type="auto"/>
            <w:shd w:val="clear" w:color="auto" w:fill="auto"/>
          </w:tcPr>
          <w:p w14:paraId="36CA2C85" w14:textId="77777777" w:rsidR="00787570" w:rsidRDefault="00787570">
            <w:pPr>
              <w:rPr>
                <w:rFonts w:ascii="宋体"/>
              </w:rPr>
            </w:pPr>
          </w:p>
        </w:tc>
        <w:tc>
          <w:tcPr>
            <w:tcW w:w="0" w:type="auto"/>
            <w:shd w:val="clear" w:color="auto" w:fill="auto"/>
          </w:tcPr>
          <w:p w14:paraId="36CA2C86" w14:textId="77777777" w:rsidR="00787570" w:rsidRDefault="00787570">
            <w:pPr>
              <w:rPr>
                <w:rFonts w:ascii="宋体"/>
              </w:rPr>
            </w:pPr>
          </w:p>
        </w:tc>
        <w:tc>
          <w:tcPr>
            <w:tcW w:w="0" w:type="auto"/>
            <w:shd w:val="clear" w:color="auto" w:fill="auto"/>
          </w:tcPr>
          <w:p w14:paraId="36CA2C87" w14:textId="77777777" w:rsidR="00787570" w:rsidRDefault="00787570">
            <w:pPr>
              <w:rPr>
                <w:rFonts w:ascii="宋体"/>
              </w:rPr>
            </w:pPr>
          </w:p>
        </w:tc>
        <w:tc>
          <w:tcPr>
            <w:tcW w:w="0" w:type="auto"/>
            <w:shd w:val="clear" w:color="auto" w:fill="auto"/>
          </w:tcPr>
          <w:p w14:paraId="36CA2C88" w14:textId="77777777" w:rsidR="00787570" w:rsidRDefault="00787570">
            <w:pPr>
              <w:rPr>
                <w:rFonts w:ascii="宋体"/>
              </w:rPr>
            </w:pPr>
          </w:p>
        </w:tc>
      </w:tr>
      <w:tr w:rsidR="00787570" w14:paraId="36CA2CA3" w14:textId="77777777">
        <w:tc>
          <w:tcPr>
            <w:tcW w:w="0" w:type="auto"/>
            <w:gridSpan w:val="3"/>
            <w:shd w:val="clear" w:color="auto" w:fill="auto"/>
            <w:tcMar>
              <w:top w:w="40" w:type="dxa"/>
              <w:left w:w="20" w:type="dxa"/>
              <w:bottom w:w="40" w:type="dxa"/>
              <w:right w:w="20" w:type="dxa"/>
            </w:tcMar>
          </w:tcPr>
          <w:p w14:paraId="36CA2C8A" w14:textId="77777777" w:rsidR="00787570" w:rsidRDefault="000D56E2">
            <w:pPr>
              <w:textAlignment w:val="top"/>
            </w:pPr>
            <w:r>
              <w:rPr>
                <w:rFonts w:ascii="Arial" w:eastAsia="宋体" w:hAnsi="Arial" w:cs="Arial"/>
                <w:color w:val="333333"/>
                <w:sz w:val="18"/>
                <w:szCs w:val="18"/>
              </w:rPr>
              <w:t>Dilutive effect of employee equity incentive plans</w:t>
            </w:r>
          </w:p>
        </w:tc>
        <w:tc>
          <w:tcPr>
            <w:tcW w:w="0" w:type="auto"/>
            <w:gridSpan w:val="3"/>
            <w:shd w:val="clear" w:color="auto" w:fill="auto"/>
            <w:tcMar>
              <w:left w:w="20" w:type="dxa"/>
              <w:right w:w="20" w:type="dxa"/>
            </w:tcMar>
            <w:vAlign w:val="bottom"/>
          </w:tcPr>
          <w:p w14:paraId="36CA2C8B"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2C8C" w14:textId="77777777" w:rsidR="00787570" w:rsidRDefault="000D56E2">
            <w:pPr>
              <w:jc w:val="right"/>
              <w:textAlignment w:val="bottom"/>
            </w:pPr>
            <w:r>
              <w:rPr>
                <w:rFonts w:ascii="Arial" w:eastAsia="宋体" w:hAnsi="Arial" w:cs="Arial"/>
                <w:color w:val="026DCE"/>
                <w:sz w:val="18"/>
                <w:szCs w:val="18"/>
              </w:rPr>
              <w:t>23 </w:t>
            </w:r>
          </w:p>
        </w:tc>
        <w:tc>
          <w:tcPr>
            <w:tcW w:w="0" w:type="auto"/>
            <w:shd w:val="clear" w:color="auto" w:fill="auto"/>
            <w:tcMar>
              <w:top w:w="40" w:type="dxa"/>
              <w:bottom w:w="40" w:type="dxa"/>
              <w:right w:w="20" w:type="dxa"/>
            </w:tcMar>
            <w:vAlign w:val="bottom"/>
          </w:tcPr>
          <w:p w14:paraId="36CA2C8D"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2C8E"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2C8F" w14:textId="77777777" w:rsidR="00787570" w:rsidRDefault="000D56E2">
            <w:pPr>
              <w:jc w:val="right"/>
              <w:textAlignment w:val="bottom"/>
            </w:pPr>
            <w:r>
              <w:rPr>
                <w:rFonts w:ascii="Arial" w:eastAsia="宋体" w:hAnsi="Arial" w:cs="Arial"/>
                <w:color w:val="333333"/>
                <w:sz w:val="18"/>
                <w:szCs w:val="18"/>
              </w:rPr>
              <w:t>30 </w:t>
            </w:r>
          </w:p>
        </w:tc>
        <w:tc>
          <w:tcPr>
            <w:tcW w:w="0" w:type="auto"/>
            <w:shd w:val="clear" w:color="auto" w:fill="auto"/>
            <w:tcMar>
              <w:top w:w="40" w:type="dxa"/>
              <w:bottom w:w="40" w:type="dxa"/>
              <w:right w:w="20" w:type="dxa"/>
            </w:tcMar>
            <w:vAlign w:val="bottom"/>
          </w:tcPr>
          <w:p w14:paraId="36CA2C90"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2C91"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2C92" w14:textId="77777777" w:rsidR="00787570" w:rsidRDefault="000D56E2">
            <w:pPr>
              <w:jc w:val="right"/>
              <w:textAlignment w:val="bottom"/>
            </w:pPr>
            <w:r>
              <w:rPr>
                <w:rFonts w:ascii="Arial" w:eastAsia="宋体" w:hAnsi="Arial" w:cs="Arial"/>
                <w:color w:val="0071C5"/>
                <w:sz w:val="18"/>
                <w:szCs w:val="18"/>
              </w:rPr>
              <w:t>36 </w:t>
            </w:r>
          </w:p>
        </w:tc>
        <w:tc>
          <w:tcPr>
            <w:tcW w:w="0" w:type="auto"/>
            <w:shd w:val="clear" w:color="auto" w:fill="auto"/>
            <w:tcMar>
              <w:top w:w="40" w:type="dxa"/>
              <w:bottom w:w="40" w:type="dxa"/>
              <w:right w:w="20" w:type="dxa"/>
            </w:tcMar>
            <w:vAlign w:val="bottom"/>
          </w:tcPr>
          <w:p w14:paraId="36CA2C93"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2C94"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2C95" w14:textId="77777777" w:rsidR="00787570" w:rsidRDefault="000D56E2">
            <w:pPr>
              <w:jc w:val="right"/>
              <w:textAlignment w:val="bottom"/>
            </w:pPr>
            <w:r>
              <w:rPr>
                <w:rFonts w:ascii="Arial" w:eastAsia="宋体" w:hAnsi="Arial" w:cs="Arial"/>
                <w:color w:val="333333"/>
                <w:sz w:val="18"/>
                <w:szCs w:val="18"/>
              </w:rPr>
              <w:t>41 </w:t>
            </w:r>
          </w:p>
        </w:tc>
        <w:tc>
          <w:tcPr>
            <w:tcW w:w="0" w:type="auto"/>
            <w:shd w:val="clear" w:color="auto" w:fill="auto"/>
            <w:tcMar>
              <w:top w:w="40" w:type="dxa"/>
              <w:bottom w:w="40" w:type="dxa"/>
              <w:right w:w="20" w:type="dxa"/>
            </w:tcMar>
            <w:vAlign w:val="bottom"/>
          </w:tcPr>
          <w:p w14:paraId="36CA2C96" w14:textId="77777777" w:rsidR="00787570" w:rsidRDefault="00787570">
            <w:pPr>
              <w:jc w:val="right"/>
              <w:rPr>
                <w:rFonts w:ascii="宋体"/>
              </w:rPr>
            </w:pPr>
          </w:p>
        </w:tc>
        <w:tc>
          <w:tcPr>
            <w:tcW w:w="0" w:type="auto"/>
            <w:shd w:val="clear" w:color="auto" w:fill="auto"/>
          </w:tcPr>
          <w:p w14:paraId="36CA2C97" w14:textId="77777777" w:rsidR="00787570" w:rsidRDefault="00787570">
            <w:pPr>
              <w:rPr>
                <w:rFonts w:ascii="宋体"/>
              </w:rPr>
            </w:pPr>
          </w:p>
        </w:tc>
        <w:tc>
          <w:tcPr>
            <w:tcW w:w="0" w:type="auto"/>
            <w:shd w:val="clear" w:color="auto" w:fill="auto"/>
          </w:tcPr>
          <w:p w14:paraId="36CA2C98" w14:textId="77777777" w:rsidR="00787570" w:rsidRDefault="00787570">
            <w:pPr>
              <w:rPr>
                <w:rFonts w:ascii="宋体"/>
              </w:rPr>
            </w:pPr>
          </w:p>
        </w:tc>
        <w:tc>
          <w:tcPr>
            <w:tcW w:w="0" w:type="auto"/>
            <w:shd w:val="clear" w:color="auto" w:fill="auto"/>
          </w:tcPr>
          <w:p w14:paraId="36CA2C99" w14:textId="77777777" w:rsidR="00787570" w:rsidRDefault="00787570">
            <w:pPr>
              <w:rPr>
                <w:rFonts w:ascii="宋体"/>
              </w:rPr>
            </w:pPr>
          </w:p>
        </w:tc>
        <w:tc>
          <w:tcPr>
            <w:tcW w:w="0" w:type="auto"/>
            <w:shd w:val="clear" w:color="auto" w:fill="auto"/>
          </w:tcPr>
          <w:p w14:paraId="36CA2C9A" w14:textId="77777777" w:rsidR="00787570" w:rsidRDefault="00787570">
            <w:pPr>
              <w:rPr>
                <w:rFonts w:ascii="宋体"/>
              </w:rPr>
            </w:pPr>
          </w:p>
        </w:tc>
        <w:tc>
          <w:tcPr>
            <w:tcW w:w="0" w:type="auto"/>
            <w:shd w:val="clear" w:color="auto" w:fill="auto"/>
          </w:tcPr>
          <w:p w14:paraId="36CA2C9B" w14:textId="77777777" w:rsidR="00787570" w:rsidRDefault="00787570">
            <w:pPr>
              <w:rPr>
                <w:rFonts w:ascii="宋体"/>
              </w:rPr>
            </w:pPr>
          </w:p>
        </w:tc>
        <w:tc>
          <w:tcPr>
            <w:tcW w:w="0" w:type="auto"/>
            <w:shd w:val="clear" w:color="auto" w:fill="auto"/>
          </w:tcPr>
          <w:p w14:paraId="36CA2C9C" w14:textId="77777777" w:rsidR="00787570" w:rsidRDefault="00787570">
            <w:pPr>
              <w:rPr>
                <w:rFonts w:ascii="宋体"/>
              </w:rPr>
            </w:pPr>
          </w:p>
        </w:tc>
        <w:tc>
          <w:tcPr>
            <w:tcW w:w="0" w:type="auto"/>
            <w:shd w:val="clear" w:color="auto" w:fill="auto"/>
          </w:tcPr>
          <w:p w14:paraId="36CA2C9D" w14:textId="77777777" w:rsidR="00787570" w:rsidRDefault="00787570">
            <w:pPr>
              <w:rPr>
                <w:rFonts w:ascii="宋体"/>
              </w:rPr>
            </w:pPr>
          </w:p>
        </w:tc>
        <w:tc>
          <w:tcPr>
            <w:tcW w:w="0" w:type="auto"/>
            <w:shd w:val="clear" w:color="auto" w:fill="auto"/>
          </w:tcPr>
          <w:p w14:paraId="36CA2C9E" w14:textId="77777777" w:rsidR="00787570" w:rsidRDefault="00787570">
            <w:pPr>
              <w:rPr>
                <w:rFonts w:ascii="宋体"/>
              </w:rPr>
            </w:pPr>
          </w:p>
        </w:tc>
        <w:tc>
          <w:tcPr>
            <w:tcW w:w="0" w:type="auto"/>
            <w:shd w:val="clear" w:color="auto" w:fill="auto"/>
          </w:tcPr>
          <w:p w14:paraId="36CA2C9F" w14:textId="77777777" w:rsidR="00787570" w:rsidRDefault="00787570">
            <w:pPr>
              <w:rPr>
                <w:rFonts w:ascii="宋体"/>
              </w:rPr>
            </w:pPr>
          </w:p>
        </w:tc>
        <w:tc>
          <w:tcPr>
            <w:tcW w:w="0" w:type="auto"/>
            <w:shd w:val="clear" w:color="auto" w:fill="auto"/>
          </w:tcPr>
          <w:p w14:paraId="36CA2CA0" w14:textId="77777777" w:rsidR="00787570" w:rsidRDefault="00787570">
            <w:pPr>
              <w:rPr>
                <w:rFonts w:ascii="宋体"/>
              </w:rPr>
            </w:pPr>
          </w:p>
        </w:tc>
        <w:tc>
          <w:tcPr>
            <w:tcW w:w="0" w:type="auto"/>
            <w:shd w:val="clear" w:color="auto" w:fill="auto"/>
          </w:tcPr>
          <w:p w14:paraId="36CA2CA1" w14:textId="77777777" w:rsidR="00787570" w:rsidRDefault="00787570">
            <w:pPr>
              <w:rPr>
                <w:rFonts w:ascii="宋体"/>
              </w:rPr>
            </w:pPr>
          </w:p>
        </w:tc>
        <w:tc>
          <w:tcPr>
            <w:tcW w:w="0" w:type="auto"/>
            <w:shd w:val="clear" w:color="auto" w:fill="auto"/>
          </w:tcPr>
          <w:p w14:paraId="36CA2CA2" w14:textId="77777777" w:rsidR="00787570" w:rsidRDefault="00787570">
            <w:pPr>
              <w:rPr>
                <w:rFonts w:ascii="宋体"/>
              </w:rPr>
            </w:pPr>
          </w:p>
        </w:tc>
      </w:tr>
      <w:tr w:rsidR="00787570" w14:paraId="36CA2CBD" w14:textId="77777777">
        <w:tc>
          <w:tcPr>
            <w:tcW w:w="0" w:type="auto"/>
            <w:gridSpan w:val="3"/>
            <w:shd w:val="clear" w:color="auto" w:fill="auto"/>
            <w:tcMar>
              <w:top w:w="40" w:type="dxa"/>
              <w:left w:w="20" w:type="dxa"/>
              <w:bottom w:w="40" w:type="dxa"/>
              <w:right w:w="20" w:type="dxa"/>
            </w:tcMar>
          </w:tcPr>
          <w:p w14:paraId="36CA2CA4" w14:textId="77777777" w:rsidR="00787570" w:rsidRDefault="000D56E2">
            <w:pPr>
              <w:textAlignment w:val="top"/>
            </w:pPr>
            <w:r>
              <w:rPr>
                <w:rFonts w:ascii="Arial" w:eastAsia="宋体" w:hAnsi="Arial" w:cs="Arial"/>
                <w:color w:val="333333"/>
                <w:sz w:val="18"/>
                <w:szCs w:val="18"/>
              </w:rPr>
              <w:t>Dilutive effect of convertible debt</w:t>
            </w:r>
          </w:p>
        </w:tc>
        <w:tc>
          <w:tcPr>
            <w:tcW w:w="0" w:type="auto"/>
            <w:gridSpan w:val="3"/>
            <w:shd w:val="clear" w:color="auto" w:fill="auto"/>
            <w:tcMar>
              <w:left w:w="20" w:type="dxa"/>
              <w:right w:w="20" w:type="dxa"/>
            </w:tcMar>
            <w:vAlign w:val="bottom"/>
          </w:tcPr>
          <w:p w14:paraId="36CA2CA5"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2CA6" w14:textId="77777777" w:rsidR="00787570" w:rsidRDefault="000D56E2">
            <w:pPr>
              <w:jc w:val="right"/>
              <w:textAlignment w:val="bottom"/>
            </w:pPr>
            <w:r>
              <w:rPr>
                <w:rFonts w:ascii="Arial" w:eastAsia="宋体" w:hAnsi="Arial" w:cs="Arial"/>
                <w:color w:val="026DCE"/>
                <w:sz w:val="18"/>
                <w:szCs w:val="18"/>
              </w:rPr>
              <w:t>— </w:t>
            </w:r>
          </w:p>
        </w:tc>
        <w:tc>
          <w:tcPr>
            <w:tcW w:w="0" w:type="auto"/>
            <w:shd w:val="clear" w:color="auto" w:fill="auto"/>
            <w:tcMar>
              <w:top w:w="40" w:type="dxa"/>
              <w:bottom w:w="40" w:type="dxa"/>
              <w:right w:w="20" w:type="dxa"/>
            </w:tcMar>
            <w:vAlign w:val="bottom"/>
          </w:tcPr>
          <w:p w14:paraId="36CA2CA7"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2CA8"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2CA9" w14:textId="77777777" w:rsidR="00787570" w:rsidRDefault="000D56E2">
            <w:pPr>
              <w:jc w:val="right"/>
              <w:textAlignment w:val="bottom"/>
            </w:pPr>
            <w:r>
              <w:rPr>
                <w:rFonts w:ascii="Arial" w:eastAsia="宋体" w:hAnsi="Arial" w:cs="Arial"/>
                <w:color w:val="333333"/>
                <w:sz w:val="18"/>
                <w:szCs w:val="18"/>
              </w:rPr>
              <w:t>12 </w:t>
            </w:r>
          </w:p>
        </w:tc>
        <w:tc>
          <w:tcPr>
            <w:tcW w:w="0" w:type="auto"/>
            <w:shd w:val="clear" w:color="auto" w:fill="auto"/>
            <w:tcMar>
              <w:top w:w="40" w:type="dxa"/>
              <w:bottom w:w="40" w:type="dxa"/>
              <w:right w:w="20" w:type="dxa"/>
            </w:tcMar>
            <w:vAlign w:val="bottom"/>
          </w:tcPr>
          <w:p w14:paraId="36CA2CAA"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2CAB"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2CAC" w14:textId="77777777" w:rsidR="00787570" w:rsidRDefault="000D56E2">
            <w:pPr>
              <w:jc w:val="right"/>
              <w:textAlignment w:val="bottom"/>
            </w:pPr>
            <w:r>
              <w:rPr>
                <w:rFonts w:ascii="Arial" w:eastAsia="宋体" w:hAnsi="Arial" w:cs="Arial"/>
                <w:color w:val="0071C5"/>
                <w:sz w:val="18"/>
                <w:szCs w:val="18"/>
              </w:rPr>
              <w:t>— </w:t>
            </w:r>
          </w:p>
        </w:tc>
        <w:tc>
          <w:tcPr>
            <w:tcW w:w="0" w:type="auto"/>
            <w:shd w:val="clear" w:color="auto" w:fill="auto"/>
            <w:tcMar>
              <w:top w:w="40" w:type="dxa"/>
              <w:bottom w:w="40" w:type="dxa"/>
              <w:right w:w="20" w:type="dxa"/>
            </w:tcMar>
            <w:vAlign w:val="bottom"/>
          </w:tcPr>
          <w:p w14:paraId="36CA2CAD"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2CAE"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2CAF" w14:textId="77777777" w:rsidR="00787570" w:rsidRDefault="000D56E2">
            <w:pPr>
              <w:jc w:val="right"/>
              <w:textAlignment w:val="bottom"/>
            </w:pPr>
            <w:r>
              <w:rPr>
                <w:rFonts w:ascii="Arial" w:eastAsia="宋体" w:hAnsi="Arial" w:cs="Arial"/>
                <w:color w:val="333333"/>
                <w:sz w:val="18"/>
                <w:szCs w:val="18"/>
              </w:rPr>
              <w:t>16 </w:t>
            </w:r>
          </w:p>
        </w:tc>
        <w:tc>
          <w:tcPr>
            <w:tcW w:w="0" w:type="auto"/>
            <w:shd w:val="clear" w:color="auto" w:fill="auto"/>
            <w:tcMar>
              <w:top w:w="40" w:type="dxa"/>
              <w:bottom w:w="40" w:type="dxa"/>
              <w:right w:w="20" w:type="dxa"/>
            </w:tcMar>
            <w:vAlign w:val="bottom"/>
          </w:tcPr>
          <w:p w14:paraId="36CA2CB0" w14:textId="77777777" w:rsidR="00787570" w:rsidRDefault="00787570">
            <w:pPr>
              <w:jc w:val="right"/>
              <w:rPr>
                <w:rFonts w:ascii="宋体"/>
              </w:rPr>
            </w:pPr>
          </w:p>
        </w:tc>
        <w:tc>
          <w:tcPr>
            <w:tcW w:w="0" w:type="auto"/>
            <w:shd w:val="clear" w:color="auto" w:fill="auto"/>
          </w:tcPr>
          <w:p w14:paraId="36CA2CB1" w14:textId="77777777" w:rsidR="00787570" w:rsidRDefault="00787570">
            <w:pPr>
              <w:rPr>
                <w:rFonts w:ascii="宋体"/>
              </w:rPr>
            </w:pPr>
          </w:p>
        </w:tc>
        <w:tc>
          <w:tcPr>
            <w:tcW w:w="0" w:type="auto"/>
            <w:shd w:val="clear" w:color="auto" w:fill="auto"/>
          </w:tcPr>
          <w:p w14:paraId="36CA2CB2" w14:textId="77777777" w:rsidR="00787570" w:rsidRDefault="00787570">
            <w:pPr>
              <w:rPr>
                <w:rFonts w:ascii="宋体"/>
              </w:rPr>
            </w:pPr>
          </w:p>
        </w:tc>
        <w:tc>
          <w:tcPr>
            <w:tcW w:w="0" w:type="auto"/>
            <w:shd w:val="clear" w:color="auto" w:fill="auto"/>
          </w:tcPr>
          <w:p w14:paraId="36CA2CB3" w14:textId="77777777" w:rsidR="00787570" w:rsidRDefault="00787570">
            <w:pPr>
              <w:rPr>
                <w:rFonts w:ascii="宋体"/>
              </w:rPr>
            </w:pPr>
          </w:p>
        </w:tc>
        <w:tc>
          <w:tcPr>
            <w:tcW w:w="0" w:type="auto"/>
            <w:shd w:val="clear" w:color="auto" w:fill="auto"/>
          </w:tcPr>
          <w:p w14:paraId="36CA2CB4" w14:textId="77777777" w:rsidR="00787570" w:rsidRDefault="00787570">
            <w:pPr>
              <w:rPr>
                <w:rFonts w:ascii="宋体"/>
              </w:rPr>
            </w:pPr>
          </w:p>
        </w:tc>
        <w:tc>
          <w:tcPr>
            <w:tcW w:w="0" w:type="auto"/>
            <w:shd w:val="clear" w:color="auto" w:fill="auto"/>
          </w:tcPr>
          <w:p w14:paraId="36CA2CB5" w14:textId="77777777" w:rsidR="00787570" w:rsidRDefault="00787570">
            <w:pPr>
              <w:rPr>
                <w:rFonts w:ascii="宋体"/>
              </w:rPr>
            </w:pPr>
          </w:p>
        </w:tc>
        <w:tc>
          <w:tcPr>
            <w:tcW w:w="0" w:type="auto"/>
            <w:shd w:val="clear" w:color="auto" w:fill="auto"/>
          </w:tcPr>
          <w:p w14:paraId="36CA2CB6" w14:textId="77777777" w:rsidR="00787570" w:rsidRDefault="00787570">
            <w:pPr>
              <w:rPr>
                <w:rFonts w:ascii="宋体"/>
              </w:rPr>
            </w:pPr>
          </w:p>
        </w:tc>
        <w:tc>
          <w:tcPr>
            <w:tcW w:w="0" w:type="auto"/>
            <w:shd w:val="clear" w:color="auto" w:fill="auto"/>
          </w:tcPr>
          <w:p w14:paraId="36CA2CB7" w14:textId="77777777" w:rsidR="00787570" w:rsidRDefault="00787570">
            <w:pPr>
              <w:rPr>
                <w:rFonts w:ascii="宋体"/>
              </w:rPr>
            </w:pPr>
          </w:p>
        </w:tc>
        <w:tc>
          <w:tcPr>
            <w:tcW w:w="0" w:type="auto"/>
            <w:shd w:val="clear" w:color="auto" w:fill="auto"/>
          </w:tcPr>
          <w:p w14:paraId="36CA2CB8" w14:textId="77777777" w:rsidR="00787570" w:rsidRDefault="00787570">
            <w:pPr>
              <w:rPr>
                <w:rFonts w:ascii="宋体"/>
              </w:rPr>
            </w:pPr>
          </w:p>
        </w:tc>
        <w:tc>
          <w:tcPr>
            <w:tcW w:w="0" w:type="auto"/>
            <w:shd w:val="clear" w:color="auto" w:fill="auto"/>
          </w:tcPr>
          <w:p w14:paraId="36CA2CB9" w14:textId="77777777" w:rsidR="00787570" w:rsidRDefault="00787570">
            <w:pPr>
              <w:rPr>
                <w:rFonts w:ascii="宋体"/>
              </w:rPr>
            </w:pPr>
          </w:p>
        </w:tc>
        <w:tc>
          <w:tcPr>
            <w:tcW w:w="0" w:type="auto"/>
            <w:shd w:val="clear" w:color="auto" w:fill="auto"/>
          </w:tcPr>
          <w:p w14:paraId="36CA2CBA" w14:textId="77777777" w:rsidR="00787570" w:rsidRDefault="00787570">
            <w:pPr>
              <w:rPr>
                <w:rFonts w:ascii="宋体"/>
              </w:rPr>
            </w:pPr>
          </w:p>
        </w:tc>
        <w:tc>
          <w:tcPr>
            <w:tcW w:w="0" w:type="auto"/>
            <w:shd w:val="clear" w:color="auto" w:fill="auto"/>
          </w:tcPr>
          <w:p w14:paraId="36CA2CBB" w14:textId="77777777" w:rsidR="00787570" w:rsidRDefault="00787570">
            <w:pPr>
              <w:rPr>
                <w:rFonts w:ascii="宋体"/>
              </w:rPr>
            </w:pPr>
          </w:p>
        </w:tc>
        <w:tc>
          <w:tcPr>
            <w:tcW w:w="0" w:type="auto"/>
            <w:shd w:val="clear" w:color="auto" w:fill="auto"/>
          </w:tcPr>
          <w:p w14:paraId="36CA2CBC" w14:textId="77777777" w:rsidR="00787570" w:rsidRDefault="00787570">
            <w:pPr>
              <w:rPr>
                <w:rFonts w:ascii="宋体"/>
              </w:rPr>
            </w:pPr>
          </w:p>
        </w:tc>
      </w:tr>
      <w:tr w:rsidR="00787570" w14:paraId="36CA2CD7" w14:textId="77777777">
        <w:tc>
          <w:tcPr>
            <w:tcW w:w="0" w:type="auto"/>
            <w:gridSpan w:val="3"/>
            <w:shd w:val="clear" w:color="auto" w:fill="auto"/>
            <w:tcMar>
              <w:top w:w="40" w:type="dxa"/>
              <w:left w:w="20" w:type="dxa"/>
              <w:bottom w:w="40" w:type="dxa"/>
              <w:right w:w="20" w:type="dxa"/>
            </w:tcMar>
          </w:tcPr>
          <w:p w14:paraId="36CA2CBE" w14:textId="77777777" w:rsidR="00787570" w:rsidRDefault="000D56E2">
            <w:pPr>
              <w:textAlignment w:val="top"/>
            </w:pPr>
            <w:r>
              <w:rPr>
                <w:rFonts w:ascii="Arial" w:eastAsia="宋体" w:hAnsi="Arial" w:cs="Arial"/>
                <w:b/>
                <w:bCs/>
                <w:color w:val="333333"/>
                <w:sz w:val="18"/>
                <w:szCs w:val="18"/>
              </w:rPr>
              <w:t>Weighted average shares of common stock outstanding—diluted</w:t>
            </w:r>
          </w:p>
        </w:tc>
        <w:tc>
          <w:tcPr>
            <w:tcW w:w="0" w:type="auto"/>
            <w:gridSpan w:val="3"/>
            <w:shd w:val="clear" w:color="auto" w:fill="auto"/>
            <w:tcMar>
              <w:left w:w="20" w:type="dxa"/>
              <w:right w:w="20" w:type="dxa"/>
            </w:tcMar>
            <w:vAlign w:val="bottom"/>
          </w:tcPr>
          <w:p w14:paraId="36CA2CBF" w14:textId="77777777" w:rsidR="00787570" w:rsidRDefault="00787570">
            <w:pPr>
              <w:rPr>
                <w:rFonts w:ascii="宋体"/>
              </w:rPr>
            </w:pPr>
          </w:p>
        </w:tc>
        <w:tc>
          <w:tcPr>
            <w:tcW w:w="0" w:type="auto"/>
            <w:gridSpan w:val="2"/>
            <w:tcBorders>
              <w:top w:val="single" w:sz="8" w:space="0" w:color="333333"/>
            </w:tcBorders>
            <w:shd w:val="clear" w:color="auto" w:fill="auto"/>
            <w:tcMar>
              <w:top w:w="40" w:type="dxa"/>
              <w:left w:w="20" w:type="dxa"/>
              <w:bottom w:w="40" w:type="dxa"/>
              <w:right w:w="0" w:type="dxa"/>
            </w:tcMar>
            <w:vAlign w:val="bottom"/>
          </w:tcPr>
          <w:p w14:paraId="36CA2CC0" w14:textId="77777777" w:rsidR="00787570" w:rsidRDefault="000D56E2">
            <w:pPr>
              <w:jc w:val="right"/>
              <w:textAlignment w:val="bottom"/>
            </w:pPr>
            <w:r>
              <w:rPr>
                <w:rFonts w:ascii="Arial" w:eastAsia="宋体" w:hAnsi="Arial" w:cs="Arial"/>
                <w:b/>
                <w:bCs/>
                <w:color w:val="026DCE"/>
                <w:sz w:val="18"/>
                <w:szCs w:val="18"/>
              </w:rPr>
              <w:t>4,211</w:t>
            </w:r>
            <w:r>
              <w:rPr>
                <w:rFonts w:ascii="Arial" w:eastAsia="宋体" w:hAnsi="Arial" w:cs="Arial"/>
                <w:color w:val="026DCE"/>
                <w:sz w:val="18"/>
                <w:szCs w:val="18"/>
              </w:rPr>
              <w:t> </w:t>
            </w:r>
          </w:p>
        </w:tc>
        <w:tc>
          <w:tcPr>
            <w:tcW w:w="0" w:type="auto"/>
            <w:tcBorders>
              <w:top w:val="single" w:sz="8" w:space="0" w:color="333333"/>
            </w:tcBorders>
            <w:shd w:val="clear" w:color="auto" w:fill="auto"/>
            <w:tcMar>
              <w:top w:w="40" w:type="dxa"/>
              <w:bottom w:w="40" w:type="dxa"/>
              <w:right w:w="20" w:type="dxa"/>
            </w:tcMar>
            <w:vAlign w:val="bottom"/>
          </w:tcPr>
          <w:p w14:paraId="36CA2CC1"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2CC2" w14:textId="77777777" w:rsidR="00787570" w:rsidRDefault="00787570">
            <w:pPr>
              <w:rPr>
                <w:rFonts w:ascii="宋体"/>
              </w:rPr>
            </w:pPr>
          </w:p>
        </w:tc>
        <w:tc>
          <w:tcPr>
            <w:tcW w:w="0" w:type="auto"/>
            <w:gridSpan w:val="2"/>
            <w:tcBorders>
              <w:top w:val="single" w:sz="8" w:space="0" w:color="333333"/>
            </w:tcBorders>
            <w:shd w:val="clear" w:color="auto" w:fill="auto"/>
            <w:tcMar>
              <w:top w:w="40" w:type="dxa"/>
              <w:left w:w="20" w:type="dxa"/>
              <w:bottom w:w="40" w:type="dxa"/>
              <w:right w:w="0" w:type="dxa"/>
            </w:tcMar>
            <w:vAlign w:val="bottom"/>
          </w:tcPr>
          <w:p w14:paraId="36CA2CC3" w14:textId="77777777" w:rsidR="00787570" w:rsidRDefault="000D56E2">
            <w:pPr>
              <w:jc w:val="right"/>
              <w:textAlignment w:val="bottom"/>
            </w:pPr>
            <w:r>
              <w:rPr>
                <w:rFonts w:ascii="Arial" w:eastAsia="宋体" w:hAnsi="Arial" w:cs="Arial"/>
                <w:b/>
                <w:bCs/>
                <w:color w:val="333333"/>
                <w:sz w:val="18"/>
                <w:szCs w:val="18"/>
              </w:rPr>
              <w:t>4,433</w:t>
            </w:r>
            <w:r>
              <w:rPr>
                <w:rFonts w:ascii="Arial" w:eastAsia="宋体" w:hAnsi="Arial" w:cs="Arial"/>
                <w:color w:val="333333"/>
                <w:sz w:val="18"/>
                <w:szCs w:val="18"/>
              </w:rPr>
              <w:t> </w:t>
            </w:r>
          </w:p>
        </w:tc>
        <w:tc>
          <w:tcPr>
            <w:tcW w:w="0" w:type="auto"/>
            <w:tcBorders>
              <w:top w:val="single" w:sz="8" w:space="0" w:color="333333"/>
            </w:tcBorders>
            <w:shd w:val="clear" w:color="auto" w:fill="auto"/>
            <w:tcMar>
              <w:top w:w="40" w:type="dxa"/>
              <w:bottom w:w="40" w:type="dxa"/>
              <w:right w:w="20" w:type="dxa"/>
            </w:tcMar>
            <w:vAlign w:val="bottom"/>
          </w:tcPr>
          <w:p w14:paraId="36CA2CC4"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2CC5" w14:textId="77777777" w:rsidR="00787570" w:rsidRDefault="00787570">
            <w:pPr>
              <w:rPr>
                <w:rFonts w:ascii="宋体"/>
              </w:rPr>
            </w:pPr>
          </w:p>
        </w:tc>
        <w:tc>
          <w:tcPr>
            <w:tcW w:w="0" w:type="auto"/>
            <w:gridSpan w:val="2"/>
            <w:tcBorders>
              <w:top w:val="single" w:sz="8" w:space="0" w:color="333333"/>
            </w:tcBorders>
            <w:shd w:val="clear" w:color="auto" w:fill="auto"/>
            <w:tcMar>
              <w:top w:w="40" w:type="dxa"/>
              <w:left w:w="20" w:type="dxa"/>
              <w:bottom w:w="40" w:type="dxa"/>
              <w:right w:w="0" w:type="dxa"/>
            </w:tcMar>
            <w:vAlign w:val="bottom"/>
          </w:tcPr>
          <w:p w14:paraId="36CA2CC6" w14:textId="77777777" w:rsidR="00787570" w:rsidRDefault="000D56E2">
            <w:pPr>
              <w:jc w:val="right"/>
              <w:textAlignment w:val="bottom"/>
            </w:pPr>
            <w:r>
              <w:rPr>
                <w:rFonts w:ascii="Arial" w:eastAsia="宋体" w:hAnsi="Arial" w:cs="Arial"/>
                <w:b/>
                <w:bCs/>
                <w:color w:val="0071C5"/>
                <w:sz w:val="18"/>
                <w:szCs w:val="18"/>
              </w:rPr>
              <w:t>4,269</w:t>
            </w:r>
            <w:r>
              <w:rPr>
                <w:rFonts w:ascii="Arial" w:eastAsia="宋体" w:hAnsi="Arial" w:cs="Arial"/>
                <w:color w:val="0071C5"/>
                <w:sz w:val="18"/>
                <w:szCs w:val="18"/>
              </w:rPr>
              <w:t> </w:t>
            </w:r>
          </w:p>
        </w:tc>
        <w:tc>
          <w:tcPr>
            <w:tcW w:w="0" w:type="auto"/>
            <w:tcBorders>
              <w:top w:val="single" w:sz="8" w:space="0" w:color="333333"/>
            </w:tcBorders>
            <w:shd w:val="clear" w:color="auto" w:fill="auto"/>
            <w:tcMar>
              <w:top w:w="40" w:type="dxa"/>
              <w:bottom w:w="40" w:type="dxa"/>
              <w:right w:w="20" w:type="dxa"/>
            </w:tcMar>
            <w:vAlign w:val="bottom"/>
          </w:tcPr>
          <w:p w14:paraId="36CA2CC7"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2CC8" w14:textId="77777777" w:rsidR="00787570" w:rsidRDefault="00787570">
            <w:pPr>
              <w:rPr>
                <w:rFonts w:ascii="宋体"/>
              </w:rPr>
            </w:pPr>
          </w:p>
        </w:tc>
        <w:tc>
          <w:tcPr>
            <w:tcW w:w="0" w:type="auto"/>
            <w:gridSpan w:val="2"/>
            <w:tcBorders>
              <w:top w:val="single" w:sz="8" w:space="0" w:color="333333"/>
            </w:tcBorders>
            <w:shd w:val="clear" w:color="auto" w:fill="auto"/>
            <w:tcMar>
              <w:top w:w="40" w:type="dxa"/>
              <w:left w:w="20" w:type="dxa"/>
              <w:bottom w:w="40" w:type="dxa"/>
              <w:right w:w="0" w:type="dxa"/>
            </w:tcMar>
            <w:vAlign w:val="bottom"/>
          </w:tcPr>
          <w:p w14:paraId="36CA2CC9" w14:textId="77777777" w:rsidR="00787570" w:rsidRDefault="000D56E2">
            <w:pPr>
              <w:jc w:val="right"/>
              <w:textAlignment w:val="bottom"/>
            </w:pPr>
            <w:r>
              <w:rPr>
                <w:rFonts w:ascii="Arial" w:eastAsia="宋体" w:hAnsi="Arial" w:cs="Arial"/>
                <w:b/>
                <w:bCs/>
                <w:color w:val="333333"/>
                <w:sz w:val="18"/>
                <w:szCs w:val="18"/>
              </w:rPr>
              <w:t>4,507</w:t>
            </w:r>
            <w:r>
              <w:rPr>
                <w:rFonts w:ascii="Arial" w:eastAsia="宋体" w:hAnsi="Arial" w:cs="Arial"/>
                <w:color w:val="333333"/>
                <w:sz w:val="18"/>
                <w:szCs w:val="18"/>
              </w:rPr>
              <w:t> </w:t>
            </w:r>
          </w:p>
        </w:tc>
        <w:tc>
          <w:tcPr>
            <w:tcW w:w="0" w:type="auto"/>
            <w:tcBorders>
              <w:top w:val="single" w:sz="8" w:space="0" w:color="333333"/>
            </w:tcBorders>
            <w:shd w:val="clear" w:color="auto" w:fill="auto"/>
            <w:tcMar>
              <w:top w:w="40" w:type="dxa"/>
              <w:bottom w:w="40" w:type="dxa"/>
              <w:right w:w="20" w:type="dxa"/>
            </w:tcMar>
            <w:vAlign w:val="bottom"/>
          </w:tcPr>
          <w:p w14:paraId="36CA2CCA" w14:textId="77777777" w:rsidR="00787570" w:rsidRDefault="00787570">
            <w:pPr>
              <w:jc w:val="right"/>
              <w:rPr>
                <w:rFonts w:ascii="宋体"/>
              </w:rPr>
            </w:pPr>
          </w:p>
        </w:tc>
        <w:tc>
          <w:tcPr>
            <w:tcW w:w="0" w:type="auto"/>
            <w:shd w:val="clear" w:color="auto" w:fill="auto"/>
          </w:tcPr>
          <w:p w14:paraId="36CA2CCB" w14:textId="77777777" w:rsidR="00787570" w:rsidRDefault="00787570">
            <w:pPr>
              <w:rPr>
                <w:rFonts w:ascii="宋体"/>
              </w:rPr>
            </w:pPr>
          </w:p>
        </w:tc>
        <w:tc>
          <w:tcPr>
            <w:tcW w:w="0" w:type="auto"/>
            <w:shd w:val="clear" w:color="auto" w:fill="auto"/>
          </w:tcPr>
          <w:p w14:paraId="36CA2CCC" w14:textId="77777777" w:rsidR="00787570" w:rsidRDefault="00787570">
            <w:pPr>
              <w:rPr>
                <w:rFonts w:ascii="宋体"/>
              </w:rPr>
            </w:pPr>
          </w:p>
        </w:tc>
        <w:tc>
          <w:tcPr>
            <w:tcW w:w="0" w:type="auto"/>
            <w:shd w:val="clear" w:color="auto" w:fill="auto"/>
          </w:tcPr>
          <w:p w14:paraId="36CA2CCD" w14:textId="77777777" w:rsidR="00787570" w:rsidRDefault="00787570">
            <w:pPr>
              <w:rPr>
                <w:rFonts w:ascii="宋体"/>
              </w:rPr>
            </w:pPr>
          </w:p>
        </w:tc>
        <w:tc>
          <w:tcPr>
            <w:tcW w:w="0" w:type="auto"/>
            <w:shd w:val="clear" w:color="auto" w:fill="auto"/>
          </w:tcPr>
          <w:p w14:paraId="36CA2CCE" w14:textId="77777777" w:rsidR="00787570" w:rsidRDefault="00787570">
            <w:pPr>
              <w:rPr>
                <w:rFonts w:ascii="宋体"/>
              </w:rPr>
            </w:pPr>
          </w:p>
        </w:tc>
        <w:tc>
          <w:tcPr>
            <w:tcW w:w="0" w:type="auto"/>
            <w:shd w:val="clear" w:color="auto" w:fill="auto"/>
          </w:tcPr>
          <w:p w14:paraId="36CA2CCF" w14:textId="77777777" w:rsidR="00787570" w:rsidRDefault="00787570">
            <w:pPr>
              <w:rPr>
                <w:rFonts w:ascii="宋体"/>
              </w:rPr>
            </w:pPr>
          </w:p>
        </w:tc>
        <w:tc>
          <w:tcPr>
            <w:tcW w:w="0" w:type="auto"/>
            <w:shd w:val="clear" w:color="auto" w:fill="auto"/>
          </w:tcPr>
          <w:p w14:paraId="36CA2CD0" w14:textId="77777777" w:rsidR="00787570" w:rsidRDefault="00787570">
            <w:pPr>
              <w:rPr>
                <w:rFonts w:ascii="宋体"/>
              </w:rPr>
            </w:pPr>
          </w:p>
        </w:tc>
        <w:tc>
          <w:tcPr>
            <w:tcW w:w="0" w:type="auto"/>
            <w:shd w:val="clear" w:color="auto" w:fill="auto"/>
          </w:tcPr>
          <w:p w14:paraId="36CA2CD1" w14:textId="77777777" w:rsidR="00787570" w:rsidRDefault="00787570">
            <w:pPr>
              <w:rPr>
                <w:rFonts w:ascii="宋体"/>
              </w:rPr>
            </w:pPr>
          </w:p>
        </w:tc>
        <w:tc>
          <w:tcPr>
            <w:tcW w:w="0" w:type="auto"/>
            <w:shd w:val="clear" w:color="auto" w:fill="auto"/>
          </w:tcPr>
          <w:p w14:paraId="36CA2CD2" w14:textId="77777777" w:rsidR="00787570" w:rsidRDefault="00787570">
            <w:pPr>
              <w:rPr>
                <w:rFonts w:ascii="宋体"/>
              </w:rPr>
            </w:pPr>
          </w:p>
        </w:tc>
        <w:tc>
          <w:tcPr>
            <w:tcW w:w="0" w:type="auto"/>
            <w:shd w:val="clear" w:color="auto" w:fill="auto"/>
          </w:tcPr>
          <w:p w14:paraId="36CA2CD3" w14:textId="77777777" w:rsidR="00787570" w:rsidRDefault="00787570">
            <w:pPr>
              <w:rPr>
                <w:rFonts w:ascii="宋体"/>
              </w:rPr>
            </w:pPr>
          </w:p>
        </w:tc>
        <w:tc>
          <w:tcPr>
            <w:tcW w:w="0" w:type="auto"/>
            <w:shd w:val="clear" w:color="auto" w:fill="auto"/>
          </w:tcPr>
          <w:p w14:paraId="36CA2CD4" w14:textId="77777777" w:rsidR="00787570" w:rsidRDefault="00787570">
            <w:pPr>
              <w:rPr>
                <w:rFonts w:ascii="宋体"/>
              </w:rPr>
            </w:pPr>
          </w:p>
        </w:tc>
        <w:tc>
          <w:tcPr>
            <w:tcW w:w="0" w:type="auto"/>
            <w:shd w:val="clear" w:color="auto" w:fill="auto"/>
          </w:tcPr>
          <w:p w14:paraId="36CA2CD5" w14:textId="77777777" w:rsidR="00787570" w:rsidRDefault="00787570">
            <w:pPr>
              <w:rPr>
                <w:rFonts w:ascii="宋体"/>
              </w:rPr>
            </w:pPr>
          </w:p>
        </w:tc>
        <w:tc>
          <w:tcPr>
            <w:tcW w:w="0" w:type="auto"/>
            <w:shd w:val="clear" w:color="auto" w:fill="auto"/>
          </w:tcPr>
          <w:p w14:paraId="36CA2CD6" w14:textId="77777777" w:rsidR="00787570" w:rsidRDefault="00787570">
            <w:pPr>
              <w:rPr>
                <w:rFonts w:ascii="宋体"/>
              </w:rPr>
            </w:pPr>
          </w:p>
        </w:tc>
      </w:tr>
      <w:tr w:rsidR="00787570" w14:paraId="36CA2CF5" w14:textId="77777777">
        <w:tc>
          <w:tcPr>
            <w:tcW w:w="0" w:type="auto"/>
            <w:gridSpan w:val="3"/>
            <w:shd w:val="clear" w:color="auto" w:fill="auto"/>
            <w:tcMar>
              <w:top w:w="40" w:type="dxa"/>
              <w:left w:w="20" w:type="dxa"/>
              <w:bottom w:w="40" w:type="dxa"/>
              <w:right w:w="20" w:type="dxa"/>
            </w:tcMar>
          </w:tcPr>
          <w:p w14:paraId="36CA2CD8" w14:textId="77777777" w:rsidR="00787570" w:rsidRDefault="000D56E2">
            <w:pPr>
              <w:textAlignment w:val="top"/>
            </w:pPr>
            <w:r>
              <w:rPr>
                <w:rFonts w:ascii="Arial" w:eastAsia="宋体" w:hAnsi="Arial" w:cs="Arial"/>
                <w:b/>
                <w:bCs/>
                <w:color w:val="333333"/>
                <w:sz w:val="18"/>
                <w:szCs w:val="18"/>
              </w:rPr>
              <w:t>Earnings per share—basic</w:t>
            </w:r>
          </w:p>
        </w:tc>
        <w:tc>
          <w:tcPr>
            <w:tcW w:w="0" w:type="auto"/>
            <w:gridSpan w:val="3"/>
            <w:shd w:val="clear" w:color="auto" w:fill="auto"/>
            <w:tcMar>
              <w:left w:w="20" w:type="dxa"/>
              <w:right w:w="20" w:type="dxa"/>
            </w:tcMar>
            <w:vAlign w:val="bottom"/>
          </w:tcPr>
          <w:p w14:paraId="36CA2CD9" w14:textId="77777777" w:rsidR="00787570" w:rsidRDefault="00787570">
            <w:pPr>
              <w:rPr>
                <w:rFonts w:ascii="宋体"/>
              </w:rPr>
            </w:pPr>
          </w:p>
        </w:tc>
        <w:tc>
          <w:tcPr>
            <w:tcW w:w="0" w:type="auto"/>
            <w:tcBorders>
              <w:top w:val="double" w:sz="6" w:space="0" w:color="333333"/>
            </w:tcBorders>
            <w:shd w:val="clear" w:color="auto" w:fill="auto"/>
            <w:tcMar>
              <w:top w:w="40" w:type="dxa"/>
              <w:left w:w="20" w:type="dxa"/>
              <w:bottom w:w="40" w:type="dxa"/>
            </w:tcMar>
            <w:vAlign w:val="bottom"/>
          </w:tcPr>
          <w:p w14:paraId="36CA2CDA" w14:textId="77777777" w:rsidR="00787570" w:rsidRDefault="000D56E2">
            <w:pPr>
              <w:textAlignment w:val="bottom"/>
            </w:pPr>
            <w:r>
              <w:rPr>
                <w:rFonts w:ascii="Arial" w:eastAsia="宋体" w:hAnsi="Arial" w:cs="Arial"/>
                <w:b/>
                <w:bCs/>
                <w:color w:val="026DCE"/>
                <w:sz w:val="18"/>
                <w:szCs w:val="18"/>
              </w:rPr>
              <w:t>$</w:t>
            </w:r>
          </w:p>
        </w:tc>
        <w:tc>
          <w:tcPr>
            <w:tcW w:w="0" w:type="auto"/>
            <w:tcBorders>
              <w:top w:val="double" w:sz="6" w:space="0" w:color="333333"/>
            </w:tcBorders>
            <w:shd w:val="clear" w:color="auto" w:fill="auto"/>
            <w:tcMar>
              <w:top w:w="40" w:type="dxa"/>
              <w:bottom w:w="40" w:type="dxa"/>
              <w:right w:w="0" w:type="dxa"/>
            </w:tcMar>
            <w:vAlign w:val="bottom"/>
          </w:tcPr>
          <w:p w14:paraId="36CA2CDB" w14:textId="77777777" w:rsidR="00787570" w:rsidRDefault="000D56E2">
            <w:pPr>
              <w:jc w:val="right"/>
              <w:textAlignment w:val="bottom"/>
            </w:pPr>
            <w:r>
              <w:rPr>
                <w:rFonts w:ascii="Arial" w:eastAsia="宋体" w:hAnsi="Arial" w:cs="Arial"/>
                <w:b/>
                <w:bCs/>
                <w:color w:val="026DCE"/>
                <w:sz w:val="18"/>
                <w:szCs w:val="18"/>
              </w:rPr>
              <w:t>1.02</w:t>
            </w:r>
            <w:r>
              <w:rPr>
                <w:rFonts w:ascii="Arial" w:eastAsia="宋体" w:hAnsi="Arial" w:cs="Arial"/>
                <w:color w:val="026DCE"/>
                <w:sz w:val="18"/>
                <w:szCs w:val="18"/>
              </w:rPr>
              <w:t> </w:t>
            </w:r>
          </w:p>
        </w:tc>
        <w:tc>
          <w:tcPr>
            <w:tcW w:w="0" w:type="auto"/>
            <w:tcBorders>
              <w:top w:val="double" w:sz="6" w:space="0" w:color="333333"/>
            </w:tcBorders>
            <w:shd w:val="clear" w:color="auto" w:fill="auto"/>
            <w:tcMar>
              <w:top w:w="40" w:type="dxa"/>
              <w:bottom w:w="40" w:type="dxa"/>
              <w:right w:w="20" w:type="dxa"/>
            </w:tcMar>
            <w:vAlign w:val="bottom"/>
          </w:tcPr>
          <w:p w14:paraId="36CA2CDC"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2CDD" w14:textId="77777777" w:rsidR="00787570" w:rsidRDefault="00787570">
            <w:pPr>
              <w:rPr>
                <w:rFonts w:ascii="宋体"/>
              </w:rPr>
            </w:pPr>
          </w:p>
        </w:tc>
        <w:tc>
          <w:tcPr>
            <w:tcW w:w="0" w:type="auto"/>
            <w:tcBorders>
              <w:top w:val="double" w:sz="6" w:space="0" w:color="333333"/>
            </w:tcBorders>
            <w:shd w:val="clear" w:color="auto" w:fill="auto"/>
            <w:tcMar>
              <w:top w:w="40" w:type="dxa"/>
              <w:left w:w="20" w:type="dxa"/>
              <w:bottom w:w="40" w:type="dxa"/>
            </w:tcMar>
            <w:vAlign w:val="bottom"/>
          </w:tcPr>
          <w:p w14:paraId="36CA2CDE" w14:textId="77777777" w:rsidR="00787570" w:rsidRDefault="000D56E2">
            <w:pPr>
              <w:textAlignment w:val="bottom"/>
            </w:pPr>
            <w:r>
              <w:rPr>
                <w:rFonts w:ascii="Arial" w:eastAsia="宋体" w:hAnsi="Arial" w:cs="Arial"/>
                <w:b/>
                <w:bCs/>
                <w:color w:val="333333"/>
                <w:sz w:val="18"/>
                <w:szCs w:val="18"/>
              </w:rPr>
              <w:t>$</w:t>
            </w:r>
          </w:p>
        </w:tc>
        <w:tc>
          <w:tcPr>
            <w:tcW w:w="0" w:type="auto"/>
            <w:tcBorders>
              <w:top w:val="double" w:sz="6" w:space="0" w:color="333333"/>
            </w:tcBorders>
            <w:shd w:val="clear" w:color="auto" w:fill="auto"/>
            <w:tcMar>
              <w:top w:w="40" w:type="dxa"/>
              <w:bottom w:w="40" w:type="dxa"/>
              <w:right w:w="0" w:type="dxa"/>
            </w:tcMar>
            <w:vAlign w:val="bottom"/>
          </w:tcPr>
          <w:p w14:paraId="36CA2CDF" w14:textId="77777777" w:rsidR="00787570" w:rsidRDefault="000D56E2">
            <w:pPr>
              <w:jc w:val="right"/>
              <w:textAlignment w:val="bottom"/>
            </w:pPr>
            <w:r>
              <w:rPr>
                <w:rFonts w:ascii="Arial" w:eastAsia="宋体" w:hAnsi="Arial" w:cs="Arial"/>
                <w:b/>
                <w:bCs/>
                <w:color w:val="333333"/>
                <w:sz w:val="18"/>
                <w:szCs w:val="18"/>
              </w:rPr>
              <w:t>1.36</w:t>
            </w:r>
            <w:r>
              <w:rPr>
                <w:rFonts w:ascii="Arial" w:eastAsia="宋体" w:hAnsi="Arial" w:cs="Arial"/>
                <w:color w:val="333333"/>
                <w:sz w:val="18"/>
                <w:szCs w:val="18"/>
              </w:rPr>
              <w:t> </w:t>
            </w:r>
          </w:p>
        </w:tc>
        <w:tc>
          <w:tcPr>
            <w:tcW w:w="0" w:type="auto"/>
            <w:tcBorders>
              <w:top w:val="double" w:sz="6" w:space="0" w:color="333333"/>
            </w:tcBorders>
            <w:shd w:val="clear" w:color="auto" w:fill="auto"/>
            <w:tcMar>
              <w:top w:w="40" w:type="dxa"/>
              <w:bottom w:w="40" w:type="dxa"/>
              <w:right w:w="20" w:type="dxa"/>
            </w:tcMar>
            <w:vAlign w:val="bottom"/>
          </w:tcPr>
          <w:p w14:paraId="36CA2CE0"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2CE1" w14:textId="77777777" w:rsidR="00787570" w:rsidRDefault="00787570">
            <w:pPr>
              <w:rPr>
                <w:rFonts w:ascii="宋体"/>
              </w:rPr>
            </w:pPr>
          </w:p>
        </w:tc>
        <w:tc>
          <w:tcPr>
            <w:tcW w:w="0" w:type="auto"/>
            <w:tcBorders>
              <w:top w:val="double" w:sz="6" w:space="0" w:color="333333"/>
            </w:tcBorders>
            <w:shd w:val="clear" w:color="auto" w:fill="auto"/>
            <w:tcMar>
              <w:top w:w="40" w:type="dxa"/>
              <w:left w:w="20" w:type="dxa"/>
              <w:bottom w:w="40" w:type="dxa"/>
            </w:tcMar>
            <w:vAlign w:val="bottom"/>
          </w:tcPr>
          <w:p w14:paraId="36CA2CE2" w14:textId="77777777" w:rsidR="00787570" w:rsidRDefault="000D56E2">
            <w:pPr>
              <w:textAlignment w:val="bottom"/>
            </w:pPr>
            <w:r>
              <w:rPr>
                <w:rFonts w:ascii="Arial" w:eastAsia="宋体" w:hAnsi="Arial" w:cs="Arial"/>
                <w:b/>
                <w:bCs/>
                <w:color w:val="0071C5"/>
                <w:sz w:val="18"/>
                <w:szCs w:val="18"/>
              </w:rPr>
              <w:t>$</w:t>
            </w:r>
          </w:p>
        </w:tc>
        <w:tc>
          <w:tcPr>
            <w:tcW w:w="0" w:type="auto"/>
            <w:tcBorders>
              <w:top w:val="double" w:sz="6" w:space="0" w:color="333333"/>
            </w:tcBorders>
            <w:shd w:val="clear" w:color="auto" w:fill="auto"/>
            <w:tcMar>
              <w:top w:w="40" w:type="dxa"/>
              <w:bottom w:w="40" w:type="dxa"/>
              <w:right w:w="0" w:type="dxa"/>
            </w:tcMar>
            <w:vAlign w:val="bottom"/>
          </w:tcPr>
          <w:p w14:paraId="36CA2CE3" w14:textId="77777777" w:rsidR="00787570" w:rsidRDefault="000D56E2">
            <w:pPr>
              <w:jc w:val="right"/>
              <w:textAlignment w:val="bottom"/>
            </w:pPr>
            <w:r>
              <w:rPr>
                <w:rFonts w:ascii="Arial" w:eastAsia="宋体" w:hAnsi="Arial" w:cs="Arial"/>
                <w:b/>
                <w:bCs/>
                <w:color w:val="0071C5"/>
                <w:sz w:val="18"/>
                <w:szCs w:val="18"/>
              </w:rPr>
              <w:t>3.55</w:t>
            </w:r>
            <w:r>
              <w:rPr>
                <w:rFonts w:ascii="Arial" w:eastAsia="宋体" w:hAnsi="Arial" w:cs="Arial"/>
                <w:color w:val="0071C5"/>
                <w:sz w:val="18"/>
                <w:szCs w:val="18"/>
              </w:rPr>
              <w:t> </w:t>
            </w:r>
          </w:p>
        </w:tc>
        <w:tc>
          <w:tcPr>
            <w:tcW w:w="0" w:type="auto"/>
            <w:tcBorders>
              <w:top w:val="double" w:sz="6" w:space="0" w:color="333333"/>
            </w:tcBorders>
            <w:shd w:val="clear" w:color="auto" w:fill="auto"/>
            <w:tcMar>
              <w:top w:w="40" w:type="dxa"/>
              <w:bottom w:w="40" w:type="dxa"/>
              <w:right w:w="20" w:type="dxa"/>
            </w:tcMar>
            <w:vAlign w:val="bottom"/>
          </w:tcPr>
          <w:p w14:paraId="36CA2CE4"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2CE5" w14:textId="77777777" w:rsidR="00787570" w:rsidRDefault="00787570">
            <w:pPr>
              <w:rPr>
                <w:rFonts w:ascii="宋体"/>
              </w:rPr>
            </w:pPr>
          </w:p>
        </w:tc>
        <w:tc>
          <w:tcPr>
            <w:tcW w:w="0" w:type="auto"/>
            <w:tcBorders>
              <w:top w:val="double" w:sz="6" w:space="0" w:color="333333"/>
            </w:tcBorders>
            <w:shd w:val="clear" w:color="auto" w:fill="auto"/>
            <w:tcMar>
              <w:top w:w="40" w:type="dxa"/>
              <w:left w:w="20" w:type="dxa"/>
              <w:bottom w:w="40" w:type="dxa"/>
            </w:tcMar>
            <w:vAlign w:val="bottom"/>
          </w:tcPr>
          <w:p w14:paraId="36CA2CE6" w14:textId="77777777" w:rsidR="00787570" w:rsidRDefault="000D56E2">
            <w:pPr>
              <w:textAlignment w:val="bottom"/>
            </w:pPr>
            <w:r>
              <w:rPr>
                <w:rFonts w:ascii="Arial" w:eastAsia="宋体" w:hAnsi="Arial" w:cs="Arial"/>
                <w:b/>
                <w:bCs/>
                <w:color w:val="333333"/>
                <w:sz w:val="18"/>
                <w:szCs w:val="18"/>
              </w:rPr>
              <w:t>$</w:t>
            </w:r>
          </w:p>
        </w:tc>
        <w:tc>
          <w:tcPr>
            <w:tcW w:w="0" w:type="auto"/>
            <w:tcBorders>
              <w:top w:val="double" w:sz="6" w:space="0" w:color="333333"/>
            </w:tcBorders>
            <w:shd w:val="clear" w:color="auto" w:fill="auto"/>
            <w:tcMar>
              <w:top w:w="40" w:type="dxa"/>
              <w:bottom w:w="40" w:type="dxa"/>
              <w:right w:w="0" w:type="dxa"/>
            </w:tcMar>
            <w:vAlign w:val="bottom"/>
          </w:tcPr>
          <w:p w14:paraId="36CA2CE7" w14:textId="77777777" w:rsidR="00787570" w:rsidRDefault="000D56E2">
            <w:pPr>
              <w:jc w:val="right"/>
              <w:textAlignment w:val="bottom"/>
            </w:pPr>
            <w:r>
              <w:rPr>
                <w:rFonts w:ascii="Arial" w:eastAsia="宋体" w:hAnsi="Arial" w:cs="Arial"/>
                <w:b/>
                <w:bCs/>
                <w:color w:val="333333"/>
                <w:sz w:val="18"/>
                <w:szCs w:val="18"/>
              </w:rPr>
              <w:t>3.18</w:t>
            </w:r>
            <w:r>
              <w:rPr>
                <w:rFonts w:ascii="Arial" w:eastAsia="宋体" w:hAnsi="Arial" w:cs="Arial"/>
                <w:color w:val="333333"/>
                <w:sz w:val="18"/>
                <w:szCs w:val="18"/>
              </w:rPr>
              <w:t> </w:t>
            </w:r>
          </w:p>
        </w:tc>
        <w:tc>
          <w:tcPr>
            <w:tcW w:w="0" w:type="auto"/>
            <w:tcBorders>
              <w:top w:val="double" w:sz="6" w:space="0" w:color="333333"/>
            </w:tcBorders>
            <w:shd w:val="clear" w:color="auto" w:fill="auto"/>
            <w:tcMar>
              <w:top w:w="40" w:type="dxa"/>
              <w:bottom w:w="40" w:type="dxa"/>
              <w:right w:w="20" w:type="dxa"/>
            </w:tcMar>
            <w:vAlign w:val="bottom"/>
          </w:tcPr>
          <w:p w14:paraId="36CA2CE8" w14:textId="77777777" w:rsidR="00787570" w:rsidRDefault="00787570">
            <w:pPr>
              <w:jc w:val="right"/>
              <w:rPr>
                <w:rFonts w:ascii="宋体"/>
              </w:rPr>
            </w:pPr>
          </w:p>
        </w:tc>
        <w:tc>
          <w:tcPr>
            <w:tcW w:w="0" w:type="auto"/>
            <w:shd w:val="clear" w:color="auto" w:fill="auto"/>
          </w:tcPr>
          <w:p w14:paraId="36CA2CE9" w14:textId="77777777" w:rsidR="00787570" w:rsidRDefault="00787570">
            <w:pPr>
              <w:rPr>
                <w:rFonts w:ascii="宋体"/>
              </w:rPr>
            </w:pPr>
          </w:p>
        </w:tc>
        <w:tc>
          <w:tcPr>
            <w:tcW w:w="0" w:type="auto"/>
            <w:shd w:val="clear" w:color="auto" w:fill="auto"/>
          </w:tcPr>
          <w:p w14:paraId="36CA2CEA" w14:textId="77777777" w:rsidR="00787570" w:rsidRDefault="00787570">
            <w:pPr>
              <w:rPr>
                <w:rFonts w:ascii="宋体"/>
              </w:rPr>
            </w:pPr>
          </w:p>
        </w:tc>
        <w:tc>
          <w:tcPr>
            <w:tcW w:w="0" w:type="auto"/>
            <w:shd w:val="clear" w:color="auto" w:fill="auto"/>
          </w:tcPr>
          <w:p w14:paraId="36CA2CEB" w14:textId="77777777" w:rsidR="00787570" w:rsidRDefault="00787570">
            <w:pPr>
              <w:rPr>
                <w:rFonts w:ascii="宋体"/>
              </w:rPr>
            </w:pPr>
          </w:p>
        </w:tc>
        <w:tc>
          <w:tcPr>
            <w:tcW w:w="0" w:type="auto"/>
            <w:shd w:val="clear" w:color="auto" w:fill="auto"/>
          </w:tcPr>
          <w:p w14:paraId="36CA2CEC" w14:textId="77777777" w:rsidR="00787570" w:rsidRDefault="00787570">
            <w:pPr>
              <w:rPr>
                <w:rFonts w:ascii="宋体"/>
              </w:rPr>
            </w:pPr>
          </w:p>
        </w:tc>
        <w:tc>
          <w:tcPr>
            <w:tcW w:w="0" w:type="auto"/>
            <w:shd w:val="clear" w:color="auto" w:fill="auto"/>
          </w:tcPr>
          <w:p w14:paraId="36CA2CED" w14:textId="77777777" w:rsidR="00787570" w:rsidRDefault="00787570">
            <w:pPr>
              <w:rPr>
                <w:rFonts w:ascii="宋体"/>
              </w:rPr>
            </w:pPr>
          </w:p>
        </w:tc>
        <w:tc>
          <w:tcPr>
            <w:tcW w:w="0" w:type="auto"/>
            <w:shd w:val="clear" w:color="auto" w:fill="auto"/>
          </w:tcPr>
          <w:p w14:paraId="36CA2CEE" w14:textId="77777777" w:rsidR="00787570" w:rsidRDefault="00787570">
            <w:pPr>
              <w:rPr>
                <w:rFonts w:ascii="宋体"/>
              </w:rPr>
            </w:pPr>
          </w:p>
        </w:tc>
        <w:tc>
          <w:tcPr>
            <w:tcW w:w="0" w:type="auto"/>
            <w:shd w:val="clear" w:color="auto" w:fill="auto"/>
          </w:tcPr>
          <w:p w14:paraId="36CA2CEF" w14:textId="77777777" w:rsidR="00787570" w:rsidRDefault="00787570">
            <w:pPr>
              <w:rPr>
                <w:rFonts w:ascii="宋体"/>
              </w:rPr>
            </w:pPr>
          </w:p>
        </w:tc>
        <w:tc>
          <w:tcPr>
            <w:tcW w:w="0" w:type="auto"/>
            <w:shd w:val="clear" w:color="auto" w:fill="auto"/>
          </w:tcPr>
          <w:p w14:paraId="36CA2CF0" w14:textId="77777777" w:rsidR="00787570" w:rsidRDefault="00787570">
            <w:pPr>
              <w:rPr>
                <w:rFonts w:ascii="宋体"/>
              </w:rPr>
            </w:pPr>
          </w:p>
        </w:tc>
        <w:tc>
          <w:tcPr>
            <w:tcW w:w="0" w:type="auto"/>
            <w:shd w:val="clear" w:color="auto" w:fill="auto"/>
          </w:tcPr>
          <w:p w14:paraId="36CA2CF1" w14:textId="77777777" w:rsidR="00787570" w:rsidRDefault="00787570">
            <w:pPr>
              <w:rPr>
                <w:rFonts w:ascii="宋体"/>
              </w:rPr>
            </w:pPr>
          </w:p>
        </w:tc>
        <w:tc>
          <w:tcPr>
            <w:tcW w:w="0" w:type="auto"/>
            <w:shd w:val="clear" w:color="auto" w:fill="auto"/>
          </w:tcPr>
          <w:p w14:paraId="36CA2CF2" w14:textId="77777777" w:rsidR="00787570" w:rsidRDefault="00787570">
            <w:pPr>
              <w:rPr>
                <w:rFonts w:ascii="宋体"/>
              </w:rPr>
            </w:pPr>
          </w:p>
        </w:tc>
        <w:tc>
          <w:tcPr>
            <w:tcW w:w="0" w:type="auto"/>
            <w:shd w:val="clear" w:color="auto" w:fill="auto"/>
          </w:tcPr>
          <w:p w14:paraId="36CA2CF3" w14:textId="77777777" w:rsidR="00787570" w:rsidRDefault="00787570">
            <w:pPr>
              <w:rPr>
                <w:rFonts w:ascii="宋体"/>
              </w:rPr>
            </w:pPr>
          </w:p>
        </w:tc>
        <w:tc>
          <w:tcPr>
            <w:tcW w:w="0" w:type="auto"/>
            <w:shd w:val="clear" w:color="auto" w:fill="auto"/>
          </w:tcPr>
          <w:p w14:paraId="36CA2CF4" w14:textId="77777777" w:rsidR="00787570" w:rsidRDefault="00787570">
            <w:pPr>
              <w:rPr>
                <w:rFonts w:ascii="宋体"/>
              </w:rPr>
            </w:pPr>
          </w:p>
        </w:tc>
      </w:tr>
      <w:tr w:rsidR="00787570" w14:paraId="36CA2D13" w14:textId="77777777">
        <w:tc>
          <w:tcPr>
            <w:tcW w:w="0" w:type="auto"/>
            <w:gridSpan w:val="3"/>
            <w:shd w:val="clear" w:color="auto" w:fill="auto"/>
            <w:tcMar>
              <w:top w:w="40" w:type="dxa"/>
              <w:left w:w="20" w:type="dxa"/>
              <w:bottom w:w="40" w:type="dxa"/>
              <w:right w:w="20" w:type="dxa"/>
            </w:tcMar>
          </w:tcPr>
          <w:p w14:paraId="36CA2CF6" w14:textId="77777777" w:rsidR="00787570" w:rsidRDefault="000D56E2">
            <w:pPr>
              <w:textAlignment w:val="top"/>
            </w:pPr>
            <w:r>
              <w:rPr>
                <w:rFonts w:ascii="Arial" w:eastAsia="宋体" w:hAnsi="Arial" w:cs="Arial"/>
                <w:b/>
                <w:bCs/>
                <w:color w:val="333333"/>
                <w:sz w:val="18"/>
                <w:szCs w:val="18"/>
              </w:rPr>
              <w:t>Earnings per share—diluted</w:t>
            </w:r>
          </w:p>
        </w:tc>
        <w:tc>
          <w:tcPr>
            <w:tcW w:w="0" w:type="auto"/>
            <w:gridSpan w:val="3"/>
            <w:shd w:val="clear" w:color="auto" w:fill="auto"/>
            <w:tcMar>
              <w:left w:w="20" w:type="dxa"/>
              <w:right w:w="20" w:type="dxa"/>
            </w:tcMar>
            <w:vAlign w:val="bottom"/>
          </w:tcPr>
          <w:p w14:paraId="36CA2CF7" w14:textId="77777777" w:rsidR="00787570" w:rsidRDefault="00787570">
            <w:pPr>
              <w:rPr>
                <w:rFonts w:ascii="宋体"/>
              </w:rPr>
            </w:pPr>
          </w:p>
        </w:tc>
        <w:tc>
          <w:tcPr>
            <w:tcW w:w="0" w:type="auto"/>
            <w:tcBorders>
              <w:top w:val="double" w:sz="6" w:space="0" w:color="333333"/>
              <w:bottom w:val="double" w:sz="6" w:space="0" w:color="333333"/>
            </w:tcBorders>
            <w:shd w:val="clear" w:color="auto" w:fill="auto"/>
            <w:tcMar>
              <w:top w:w="40" w:type="dxa"/>
              <w:left w:w="20" w:type="dxa"/>
              <w:bottom w:w="40" w:type="dxa"/>
            </w:tcMar>
            <w:vAlign w:val="bottom"/>
          </w:tcPr>
          <w:p w14:paraId="36CA2CF8" w14:textId="77777777" w:rsidR="00787570" w:rsidRDefault="000D56E2">
            <w:pPr>
              <w:textAlignment w:val="bottom"/>
            </w:pPr>
            <w:r>
              <w:rPr>
                <w:rFonts w:ascii="Arial" w:eastAsia="宋体" w:hAnsi="Arial" w:cs="Arial"/>
                <w:b/>
                <w:bCs/>
                <w:color w:val="026DCE"/>
                <w:sz w:val="18"/>
                <w:szCs w:val="18"/>
              </w:rPr>
              <w:t>$</w:t>
            </w:r>
          </w:p>
        </w:tc>
        <w:tc>
          <w:tcPr>
            <w:tcW w:w="0" w:type="auto"/>
            <w:tcBorders>
              <w:top w:val="double" w:sz="6" w:space="0" w:color="333333"/>
              <w:bottom w:val="double" w:sz="6" w:space="0" w:color="333333"/>
            </w:tcBorders>
            <w:shd w:val="clear" w:color="auto" w:fill="auto"/>
            <w:tcMar>
              <w:top w:w="40" w:type="dxa"/>
              <w:bottom w:w="40" w:type="dxa"/>
              <w:right w:w="0" w:type="dxa"/>
            </w:tcMar>
            <w:vAlign w:val="bottom"/>
          </w:tcPr>
          <w:p w14:paraId="36CA2CF9" w14:textId="77777777" w:rsidR="00787570" w:rsidRDefault="000D56E2">
            <w:pPr>
              <w:jc w:val="right"/>
              <w:textAlignment w:val="bottom"/>
            </w:pPr>
            <w:r>
              <w:rPr>
                <w:rFonts w:ascii="Arial" w:eastAsia="宋体" w:hAnsi="Arial" w:cs="Arial"/>
                <w:b/>
                <w:bCs/>
                <w:color w:val="026DCE"/>
                <w:sz w:val="18"/>
                <w:szCs w:val="18"/>
              </w:rPr>
              <w:t>1.02</w:t>
            </w:r>
            <w:r>
              <w:rPr>
                <w:rFonts w:ascii="Arial" w:eastAsia="宋体" w:hAnsi="Arial" w:cs="Arial"/>
                <w:color w:val="026DCE"/>
                <w:sz w:val="18"/>
                <w:szCs w:val="18"/>
              </w:rPr>
              <w:t> </w:t>
            </w:r>
          </w:p>
        </w:tc>
        <w:tc>
          <w:tcPr>
            <w:tcW w:w="0" w:type="auto"/>
            <w:tcBorders>
              <w:top w:val="double" w:sz="6" w:space="0" w:color="333333"/>
              <w:bottom w:val="double" w:sz="6" w:space="0" w:color="333333"/>
            </w:tcBorders>
            <w:shd w:val="clear" w:color="auto" w:fill="auto"/>
            <w:tcMar>
              <w:top w:w="40" w:type="dxa"/>
              <w:bottom w:w="40" w:type="dxa"/>
              <w:right w:w="20" w:type="dxa"/>
            </w:tcMar>
            <w:vAlign w:val="bottom"/>
          </w:tcPr>
          <w:p w14:paraId="36CA2CFA"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2CFB" w14:textId="77777777" w:rsidR="00787570" w:rsidRDefault="00787570">
            <w:pPr>
              <w:rPr>
                <w:rFonts w:ascii="宋体"/>
              </w:rPr>
            </w:pPr>
          </w:p>
        </w:tc>
        <w:tc>
          <w:tcPr>
            <w:tcW w:w="0" w:type="auto"/>
            <w:tcBorders>
              <w:top w:val="double" w:sz="6" w:space="0" w:color="333333"/>
              <w:bottom w:val="double" w:sz="6" w:space="0" w:color="333333"/>
            </w:tcBorders>
            <w:shd w:val="clear" w:color="auto" w:fill="auto"/>
            <w:tcMar>
              <w:top w:w="40" w:type="dxa"/>
              <w:left w:w="20" w:type="dxa"/>
              <w:bottom w:w="40" w:type="dxa"/>
            </w:tcMar>
            <w:vAlign w:val="bottom"/>
          </w:tcPr>
          <w:p w14:paraId="36CA2CFC" w14:textId="77777777" w:rsidR="00787570" w:rsidRDefault="000D56E2">
            <w:pPr>
              <w:textAlignment w:val="bottom"/>
            </w:pPr>
            <w:r>
              <w:rPr>
                <w:rFonts w:ascii="Arial" w:eastAsia="宋体" w:hAnsi="Arial" w:cs="Arial"/>
                <w:b/>
                <w:bCs/>
                <w:color w:val="333333"/>
                <w:sz w:val="18"/>
                <w:szCs w:val="18"/>
              </w:rPr>
              <w:t>$</w:t>
            </w:r>
          </w:p>
        </w:tc>
        <w:tc>
          <w:tcPr>
            <w:tcW w:w="0" w:type="auto"/>
            <w:tcBorders>
              <w:top w:val="double" w:sz="6" w:space="0" w:color="333333"/>
              <w:bottom w:val="double" w:sz="6" w:space="0" w:color="333333"/>
            </w:tcBorders>
            <w:shd w:val="clear" w:color="auto" w:fill="auto"/>
            <w:tcMar>
              <w:top w:w="40" w:type="dxa"/>
              <w:bottom w:w="40" w:type="dxa"/>
              <w:right w:w="0" w:type="dxa"/>
            </w:tcMar>
            <w:vAlign w:val="bottom"/>
          </w:tcPr>
          <w:p w14:paraId="36CA2CFD" w14:textId="77777777" w:rsidR="00787570" w:rsidRDefault="000D56E2">
            <w:pPr>
              <w:jc w:val="right"/>
              <w:textAlignment w:val="bottom"/>
            </w:pPr>
            <w:r>
              <w:rPr>
                <w:rFonts w:ascii="Arial" w:eastAsia="宋体" w:hAnsi="Arial" w:cs="Arial"/>
                <w:b/>
                <w:bCs/>
                <w:color w:val="333333"/>
                <w:sz w:val="18"/>
                <w:szCs w:val="18"/>
              </w:rPr>
              <w:t>1.35</w:t>
            </w:r>
            <w:r>
              <w:rPr>
                <w:rFonts w:ascii="Arial" w:eastAsia="宋体" w:hAnsi="Arial" w:cs="Arial"/>
                <w:color w:val="333333"/>
                <w:sz w:val="18"/>
                <w:szCs w:val="18"/>
              </w:rPr>
              <w:t> </w:t>
            </w:r>
          </w:p>
        </w:tc>
        <w:tc>
          <w:tcPr>
            <w:tcW w:w="0" w:type="auto"/>
            <w:tcBorders>
              <w:top w:val="double" w:sz="6" w:space="0" w:color="333333"/>
              <w:bottom w:val="double" w:sz="6" w:space="0" w:color="333333"/>
            </w:tcBorders>
            <w:shd w:val="clear" w:color="auto" w:fill="auto"/>
            <w:tcMar>
              <w:top w:w="40" w:type="dxa"/>
              <w:bottom w:w="40" w:type="dxa"/>
              <w:right w:w="20" w:type="dxa"/>
            </w:tcMar>
            <w:vAlign w:val="bottom"/>
          </w:tcPr>
          <w:p w14:paraId="36CA2CFE"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2CFF" w14:textId="77777777" w:rsidR="00787570" w:rsidRDefault="00787570">
            <w:pPr>
              <w:rPr>
                <w:rFonts w:ascii="宋体"/>
              </w:rPr>
            </w:pPr>
          </w:p>
        </w:tc>
        <w:tc>
          <w:tcPr>
            <w:tcW w:w="0" w:type="auto"/>
            <w:tcBorders>
              <w:top w:val="double" w:sz="6" w:space="0" w:color="333333"/>
              <w:bottom w:val="double" w:sz="6" w:space="0" w:color="333333"/>
            </w:tcBorders>
            <w:shd w:val="clear" w:color="auto" w:fill="auto"/>
            <w:tcMar>
              <w:top w:w="40" w:type="dxa"/>
              <w:left w:w="20" w:type="dxa"/>
              <w:bottom w:w="40" w:type="dxa"/>
            </w:tcMar>
            <w:vAlign w:val="bottom"/>
          </w:tcPr>
          <w:p w14:paraId="36CA2D00" w14:textId="77777777" w:rsidR="00787570" w:rsidRDefault="000D56E2">
            <w:pPr>
              <w:textAlignment w:val="bottom"/>
            </w:pPr>
            <w:r>
              <w:rPr>
                <w:rFonts w:ascii="Arial" w:eastAsia="宋体" w:hAnsi="Arial" w:cs="Arial"/>
                <w:b/>
                <w:bCs/>
                <w:color w:val="0071C5"/>
                <w:sz w:val="18"/>
                <w:szCs w:val="18"/>
              </w:rPr>
              <w:t>$</w:t>
            </w:r>
          </w:p>
        </w:tc>
        <w:tc>
          <w:tcPr>
            <w:tcW w:w="0" w:type="auto"/>
            <w:tcBorders>
              <w:top w:val="double" w:sz="6" w:space="0" w:color="333333"/>
              <w:bottom w:val="double" w:sz="6" w:space="0" w:color="333333"/>
            </w:tcBorders>
            <w:shd w:val="clear" w:color="auto" w:fill="auto"/>
            <w:tcMar>
              <w:top w:w="40" w:type="dxa"/>
              <w:bottom w:w="40" w:type="dxa"/>
              <w:right w:w="0" w:type="dxa"/>
            </w:tcMar>
            <w:vAlign w:val="bottom"/>
          </w:tcPr>
          <w:p w14:paraId="36CA2D01" w14:textId="77777777" w:rsidR="00787570" w:rsidRDefault="000D56E2">
            <w:pPr>
              <w:jc w:val="right"/>
              <w:textAlignment w:val="bottom"/>
            </w:pPr>
            <w:r>
              <w:rPr>
                <w:rFonts w:ascii="Arial" w:eastAsia="宋体" w:hAnsi="Arial" w:cs="Arial"/>
                <w:b/>
                <w:bCs/>
                <w:color w:val="0071C5"/>
                <w:sz w:val="18"/>
                <w:szCs w:val="18"/>
              </w:rPr>
              <w:t>3.52</w:t>
            </w:r>
            <w:r>
              <w:rPr>
                <w:rFonts w:ascii="Arial" w:eastAsia="宋体" w:hAnsi="Arial" w:cs="Arial"/>
                <w:color w:val="0071C5"/>
                <w:sz w:val="18"/>
                <w:szCs w:val="18"/>
              </w:rPr>
              <w:t> </w:t>
            </w:r>
          </w:p>
        </w:tc>
        <w:tc>
          <w:tcPr>
            <w:tcW w:w="0" w:type="auto"/>
            <w:tcBorders>
              <w:top w:val="double" w:sz="6" w:space="0" w:color="333333"/>
              <w:bottom w:val="double" w:sz="6" w:space="0" w:color="333333"/>
            </w:tcBorders>
            <w:shd w:val="clear" w:color="auto" w:fill="auto"/>
            <w:tcMar>
              <w:top w:w="40" w:type="dxa"/>
              <w:bottom w:w="40" w:type="dxa"/>
              <w:right w:w="20" w:type="dxa"/>
            </w:tcMar>
            <w:vAlign w:val="bottom"/>
          </w:tcPr>
          <w:p w14:paraId="36CA2D02"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2D03" w14:textId="77777777" w:rsidR="00787570" w:rsidRDefault="00787570">
            <w:pPr>
              <w:rPr>
                <w:rFonts w:ascii="宋体"/>
              </w:rPr>
            </w:pPr>
          </w:p>
        </w:tc>
        <w:tc>
          <w:tcPr>
            <w:tcW w:w="0" w:type="auto"/>
            <w:tcBorders>
              <w:top w:val="double" w:sz="6" w:space="0" w:color="333333"/>
              <w:bottom w:val="double" w:sz="6" w:space="0" w:color="333333"/>
            </w:tcBorders>
            <w:shd w:val="clear" w:color="auto" w:fill="auto"/>
            <w:tcMar>
              <w:top w:w="40" w:type="dxa"/>
              <w:left w:w="20" w:type="dxa"/>
              <w:bottom w:w="40" w:type="dxa"/>
            </w:tcMar>
            <w:vAlign w:val="bottom"/>
          </w:tcPr>
          <w:p w14:paraId="36CA2D04" w14:textId="77777777" w:rsidR="00787570" w:rsidRDefault="000D56E2">
            <w:pPr>
              <w:textAlignment w:val="bottom"/>
            </w:pPr>
            <w:r>
              <w:rPr>
                <w:rFonts w:ascii="Arial" w:eastAsia="宋体" w:hAnsi="Arial" w:cs="Arial"/>
                <w:b/>
                <w:bCs/>
                <w:color w:val="333333"/>
                <w:sz w:val="18"/>
                <w:szCs w:val="18"/>
              </w:rPr>
              <w:t>$</w:t>
            </w:r>
          </w:p>
        </w:tc>
        <w:tc>
          <w:tcPr>
            <w:tcW w:w="0" w:type="auto"/>
            <w:tcBorders>
              <w:top w:val="double" w:sz="6" w:space="0" w:color="333333"/>
              <w:bottom w:val="double" w:sz="6" w:space="0" w:color="333333"/>
            </w:tcBorders>
            <w:shd w:val="clear" w:color="auto" w:fill="auto"/>
            <w:tcMar>
              <w:top w:w="40" w:type="dxa"/>
              <w:bottom w:w="40" w:type="dxa"/>
              <w:right w:w="0" w:type="dxa"/>
            </w:tcMar>
            <w:vAlign w:val="bottom"/>
          </w:tcPr>
          <w:p w14:paraId="36CA2D05" w14:textId="77777777" w:rsidR="00787570" w:rsidRDefault="000D56E2">
            <w:pPr>
              <w:jc w:val="right"/>
              <w:textAlignment w:val="bottom"/>
            </w:pPr>
            <w:r>
              <w:rPr>
                <w:rFonts w:ascii="Arial" w:eastAsia="宋体" w:hAnsi="Arial" w:cs="Arial"/>
                <w:b/>
                <w:bCs/>
                <w:color w:val="333333"/>
                <w:sz w:val="18"/>
                <w:szCs w:val="18"/>
              </w:rPr>
              <w:t>3.14</w:t>
            </w:r>
            <w:r>
              <w:rPr>
                <w:rFonts w:ascii="Arial" w:eastAsia="宋体" w:hAnsi="Arial" w:cs="Arial"/>
                <w:color w:val="333333"/>
                <w:sz w:val="18"/>
                <w:szCs w:val="18"/>
              </w:rPr>
              <w:t> </w:t>
            </w:r>
          </w:p>
        </w:tc>
        <w:tc>
          <w:tcPr>
            <w:tcW w:w="0" w:type="auto"/>
            <w:tcBorders>
              <w:top w:val="double" w:sz="6" w:space="0" w:color="333333"/>
              <w:bottom w:val="double" w:sz="6" w:space="0" w:color="333333"/>
            </w:tcBorders>
            <w:shd w:val="clear" w:color="auto" w:fill="auto"/>
            <w:tcMar>
              <w:top w:w="40" w:type="dxa"/>
              <w:bottom w:w="40" w:type="dxa"/>
              <w:right w:w="20" w:type="dxa"/>
            </w:tcMar>
            <w:vAlign w:val="bottom"/>
          </w:tcPr>
          <w:p w14:paraId="36CA2D06" w14:textId="77777777" w:rsidR="00787570" w:rsidRDefault="00787570">
            <w:pPr>
              <w:jc w:val="right"/>
              <w:rPr>
                <w:rFonts w:ascii="宋体"/>
              </w:rPr>
            </w:pPr>
          </w:p>
        </w:tc>
        <w:tc>
          <w:tcPr>
            <w:tcW w:w="0" w:type="auto"/>
            <w:shd w:val="clear" w:color="auto" w:fill="auto"/>
          </w:tcPr>
          <w:p w14:paraId="36CA2D07" w14:textId="77777777" w:rsidR="00787570" w:rsidRDefault="00787570">
            <w:pPr>
              <w:rPr>
                <w:rFonts w:ascii="宋体"/>
              </w:rPr>
            </w:pPr>
          </w:p>
        </w:tc>
        <w:tc>
          <w:tcPr>
            <w:tcW w:w="0" w:type="auto"/>
            <w:shd w:val="clear" w:color="auto" w:fill="auto"/>
          </w:tcPr>
          <w:p w14:paraId="36CA2D08" w14:textId="77777777" w:rsidR="00787570" w:rsidRDefault="00787570">
            <w:pPr>
              <w:rPr>
                <w:rFonts w:ascii="宋体"/>
              </w:rPr>
            </w:pPr>
          </w:p>
        </w:tc>
        <w:tc>
          <w:tcPr>
            <w:tcW w:w="0" w:type="auto"/>
            <w:shd w:val="clear" w:color="auto" w:fill="auto"/>
          </w:tcPr>
          <w:p w14:paraId="36CA2D09" w14:textId="77777777" w:rsidR="00787570" w:rsidRDefault="00787570">
            <w:pPr>
              <w:rPr>
                <w:rFonts w:ascii="宋体"/>
              </w:rPr>
            </w:pPr>
          </w:p>
        </w:tc>
        <w:tc>
          <w:tcPr>
            <w:tcW w:w="0" w:type="auto"/>
            <w:shd w:val="clear" w:color="auto" w:fill="auto"/>
          </w:tcPr>
          <w:p w14:paraId="36CA2D0A" w14:textId="77777777" w:rsidR="00787570" w:rsidRDefault="00787570">
            <w:pPr>
              <w:rPr>
                <w:rFonts w:ascii="宋体"/>
              </w:rPr>
            </w:pPr>
          </w:p>
        </w:tc>
        <w:tc>
          <w:tcPr>
            <w:tcW w:w="0" w:type="auto"/>
            <w:shd w:val="clear" w:color="auto" w:fill="auto"/>
          </w:tcPr>
          <w:p w14:paraId="36CA2D0B" w14:textId="77777777" w:rsidR="00787570" w:rsidRDefault="00787570">
            <w:pPr>
              <w:rPr>
                <w:rFonts w:ascii="宋体"/>
              </w:rPr>
            </w:pPr>
          </w:p>
        </w:tc>
        <w:tc>
          <w:tcPr>
            <w:tcW w:w="0" w:type="auto"/>
            <w:shd w:val="clear" w:color="auto" w:fill="auto"/>
          </w:tcPr>
          <w:p w14:paraId="36CA2D0C" w14:textId="77777777" w:rsidR="00787570" w:rsidRDefault="00787570">
            <w:pPr>
              <w:rPr>
                <w:rFonts w:ascii="宋体"/>
              </w:rPr>
            </w:pPr>
          </w:p>
        </w:tc>
        <w:tc>
          <w:tcPr>
            <w:tcW w:w="0" w:type="auto"/>
            <w:shd w:val="clear" w:color="auto" w:fill="auto"/>
          </w:tcPr>
          <w:p w14:paraId="36CA2D0D" w14:textId="77777777" w:rsidR="00787570" w:rsidRDefault="00787570">
            <w:pPr>
              <w:rPr>
                <w:rFonts w:ascii="宋体"/>
              </w:rPr>
            </w:pPr>
          </w:p>
        </w:tc>
        <w:tc>
          <w:tcPr>
            <w:tcW w:w="0" w:type="auto"/>
            <w:shd w:val="clear" w:color="auto" w:fill="auto"/>
          </w:tcPr>
          <w:p w14:paraId="36CA2D0E" w14:textId="77777777" w:rsidR="00787570" w:rsidRDefault="00787570">
            <w:pPr>
              <w:rPr>
                <w:rFonts w:ascii="宋体"/>
              </w:rPr>
            </w:pPr>
          </w:p>
        </w:tc>
        <w:tc>
          <w:tcPr>
            <w:tcW w:w="0" w:type="auto"/>
            <w:shd w:val="clear" w:color="auto" w:fill="auto"/>
          </w:tcPr>
          <w:p w14:paraId="36CA2D0F" w14:textId="77777777" w:rsidR="00787570" w:rsidRDefault="00787570">
            <w:pPr>
              <w:rPr>
                <w:rFonts w:ascii="宋体"/>
              </w:rPr>
            </w:pPr>
          </w:p>
        </w:tc>
        <w:tc>
          <w:tcPr>
            <w:tcW w:w="0" w:type="auto"/>
            <w:shd w:val="clear" w:color="auto" w:fill="auto"/>
          </w:tcPr>
          <w:p w14:paraId="36CA2D10" w14:textId="77777777" w:rsidR="00787570" w:rsidRDefault="00787570">
            <w:pPr>
              <w:rPr>
                <w:rFonts w:ascii="宋体"/>
              </w:rPr>
            </w:pPr>
          </w:p>
        </w:tc>
        <w:tc>
          <w:tcPr>
            <w:tcW w:w="0" w:type="auto"/>
            <w:shd w:val="clear" w:color="auto" w:fill="auto"/>
          </w:tcPr>
          <w:p w14:paraId="36CA2D11" w14:textId="77777777" w:rsidR="00787570" w:rsidRDefault="00787570">
            <w:pPr>
              <w:rPr>
                <w:rFonts w:ascii="宋体"/>
              </w:rPr>
            </w:pPr>
          </w:p>
        </w:tc>
        <w:tc>
          <w:tcPr>
            <w:tcW w:w="0" w:type="auto"/>
            <w:shd w:val="clear" w:color="auto" w:fill="auto"/>
          </w:tcPr>
          <w:p w14:paraId="36CA2D12" w14:textId="77777777" w:rsidR="00787570" w:rsidRDefault="00787570">
            <w:pPr>
              <w:rPr>
                <w:rFonts w:ascii="宋体"/>
              </w:rPr>
            </w:pPr>
          </w:p>
        </w:tc>
      </w:tr>
    </w:tbl>
    <w:p w14:paraId="36CA2D14" w14:textId="77777777" w:rsidR="00787570" w:rsidRDefault="000D56E2">
      <w:pPr>
        <w:spacing w:before="180" w:after="180"/>
      </w:pPr>
      <w:r>
        <w:rPr>
          <w:rFonts w:ascii="Arial" w:eastAsia="宋体" w:hAnsi="Arial" w:cs="Arial"/>
          <w:color w:val="333333"/>
          <w:sz w:val="18"/>
          <w:szCs w:val="18"/>
        </w:rPr>
        <w:t>Potentially dilutive shares of common stock from employee equity incentive plans are determined by applying the</w:t>
      </w:r>
      <w:r>
        <w:rPr>
          <w:rFonts w:ascii="Arial" w:eastAsia="宋体" w:hAnsi="Arial" w:cs="Arial"/>
          <w:color w:val="333333"/>
          <w:sz w:val="18"/>
          <w:szCs w:val="18"/>
        </w:rPr>
        <w:t xml:space="preserve"> treasury stock method to the assumed exercise of outstanding stock options, the assumed vesting of outstanding RSUs, and the assumed issuance of common stock under the stock purchase plan. We used the treasury stock method to consider the dilutive effect </w:t>
      </w:r>
      <w:r>
        <w:rPr>
          <w:rFonts w:ascii="Arial" w:eastAsia="宋体" w:hAnsi="Arial" w:cs="Arial"/>
          <w:color w:val="333333"/>
          <w:sz w:val="18"/>
          <w:szCs w:val="18"/>
        </w:rPr>
        <w:t>of the forward contracts related to the ASR transactions entered into in August 2020 and determined that the forward contracts were anti-dilutive in calculating diluted EPS.</w:t>
      </w:r>
    </w:p>
    <w:p w14:paraId="36CA2D15" w14:textId="77777777" w:rsidR="00787570" w:rsidRDefault="00787570">
      <w:pPr>
        <w:spacing w:after="180"/>
      </w:pPr>
    </w:p>
    <w:p w14:paraId="36CA2D16" w14:textId="77777777" w:rsidR="00787570" w:rsidRDefault="00787570">
      <w:pPr>
        <w:spacing w:after="180"/>
      </w:pPr>
    </w:p>
    <w:p w14:paraId="36CA2D17" w14:textId="77777777" w:rsidR="00787570" w:rsidRDefault="00787570">
      <w:pPr>
        <w:spacing w:after="180"/>
      </w:pPr>
    </w:p>
    <w:p w14:paraId="36CA2D18" w14:textId="77777777" w:rsidR="00787570" w:rsidRDefault="00787570">
      <w:pPr>
        <w:spacing w:after="180"/>
      </w:pPr>
    </w:p>
    <w:p w14:paraId="36CA2D19" w14:textId="77777777" w:rsidR="00787570" w:rsidRDefault="00787570">
      <w:pPr>
        <w:spacing w:after="180"/>
      </w:pPr>
    </w:p>
    <w:p w14:paraId="36CA2D1A" w14:textId="77777777" w:rsidR="00787570" w:rsidRDefault="00787570">
      <w:pPr>
        <w:spacing w:after="180"/>
      </w:pPr>
    </w:p>
    <w:p w14:paraId="36CA2D1B" w14:textId="77777777" w:rsidR="00787570" w:rsidRDefault="00787570">
      <w:pPr>
        <w:spacing w:after="180"/>
      </w:pPr>
    </w:p>
    <w:tbl>
      <w:tblPr>
        <w:tblW w:w="5000" w:type="pct"/>
        <w:tblCellMar>
          <w:top w:w="15" w:type="dxa"/>
          <w:left w:w="15" w:type="dxa"/>
          <w:bottom w:w="15" w:type="dxa"/>
          <w:right w:w="15" w:type="dxa"/>
        </w:tblCellMar>
        <w:tblLook w:val="04A0" w:firstRow="1" w:lastRow="0" w:firstColumn="1" w:lastColumn="0" w:noHBand="0" w:noVBand="1"/>
      </w:tblPr>
      <w:tblGrid>
        <w:gridCol w:w="86"/>
        <w:gridCol w:w="426"/>
        <w:gridCol w:w="36"/>
        <w:gridCol w:w="62"/>
        <w:gridCol w:w="1676"/>
        <w:gridCol w:w="36"/>
        <w:gridCol w:w="62"/>
        <w:gridCol w:w="3655"/>
        <w:gridCol w:w="36"/>
        <w:gridCol w:w="63"/>
        <w:gridCol w:w="2162"/>
        <w:gridCol w:w="36"/>
      </w:tblGrid>
      <w:tr w:rsidR="00787570" w14:paraId="36CA2D28" w14:textId="77777777">
        <w:tc>
          <w:tcPr>
            <w:tcW w:w="50" w:type="pct"/>
            <w:shd w:val="clear" w:color="auto" w:fill="auto"/>
            <w:vAlign w:val="bottom"/>
          </w:tcPr>
          <w:p w14:paraId="36CA2D1C" w14:textId="77777777" w:rsidR="00787570" w:rsidRDefault="00787570">
            <w:pPr>
              <w:rPr>
                <w:rFonts w:ascii="宋体"/>
              </w:rPr>
            </w:pPr>
          </w:p>
        </w:tc>
        <w:tc>
          <w:tcPr>
            <w:tcW w:w="248" w:type="pct"/>
            <w:shd w:val="clear" w:color="auto" w:fill="auto"/>
            <w:vAlign w:val="bottom"/>
          </w:tcPr>
          <w:p w14:paraId="36CA2D1D" w14:textId="77777777" w:rsidR="00787570" w:rsidRDefault="00787570">
            <w:pPr>
              <w:rPr>
                <w:rFonts w:ascii="宋体"/>
              </w:rPr>
            </w:pPr>
          </w:p>
        </w:tc>
        <w:tc>
          <w:tcPr>
            <w:tcW w:w="5" w:type="pct"/>
            <w:shd w:val="clear" w:color="auto" w:fill="auto"/>
            <w:vAlign w:val="bottom"/>
          </w:tcPr>
          <w:p w14:paraId="36CA2D1E" w14:textId="77777777" w:rsidR="00787570" w:rsidRDefault="00787570">
            <w:pPr>
              <w:rPr>
                <w:rFonts w:ascii="宋体"/>
              </w:rPr>
            </w:pPr>
          </w:p>
        </w:tc>
        <w:tc>
          <w:tcPr>
            <w:tcW w:w="50" w:type="pct"/>
            <w:shd w:val="clear" w:color="auto" w:fill="auto"/>
            <w:vAlign w:val="bottom"/>
          </w:tcPr>
          <w:p w14:paraId="36CA2D1F" w14:textId="77777777" w:rsidR="00787570" w:rsidRDefault="00787570">
            <w:pPr>
              <w:rPr>
                <w:rFonts w:ascii="宋体"/>
              </w:rPr>
            </w:pPr>
          </w:p>
        </w:tc>
        <w:tc>
          <w:tcPr>
            <w:tcW w:w="1018" w:type="pct"/>
            <w:shd w:val="clear" w:color="auto" w:fill="auto"/>
            <w:vAlign w:val="bottom"/>
          </w:tcPr>
          <w:p w14:paraId="36CA2D20" w14:textId="77777777" w:rsidR="00787570" w:rsidRDefault="00787570">
            <w:pPr>
              <w:rPr>
                <w:rFonts w:ascii="宋体"/>
              </w:rPr>
            </w:pPr>
          </w:p>
        </w:tc>
        <w:tc>
          <w:tcPr>
            <w:tcW w:w="5" w:type="pct"/>
            <w:shd w:val="clear" w:color="auto" w:fill="auto"/>
            <w:vAlign w:val="bottom"/>
          </w:tcPr>
          <w:p w14:paraId="36CA2D21" w14:textId="77777777" w:rsidR="00787570" w:rsidRDefault="00787570">
            <w:pPr>
              <w:rPr>
                <w:rFonts w:ascii="宋体"/>
              </w:rPr>
            </w:pPr>
          </w:p>
        </w:tc>
        <w:tc>
          <w:tcPr>
            <w:tcW w:w="50" w:type="pct"/>
            <w:shd w:val="clear" w:color="auto" w:fill="auto"/>
            <w:vAlign w:val="bottom"/>
          </w:tcPr>
          <w:p w14:paraId="36CA2D22" w14:textId="77777777" w:rsidR="00787570" w:rsidRDefault="00787570">
            <w:pPr>
              <w:rPr>
                <w:rFonts w:ascii="宋体"/>
              </w:rPr>
            </w:pPr>
          </w:p>
        </w:tc>
        <w:tc>
          <w:tcPr>
            <w:tcW w:w="2204" w:type="pct"/>
            <w:shd w:val="clear" w:color="auto" w:fill="auto"/>
            <w:vAlign w:val="bottom"/>
          </w:tcPr>
          <w:p w14:paraId="36CA2D23" w14:textId="77777777" w:rsidR="00787570" w:rsidRDefault="00787570">
            <w:pPr>
              <w:rPr>
                <w:rFonts w:ascii="宋体"/>
              </w:rPr>
            </w:pPr>
          </w:p>
        </w:tc>
        <w:tc>
          <w:tcPr>
            <w:tcW w:w="5" w:type="pct"/>
            <w:shd w:val="clear" w:color="auto" w:fill="auto"/>
            <w:vAlign w:val="bottom"/>
          </w:tcPr>
          <w:p w14:paraId="36CA2D24" w14:textId="77777777" w:rsidR="00787570" w:rsidRDefault="00787570">
            <w:pPr>
              <w:rPr>
                <w:rFonts w:ascii="宋体"/>
              </w:rPr>
            </w:pPr>
          </w:p>
        </w:tc>
        <w:tc>
          <w:tcPr>
            <w:tcW w:w="50" w:type="pct"/>
            <w:shd w:val="clear" w:color="auto" w:fill="auto"/>
            <w:vAlign w:val="bottom"/>
          </w:tcPr>
          <w:p w14:paraId="36CA2D25" w14:textId="77777777" w:rsidR="00787570" w:rsidRDefault="00787570">
            <w:pPr>
              <w:rPr>
                <w:rFonts w:ascii="宋体"/>
              </w:rPr>
            </w:pPr>
          </w:p>
        </w:tc>
        <w:tc>
          <w:tcPr>
            <w:tcW w:w="1308" w:type="pct"/>
            <w:shd w:val="clear" w:color="auto" w:fill="auto"/>
            <w:vAlign w:val="bottom"/>
          </w:tcPr>
          <w:p w14:paraId="36CA2D26" w14:textId="77777777" w:rsidR="00787570" w:rsidRDefault="00787570">
            <w:pPr>
              <w:rPr>
                <w:rFonts w:ascii="宋体"/>
              </w:rPr>
            </w:pPr>
          </w:p>
        </w:tc>
        <w:tc>
          <w:tcPr>
            <w:tcW w:w="5" w:type="pct"/>
            <w:shd w:val="clear" w:color="auto" w:fill="auto"/>
            <w:vAlign w:val="bottom"/>
          </w:tcPr>
          <w:p w14:paraId="36CA2D27" w14:textId="77777777" w:rsidR="00787570" w:rsidRDefault="00787570">
            <w:pPr>
              <w:rPr>
                <w:rFonts w:ascii="宋体"/>
              </w:rPr>
            </w:pPr>
          </w:p>
        </w:tc>
      </w:tr>
      <w:tr w:rsidR="00787570" w14:paraId="36CA2D2D" w14:textId="77777777">
        <w:tc>
          <w:tcPr>
            <w:tcW w:w="0" w:type="auto"/>
            <w:gridSpan w:val="3"/>
            <w:tcBorders>
              <w:top w:val="single" w:sz="8" w:space="0" w:color="0071C5"/>
            </w:tcBorders>
            <w:shd w:val="clear" w:color="auto" w:fill="auto"/>
            <w:tcMar>
              <w:left w:w="20" w:type="dxa"/>
              <w:right w:w="20" w:type="dxa"/>
            </w:tcMar>
            <w:vAlign w:val="center"/>
          </w:tcPr>
          <w:p w14:paraId="36CA2D29" w14:textId="77777777" w:rsidR="00787570" w:rsidRDefault="000D56E2">
            <w:pPr>
              <w:textAlignment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Viewer9_files/intc-20200926_g2.jpg"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36CA5C09" wp14:editId="36CA5C0A">
                  <wp:extent cx="304800" cy="304800"/>
                  <wp:effectExtent l="0" t="0" r="0" b="0"/>
                  <wp:docPr id="98" name="图片 63" descr="IMG_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图片 63" descr="IMG_329"/>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8" w:space="0" w:color="0071C5"/>
            </w:tcBorders>
            <w:shd w:val="clear" w:color="auto" w:fill="auto"/>
            <w:tcMar>
              <w:top w:w="40" w:type="dxa"/>
              <w:left w:w="20" w:type="dxa"/>
              <w:bottom w:w="40" w:type="dxa"/>
              <w:right w:w="20" w:type="dxa"/>
            </w:tcMar>
            <w:vAlign w:val="center"/>
          </w:tcPr>
          <w:p w14:paraId="36CA2D2A" w14:textId="77777777" w:rsidR="00787570" w:rsidRDefault="000D56E2">
            <w:pPr>
              <w:textAlignment w:val="center"/>
            </w:pPr>
            <w:r>
              <w:rPr>
                <w:rFonts w:ascii="Arial" w:eastAsia="宋体" w:hAnsi="Arial" w:cs="Arial"/>
                <w:color w:val="333333"/>
                <w:sz w:val="16"/>
                <w:szCs w:val="16"/>
              </w:rPr>
              <w:t> FINANCIAL STATEMENTS</w:t>
            </w:r>
          </w:p>
        </w:tc>
        <w:tc>
          <w:tcPr>
            <w:tcW w:w="0" w:type="auto"/>
            <w:gridSpan w:val="3"/>
            <w:tcBorders>
              <w:top w:val="single" w:sz="8" w:space="0" w:color="0071C5"/>
              <w:left w:val="single" w:sz="24" w:space="0" w:color="0071C5"/>
            </w:tcBorders>
            <w:shd w:val="clear" w:color="auto" w:fill="auto"/>
            <w:tcMar>
              <w:top w:w="40" w:type="dxa"/>
              <w:left w:w="20" w:type="dxa"/>
              <w:bottom w:w="40" w:type="dxa"/>
              <w:right w:w="20" w:type="dxa"/>
            </w:tcMar>
            <w:vAlign w:val="center"/>
          </w:tcPr>
          <w:p w14:paraId="36CA2D2B" w14:textId="77777777" w:rsidR="00787570" w:rsidRDefault="000D56E2">
            <w:pPr>
              <w:textAlignment w:val="center"/>
            </w:pPr>
            <w:r>
              <w:rPr>
                <w:rFonts w:ascii="Arial" w:eastAsia="宋体" w:hAnsi="Arial" w:cs="Arial"/>
                <w:color w:val="333333"/>
                <w:sz w:val="16"/>
                <w:szCs w:val="16"/>
              </w:rPr>
              <w:t>  Notes to Financial Statements</w:t>
            </w:r>
          </w:p>
        </w:tc>
        <w:tc>
          <w:tcPr>
            <w:tcW w:w="0" w:type="auto"/>
            <w:gridSpan w:val="3"/>
            <w:tcBorders>
              <w:top w:val="single" w:sz="8" w:space="0" w:color="0071C5"/>
            </w:tcBorders>
            <w:shd w:val="clear" w:color="auto" w:fill="auto"/>
            <w:tcMar>
              <w:top w:w="40" w:type="dxa"/>
              <w:left w:w="20" w:type="dxa"/>
              <w:bottom w:w="40" w:type="dxa"/>
              <w:right w:w="20" w:type="dxa"/>
            </w:tcMar>
            <w:vAlign w:val="center"/>
          </w:tcPr>
          <w:p w14:paraId="36CA2D2C" w14:textId="77777777" w:rsidR="00787570" w:rsidRDefault="000D56E2">
            <w:pPr>
              <w:jc w:val="right"/>
              <w:textAlignment w:val="center"/>
            </w:pPr>
            <w:r>
              <w:rPr>
                <w:rFonts w:ascii="Arial" w:eastAsia="宋体" w:hAnsi="Arial" w:cs="Arial"/>
                <w:color w:val="333333"/>
                <w:sz w:val="16"/>
                <w:szCs w:val="16"/>
              </w:rPr>
              <w:t>12</w:t>
            </w:r>
          </w:p>
        </w:tc>
      </w:tr>
    </w:tbl>
    <w:p w14:paraId="36CA2D2E" w14:textId="77777777" w:rsidR="00787570" w:rsidRDefault="000D56E2">
      <w:r>
        <w:pict w14:anchorId="36CA5C0B">
          <v:rect id="_x0000_i1038" style="width:415.3pt;height:1.5pt" o:hralign="center" o:hrstd="t" o:hr="t" fillcolor="#a0a0a0" stroked="f"/>
        </w:pict>
      </w:r>
    </w:p>
    <w:p w14:paraId="36CA2D2F" w14:textId="77777777" w:rsidR="00787570" w:rsidRDefault="000D56E2">
      <w:pPr>
        <w:spacing w:after="180"/>
        <w:jc w:val="right"/>
      </w:pPr>
      <w:hyperlink r:id="rId40" w:anchor="i32771df14e9449d2bec5be911426bf04_7" w:history="1">
        <w:r>
          <w:rPr>
            <w:rStyle w:val="a5"/>
            <w:rFonts w:ascii="Arial" w:eastAsia="宋体" w:hAnsi="Arial" w:cs="Arial"/>
            <w:b/>
            <w:bCs/>
            <w:sz w:val="16"/>
            <w:szCs w:val="16"/>
          </w:rPr>
          <w:t>Table of Contents</w:t>
        </w:r>
      </w:hyperlink>
    </w:p>
    <w:p w14:paraId="36CA2D30" w14:textId="77777777" w:rsidR="00787570" w:rsidRDefault="00787570">
      <w:pPr>
        <w:spacing w:after="180"/>
        <w:jc w:val="right"/>
      </w:pPr>
    </w:p>
    <w:p w14:paraId="36CA2D31" w14:textId="77777777" w:rsidR="00787570" w:rsidRDefault="000D56E2">
      <w:pPr>
        <w:spacing w:after="180"/>
      </w:pPr>
      <w:r>
        <w:rPr>
          <w:rFonts w:ascii="Arial" w:eastAsia="宋体" w:hAnsi="Arial" w:cs="Arial"/>
          <w:color w:val="333333"/>
          <w:sz w:val="18"/>
          <w:szCs w:val="18"/>
        </w:rPr>
        <w:t xml:space="preserve">In January 2020, we fully redeemed the remaining principal of our 2009 </w:t>
      </w:r>
      <w:r>
        <w:rPr>
          <w:rFonts w:ascii="Arial" w:eastAsia="宋体" w:hAnsi="Arial" w:cs="Arial"/>
          <w:color w:val="333333"/>
          <w:sz w:val="18"/>
          <w:szCs w:val="18"/>
        </w:rPr>
        <w:t>Debentures. We included our 2009 Debentures in the calculation of diluted earnings per share of common stock in 2019 by applying the treasury stock method because the average market price was above the conversion price.</w:t>
      </w:r>
    </w:p>
    <w:p w14:paraId="36CA2D32" w14:textId="77777777" w:rsidR="00787570" w:rsidRDefault="000D56E2">
      <w:r>
        <w:rPr>
          <w:rFonts w:ascii="Arial" w:eastAsia="宋体" w:hAnsi="Arial" w:cs="Arial"/>
          <w:color w:val="333333"/>
          <w:sz w:val="18"/>
          <w:szCs w:val="18"/>
        </w:rPr>
        <w:t>Securities which would have been ant</w:t>
      </w:r>
      <w:r>
        <w:rPr>
          <w:rFonts w:ascii="Arial" w:eastAsia="宋体" w:hAnsi="Arial" w:cs="Arial"/>
          <w:color w:val="333333"/>
          <w:sz w:val="18"/>
          <w:szCs w:val="18"/>
        </w:rPr>
        <w:t xml:space="preserve">i-dilutive are insignificant and are excluded from the computation of diluted earnings per share in all periods presented. </w:t>
      </w:r>
    </w:p>
    <w:tbl>
      <w:tblPr>
        <w:tblW w:w="5000" w:type="pct"/>
        <w:tblCellMar>
          <w:top w:w="15" w:type="dxa"/>
          <w:left w:w="15" w:type="dxa"/>
          <w:bottom w:w="15" w:type="dxa"/>
          <w:right w:w="15" w:type="dxa"/>
        </w:tblCellMar>
        <w:tblLook w:val="04A0" w:firstRow="1" w:lastRow="0" w:firstColumn="1" w:lastColumn="0" w:noHBand="0" w:noVBand="1"/>
      </w:tblPr>
      <w:tblGrid>
        <w:gridCol w:w="69"/>
        <w:gridCol w:w="998"/>
        <w:gridCol w:w="36"/>
        <w:gridCol w:w="69"/>
        <w:gridCol w:w="7128"/>
        <w:gridCol w:w="36"/>
      </w:tblGrid>
      <w:tr w:rsidR="00787570" w14:paraId="36CA2D39" w14:textId="77777777">
        <w:tc>
          <w:tcPr>
            <w:tcW w:w="50" w:type="pct"/>
            <w:shd w:val="clear" w:color="auto" w:fill="auto"/>
          </w:tcPr>
          <w:p w14:paraId="36CA2D33" w14:textId="77777777" w:rsidR="00787570" w:rsidRDefault="00787570">
            <w:pPr>
              <w:rPr>
                <w:rFonts w:ascii="宋体"/>
              </w:rPr>
            </w:pPr>
          </w:p>
        </w:tc>
        <w:tc>
          <w:tcPr>
            <w:tcW w:w="607" w:type="pct"/>
            <w:shd w:val="clear" w:color="auto" w:fill="auto"/>
          </w:tcPr>
          <w:p w14:paraId="36CA2D34" w14:textId="77777777" w:rsidR="00787570" w:rsidRDefault="00787570">
            <w:pPr>
              <w:rPr>
                <w:rFonts w:ascii="宋体"/>
              </w:rPr>
            </w:pPr>
          </w:p>
        </w:tc>
        <w:tc>
          <w:tcPr>
            <w:tcW w:w="5" w:type="pct"/>
            <w:shd w:val="clear" w:color="auto" w:fill="auto"/>
          </w:tcPr>
          <w:p w14:paraId="36CA2D35" w14:textId="77777777" w:rsidR="00787570" w:rsidRDefault="00787570">
            <w:pPr>
              <w:rPr>
                <w:rFonts w:ascii="宋体"/>
              </w:rPr>
            </w:pPr>
          </w:p>
        </w:tc>
        <w:tc>
          <w:tcPr>
            <w:tcW w:w="50" w:type="pct"/>
            <w:shd w:val="clear" w:color="auto" w:fill="auto"/>
          </w:tcPr>
          <w:p w14:paraId="36CA2D36" w14:textId="77777777" w:rsidR="00787570" w:rsidRDefault="00787570">
            <w:pPr>
              <w:rPr>
                <w:rFonts w:ascii="宋体"/>
              </w:rPr>
            </w:pPr>
          </w:p>
        </w:tc>
        <w:tc>
          <w:tcPr>
            <w:tcW w:w="4282" w:type="pct"/>
            <w:shd w:val="clear" w:color="auto" w:fill="auto"/>
          </w:tcPr>
          <w:p w14:paraId="36CA2D37" w14:textId="77777777" w:rsidR="00787570" w:rsidRDefault="00787570">
            <w:pPr>
              <w:rPr>
                <w:rFonts w:ascii="宋体"/>
              </w:rPr>
            </w:pPr>
          </w:p>
        </w:tc>
        <w:tc>
          <w:tcPr>
            <w:tcW w:w="5" w:type="pct"/>
            <w:shd w:val="clear" w:color="auto" w:fill="auto"/>
          </w:tcPr>
          <w:p w14:paraId="36CA2D38" w14:textId="77777777" w:rsidR="00787570" w:rsidRDefault="00787570">
            <w:pPr>
              <w:rPr>
                <w:rFonts w:ascii="宋体"/>
              </w:rPr>
            </w:pPr>
          </w:p>
        </w:tc>
      </w:tr>
      <w:tr w:rsidR="00787570" w14:paraId="36CA2D3C" w14:textId="77777777">
        <w:tc>
          <w:tcPr>
            <w:tcW w:w="0" w:type="auto"/>
            <w:gridSpan w:val="3"/>
            <w:tcBorders>
              <w:bottom w:val="single" w:sz="8" w:space="0" w:color="0071C5"/>
            </w:tcBorders>
            <w:shd w:val="clear" w:color="auto" w:fill="0071C5"/>
            <w:tcMar>
              <w:top w:w="40" w:type="dxa"/>
              <w:left w:w="20" w:type="dxa"/>
              <w:bottom w:w="40" w:type="dxa"/>
              <w:right w:w="20" w:type="dxa"/>
            </w:tcMar>
            <w:vAlign w:val="bottom"/>
          </w:tcPr>
          <w:p w14:paraId="36CA2D3A" w14:textId="77777777" w:rsidR="00787570" w:rsidRDefault="000D56E2">
            <w:pPr>
              <w:textAlignment w:val="bottom"/>
            </w:pPr>
            <w:r>
              <w:rPr>
                <w:rFonts w:ascii="Arial" w:eastAsia="宋体" w:hAnsi="Arial" w:cs="Arial"/>
                <w:b/>
                <w:bCs/>
                <w:color w:val="FFFFFF"/>
                <w:sz w:val="28"/>
                <w:szCs w:val="28"/>
              </w:rPr>
              <w:t xml:space="preserve">NOTE 4 : </w:t>
            </w:r>
          </w:p>
        </w:tc>
        <w:tc>
          <w:tcPr>
            <w:tcW w:w="0" w:type="auto"/>
            <w:gridSpan w:val="3"/>
            <w:tcBorders>
              <w:bottom w:val="single" w:sz="8" w:space="0" w:color="0071C5"/>
            </w:tcBorders>
            <w:shd w:val="clear" w:color="auto" w:fill="auto"/>
            <w:tcMar>
              <w:top w:w="40" w:type="dxa"/>
              <w:left w:w="20" w:type="dxa"/>
              <w:bottom w:w="40" w:type="dxa"/>
              <w:right w:w="20" w:type="dxa"/>
            </w:tcMar>
            <w:vAlign w:val="bottom"/>
          </w:tcPr>
          <w:p w14:paraId="36CA2D3B" w14:textId="77777777" w:rsidR="00787570" w:rsidRDefault="000D56E2">
            <w:pPr>
              <w:textAlignment w:val="bottom"/>
            </w:pPr>
            <w:r>
              <w:rPr>
                <w:rFonts w:ascii="Arial" w:eastAsia="宋体" w:hAnsi="Arial" w:cs="Arial"/>
                <w:b/>
                <w:bCs/>
                <w:color w:val="0071C5"/>
                <w:sz w:val="28"/>
                <w:szCs w:val="28"/>
              </w:rPr>
              <w:t>CONTRACT LIABILITIES</w:t>
            </w:r>
          </w:p>
        </w:tc>
      </w:tr>
    </w:tbl>
    <w:p w14:paraId="36CA2D3D" w14:textId="77777777" w:rsidR="00787570" w:rsidRDefault="00787570">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38"/>
        <w:gridCol w:w="6091"/>
        <w:gridCol w:w="37"/>
        <w:gridCol w:w="36"/>
        <w:gridCol w:w="36"/>
        <w:gridCol w:w="36"/>
        <w:gridCol w:w="136"/>
        <w:gridCol w:w="799"/>
        <w:gridCol w:w="41"/>
        <w:gridCol w:w="36"/>
        <w:gridCol w:w="36"/>
        <w:gridCol w:w="36"/>
        <w:gridCol w:w="136"/>
        <w:gridCol w:w="801"/>
        <w:gridCol w:w="41"/>
      </w:tblGrid>
      <w:tr w:rsidR="00787570" w14:paraId="36CA2D4D" w14:textId="77777777">
        <w:tc>
          <w:tcPr>
            <w:tcW w:w="50" w:type="pct"/>
            <w:shd w:val="clear" w:color="auto" w:fill="auto"/>
          </w:tcPr>
          <w:p w14:paraId="36CA2D3E" w14:textId="77777777" w:rsidR="00787570" w:rsidRDefault="00787570">
            <w:pPr>
              <w:rPr>
                <w:rFonts w:ascii="宋体"/>
              </w:rPr>
            </w:pPr>
          </w:p>
        </w:tc>
        <w:tc>
          <w:tcPr>
            <w:tcW w:w="3688" w:type="pct"/>
            <w:shd w:val="clear" w:color="auto" w:fill="auto"/>
          </w:tcPr>
          <w:p w14:paraId="36CA2D3F" w14:textId="77777777" w:rsidR="00787570" w:rsidRDefault="00787570">
            <w:pPr>
              <w:rPr>
                <w:rFonts w:ascii="宋体"/>
              </w:rPr>
            </w:pPr>
          </w:p>
        </w:tc>
        <w:tc>
          <w:tcPr>
            <w:tcW w:w="5" w:type="pct"/>
            <w:shd w:val="clear" w:color="auto" w:fill="auto"/>
          </w:tcPr>
          <w:p w14:paraId="36CA2D40" w14:textId="77777777" w:rsidR="00787570" w:rsidRDefault="00787570">
            <w:pPr>
              <w:rPr>
                <w:rFonts w:ascii="宋体"/>
              </w:rPr>
            </w:pPr>
          </w:p>
        </w:tc>
        <w:tc>
          <w:tcPr>
            <w:tcW w:w="5" w:type="pct"/>
            <w:shd w:val="clear" w:color="auto" w:fill="auto"/>
          </w:tcPr>
          <w:p w14:paraId="36CA2D41" w14:textId="77777777" w:rsidR="00787570" w:rsidRDefault="00787570">
            <w:pPr>
              <w:rPr>
                <w:rFonts w:ascii="宋体"/>
              </w:rPr>
            </w:pPr>
          </w:p>
        </w:tc>
        <w:tc>
          <w:tcPr>
            <w:tcW w:w="24" w:type="pct"/>
            <w:shd w:val="clear" w:color="auto" w:fill="auto"/>
          </w:tcPr>
          <w:p w14:paraId="36CA2D42" w14:textId="77777777" w:rsidR="00787570" w:rsidRDefault="00787570">
            <w:pPr>
              <w:rPr>
                <w:rFonts w:ascii="宋体"/>
              </w:rPr>
            </w:pPr>
          </w:p>
        </w:tc>
        <w:tc>
          <w:tcPr>
            <w:tcW w:w="5" w:type="pct"/>
            <w:shd w:val="clear" w:color="auto" w:fill="auto"/>
          </w:tcPr>
          <w:p w14:paraId="36CA2D43" w14:textId="77777777" w:rsidR="00787570" w:rsidRDefault="00787570">
            <w:pPr>
              <w:rPr>
                <w:rFonts w:ascii="宋体"/>
              </w:rPr>
            </w:pPr>
          </w:p>
        </w:tc>
        <w:tc>
          <w:tcPr>
            <w:tcW w:w="50" w:type="pct"/>
            <w:shd w:val="clear" w:color="auto" w:fill="auto"/>
          </w:tcPr>
          <w:p w14:paraId="36CA2D44" w14:textId="77777777" w:rsidR="00787570" w:rsidRDefault="00787570">
            <w:pPr>
              <w:rPr>
                <w:rFonts w:ascii="宋体"/>
              </w:rPr>
            </w:pPr>
          </w:p>
        </w:tc>
        <w:tc>
          <w:tcPr>
            <w:tcW w:w="539" w:type="pct"/>
            <w:shd w:val="clear" w:color="auto" w:fill="auto"/>
          </w:tcPr>
          <w:p w14:paraId="36CA2D45" w14:textId="77777777" w:rsidR="00787570" w:rsidRDefault="00787570">
            <w:pPr>
              <w:rPr>
                <w:rFonts w:ascii="宋体"/>
              </w:rPr>
            </w:pPr>
          </w:p>
        </w:tc>
        <w:tc>
          <w:tcPr>
            <w:tcW w:w="5" w:type="pct"/>
            <w:shd w:val="clear" w:color="auto" w:fill="auto"/>
          </w:tcPr>
          <w:p w14:paraId="36CA2D46" w14:textId="77777777" w:rsidR="00787570" w:rsidRDefault="00787570">
            <w:pPr>
              <w:rPr>
                <w:rFonts w:ascii="宋体"/>
              </w:rPr>
            </w:pPr>
          </w:p>
        </w:tc>
        <w:tc>
          <w:tcPr>
            <w:tcW w:w="5" w:type="pct"/>
            <w:shd w:val="clear" w:color="auto" w:fill="auto"/>
          </w:tcPr>
          <w:p w14:paraId="36CA2D47" w14:textId="77777777" w:rsidR="00787570" w:rsidRDefault="00787570">
            <w:pPr>
              <w:rPr>
                <w:rFonts w:ascii="宋体"/>
              </w:rPr>
            </w:pPr>
          </w:p>
        </w:tc>
        <w:tc>
          <w:tcPr>
            <w:tcW w:w="24" w:type="pct"/>
            <w:shd w:val="clear" w:color="auto" w:fill="auto"/>
          </w:tcPr>
          <w:p w14:paraId="36CA2D48" w14:textId="77777777" w:rsidR="00787570" w:rsidRDefault="00787570">
            <w:pPr>
              <w:rPr>
                <w:rFonts w:ascii="宋体"/>
              </w:rPr>
            </w:pPr>
          </w:p>
        </w:tc>
        <w:tc>
          <w:tcPr>
            <w:tcW w:w="5" w:type="pct"/>
            <w:shd w:val="clear" w:color="auto" w:fill="auto"/>
          </w:tcPr>
          <w:p w14:paraId="36CA2D49" w14:textId="77777777" w:rsidR="00787570" w:rsidRDefault="00787570">
            <w:pPr>
              <w:rPr>
                <w:rFonts w:ascii="宋体"/>
              </w:rPr>
            </w:pPr>
          </w:p>
        </w:tc>
        <w:tc>
          <w:tcPr>
            <w:tcW w:w="50" w:type="pct"/>
            <w:shd w:val="clear" w:color="auto" w:fill="auto"/>
          </w:tcPr>
          <w:p w14:paraId="36CA2D4A" w14:textId="77777777" w:rsidR="00787570" w:rsidRDefault="00787570">
            <w:pPr>
              <w:rPr>
                <w:rFonts w:ascii="宋体"/>
              </w:rPr>
            </w:pPr>
          </w:p>
        </w:tc>
        <w:tc>
          <w:tcPr>
            <w:tcW w:w="539" w:type="pct"/>
            <w:shd w:val="clear" w:color="auto" w:fill="auto"/>
          </w:tcPr>
          <w:p w14:paraId="36CA2D4B" w14:textId="77777777" w:rsidR="00787570" w:rsidRDefault="00787570">
            <w:pPr>
              <w:rPr>
                <w:rFonts w:ascii="宋体"/>
              </w:rPr>
            </w:pPr>
          </w:p>
        </w:tc>
        <w:tc>
          <w:tcPr>
            <w:tcW w:w="5" w:type="pct"/>
            <w:shd w:val="clear" w:color="auto" w:fill="auto"/>
          </w:tcPr>
          <w:p w14:paraId="36CA2D4C" w14:textId="77777777" w:rsidR="00787570" w:rsidRDefault="00787570">
            <w:pPr>
              <w:rPr>
                <w:rFonts w:ascii="宋体"/>
              </w:rPr>
            </w:pPr>
          </w:p>
        </w:tc>
      </w:tr>
      <w:tr w:rsidR="00787570" w14:paraId="36CA2D53" w14:textId="77777777">
        <w:tc>
          <w:tcPr>
            <w:tcW w:w="0" w:type="auto"/>
            <w:gridSpan w:val="3"/>
            <w:shd w:val="clear" w:color="auto" w:fill="auto"/>
            <w:tcMar>
              <w:top w:w="40" w:type="dxa"/>
              <w:left w:w="20" w:type="dxa"/>
              <w:bottom w:w="40" w:type="dxa"/>
              <w:right w:w="20" w:type="dxa"/>
            </w:tcMar>
            <w:vAlign w:val="bottom"/>
          </w:tcPr>
          <w:p w14:paraId="36CA2D4E" w14:textId="77777777" w:rsidR="00787570" w:rsidRDefault="000D56E2">
            <w:pPr>
              <w:textAlignment w:val="bottom"/>
            </w:pPr>
            <w:r>
              <w:rPr>
                <w:rFonts w:ascii="Arial" w:eastAsia="宋体" w:hAnsi="Arial" w:cs="Arial"/>
                <w:b/>
                <w:bCs/>
                <w:color w:val="333333"/>
                <w:sz w:val="18"/>
                <w:szCs w:val="18"/>
              </w:rPr>
              <w:t>(In Millions)</w:t>
            </w:r>
          </w:p>
        </w:tc>
        <w:tc>
          <w:tcPr>
            <w:tcW w:w="0" w:type="auto"/>
            <w:gridSpan w:val="3"/>
            <w:shd w:val="clear" w:color="auto" w:fill="auto"/>
            <w:tcMar>
              <w:left w:w="20" w:type="dxa"/>
              <w:right w:w="20" w:type="dxa"/>
            </w:tcMar>
            <w:vAlign w:val="bottom"/>
          </w:tcPr>
          <w:p w14:paraId="36CA2D4F" w14:textId="77777777" w:rsidR="00787570" w:rsidRDefault="00787570">
            <w:pPr>
              <w:rPr>
                <w:rFonts w:ascii="宋体"/>
              </w:rPr>
            </w:pPr>
          </w:p>
        </w:tc>
        <w:tc>
          <w:tcPr>
            <w:tcW w:w="0" w:type="auto"/>
            <w:gridSpan w:val="3"/>
            <w:shd w:val="clear" w:color="auto" w:fill="auto"/>
            <w:tcMar>
              <w:top w:w="40" w:type="dxa"/>
              <w:left w:w="20" w:type="dxa"/>
              <w:bottom w:w="40" w:type="dxa"/>
              <w:right w:w="20" w:type="dxa"/>
            </w:tcMar>
            <w:vAlign w:val="bottom"/>
          </w:tcPr>
          <w:p w14:paraId="36CA2D50" w14:textId="77777777" w:rsidR="00787570" w:rsidRDefault="000D56E2">
            <w:pPr>
              <w:jc w:val="center"/>
              <w:textAlignment w:val="bottom"/>
            </w:pPr>
            <w:r>
              <w:rPr>
                <w:rFonts w:ascii="Arial" w:eastAsia="宋体" w:hAnsi="Arial" w:cs="Arial"/>
                <w:b/>
                <w:bCs/>
                <w:color w:val="333333"/>
                <w:sz w:val="18"/>
                <w:szCs w:val="18"/>
              </w:rPr>
              <w:t>Sep 26, 2020</w:t>
            </w:r>
          </w:p>
        </w:tc>
        <w:tc>
          <w:tcPr>
            <w:tcW w:w="0" w:type="auto"/>
            <w:gridSpan w:val="3"/>
            <w:shd w:val="clear" w:color="auto" w:fill="auto"/>
            <w:tcMar>
              <w:left w:w="20" w:type="dxa"/>
              <w:right w:w="20" w:type="dxa"/>
            </w:tcMar>
            <w:vAlign w:val="bottom"/>
          </w:tcPr>
          <w:p w14:paraId="36CA2D51" w14:textId="77777777" w:rsidR="00787570" w:rsidRDefault="00787570">
            <w:pPr>
              <w:rPr>
                <w:rFonts w:ascii="宋体"/>
              </w:rPr>
            </w:pPr>
          </w:p>
        </w:tc>
        <w:tc>
          <w:tcPr>
            <w:tcW w:w="0" w:type="auto"/>
            <w:gridSpan w:val="3"/>
            <w:shd w:val="clear" w:color="auto" w:fill="auto"/>
            <w:tcMar>
              <w:top w:w="40" w:type="dxa"/>
              <w:left w:w="20" w:type="dxa"/>
              <w:bottom w:w="40" w:type="dxa"/>
              <w:right w:w="20" w:type="dxa"/>
            </w:tcMar>
            <w:vAlign w:val="bottom"/>
          </w:tcPr>
          <w:p w14:paraId="36CA2D52" w14:textId="77777777" w:rsidR="00787570" w:rsidRDefault="000D56E2">
            <w:pPr>
              <w:jc w:val="center"/>
              <w:textAlignment w:val="bottom"/>
            </w:pPr>
            <w:r>
              <w:rPr>
                <w:rFonts w:ascii="Arial" w:eastAsia="宋体" w:hAnsi="Arial" w:cs="Arial"/>
                <w:b/>
                <w:bCs/>
                <w:color w:val="333333"/>
                <w:sz w:val="18"/>
                <w:szCs w:val="18"/>
              </w:rPr>
              <w:t>Dec 28, 2019</w:t>
            </w:r>
          </w:p>
        </w:tc>
      </w:tr>
      <w:tr w:rsidR="00787570" w14:paraId="36CA2D5D" w14:textId="77777777">
        <w:tc>
          <w:tcPr>
            <w:tcW w:w="0" w:type="auto"/>
            <w:gridSpan w:val="3"/>
            <w:tcBorders>
              <w:top w:val="single" w:sz="8" w:space="0" w:color="0071C5"/>
            </w:tcBorders>
            <w:shd w:val="clear" w:color="auto" w:fill="auto"/>
            <w:tcMar>
              <w:top w:w="40" w:type="dxa"/>
              <w:left w:w="20" w:type="dxa"/>
              <w:bottom w:w="40" w:type="dxa"/>
              <w:right w:w="20" w:type="dxa"/>
            </w:tcMar>
            <w:vAlign w:val="bottom"/>
          </w:tcPr>
          <w:p w14:paraId="36CA2D54" w14:textId="77777777" w:rsidR="00787570" w:rsidRDefault="000D56E2">
            <w:pPr>
              <w:textAlignment w:val="bottom"/>
            </w:pPr>
            <w:r>
              <w:rPr>
                <w:rFonts w:ascii="Arial" w:eastAsia="宋体" w:hAnsi="Arial" w:cs="Arial"/>
                <w:color w:val="333333"/>
                <w:sz w:val="18"/>
                <w:szCs w:val="18"/>
              </w:rPr>
              <w:t xml:space="preserve">Prepaid supply </w:t>
            </w:r>
            <w:r>
              <w:rPr>
                <w:rFonts w:ascii="Arial" w:eastAsia="宋体" w:hAnsi="Arial" w:cs="Arial"/>
                <w:color w:val="333333"/>
                <w:sz w:val="18"/>
                <w:szCs w:val="18"/>
              </w:rPr>
              <w:t>agreements</w:t>
            </w:r>
          </w:p>
        </w:tc>
        <w:tc>
          <w:tcPr>
            <w:tcW w:w="0" w:type="auto"/>
            <w:gridSpan w:val="3"/>
            <w:shd w:val="clear" w:color="auto" w:fill="auto"/>
            <w:tcMar>
              <w:left w:w="20" w:type="dxa"/>
              <w:right w:w="20" w:type="dxa"/>
            </w:tcMar>
            <w:vAlign w:val="bottom"/>
          </w:tcPr>
          <w:p w14:paraId="36CA2D55" w14:textId="77777777" w:rsidR="00787570" w:rsidRDefault="00787570">
            <w:pPr>
              <w:rPr>
                <w:rFonts w:ascii="宋体"/>
              </w:rPr>
            </w:pPr>
          </w:p>
        </w:tc>
        <w:tc>
          <w:tcPr>
            <w:tcW w:w="0" w:type="auto"/>
            <w:tcBorders>
              <w:top w:val="single" w:sz="8" w:space="0" w:color="0071C5"/>
            </w:tcBorders>
            <w:shd w:val="clear" w:color="auto" w:fill="auto"/>
            <w:tcMar>
              <w:top w:w="40" w:type="dxa"/>
              <w:left w:w="20" w:type="dxa"/>
              <w:bottom w:w="40" w:type="dxa"/>
            </w:tcMar>
            <w:vAlign w:val="bottom"/>
          </w:tcPr>
          <w:p w14:paraId="36CA2D56" w14:textId="77777777" w:rsidR="00787570" w:rsidRDefault="000D56E2">
            <w:pPr>
              <w:textAlignment w:val="bottom"/>
            </w:pPr>
            <w:r>
              <w:rPr>
                <w:rFonts w:ascii="Arial" w:eastAsia="宋体" w:hAnsi="Arial" w:cs="Arial"/>
                <w:color w:val="026DCE"/>
                <w:sz w:val="18"/>
                <w:szCs w:val="18"/>
              </w:rPr>
              <w:t>$</w:t>
            </w:r>
          </w:p>
        </w:tc>
        <w:tc>
          <w:tcPr>
            <w:tcW w:w="0" w:type="auto"/>
            <w:tcBorders>
              <w:top w:val="single" w:sz="8" w:space="0" w:color="0071C5"/>
            </w:tcBorders>
            <w:shd w:val="clear" w:color="auto" w:fill="auto"/>
            <w:tcMar>
              <w:top w:w="40" w:type="dxa"/>
              <w:bottom w:w="40" w:type="dxa"/>
              <w:right w:w="0" w:type="dxa"/>
            </w:tcMar>
            <w:vAlign w:val="bottom"/>
          </w:tcPr>
          <w:p w14:paraId="36CA2D57" w14:textId="77777777" w:rsidR="00787570" w:rsidRDefault="000D56E2">
            <w:pPr>
              <w:jc w:val="right"/>
              <w:textAlignment w:val="bottom"/>
            </w:pPr>
            <w:r>
              <w:rPr>
                <w:rFonts w:ascii="Arial" w:eastAsia="宋体" w:hAnsi="Arial" w:cs="Arial"/>
                <w:color w:val="026DCE"/>
                <w:sz w:val="18"/>
                <w:szCs w:val="18"/>
              </w:rPr>
              <w:t>1,714 </w:t>
            </w:r>
          </w:p>
        </w:tc>
        <w:tc>
          <w:tcPr>
            <w:tcW w:w="0" w:type="auto"/>
            <w:tcBorders>
              <w:top w:val="single" w:sz="8" w:space="0" w:color="0071C5"/>
            </w:tcBorders>
            <w:shd w:val="clear" w:color="auto" w:fill="auto"/>
            <w:tcMar>
              <w:top w:w="40" w:type="dxa"/>
              <w:bottom w:w="40" w:type="dxa"/>
              <w:right w:w="20" w:type="dxa"/>
            </w:tcMar>
            <w:vAlign w:val="bottom"/>
          </w:tcPr>
          <w:p w14:paraId="36CA2D58"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2D59" w14:textId="77777777" w:rsidR="00787570" w:rsidRDefault="00787570">
            <w:pPr>
              <w:rPr>
                <w:rFonts w:ascii="宋体"/>
              </w:rPr>
            </w:pPr>
          </w:p>
        </w:tc>
        <w:tc>
          <w:tcPr>
            <w:tcW w:w="0" w:type="auto"/>
            <w:tcBorders>
              <w:top w:val="single" w:sz="8" w:space="0" w:color="0071C5"/>
            </w:tcBorders>
            <w:shd w:val="clear" w:color="auto" w:fill="auto"/>
            <w:tcMar>
              <w:top w:w="40" w:type="dxa"/>
              <w:left w:w="20" w:type="dxa"/>
              <w:bottom w:w="40" w:type="dxa"/>
            </w:tcMar>
            <w:vAlign w:val="bottom"/>
          </w:tcPr>
          <w:p w14:paraId="36CA2D5A" w14:textId="77777777" w:rsidR="00787570" w:rsidRDefault="000D56E2">
            <w:pPr>
              <w:textAlignment w:val="bottom"/>
            </w:pPr>
            <w:r>
              <w:rPr>
                <w:rFonts w:ascii="Arial" w:eastAsia="宋体" w:hAnsi="Arial" w:cs="Arial"/>
                <w:color w:val="333333"/>
                <w:sz w:val="18"/>
                <w:szCs w:val="18"/>
              </w:rPr>
              <w:t>$</w:t>
            </w:r>
          </w:p>
        </w:tc>
        <w:tc>
          <w:tcPr>
            <w:tcW w:w="0" w:type="auto"/>
            <w:tcBorders>
              <w:top w:val="single" w:sz="8" w:space="0" w:color="0071C5"/>
            </w:tcBorders>
            <w:shd w:val="clear" w:color="auto" w:fill="auto"/>
            <w:tcMar>
              <w:top w:w="40" w:type="dxa"/>
              <w:bottom w:w="40" w:type="dxa"/>
              <w:right w:w="0" w:type="dxa"/>
            </w:tcMar>
            <w:vAlign w:val="bottom"/>
          </w:tcPr>
          <w:p w14:paraId="36CA2D5B" w14:textId="77777777" w:rsidR="00787570" w:rsidRDefault="000D56E2">
            <w:pPr>
              <w:jc w:val="right"/>
              <w:textAlignment w:val="bottom"/>
            </w:pPr>
            <w:r>
              <w:rPr>
                <w:rFonts w:ascii="Arial" w:eastAsia="宋体" w:hAnsi="Arial" w:cs="Arial"/>
                <w:color w:val="333333"/>
                <w:sz w:val="18"/>
                <w:szCs w:val="18"/>
              </w:rPr>
              <w:t>1,805 </w:t>
            </w:r>
          </w:p>
        </w:tc>
        <w:tc>
          <w:tcPr>
            <w:tcW w:w="0" w:type="auto"/>
            <w:tcBorders>
              <w:top w:val="single" w:sz="8" w:space="0" w:color="0071C5"/>
            </w:tcBorders>
            <w:shd w:val="clear" w:color="auto" w:fill="auto"/>
            <w:tcMar>
              <w:top w:w="40" w:type="dxa"/>
              <w:bottom w:w="40" w:type="dxa"/>
              <w:right w:w="20" w:type="dxa"/>
            </w:tcMar>
            <w:vAlign w:val="bottom"/>
          </w:tcPr>
          <w:p w14:paraId="36CA2D5C" w14:textId="77777777" w:rsidR="00787570" w:rsidRDefault="00787570">
            <w:pPr>
              <w:jc w:val="right"/>
              <w:rPr>
                <w:rFonts w:ascii="宋体"/>
              </w:rPr>
            </w:pPr>
          </w:p>
        </w:tc>
      </w:tr>
      <w:tr w:rsidR="00787570" w14:paraId="36CA2D63" w14:textId="77777777">
        <w:trPr>
          <w:hidden/>
        </w:trPr>
        <w:tc>
          <w:tcPr>
            <w:tcW w:w="0" w:type="auto"/>
            <w:gridSpan w:val="3"/>
            <w:shd w:val="clear" w:color="auto" w:fill="auto"/>
          </w:tcPr>
          <w:p w14:paraId="36CA2D5E" w14:textId="77777777" w:rsidR="00787570" w:rsidRDefault="00787570">
            <w:pPr>
              <w:rPr>
                <w:rFonts w:ascii="宋体"/>
                <w:vanish/>
              </w:rPr>
            </w:pPr>
          </w:p>
        </w:tc>
        <w:tc>
          <w:tcPr>
            <w:tcW w:w="0" w:type="auto"/>
            <w:gridSpan w:val="3"/>
            <w:shd w:val="clear" w:color="auto" w:fill="auto"/>
          </w:tcPr>
          <w:p w14:paraId="36CA2D5F" w14:textId="77777777" w:rsidR="00787570" w:rsidRDefault="00787570">
            <w:pPr>
              <w:rPr>
                <w:rFonts w:ascii="宋体"/>
                <w:vanish/>
              </w:rPr>
            </w:pPr>
          </w:p>
        </w:tc>
        <w:tc>
          <w:tcPr>
            <w:tcW w:w="0" w:type="auto"/>
            <w:gridSpan w:val="3"/>
            <w:shd w:val="clear" w:color="auto" w:fill="auto"/>
          </w:tcPr>
          <w:p w14:paraId="36CA2D60" w14:textId="77777777" w:rsidR="00787570" w:rsidRDefault="00787570">
            <w:pPr>
              <w:rPr>
                <w:rFonts w:ascii="宋体"/>
                <w:vanish/>
              </w:rPr>
            </w:pPr>
          </w:p>
        </w:tc>
        <w:tc>
          <w:tcPr>
            <w:tcW w:w="0" w:type="auto"/>
            <w:gridSpan w:val="3"/>
            <w:shd w:val="clear" w:color="auto" w:fill="auto"/>
          </w:tcPr>
          <w:p w14:paraId="36CA2D61" w14:textId="77777777" w:rsidR="00787570" w:rsidRDefault="00787570">
            <w:pPr>
              <w:rPr>
                <w:rFonts w:ascii="宋体"/>
                <w:vanish/>
              </w:rPr>
            </w:pPr>
          </w:p>
        </w:tc>
        <w:tc>
          <w:tcPr>
            <w:tcW w:w="0" w:type="auto"/>
            <w:gridSpan w:val="3"/>
            <w:shd w:val="clear" w:color="auto" w:fill="auto"/>
          </w:tcPr>
          <w:p w14:paraId="36CA2D62" w14:textId="77777777" w:rsidR="00787570" w:rsidRDefault="00787570">
            <w:pPr>
              <w:rPr>
                <w:rFonts w:ascii="宋体"/>
                <w:vanish/>
              </w:rPr>
            </w:pPr>
          </w:p>
        </w:tc>
      </w:tr>
      <w:tr w:rsidR="00787570" w14:paraId="36CA2D6B" w14:textId="77777777">
        <w:tc>
          <w:tcPr>
            <w:tcW w:w="0" w:type="auto"/>
            <w:gridSpan w:val="3"/>
            <w:shd w:val="clear" w:color="auto" w:fill="auto"/>
            <w:tcMar>
              <w:top w:w="40" w:type="dxa"/>
              <w:left w:w="20" w:type="dxa"/>
              <w:bottom w:w="40" w:type="dxa"/>
              <w:right w:w="20" w:type="dxa"/>
            </w:tcMar>
            <w:vAlign w:val="bottom"/>
          </w:tcPr>
          <w:p w14:paraId="36CA2D64" w14:textId="77777777" w:rsidR="00787570" w:rsidRDefault="000D56E2">
            <w:pPr>
              <w:textAlignment w:val="bottom"/>
            </w:pPr>
            <w:r>
              <w:rPr>
                <w:rFonts w:ascii="Arial" w:eastAsia="宋体" w:hAnsi="Arial" w:cs="Arial"/>
                <w:color w:val="333333"/>
                <w:sz w:val="18"/>
                <w:szCs w:val="18"/>
              </w:rPr>
              <w:t>Other</w:t>
            </w:r>
          </w:p>
        </w:tc>
        <w:tc>
          <w:tcPr>
            <w:tcW w:w="0" w:type="auto"/>
            <w:gridSpan w:val="3"/>
            <w:shd w:val="clear" w:color="auto" w:fill="auto"/>
            <w:tcMar>
              <w:left w:w="20" w:type="dxa"/>
              <w:right w:w="20" w:type="dxa"/>
            </w:tcMar>
            <w:vAlign w:val="bottom"/>
          </w:tcPr>
          <w:p w14:paraId="36CA2D65"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2D66" w14:textId="77777777" w:rsidR="00787570" w:rsidRDefault="000D56E2">
            <w:pPr>
              <w:jc w:val="right"/>
              <w:textAlignment w:val="bottom"/>
            </w:pPr>
            <w:r>
              <w:rPr>
                <w:rFonts w:ascii="Arial" w:eastAsia="宋体" w:hAnsi="Arial" w:cs="Arial"/>
                <w:color w:val="026DCE"/>
                <w:sz w:val="18"/>
                <w:szCs w:val="18"/>
              </w:rPr>
              <w:t>264 </w:t>
            </w:r>
          </w:p>
        </w:tc>
        <w:tc>
          <w:tcPr>
            <w:tcW w:w="0" w:type="auto"/>
            <w:shd w:val="clear" w:color="auto" w:fill="auto"/>
            <w:tcMar>
              <w:top w:w="40" w:type="dxa"/>
              <w:bottom w:w="40" w:type="dxa"/>
              <w:right w:w="20" w:type="dxa"/>
            </w:tcMar>
            <w:vAlign w:val="bottom"/>
          </w:tcPr>
          <w:p w14:paraId="36CA2D67"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2D68"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2D69" w14:textId="77777777" w:rsidR="00787570" w:rsidRDefault="000D56E2">
            <w:pPr>
              <w:jc w:val="right"/>
              <w:textAlignment w:val="bottom"/>
            </w:pPr>
            <w:r>
              <w:rPr>
                <w:rFonts w:ascii="Arial" w:eastAsia="宋体" w:hAnsi="Arial" w:cs="Arial"/>
                <w:color w:val="333333"/>
                <w:sz w:val="18"/>
                <w:szCs w:val="18"/>
              </w:rPr>
              <w:t>236 </w:t>
            </w:r>
          </w:p>
        </w:tc>
        <w:tc>
          <w:tcPr>
            <w:tcW w:w="0" w:type="auto"/>
            <w:shd w:val="clear" w:color="auto" w:fill="auto"/>
            <w:tcMar>
              <w:top w:w="40" w:type="dxa"/>
              <w:bottom w:w="40" w:type="dxa"/>
              <w:right w:w="20" w:type="dxa"/>
            </w:tcMar>
            <w:vAlign w:val="bottom"/>
          </w:tcPr>
          <w:p w14:paraId="36CA2D6A" w14:textId="77777777" w:rsidR="00787570" w:rsidRDefault="00787570">
            <w:pPr>
              <w:jc w:val="right"/>
              <w:rPr>
                <w:rFonts w:ascii="宋体"/>
              </w:rPr>
            </w:pPr>
          </w:p>
        </w:tc>
      </w:tr>
      <w:tr w:rsidR="00787570" w14:paraId="36CA2D75" w14:textId="77777777">
        <w:tc>
          <w:tcPr>
            <w:tcW w:w="0" w:type="auto"/>
            <w:gridSpan w:val="3"/>
            <w:shd w:val="clear" w:color="auto" w:fill="auto"/>
            <w:tcMar>
              <w:top w:w="40" w:type="dxa"/>
              <w:left w:w="20" w:type="dxa"/>
              <w:bottom w:w="40" w:type="dxa"/>
              <w:right w:w="20" w:type="dxa"/>
            </w:tcMar>
          </w:tcPr>
          <w:p w14:paraId="36CA2D6C" w14:textId="77777777" w:rsidR="00787570" w:rsidRDefault="000D56E2">
            <w:pPr>
              <w:textAlignment w:val="top"/>
            </w:pPr>
            <w:r>
              <w:rPr>
                <w:rFonts w:ascii="Arial" w:eastAsia="宋体" w:hAnsi="Arial" w:cs="Arial"/>
                <w:b/>
                <w:bCs/>
                <w:color w:val="333333"/>
                <w:sz w:val="18"/>
                <w:szCs w:val="18"/>
              </w:rPr>
              <w:t>Total contract liabilities</w:t>
            </w:r>
          </w:p>
        </w:tc>
        <w:tc>
          <w:tcPr>
            <w:tcW w:w="0" w:type="auto"/>
            <w:gridSpan w:val="3"/>
            <w:shd w:val="clear" w:color="auto" w:fill="auto"/>
            <w:tcMar>
              <w:left w:w="20" w:type="dxa"/>
              <w:right w:w="20" w:type="dxa"/>
            </w:tcMar>
            <w:vAlign w:val="bottom"/>
          </w:tcPr>
          <w:p w14:paraId="36CA2D6D" w14:textId="77777777" w:rsidR="00787570" w:rsidRDefault="00787570">
            <w:pPr>
              <w:rPr>
                <w:rFonts w:ascii="宋体"/>
              </w:rPr>
            </w:pPr>
          </w:p>
        </w:tc>
        <w:tc>
          <w:tcPr>
            <w:tcW w:w="0" w:type="auto"/>
            <w:tcBorders>
              <w:top w:val="single" w:sz="8" w:space="0" w:color="333333"/>
              <w:bottom w:val="double" w:sz="6" w:space="0" w:color="333333"/>
            </w:tcBorders>
            <w:shd w:val="clear" w:color="auto" w:fill="auto"/>
            <w:tcMar>
              <w:top w:w="40" w:type="dxa"/>
              <w:left w:w="20" w:type="dxa"/>
              <w:bottom w:w="40" w:type="dxa"/>
            </w:tcMar>
            <w:vAlign w:val="bottom"/>
          </w:tcPr>
          <w:p w14:paraId="36CA2D6E" w14:textId="77777777" w:rsidR="00787570" w:rsidRDefault="000D56E2">
            <w:pPr>
              <w:textAlignment w:val="bottom"/>
            </w:pPr>
            <w:r>
              <w:rPr>
                <w:rFonts w:ascii="Arial" w:eastAsia="宋体" w:hAnsi="Arial" w:cs="Arial"/>
                <w:b/>
                <w:bCs/>
                <w:color w:val="026DCE"/>
                <w:sz w:val="18"/>
                <w:szCs w:val="18"/>
              </w:rPr>
              <w:t>$</w:t>
            </w:r>
          </w:p>
        </w:tc>
        <w:tc>
          <w:tcPr>
            <w:tcW w:w="0" w:type="auto"/>
            <w:tcBorders>
              <w:top w:val="single" w:sz="8" w:space="0" w:color="333333"/>
              <w:bottom w:val="double" w:sz="6" w:space="0" w:color="333333"/>
            </w:tcBorders>
            <w:shd w:val="clear" w:color="auto" w:fill="auto"/>
            <w:tcMar>
              <w:top w:w="40" w:type="dxa"/>
              <w:bottom w:w="40" w:type="dxa"/>
              <w:right w:w="0" w:type="dxa"/>
            </w:tcMar>
            <w:vAlign w:val="bottom"/>
          </w:tcPr>
          <w:p w14:paraId="36CA2D6F" w14:textId="77777777" w:rsidR="00787570" w:rsidRDefault="000D56E2">
            <w:pPr>
              <w:jc w:val="right"/>
              <w:textAlignment w:val="bottom"/>
            </w:pPr>
            <w:r>
              <w:rPr>
                <w:rFonts w:ascii="Arial" w:eastAsia="宋体" w:hAnsi="Arial" w:cs="Arial"/>
                <w:b/>
                <w:bCs/>
                <w:color w:val="026DCE"/>
                <w:sz w:val="18"/>
                <w:szCs w:val="18"/>
              </w:rPr>
              <w:t>1,978</w:t>
            </w:r>
            <w:r>
              <w:rPr>
                <w:rFonts w:ascii="Arial" w:eastAsia="宋体" w:hAnsi="Arial" w:cs="Arial"/>
                <w:color w:val="026DCE"/>
                <w:sz w:val="18"/>
                <w:szCs w:val="18"/>
              </w:rPr>
              <w:t> </w:t>
            </w:r>
          </w:p>
        </w:tc>
        <w:tc>
          <w:tcPr>
            <w:tcW w:w="0" w:type="auto"/>
            <w:tcBorders>
              <w:top w:val="single" w:sz="8" w:space="0" w:color="333333"/>
              <w:bottom w:val="double" w:sz="6" w:space="0" w:color="333333"/>
            </w:tcBorders>
            <w:shd w:val="clear" w:color="auto" w:fill="auto"/>
            <w:tcMar>
              <w:top w:w="40" w:type="dxa"/>
              <w:bottom w:w="40" w:type="dxa"/>
              <w:right w:w="20" w:type="dxa"/>
            </w:tcMar>
            <w:vAlign w:val="bottom"/>
          </w:tcPr>
          <w:p w14:paraId="36CA2D70"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2D71" w14:textId="77777777" w:rsidR="00787570" w:rsidRDefault="00787570">
            <w:pPr>
              <w:rPr>
                <w:rFonts w:ascii="宋体"/>
              </w:rPr>
            </w:pPr>
          </w:p>
        </w:tc>
        <w:tc>
          <w:tcPr>
            <w:tcW w:w="0" w:type="auto"/>
            <w:tcBorders>
              <w:top w:val="single" w:sz="8" w:space="0" w:color="333333"/>
              <w:bottom w:val="double" w:sz="6" w:space="0" w:color="333333"/>
            </w:tcBorders>
            <w:shd w:val="clear" w:color="auto" w:fill="auto"/>
            <w:tcMar>
              <w:top w:w="40" w:type="dxa"/>
              <w:left w:w="20" w:type="dxa"/>
              <w:bottom w:w="40" w:type="dxa"/>
            </w:tcMar>
            <w:vAlign w:val="bottom"/>
          </w:tcPr>
          <w:p w14:paraId="36CA2D72" w14:textId="77777777" w:rsidR="00787570" w:rsidRDefault="000D56E2">
            <w:pPr>
              <w:textAlignment w:val="bottom"/>
            </w:pPr>
            <w:r>
              <w:rPr>
                <w:rFonts w:ascii="Arial" w:eastAsia="宋体" w:hAnsi="Arial" w:cs="Arial"/>
                <w:b/>
                <w:bCs/>
                <w:color w:val="333333"/>
                <w:sz w:val="18"/>
                <w:szCs w:val="18"/>
              </w:rPr>
              <w:t>$</w:t>
            </w:r>
          </w:p>
        </w:tc>
        <w:tc>
          <w:tcPr>
            <w:tcW w:w="0" w:type="auto"/>
            <w:tcBorders>
              <w:top w:val="single" w:sz="8" w:space="0" w:color="333333"/>
              <w:bottom w:val="double" w:sz="6" w:space="0" w:color="333333"/>
            </w:tcBorders>
            <w:shd w:val="clear" w:color="auto" w:fill="auto"/>
            <w:tcMar>
              <w:top w:w="40" w:type="dxa"/>
              <w:bottom w:w="40" w:type="dxa"/>
              <w:right w:w="0" w:type="dxa"/>
            </w:tcMar>
            <w:vAlign w:val="bottom"/>
          </w:tcPr>
          <w:p w14:paraId="36CA2D73" w14:textId="77777777" w:rsidR="00787570" w:rsidRDefault="000D56E2">
            <w:pPr>
              <w:jc w:val="right"/>
              <w:textAlignment w:val="bottom"/>
            </w:pPr>
            <w:r>
              <w:rPr>
                <w:rFonts w:ascii="Arial" w:eastAsia="宋体" w:hAnsi="Arial" w:cs="Arial"/>
                <w:b/>
                <w:bCs/>
                <w:color w:val="333333"/>
                <w:sz w:val="18"/>
                <w:szCs w:val="18"/>
              </w:rPr>
              <w:t>2,041</w:t>
            </w:r>
            <w:r>
              <w:rPr>
                <w:rFonts w:ascii="Arial" w:eastAsia="宋体" w:hAnsi="Arial" w:cs="Arial"/>
                <w:color w:val="333333"/>
                <w:sz w:val="18"/>
                <w:szCs w:val="18"/>
              </w:rPr>
              <w:t> </w:t>
            </w:r>
          </w:p>
        </w:tc>
        <w:tc>
          <w:tcPr>
            <w:tcW w:w="0" w:type="auto"/>
            <w:tcBorders>
              <w:top w:val="single" w:sz="8" w:space="0" w:color="333333"/>
              <w:bottom w:val="double" w:sz="6" w:space="0" w:color="333333"/>
            </w:tcBorders>
            <w:shd w:val="clear" w:color="auto" w:fill="auto"/>
            <w:tcMar>
              <w:top w:w="40" w:type="dxa"/>
              <w:bottom w:w="40" w:type="dxa"/>
              <w:right w:w="20" w:type="dxa"/>
            </w:tcMar>
            <w:vAlign w:val="bottom"/>
          </w:tcPr>
          <w:p w14:paraId="36CA2D74" w14:textId="77777777" w:rsidR="00787570" w:rsidRDefault="00787570">
            <w:pPr>
              <w:jc w:val="right"/>
              <w:rPr>
                <w:rFonts w:ascii="宋体"/>
              </w:rPr>
            </w:pPr>
          </w:p>
        </w:tc>
      </w:tr>
      <w:tr w:rsidR="00787570" w14:paraId="36CA2D7B" w14:textId="77777777">
        <w:trPr>
          <w:hidden/>
        </w:trPr>
        <w:tc>
          <w:tcPr>
            <w:tcW w:w="0" w:type="auto"/>
            <w:gridSpan w:val="3"/>
            <w:shd w:val="clear" w:color="auto" w:fill="auto"/>
          </w:tcPr>
          <w:p w14:paraId="36CA2D76" w14:textId="77777777" w:rsidR="00787570" w:rsidRDefault="00787570">
            <w:pPr>
              <w:rPr>
                <w:rFonts w:ascii="宋体"/>
                <w:vanish/>
              </w:rPr>
            </w:pPr>
          </w:p>
        </w:tc>
        <w:tc>
          <w:tcPr>
            <w:tcW w:w="0" w:type="auto"/>
            <w:gridSpan w:val="3"/>
            <w:shd w:val="clear" w:color="auto" w:fill="auto"/>
          </w:tcPr>
          <w:p w14:paraId="36CA2D77" w14:textId="77777777" w:rsidR="00787570" w:rsidRDefault="00787570">
            <w:pPr>
              <w:rPr>
                <w:rFonts w:ascii="宋体"/>
                <w:vanish/>
              </w:rPr>
            </w:pPr>
          </w:p>
        </w:tc>
        <w:tc>
          <w:tcPr>
            <w:tcW w:w="0" w:type="auto"/>
            <w:gridSpan w:val="3"/>
            <w:shd w:val="clear" w:color="auto" w:fill="auto"/>
          </w:tcPr>
          <w:p w14:paraId="36CA2D78" w14:textId="77777777" w:rsidR="00787570" w:rsidRDefault="00787570">
            <w:pPr>
              <w:rPr>
                <w:rFonts w:ascii="宋体"/>
                <w:vanish/>
              </w:rPr>
            </w:pPr>
          </w:p>
        </w:tc>
        <w:tc>
          <w:tcPr>
            <w:tcW w:w="0" w:type="auto"/>
            <w:gridSpan w:val="3"/>
            <w:shd w:val="clear" w:color="auto" w:fill="auto"/>
          </w:tcPr>
          <w:p w14:paraId="36CA2D79" w14:textId="77777777" w:rsidR="00787570" w:rsidRDefault="00787570">
            <w:pPr>
              <w:rPr>
                <w:rFonts w:ascii="宋体"/>
                <w:vanish/>
              </w:rPr>
            </w:pPr>
          </w:p>
        </w:tc>
        <w:tc>
          <w:tcPr>
            <w:tcW w:w="0" w:type="auto"/>
            <w:gridSpan w:val="3"/>
            <w:shd w:val="clear" w:color="auto" w:fill="auto"/>
          </w:tcPr>
          <w:p w14:paraId="36CA2D7A" w14:textId="77777777" w:rsidR="00787570" w:rsidRDefault="00787570">
            <w:pPr>
              <w:rPr>
                <w:rFonts w:ascii="宋体"/>
                <w:vanish/>
              </w:rPr>
            </w:pPr>
          </w:p>
        </w:tc>
      </w:tr>
      <w:tr w:rsidR="00787570" w14:paraId="36CA2D81" w14:textId="77777777">
        <w:trPr>
          <w:hidden/>
        </w:trPr>
        <w:tc>
          <w:tcPr>
            <w:tcW w:w="0" w:type="auto"/>
            <w:gridSpan w:val="3"/>
            <w:shd w:val="clear" w:color="auto" w:fill="auto"/>
          </w:tcPr>
          <w:p w14:paraId="36CA2D7C" w14:textId="77777777" w:rsidR="00787570" w:rsidRDefault="00787570">
            <w:pPr>
              <w:rPr>
                <w:rFonts w:ascii="宋体"/>
                <w:vanish/>
              </w:rPr>
            </w:pPr>
          </w:p>
        </w:tc>
        <w:tc>
          <w:tcPr>
            <w:tcW w:w="0" w:type="auto"/>
            <w:gridSpan w:val="3"/>
            <w:shd w:val="clear" w:color="auto" w:fill="auto"/>
          </w:tcPr>
          <w:p w14:paraId="36CA2D7D" w14:textId="77777777" w:rsidR="00787570" w:rsidRDefault="00787570">
            <w:pPr>
              <w:rPr>
                <w:rFonts w:ascii="宋体"/>
                <w:vanish/>
              </w:rPr>
            </w:pPr>
          </w:p>
        </w:tc>
        <w:tc>
          <w:tcPr>
            <w:tcW w:w="0" w:type="auto"/>
            <w:gridSpan w:val="3"/>
            <w:shd w:val="clear" w:color="auto" w:fill="auto"/>
          </w:tcPr>
          <w:p w14:paraId="36CA2D7E" w14:textId="77777777" w:rsidR="00787570" w:rsidRDefault="00787570">
            <w:pPr>
              <w:rPr>
                <w:rFonts w:ascii="宋体"/>
                <w:vanish/>
              </w:rPr>
            </w:pPr>
          </w:p>
        </w:tc>
        <w:tc>
          <w:tcPr>
            <w:tcW w:w="0" w:type="auto"/>
            <w:gridSpan w:val="3"/>
            <w:shd w:val="clear" w:color="auto" w:fill="auto"/>
          </w:tcPr>
          <w:p w14:paraId="36CA2D7F" w14:textId="77777777" w:rsidR="00787570" w:rsidRDefault="00787570">
            <w:pPr>
              <w:rPr>
                <w:rFonts w:ascii="宋体"/>
                <w:vanish/>
              </w:rPr>
            </w:pPr>
          </w:p>
        </w:tc>
        <w:tc>
          <w:tcPr>
            <w:tcW w:w="0" w:type="auto"/>
            <w:gridSpan w:val="3"/>
            <w:shd w:val="clear" w:color="auto" w:fill="auto"/>
          </w:tcPr>
          <w:p w14:paraId="36CA2D80" w14:textId="77777777" w:rsidR="00787570" w:rsidRDefault="00787570">
            <w:pPr>
              <w:rPr>
                <w:rFonts w:ascii="宋体"/>
                <w:vanish/>
              </w:rPr>
            </w:pPr>
          </w:p>
        </w:tc>
      </w:tr>
    </w:tbl>
    <w:p w14:paraId="36CA2D82" w14:textId="77777777" w:rsidR="00787570" w:rsidRDefault="000D56E2">
      <w:pPr>
        <w:spacing w:before="180" w:after="180"/>
      </w:pPr>
      <w:r>
        <w:rPr>
          <w:rFonts w:ascii="Arial" w:eastAsia="宋体" w:hAnsi="Arial" w:cs="Arial"/>
          <w:color w:val="333333"/>
          <w:sz w:val="18"/>
          <w:szCs w:val="18"/>
        </w:rPr>
        <w:t xml:space="preserve">Contract liabilities are primarily related to prepayments received from customers on long-term prepaid supply agreements toward </w:t>
      </w:r>
      <w:r>
        <w:rPr>
          <w:rFonts w:ascii="Arial" w:eastAsia="宋体" w:hAnsi="Arial" w:cs="Arial"/>
          <w:color w:val="333333"/>
          <w:sz w:val="18"/>
          <w:szCs w:val="18"/>
        </w:rPr>
        <w:t>future NSG product delivery. The short-term portion of contract liabilities ($597 million as of September 26, 2020 and $673 million as of December 28, 2019) is reported on the Consolidated Condensed Balance Sheets within other accrued liabilities.</w:t>
      </w:r>
    </w:p>
    <w:p w14:paraId="36CA2D83" w14:textId="77777777" w:rsidR="00787570" w:rsidRDefault="000D56E2">
      <w:pPr>
        <w:spacing w:after="120"/>
      </w:pPr>
      <w:r>
        <w:rPr>
          <w:rFonts w:ascii="Arial" w:eastAsia="宋体" w:hAnsi="Arial" w:cs="Arial"/>
          <w:color w:val="333333"/>
          <w:sz w:val="18"/>
          <w:szCs w:val="18"/>
        </w:rPr>
        <w:t>The foll</w:t>
      </w:r>
      <w:r>
        <w:rPr>
          <w:rFonts w:ascii="Arial" w:eastAsia="宋体" w:hAnsi="Arial" w:cs="Arial"/>
          <w:color w:val="333333"/>
          <w:sz w:val="18"/>
          <w:szCs w:val="18"/>
        </w:rPr>
        <w:t>owing table shows the changes in contract liability balances relating to long-term prepaid supply agreements during the first nine months of 2020:</w:t>
      </w:r>
    </w:p>
    <w:tbl>
      <w:tblPr>
        <w:tblW w:w="5000" w:type="pct"/>
        <w:tblCellMar>
          <w:top w:w="15" w:type="dxa"/>
          <w:left w:w="15" w:type="dxa"/>
          <w:bottom w:w="15" w:type="dxa"/>
          <w:right w:w="15" w:type="dxa"/>
        </w:tblCellMar>
        <w:tblLook w:val="04A0" w:firstRow="1" w:lastRow="0" w:firstColumn="1" w:lastColumn="0" w:noHBand="0" w:noVBand="1"/>
      </w:tblPr>
      <w:tblGrid>
        <w:gridCol w:w="41"/>
        <w:gridCol w:w="7155"/>
        <w:gridCol w:w="36"/>
        <w:gridCol w:w="36"/>
        <w:gridCol w:w="36"/>
        <w:gridCol w:w="36"/>
        <w:gridCol w:w="136"/>
        <w:gridCol w:w="819"/>
        <w:gridCol w:w="41"/>
      </w:tblGrid>
      <w:tr w:rsidR="00787570" w14:paraId="36CA2D8D" w14:textId="77777777">
        <w:tc>
          <w:tcPr>
            <w:tcW w:w="50" w:type="pct"/>
            <w:shd w:val="clear" w:color="auto" w:fill="auto"/>
          </w:tcPr>
          <w:p w14:paraId="36CA2D84" w14:textId="77777777" w:rsidR="00787570" w:rsidRDefault="00787570">
            <w:pPr>
              <w:rPr>
                <w:rFonts w:ascii="宋体"/>
              </w:rPr>
            </w:pPr>
          </w:p>
        </w:tc>
        <w:tc>
          <w:tcPr>
            <w:tcW w:w="4316" w:type="pct"/>
            <w:shd w:val="clear" w:color="auto" w:fill="auto"/>
          </w:tcPr>
          <w:p w14:paraId="36CA2D85" w14:textId="77777777" w:rsidR="00787570" w:rsidRDefault="00787570">
            <w:pPr>
              <w:rPr>
                <w:rFonts w:ascii="宋体"/>
              </w:rPr>
            </w:pPr>
          </w:p>
        </w:tc>
        <w:tc>
          <w:tcPr>
            <w:tcW w:w="5" w:type="pct"/>
            <w:shd w:val="clear" w:color="auto" w:fill="auto"/>
          </w:tcPr>
          <w:p w14:paraId="36CA2D86" w14:textId="77777777" w:rsidR="00787570" w:rsidRDefault="00787570">
            <w:pPr>
              <w:rPr>
                <w:rFonts w:ascii="宋体"/>
              </w:rPr>
            </w:pPr>
          </w:p>
        </w:tc>
        <w:tc>
          <w:tcPr>
            <w:tcW w:w="5" w:type="pct"/>
            <w:shd w:val="clear" w:color="auto" w:fill="auto"/>
          </w:tcPr>
          <w:p w14:paraId="36CA2D87" w14:textId="77777777" w:rsidR="00787570" w:rsidRDefault="00787570">
            <w:pPr>
              <w:rPr>
                <w:rFonts w:ascii="宋体"/>
              </w:rPr>
            </w:pPr>
          </w:p>
        </w:tc>
        <w:tc>
          <w:tcPr>
            <w:tcW w:w="24" w:type="pct"/>
            <w:shd w:val="clear" w:color="auto" w:fill="auto"/>
          </w:tcPr>
          <w:p w14:paraId="36CA2D88" w14:textId="77777777" w:rsidR="00787570" w:rsidRDefault="00787570">
            <w:pPr>
              <w:rPr>
                <w:rFonts w:ascii="宋体"/>
              </w:rPr>
            </w:pPr>
          </w:p>
        </w:tc>
        <w:tc>
          <w:tcPr>
            <w:tcW w:w="5" w:type="pct"/>
            <w:shd w:val="clear" w:color="auto" w:fill="auto"/>
          </w:tcPr>
          <w:p w14:paraId="36CA2D89" w14:textId="77777777" w:rsidR="00787570" w:rsidRDefault="00787570">
            <w:pPr>
              <w:rPr>
                <w:rFonts w:ascii="宋体"/>
              </w:rPr>
            </w:pPr>
          </w:p>
        </w:tc>
        <w:tc>
          <w:tcPr>
            <w:tcW w:w="50" w:type="pct"/>
            <w:shd w:val="clear" w:color="auto" w:fill="auto"/>
          </w:tcPr>
          <w:p w14:paraId="36CA2D8A" w14:textId="77777777" w:rsidR="00787570" w:rsidRDefault="00787570">
            <w:pPr>
              <w:rPr>
                <w:rFonts w:ascii="宋体"/>
              </w:rPr>
            </w:pPr>
          </w:p>
        </w:tc>
        <w:tc>
          <w:tcPr>
            <w:tcW w:w="539" w:type="pct"/>
            <w:shd w:val="clear" w:color="auto" w:fill="auto"/>
          </w:tcPr>
          <w:p w14:paraId="36CA2D8B" w14:textId="77777777" w:rsidR="00787570" w:rsidRDefault="00787570">
            <w:pPr>
              <w:rPr>
                <w:rFonts w:ascii="宋体"/>
              </w:rPr>
            </w:pPr>
          </w:p>
        </w:tc>
        <w:tc>
          <w:tcPr>
            <w:tcW w:w="5" w:type="pct"/>
            <w:shd w:val="clear" w:color="auto" w:fill="auto"/>
          </w:tcPr>
          <w:p w14:paraId="36CA2D8C" w14:textId="77777777" w:rsidR="00787570" w:rsidRDefault="00787570">
            <w:pPr>
              <w:rPr>
                <w:rFonts w:ascii="宋体"/>
              </w:rPr>
            </w:pPr>
          </w:p>
        </w:tc>
      </w:tr>
      <w:tr w:rsidR="00787570" w14:paraId="36CA2D91" w14:textId="77777777">
        <w:tc>
          <w:tcPr>
            <w:tcW w:w="0" w:type="auto"/>
            <w:gridSpan w:val="3"/>
            <w:shd w:val="clear" w:color="auto" w:fill="auto"/>
            <w:tcMar>
              <w:top w:w="40" w:type="dxa"/>
              <w:left w:w="20" w:type="dxa"/>
              <w:bottom w:w="40" w:type="dxa"/>
              <w:right w:w="20" w:type="dxa"/>
            </w:tcMar>
            <w:vAlign w:val="bottom"/>
          </w:tcPr>
          <w:p w14:paraId="36CA2D8E" w14:textId="77777777" w:rsidR="00787570" w:rsidRDefault="000D56E2">
            <w:pPr>
              <w:textAlignment w:val="bottom"/>
            </w:pPr>
            <w:r>
              <w:rPr>
                <w:rFonts w:ascii="Arial" w:eastAsia="宋体" w:hAnsi="Arial" w:cs="Arial"/>
                <w:b/>
                <w:bCs/>
                <w:color w:val="333333"/>
                <w:sz w:val="18"/>
                <w:szCs w:val="18"/>
              </w:rPr>
              <w:t>(In Millions)</w:t>
            </w:r>
          </w:p>
        </w:tc>
        <w:tc>
          <w:tcPr>
            <w:tcW w:w="0" w:type="auto"/>
            <w:gridSpan w:val="3"/>
            <w:shd w:val="clear" w:color="auto" w:fill="auto"/>
            <w:tcMar>
              <w:left w:w="20" w:type="dxa"/>
              <w:right w:w="20" w:type="dxa"/>
            </w:tcMar>
            <w:vAlign w:val="bottom"/>
          </w:tcPr>
          <w:p w14:paraId="36CA2D8F"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2D90" w14:textId="77777777" w:rsidR="00787570" w:rsidRDefault="00787570">
            <w:pPr>
              <w:rPr>
                <w:rFonts w:ascii="宋体"/>
              </w:rPr>
            </w:pPr>
          </w:p>
        </w:tc>
      </w:tr>
      <w:tr w:rsidR="00787570" w14:paraId="36CA2D97" w14:textId="77777777">
        <w:tc>
          <w:tcPr>
            <w:tcW w:w="0" w:type="auto"/>
            <w:gridSpan w:val="3"/>
            <w:tcBorders>
              <w:top w:val="single" w:sz="8" w:space="0" w:color="0071C5"/>
            </w:tcBorders>
            <w:shd w:val="clear" w:color="auto" w:fill="auto"/>
            <w:tcMar>
              <w:top w:w="40" w:type="dxa"/>
              <w:left w:w="20" w:type="dxa"/>
              <w:bottom w:w="40" w:type="dxa"/>
              <w:right w:w="20" w:type="dxa"/>
            </w:tcMar>
            <w:vAlign w:val="bottom"/>
          </w:tcPr>
          <w:p w14:paraId="36CA2D92" w14:textId="77777777" w:rsidR="00787570" w:rsidRDefault="000D56E2">
            <w:pPr>
              <w:textAlignment w:val="bottom"/>
            </w:pPr>
            <w:r>
              <w:rPr>
                <w:rFonts w:ascii="Arial" w:eastAsia="宋体" w:hAnsi="Arial" w:cs="Arial"/>
                <w:b/>
                <w:bCs/>
                <w:color w:val="333333"/>
                <w:sz w:val="18"/>
                <w:szCs w:val="18"/>
              </w:rPr>
              <w:t>Prepaid supply agreements balance as of December 28, 2019</w:t>
            </w:r>
          </w:p>
        </w:tc>
        <w:tc>
          <w:tcPr>
            <w:tcW w:w="0" w:type="auto"/>
            <w:gridSpan w:val="3"/>
            <w:shd w:val="clear" w:color="auto" w:fill="auto"/>
            <w:tcMar>
              <w:left w:w="20" w:type="dxa"/>
              <w:right w:w="20" w:type="dxa"/>
            </w:tcMar>
            <w:vAlign w:val="bottom"/>
          </w:tcPr>
          <w:p w14:paraId="36CA2D93" w14:textId="77777777" w:rsidR="00787570" w:rsidRDefault="00787570">
            <w:pPr>
              <w:rPr>
                <w:rFonts w:ascii="宋体"/>
              </w:rPr>
            </w:pPr>
          </w:p>
        </w:tc>
        <w:tc>
          <w:tcPr>
            <w:tcW w:w="0" w:type="auto"/>
            <w:tcBorders>
              <w:top w:val="single" w:sz="8" w:space="0" w:color="0071C5"/>
            </w:tcBorders>
            <w:shd w:val="clear" w:color="auto" w:fill="auto"/>
            <w:tcMar>
              <w:top w:w="40" w:type="dxa"/>
              <w:left w:w="20" w:type="dxa"/>
              <w:bottom w:w="40" w:type="dxa"/>
            </w:tcMar>
            <w:vAlign w:val="bottom"/>
          </w:tcPr>
          <w:p w14:paraId="36CA2D94" w14:textId="77777777" w:rsidR="00787570" w:rsidRDefault="000D56E2">
            <w:pPr>
              <w:textAlignment w:val="bottom"/>
            </w:pPr>
            <w:r>
              <w:rPr>
                <w:rFonts w:ascii="Arial" w:eastAsia="宋体" w:hAnsi="Arial" w:cs="Arial"/>
                <w:b/>
                <w:bCs/>
                <w:color w:val="333333"/>
                <w:sz w:val="18"/>
                <w:szCs w:val="18"/>
              </w:rPr>
              <w:t>$</w:t>
            </w:r>
          </w:p>
        </w:tc>
        <w:tc>
          <w:tcPr>
            <w:tcW w:w="0" w:type="auto"/>
            <w:tcBorders>
              <w:top w:val="single" w:sz="8" w:space="0" w:color="0071C5"/>
            </w:tcBorders>
            <w:shd w:val="clear" w:color="auto" w:fill="auto"/>
            <w:tcMar>
              <w:top w:w="40" w:type="dxa"/>
              <w:bottom w:w="40" w:type="dxa"/>
              <w:right w:w="0" w:type="dxa"/>
            </w:tcMar>
            <w:vAlign w:val="bottom"/>
          </w:tcPr>
          <w:p w14:paraId="36CA2D95" w14:textId="77777777" w:rsidR="00787570" w:rsidRDefault="000D56E2">
            <w:pPr>
              <w:jc w:val="right"/>
              <w:textAlignment w:val="bottom"/>
            </w:pPr>
            <w:r>
              <w:rPr>
                <w:rFonts w:ascii="Arial" w:eastAsia="宋体" w:hAnsi="Arial" w:cs="Arial"/>
                <w:b/>
                <w:bCs/>
                <w:color w:val="333333"/>
                <w:sz w:val="18"/>
                <w:szCs w:val="18"/>
              </w:rPr>
              <w:t>1,805</w:t>
            </w:r>
            <w:r>
              <w:rPr>
                <w:rFonts w:ascii="Arial" w:eastAsia="宋体" w:hAnsi="Arial" w:cs="Arial"/>
                <w:color w:val="333333"/>
                <w:sz w:val="18"/>
                <w:szCs w:val="18"/>
              </w:rPr>
              <w:t> </w:t>
            </w:r>
          </w:p>
        </w:tc>
        <w:tc>
          <w:tcPr>
            <w:tcW w:w="0" w:type="auto"/>
            <w:tcBorders>
              <w:top w:val="single" w:sz="8" w:space="0" w:color="0071C5"/>
            </w:tcBorders>
            <w:shd w:val="clear" w:color="auto" w:fill="auto"/>
            <w:tcMar>
              <w:top w:w="40" w:type="dxa"/>
              <w:bottom w:w="40" w:type="dxa"/>
              <w:right w:w="20" w:type="dxa"/>
            </w:tcMar>
            <w:vAlign w:val="bottom"/>
          </w:tcPr>
          <w:p w14:paraId="36CA2D96" w14:textId="77777777" w:rsidR="00787570" w:rsidRDefault="00787570">
            <w:pPr>
              <w:jc w:val="right"/>
              <w:rPr>
                <w:rFonts w:ascii="宋体"/>
              </w:rPr>
            </w:pPr>
          </w:p>
        </w:tc>
      </w:tr>
      <w:tr w:rsidR="00787570" w14:paraId="36CA2D9C" w14:textId="77777777">
        <w:tc>
          <w:tcPr>
            <w:tcW w:w="0" w:type="auto"/>
            <w:gridSpan w:val="3"/>
            <w:shd w:val="clear" w:color="auto" w:fill="auto"/>
            <w:tcMar>
              <w:top w:w="40" w:type="dxa"/>
              <w:left w:w="20" w:type="dxa"/>
              <w:bottom w:w="40" w:type="dxa"/>
              <w:right w:w="20" w:type="dxa"/>
            </w:tcMar>
            <w:vAlign w:val="bottom"/>
          </w:tcPr>
          <w:p w14:paraId="36CA2D98" w14:textId="77777777" w:rsidR="00787570" w:rsidRDefault="000D56E2">
            <w:pPr>
              <w:textAlignment w:val="bottom"/>
            </w:pPr>
            <w:r>
              <w:rPr>
                <w:rFonts w:ascii="Arial" w:eastAsia="宋体" w:hAnsi="Arial" w:cs="Arial"/>
                <w:color w:val="000000"/>
                <w:sz w:val="18"/>
                <w:szCs w:val="18"/>
              </w:rPr>
              <w:t>Additions</w:t>
            </w:r>
          </w:p>
        </w:tc>
        <w:tc>
          <w:tcPr>
            <w:tcW w:w="0" w:type="auto"/>
            <w:gridSpan w:val="3"/>
            <w:shd w:val="clear" w:color="auto" w:fill="auto"/>
            <w:tcMar>
              <w:left w:w="20" w:type="dxa"/>
              <w:right w:w="20" w:type="dxa"/>
            </w:tcMar>
            <w:vAlign w:val="bottom"/>
          </w:tcPr>
          <w:p w14:paraId="36CA2D99"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2D9A" w14:textId="77777777" w:rsidR="00787570" w:rsidRDefault="000D56E2">
            <w:pPr>
              <w:jc w:val="right"/>
              <w:textAlignment w:val="bottom"/>
            </w:pPr>
            <w:r>
              <w:rPr>
                <w:rFonts w:ascii="Arial" w:eastAsia="宋体" w:hAnsi="Arial" w:cs="Arial"/>
                <w:color w:val="0071C5"/>
                <w:sz w:val="18"/>
                <w:szCs w:val="18"/>
              </w:rPr>
              <w:t>70 </w:t>
            </w:r>
          </w:p>
        </w:tc>
        <w:tc>
          <w:tcPr>
            <w:tcW w:w="0" w:type="auto"/>
            <w:shd w:val="clear" w:color="auto" w:fill="auto"/>
            <w:tcMar>
              <w:top w:w="40" w:type="dxa"/>
              <w:bottom w:w="40" w:type="dxa"/>
              <w:right w:w="20" w:type="dxa"/>
            </w:tcMar>
            <w:vAlign w:val="bottom"/>
          </w:tcPr>
          <w:p w14:paraId="36CA2D9B" w14:textId="77777777" w:rsidR="00787570" w:rsidRDefault="00787570">
            <w:pPr>
              <w:jc w:val="right"/>
              <w:rPr>
                <w:rFonts w:ascii="宋体"/>
              </w:rPr>
            </w:pPr>
          </w:p>
        </w:tc>
      </w:tr>
      <w:tr w:rsidR="00787570" w14:paraId="36CA2DA1" w14:textId="77777777">
        <w:tc>
          <w:tcPr>
            <w:tcW w:w="0" w:type="auto"/>
            <w:gridSpan w:val="3"/>
            <w:shd w:val="clear" w:color="auto" w:fill="auto"/>
            <w:tcMar>
              <w:top w:w="40" w:type="dxa"/>
              <w:left w:w="20" w:type="dxa"/>
              <w:bottom w:w="40" w:type="dxa"/>
              <w:right w:w="20" w:type="dxa"/>
            </w:tcMar>
            <w:vAlign w:val="bottom"/>
          </w:tcPr>
          <w:p w14:paraId="36CA2D9D" w14:textId="77777777" w:rsidR="00787570" w:rsidRDefault="000D56E2">
            <w:pPr>
              <w:textAlignment w:val="bottom"/>
            </w:pPr>
            <w:r>
              <w:rPr>
                <w:rFonts w:ascii="Arial" w:eastAsia="宋体" w:hAnsi="Arial" w:cs="Arial"/>
                <w:color w:val="333333"/>
                <w:sz w:val="18"/>
                <w:szCs w:val="18"/>
              </w:rPr>
              <w:t xml:space="preserve">Prepayments utilized </w:t>
            </w:r>
          </w:p>
        </w:tc>
        <w:tc>
          <w:tcPr>
            <w:tcW w:w="0" w:type="auto"/>
            <w:gridSpan w:val="3"/>
            <w:shd w:val="clear" w:color="auto" w:fill="auto"/>
            <w:tcMar>
              <w:left w:w="20" w:type="dxa"/>
              <w:right w:w="20" w:type="dxa"/>
            </w:tcMar>
            <w:vAlign w:val="bottom"/>
          </w:tcPr>
          <w:p w14:paraId="36CA2D9E"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2D9F" w14:textId="77777777" w:rsidR="00787570" w:rsidRDefault="000D56E2">
            <w:pPr>
              <w:jc w:val="right"/>
              <w:textAlignment w:val="bottom"/>
            </w:pPr>
            <w:r>
              <w:rPr>
                <w:rFonts w:ascii="Arial" w:eastAsia="宋体" w:hAnsi="Arial" w:cs="Arial"/>
                <w:color w:val="0071C5"/>
                <w:sz w:val="18"/>
                <w:szCs w:val="18"/>
              </w:rPr>
              <w:t>(161)</w:t>
            </w:r>
          </w:p>
        </w:tc>
        <w:tc>
          <w:tcPr>
            <w:tcW w:w="0" w:type="auto"/>
            <w:shd w:val="clear" w:color="auto" w:fill="auto"/>
            <w:tcMar>
              <w:top w:w="40" w:type="dxa"/>
              <w:bottom w:w="40" w:type="dxa"/>
              <w:right w:w="20" w:type="dxa"/>
            </w:tcMar>
            <w:vAlign w:val="bottom"/>
          </w:tcPr>
          <w:p w14:paraId="36CA2DA0" w14:textId="77777777" w:rsidR="00787570" w:rsidRDefault="00787570">
            <w:pPr>
              <w:jc w:val="right"/>
              <w:rPr>
                <w:rFonts w:ascii="宋体"/>
              </w:rPr>
            </w:pPr>
          </w:p>
        </w:tc>
      </w:tr>
      <w:tr w:rsidR="00787570" w14:paraId="36CA2DA7" w14:textId="77777777">
        <w:tc>
          <w:tcPr>
            <w:tcW w:w="0" w:type="auto"/>
            <w:gridSpan w:val="3"/>
            <w:shd w:val="clear" w:color="auto" w:fill="auto"/>
            <w:tcMar>
              <w:top w:w="40" w:type="dxa"/>
              <w:left w:w="20" w:type="dxa"/>
              <w:bottom w:w="40" w:type="dxa"/>
              <w:right w:w="20" w:type="dxa"/>
            </w:tcMar>
          </w:tcPr>
          <w:p w14:paraId="36CA2DA2" w14:textId="77777777" w:rsidR="00787570" w:rsidRDefault="000D56E2">
            <w:pPr>
              <w:textAlignment w:val="top"/>
            </w:pPr>
            <w:r>
              <w:rPr>
                <w:rFonts w:ascii="Arial" w:eastAsia="宋体" w:hAnsi="Arial" w:cs="Arial"/>
                <w:b/>
                <w:bCs/>
                <w:color w:val="333333"/>
                <w:sz w:val="18"/>
                <w:szCs w:val="18"/>
              </w:rPr>
              <w:t>Prepaid supply agreements balance as of September 26, 2020</w:t>
            </w:r>
          </w:p>
        </w:tc>
        <w:tc>
          <w:tcPr>
            <w:tcW w:w="0" w:type="auto"/>
            <w:gridSpan w:val="3"/>
            <w:shd w:val="clear" w:color="auto" w:fill="auto"/>
            <w:tcMar>
              <w:left w:w="20" w:type="dxa"/>
              <w:right w:w="20" w:type="dxa"/>
            </w:tcMar>
            <w:vAlign w:val="bottom"/>
          </w:tcPr>
          <w:p w14:paraId="36CA2DA3" w14:textId="77777777" w:rsidR="00787570" w:rsidRDefault="00787570">
            <w:pPr>
              <w:rPr>
                <w:rFonts w:ascii="宋体"/>
              </w:rPr>
            </w:pPr>
          </w:p>
        </w:tc>
        <w:tc>
          <w:tcPr>
            <w:tcW w:w="0" w:type="auto"/>
            <w:tcBorders>
              <w:top w:val="single" w:sz="8" w:space="0" w:color="333333"/>
              <w:bottom w:val="double" w:sz="6" w:space="0" w:color="333333"/>
            </w:tcBorders>
            <w:shd w:val="clear" w:color="auto" w:fill="auto"/>
            <w:tcMar>
              <w:top w:w="40" w:type="dxa"/>
              <w:left w:w="20" w:type="dxa"/>
              <w:bottom w:w="40" w:type="dxa"/>
            </w:tcMar>
            <w:vAlign w:val="bottom"/>
          </w:tcPr>
          <w:p w14:paraId="36CA2DA4" w14:textId="77777777" w:rsidR="00787570" w:rsidRDefault="000D56E2">
            <w:pPr>
              <w:textAlignment w:val="bottom"/>
            </w:pPr>
            <w:r>
              <w:rPr>
                <w:rFonts w:ascii="Arial" w:eastAsia="宋体" w:hAnsi="Arial" w:cs="Arial"/>
                <w:b/>
                <w:bCs/>
                <w:color w:val="0071C5"/>
                <w:sz w:val="18"/>
                <w:szCs w:val="18"/>
              </w:rPr>
              <w:t>$</w:t>
            </w:r>
          </w:p>
        </w:tc>
        <w:tc>
          <w:tcPr>
            <w:tcW w:w="0" w:type="auto"/>
            <w:tcBorders>
              <w:top w:val="single" w:sz="8" w:space="0" w:color="333333"/>
              <w:bottom w:val="double" w:sz="6" w:space="0" w:color="333333"/>
            </w:tcBorders>
            <w:shd w:val="clear" w:color="auto" w:fill="auto"/>
            <w:tcMar>
              <w:top w:w="40" w:type="dxa"/>
              <w:bottom w:w="40" w:type="dxa"/>
              <w:right w:w="0" w:type="dxa"/>
            </w:tcMar>
            <w:vAlign w:val="bottom"/>
          </w:tcPr>
          <w:p w14:paraId="36CA2DA5" w14:textId="77777777" w:rsidR="00787570" w:rsidRDefault="000D56E2">
            <w:pPr>
              <w:jc w:val="right"/>
              <w:textAlignment w:val="bottom"/>
            </w:pPr>
            <w:r>
              <w:rPr>
                <w:rFonts w:ascii="Arial" w:eastAsia="宋体" w:hAnsi="Arial" w:cs="Arial"/>
                <w:b/>
                <w:bCs/>
                <w:color w:val="0071C5"/>
                <w:sz w:val="18"/>
                <w:szCs w:val="18"/>
              </w:rPr>
              <w:t>1,714</w:t>
            </w:r>
            <w:r>
              <w:rPr>
                <w:rFonts w:ascii="Arial" w:eastAsia="宋体" w:hAnsi="Arial" w:cs="Arial"/>
                <w:color w:val="0071C5"/>
                <w:sz w:val="18"/>
                <w:szCs w:val="18"/>
              </w:rPr>
              <w:t> </w:t>
            </w:r>
          </w:p>
        </w:tc>
        <w:tc>
          <w:tcPr>
            <w:tcW w:w="0" w:type="auto"/>
            <w:tcBorders>
              <w:top w:val="single" w:sz="8" w:space="0" w:color="333333"/>
              <w:bottom w:val="double" w:sz="6" w:space="0" w:color="333333"/>
            </w:tcBorders>
            <w:shd w:val="clear" w:color="auto" w:fill="auto"/>
            <w:tcMar>
              <w:top w:w="40" w:type="dxa"/>
              <w:bottom w:w="40" w:type="dxa"/>
              <w:right w:w="20" w:type="dxa"/>
            </w:tcMar>
            <w:vAlign w:val="bottom"/>
          </w:tcPr>
          <w:p w14:paraId="36CA2DA6" w14:textId="77777777" w:rsidR="00787570" w:rsidRDefault="00787570">
            <w:pPr>
              <w:jc w:val="right"/>
              <w:rPr>
                <w:rFonts w:ascii="宋体"/>
              </w:rPr>
            </w:pPr>
          </w:p>
        </w:tc>
      </w:tr>
    </w:tbl>
    <w:p w14:paraId="36CA2DA8" w14:textId="77777777" w:rsidR="00787570" w:rsidRDefault="000D56E2">
      <w:pPr>
        <w:spacing w:after="180"/>
      </w:pPr>
      <w:r>
        <w:rPr>
          <w:rFonts w:ascii="Arial" w:eastAsia="宋体" w:hAnsi="Arial" w:cs="Arial"/>
          <w:color w:val="333333"/>
          <w:sz w:val="18"/>
          <w:szCs w:val="18"/>
        </w:rPr>
        <w:t xml:space="preserve">During the second quarter of 2020, we issued a contract termination notification for breach to our largest prepaid supply </w:t>
      </w:r>
      <w:r>
        <w:rPr>
          <w:rFonts w:ascii="Arial" w:eastAsia="宋体" w:hAnsi="Arial" w:cs="Arial"/>
          <w:color w:val="333333"/>
          <w:sz w:val="18"/>
          <w:szCs w:val="18"/>
        </w:rPr>
        <w:t>customer with a $1.6 billion contract liability balance. The timing and amount of future anticipated revenue, or reversal of any contract liability balance, resulting from contract termination may vary due to ongoing customer negotiations.</w:t>
      </w:r>
    </w:p>
    <w:tbl>
      <w:tblPr>
        <w:tblW w:w="5000" w:type="pct"/>
        <w:tblCellMar>
          <w:top w:w="15" w:type="dxa"/>
          <w:left w:w="15" w:type="dxa"/>
          <w:bottom w:w="15" w:type="dxa"/>
          <w:right w:w="15" w:type="dxa"/>
        </w:tblCellMar>
        <w:tblLook w:val="04A0" w:firstRow="1" w:lastRow="0" w:firstColumn="1" w:lastColumn="0" w:noHBand="0" w:noVBand="1"/>
      </w:tblPr>
      <w:tblGrid>
        <w:gridCol w:w="69"/>
        <w:gridCol w:w="998"/>
        <w:gridCol w:w="36"/>
        <w:gridCol w:w="69"/>
        <w:gridCol w:w="7128"/>
        <w:gridCol w:w="36"/>
      </w:tblGrid>
      <w:tr w:rsidR="00787570" w14:paraId="36CA2DAF" w14:textId="77777777">
        <w:tc>
          <w:tcPr>
            <w:tcW w:w="50" w:type="pct"/>
            <w:shd w:val="clear" w:color="auto" w:fill="auto"/>
          </w:tcPr>
          <w:p w14:paraId="36CA2DA9" w14:textId="77777777" w:rsidR="00787570" w:rsidRDefault="00787570">
            <w:pPr>
              <w:rPr>
                <w:rFonts w:ascii="宋体"/>
              </w:rPr>
            </w:pPr>
          </w:p>
        </w:tc>
        <w:tc>
          <w:tcPr>
            <w:tcW w:w="607" w:type="pct"/>
            <w:shd w:val="clear" w:color="auto" w:fill="auto"/>
          </w:tcPr>
          <w:p w14:paraId="36CA2DAA" w14:textId="77777777" w:rsidR="00787570" w:rsidRDefault="00787570">
            <w:pPr>
              <w:rPr>
                <w:rFonts w:ascii="宋体"/>
              </w:rPr>
            </w:pPr>
          </w:p>
        </w:tc>
        <w:tc>
          <w:tcPr>
            <w:tcW w:w="5" w:type="pct"/>
            <w:shd w:val="clear" w:color="auto" w:fill="auto"/>
          </w:tcPr>
          <w:p w14:paraId="36CA2DAB" w14:textId="77777777" w:rsidR="00787570" w:rsidRDefault="00787570">
            <w:pPr>
              <w:rPr>
                <w:rFonts w:ascii="宋体"/>
              </w:rPr>
            </w:pPr>
          </w:p>
        </w:tc>
        <w:tc>
          <w:tcPr>
            <w:tcW w:w="50" w:type="pct"/>
            <w:shd w:val="clear" w:color="auto" w:fill="auto"/>
          </w:tcPr>
          <w:p w14:paraId="36CA2DAC" w14:textId="77777777" w:rsidR="00787570" w:rsidRDefault="00787570">
            <w:pPr>
              <w:rPr>
                <w:rFonts w:ascii="宋体"/>
              </w:rPr>
            </w:pPr>
          </w:p>
        </w:tc>
        <w:tc>
          <w:tcPr>
            <w:tcW w:w="4282" w:type="pct"/>
            <w:shd w:val="clear" w:color="auto" w:fill="auto"/>
          </w:tcPr>
          <w:p w14:paraId="36CA2DAD" w14:textId="77777777" w:rsidR="00787570" w:rsidRDefault="00787570">
            <w:pPr>
              <w:rPr>
                <w:rFonts w:ascii="宋体"/>
              </w:rPr>
            </w:pPr>
          </w:p>
        </w:tc>
        <w:tc>
          <w:tcPr>
            <w:tcW w:w="5" w:type="pct"/>
            <w:shd w:val="clear" w:color="auto" w:fill="auto"/>
          </w:tcPr>
          <w:p w14:paraId="36CA2DAE" w14:textId="77777777" w:rsidR="00787570" w:rsidRDefault="00787570">
            <w:pPr>
              <w:rPr>
                <w:rFonts w:ascii="宋体"/>
              </w:rPr>
            </w:pPr>
          </w:p>
        </w:tc>
      </w:tr>
      <w:tr w:rsidR="00787570" w14:paraId="36CA2DB2" w14:textId="77777777">
        <w:tc>
          <w:tcPr>
            <w:tcW w:w="0" w:type="auto"/>
            <w:gridSpan w:val="3"/>
            <w:tcBorders>
              <w:bottom w:val="single" w:sz="8" w:space="0" w:color="0071C5"/>
            </w:tcBorders>
            <w:shd w:val="clear" w:color="auto" w:fill="0071C5"/>
            <w:tcMar>
              <w:top w:w="40" w:type="dxa"/>
              <w:left w:w="20" w:type="dxa"/>
              <w:bottom w:w="40" w:type="dxa"/>
              <w:right w:w="20" w:type="dxa"/>
            </w:tcMar>
            <w:vAlign w:val="bottom"/>
          </w:tcPr>
          <w:p w14:paraId="36CA2DB0" w14:textId="77777777" w:rsidR="00787570" w:rsidRDefault="000D56E2">
            <w:pPr>
              <w:textAlignment w:val="bottom"/>
            </w:pPr>
            <w:r>
              <w:rPr>
                <w:rFonts w:ascii="Arial" w:eastAsia="宋体" w:hAnsi="Arial" w:cs="Arial"/>
                <w:b/>
                <w:bCs/>
                <w:color w:val="FFFFFF"/>
                <w:sz w:val="28"/>
                <w:szCs w:val="28"/>
              </w:rPr>
              <w:t xml:space="preserve">NOTE 5 : </w:t>
            </w:r>
          </w:p>
        </w:tc>
        <w:tc>
          <w:tcPr>
            <w:tcW w:w="0" w:type="auto"/>
            <w:gridSpan w:val="3"/>
            <w:tcBorders>
              <w:bottom w:val="single" w:sz="8" w:space="0" w:color="0071C5"/>
            </w:tcBorders>
            <w:shd w:val="clear" w:color="auto" w:fill="auto"/>
            <w:tcMar>
              <w:top w:w="40" w:type="dxa"/>
              <w:left w:w="20" w:type="dxa"/>
              <w:bottom w:w="40" w:type="dxa"/>
              <w:right w:w="20" w:type="dxa"/>
            </w:tcMar>
            <w:vAlign w:val="bottom"/>
          </w:tcPr>
          <w:p w14:paraId="36CA2DB1" w14:textId="77777777" w:rsidR="00787570" w:rsidRDefault="000D56E2">
            <w:pPr>
              <w:textAlignment w:val="bottom"/>
            </w:pPr>
            <w:r>
              <w:rPr>
                <w:rFonts w:ascii="Arial" w:eastAsia="宋体" w:hAnsi="Arial" w:cs="Arial"/>
                <w:b/>
                <w:bCs/>
                <w:color w:val="0071C5"/>
                <w:sz w:val="28"/>
                <w:szCs w:val="28"/>
              </w:rPr>
              <w:t>OTHER FINANCIAL STATEMENT DETAILS</w:t>
            </w:r>
          </w:p>
        </w:tc>
      </w:tr>
    </w:tbl>
    <w:p w14:paraId="36CA2DB3" w14:textId="77777777" w:rsidR="00787570" w:rsidRDefault="000D56E2">
      <w:pPr>
        <w:spacing w:before="300" w:after="180"/>
      </w:pPr>
      <w:r>
        <w:rPr>
          <w:rFonts w:ascii="Arial" w:eastAsia="宋体" w:hAnsi="Arial" w:cs="Arial"/>
          <w:b/>
          <w:bCs/>
          <w:color w:val="0071C5"/>
        </w:rPr>
        <w:t>INVENTORIES</w:t>
      </w:r>
    </w:p>
    <w:tbl>
      <w:tblPr>
        <w:tblW w:w="5000" w:type="pct"/>
        <w:tblCellMar>
          <w:top w:w="15" w:type="dxa"/>
          <w:left w:w="15" w:type="dxa"/>
          <w:bottom w:w="15" w:type="dxa"/>
          <w:right w:w="15" w:type="dxa"/>
        </w:tblCellMar>
        <w:tblLook w:val="04A0" w:firstRow="1" w:lastRow="0" w:firstColumn="1" w:lastColumn="0" w:noHBand="0" w:noVBand="1"/>
      </w:tblPr>
      <w:tblGrid>
        <w:gridCol w:w="38"/>
        <w:gridCol w:w="6091"/>
        <w:gridCol w:w="37"/>
        <w:gridCol w:w="36"/>
        <w:gridCol w:w="36"/>
        <w:gridCol w:w="36"/>
        <w:gridCol w:w="136"/>
        <w:gridCol w:w="799"/>
        <w:gridCol w:w="41"/>
        <w:gridCol w:w="36"/>
        <w:gridCol w:w="36"/>
        <w:gridCol w:w="36"/>
        <w:gridCol w:w="136"/>
        <w:gridCol w:w="801"/>
        <w:gridCol w:w="41"/>
      </w:tblGrid>
      <w:tr w:rsidR="00787570" w14:paraId="36CA2DC3" w14:textId="77777777">
        <w:tc>
          <w:tcPr>
            <w:tcW w:w="50" w:type="pct"/>
            <w:shd w:val="clear" w:color="auto" w:fill="auto"/>
          </w:tcPr>
          <w:p w14:paraId="36CA2DB4" w14:textId="77777777" w:rsidR="00787570" w:rsidRDefault="00787570">
            <w:pPr>
              <w:rPr>
                <w:rFonts w:ascii="宋体"/>
              </w:rPr>
            </w:pPr>
          </w:p>
        </w:tc>
        <w:tc>
          <w:tcPr>
            <w:tcW w:w="3688" w:type="pct"/>
            <w:shd w:val="clear" w:color="auto" w:fill="auto"/>
          </w:tcPr>
          <w:p w14:paraId="36CA2DB5" w14:textId="77777777" w:rsidR="00787570" w:rsidRDefault="00787570">
            <w:pPr>
              <w:rPr>
                <w:rFonts w:ascii="宋体"/>
              </w:rPr>
            </w:pPr>
          </w:p>
        </w:tc>
        <w:tc>
          <w:tcPr>
            <w:tcW w:w="5" w:type="pct"/>
            <w:shd w:val="clear" w:color="auto" w:fill="auto"/>
          </w:tcPr>
          <w:p w14:paraId="36CA2DB6" w14:textId="77777777" w:rsidR="00787570" w:rsidRDefault="00787570">
            <w:pPr>
              <w:rPr>
                <w:rFonts w:ascii="宋体"/>
              </w:rPr>
            </w:pPr>
          </w:p>
        </w:tc>
        <w:tc>
          <w:tcPr>
            <w:tcW w:w="5" w:type="pct"/>
            <w:shd w:val="clear" w:color="auto" w:fill="auto"/>
          </w:tcPr>
          <w:p w14:paraId="36CA2DB7" w14:textId="77777777" w:rsidR="00787570" w:rsidRDefault="00787570">
            <w:pPr>
              <w:rPr>
                <w:rFonts w:ascii="宋体"/>
              </w:rPr>
            </w:pPr>
          </w:p>
        </w:tc>
        <w:tc>
          <w:tcPr>
            <w:tcW w:w="24" w:type="pct"/>
            <w:shd w:val="clear" w:color="auto" w:fill="auto"/>
          </w:tcPr>
          <w:p w14:paraId="36CA2DB8" w14:textId="77777777" w:rsidR="00787570" w:rsidRDefault="00787570">
            <w:pPr>
              <w:rPr>
                <w:rFonts w:ascii="宋体"/>
              </w:rPr>
            </w:pPr>
          </w:p>
        </w:tc>
        <w:tc>
          <w:tcPr>
            <w:tcW w:w="5" w:type="pct"/>
            <w:shd w:val="clear" w:color="auto" w:fill="auto"/>
          </w:tcPr>
          <w:p w14:paraId="36CA2DB9" w14:textId="77777777" w:rsidR="00787570" w:rsidRDefault="00787570">
            <w:pPr>
              <w:rPr>
                <w:rFonts w:ascii="宋体"/>
              </w:rPr>
            </w:pPr>
          </w:p>
        </w:tc>
        <w:tc>
          <w:tcPr>
            <w:tcW w:w="50" w:type="pct"/>
            <w:shd w:val="clear" w:color="auto" w:fill="auto"/>
          </w:tcPr>
          <w:p w14:paraId="36CA2DBA" w14:textId="77777777" w:rsidR="00787570" w:rsidRDefault="00787570">
            <w:pPr>
              <w:rPr>
                <w:rFonts w:ascii="宋体"/>
              </w:rPr>
            </w:pPr>
          </w:p>
        </w:tc>
        <w:tc>
          <w:tcPr>
            <w:tcW w:w="539" w:type="pct"/>
            <w:shd w:val="clear" w:color="auto" w:fill="auto"/>
          </w:tcPr>
          <w:p w14:paraId="36CA2DBB" w14:textId="77777777" w:rsidR="00787570" w:rsidRDefault="00787570">
            <w:pPr>
              <w:rPr>
                <w:rFonts w:ascii="宋体"/>
              </w:rPr>
            </w:pPr>
          </w:p>
        </w:tc>
        <w:tc>
          <w:tcPr>
            <w:tcW w:w="5" w:type="pct"/>
            <w:shd w:val="clear" w:color="auto" w:fill="auto"/>
          </w:tcPr>
          <w:p w14:paraId="36CA2DBC" w14:textId="77777777" w:rsidR="00787570" w:rsidRDefault="00787570">
            <w:pPr>
              <w:rPr>
                <w:rFonts w:ascii="宋体"/>
              </w:rPr>
            </w:pPr>
          </w:p>
        </w:tc>
        <w:tc>
          <w:tcPr>
            <w:tcW w:w="5" w:type="pct"/>
            <w:shd w:val="clear" w:color="auto" w:fill="auto"/>
          </w:tcPr>
          <w:p w14:paraId="36CA2DBD" w14:textId="77777777" w:rsidR="00787570" w:rsidRDefault="00787570">
            <w:pPr>
              <w:rPr>
                <w:rFonts w:ascii="宋体"/>
              </w:rPr>
            </w:pPr>
          </w:p>
        </w:tc>
        <w:tc>
          <w:tcPr>
            <w:tcW w:w="24" w:type="pct"/>
            <w:shd w:val="clear" w:color="auto" w:fill="auto"/>
          </w:tcPr>
          <w:p w14:paraId="36CA2DBE" w14:textId="77777777" w:rsidR="00787570" w:rsidRDefault="00787570">
            <w:pPr>
              <w:rPr>
                <w:rFonts w:ascii="宋体"/>
              </w:rPr>
            </w:pPr>
          </w:p>
        </w:tc>
        <w:tc>
          <w:tcPr>
            <w:tcW w:w="5" w:type="pct"/>
            <w:shd w:val="clear" w:color="auto" w:fill="auto"/>
          </w:tcPr>
          <w:p w14:paraId="36CA2DBF" w14:textId="77777777" w:rsidR="00787570" w:rsidRDefault="00787570">
            <w:pPr>
              <w:rPr>
                <w:rFonts w:ascii="宋体"/>
              </w:rPr>
            </w:pPr>
          </w:p>
        </w:tc>
        <w:tc>
          <w:tcPr>
            <w:tcW w:w="50" w:type="pct"/>
            <w:shd w:val="clear" w:color="auto" w:fill="auto"/>
          </w:tcPr>
          <w:p w14:paraId="36CA2DC0" w14:textId="77777777" w:rsidR="00787570" w:rsidRDefault="00787570">
            <w:pPr>
              <w:rPr>
                <w:rFonts w:ascii="宋体"/>
              </w:rPr>
            </w:pPr>
          </w:p>
        </w:tc>
        <w:tc>
          <w:tcPr>
            <w:tcW w:w="539" w:type="pct"/>
            <w:shd w:val="clear" w:color="auto" w:fill="auto"/>
          </w:tcPr>
          <w:p w14:paraId="36CA2DC1" w14:textId="77777777" w:rsidR="00787570" w:rsidRDefault="00787570">
            <w:pPr>
              <w:rPr>
                <w:rFonts w:ascii="宋体"/>
              </w:rPr>
            </w:pPr>
          </w:p>
        </w:tc>
        <w:tc>
          <w:tcPr>
            <w:tcW w:w="5" w:type="pct"/>
            <w:shd w:val="clear" w:color="auto" w:fill="auto"/>
          </w:tcPr>
          <w:p w14:paraId="36CA2DC2" w14:textId="77777777" w:rsidR="00787570" w:rsidRDefault="00787570">
            <w:pPr>
              <w:rPr>
                <w:rFonts w:ascii="宋体"/>
              </w:rPr>
            </w:pPr>
          </w:p>
        </w:tc>
      </w:tr>
      <w:tr w:rsidR="00787570" w14:paraId="36CA2DC9" w14:textId="77777777">
        <w:tc>
          <w:tcPr>
            <w:tcW w:w="0" w:type="auto"/>
            <w:gridSpan w:val="3"/>
            <w:shd w:val="clear" w:color="auto" w:fill="auto"/>
            <w:tcMar>
              <w:top w:w="40" w:type="dxa"/>
              <w:left w:w="20" w:type="dxa"/>
              <w:bottom w:w="40" w:type="dxa"/>
              <w:right w:w="20" w:type="dxa"/>
            </w:tcMar>
            <w:vAlign w:val="bottom"/>
          </w:tcPr>
          <w:p w14:paraId="36CA2DC4" w14:textId="77777777" w:rsidR="00787570" w:rsidRDefault="000D56E2">
            <w:pPr>
              <w:ind w:hanging="180"/>
              <w:textAlignment w:val="bottom"/>
            </w:pPr>
            <w:r>
              <w:rPr>
                <w:rFonts w:ascii="Arial" w:eastAsia="宋体" w:hAnsi="Arial" w:cs="Arial"/>
                <w:b/>
                <w:bCs/>
                <w:color w:val="333333"/>
                <w:sz w:val="18"/>
                <w:szCs w:val="18"/>
              </w:rPr>
              <w:t>(In Millions)</w:t>
            </w:r>
          </w:p>
        </w:tc>
        <w:tc>
          <w:tcPr>
            <w:tcW w:w="0" w:type="auto"/>
            <w:gridSpan w:val="3"/>
            <w:shd w:val="clear" w:color="auto" w:fill="auto"/>
            <w:tcMar>
              <w:left w:w="20" w:type="dxa"/>
              <w:right w:w="20" w:type="dxa"/>
            </w:tcMar>
            <w:vAlign w:val="bottom"/>
          </w:tcPr>
          <w:p w14:paraId="36CA2DC5" w14:textId="77777777" w:rsidR="00787570" w:rsidRDefault="00787570">
            <w:pPr>
              <w:rPr>
                <w:rFonts w:ascii="宋体"/>
              </w:rPr>
            </w:pPr>
          </w:p>
        </w:tc>
        <w:tc>
          <w:tcPr>
            <w:tcW w:w="0" w:type="auto"/>
            <w:gridSpan w:val="3"/>
            <w:shd w:val="clear" w:color="auto" w:fill="auto"/>
            <w:tcMar>
              <w:top w:w="40" w:type="dxa"/>
              <w:left w:w="20" w:type="dxa"/>
              <w:bottom w:w="40" w:type="dxa"/>
              <w:right w:w="20" w:type="dxa"/>
            </w:tcMar>
            <w:vAlign w:val="bottom"/>
          </w:tcPr>
          <w:p w14:paraId="36CA2DC6" w14:textId="77777777" w:rsidR="00787570" w:rsidRDefault="000D56E2">
            <w:pPr>
              <w:jc w:val="center"/>
              <w:textAlignment w:val="bottom"/>
            </w:pPr>
            <w:r>
              <w:rPr>
                <w:rFonts w:ascii="Arial" w:eastAsia="宋体" w:hAnsi="Arial" w:cs="Arial"/>
                <w:b/>
                <w:bCs/>
                <w:color w:val="333333"/>
                <w:sz w:val="18"/>
                <w:szCs w:val="18"/>
              </w:rPr>
              <w:t>Sep 26, 2020</w:t>
            </w:r>
          </w:p>
        </w:tc>
        <w:tc>
          <w:tcPr>
            <w:tcW w:w="0" w:type="auto"/>
            <w:gridSpan w:val="3"/>
            <w:shd w:val="clear" w:color="auto" w:fill="auto"/>
            <w:tcMar>
              <w:left w:w="20" w:type="dxa"/>
              <w:right w:w="20" w:type="dxa"/>
            </w:tcMar>
            <w:vAlign w:val="bottom"/>
          </w:tcPr>
          <w:p w14:paraId="36CA2DC7" w14:textId="77777777" w:rsidR="00787570" w:rsidRDefault="00787570">
            <w:pPr>
              <w:rPr>
                <w:rFonts w:ascii="宋体"/>
              </w:rPr>
            </w:pPr>
          </w:p>
        </w:tc>
        <w:tc>
          <w:tcPr>
            <w:tcW w:w="0" w:type="auto"/>
            <w:gridSpan w:val="3"/>
            <w:shd w:val="clear" w:color="auto" w:fill="auto"/>
            <w:tcMar>
              <w:top w:w="40" w:type="dxa"/>
              <w:left w:w="20" w:type="dxa"/>
              <w:bottom w:w="40" w:type="dxa"/>
              <w:right w:w="20" w:type="dxa"/>
            </w:tcMar>
            <w:vAlign w:val="bottom"/>
          </w:tcPr>
          <w:p w14:paraId="36CA2DC8" w14:textId="77777777" w:rsidR="00787570" w:rsidRDefault="000D56E2">
            <w:pPr>
              <w:jc w:val="center"/>
              <w:textAlignment w:val="bottom"/>
            </w:pPr>
            <w:r>
              <w:rPr>
                <w:rFonts w:ascii="Arial" w:eastAsia="宋体" w:hAnsi="Arial" w:cs="Arial"/>
                <w:b/>
                <w:bCs/>
                <w:color w:val="333333"/>
                <w:sz w:val="18"/>
                <w:szCs w:val="18"/>
              </w:rPr>
              <w:t>Dec 28, 2019</w:t>
            </w:r>
          </w:p>
        </w:tc>
      </w:tr>
      <w:tr w:rsidR="00787570" w14:paraId="36CA2DD3" w14:textId="77777777">
        <w:tc>
          <w:tcPr>
            <w:tcW w:w="0" w:type="auto"/>
            <w:gridSpan w:val="3"/>
            <w:tcBorders>
              <w:top w:val="single" w:sz="8" w:space="0" w:color="0071C5"/>
            </w:tcBorders>
            <w:shd w:val="clear" w:color="auto" w:fill="auto"/>
            <w:tcMar>
              <w:top w:w="40" w:type="dxa"/>
              <w:left w:w="20" w:type="dxa"/>
              <w:bottom w:w="40" w:type="dxa"/>
              <w:right w:w="20" w:type="dxa"/>
            </w:tcMar>
          </w:tcPr>
          <w:p w14:paraId="36CA2DCA" w14:textId="77777777" w:rsidR="00787570" w:rsidRDefault="000D56E2">
            <w:pPr>
              <w:ind w:hanging="180"/>
              <w:textAlignment w:val="top"/>
            </w:pPr>
            <w:r>
              <w:rPr>
                <w:rFonts w:ascii="Arial" w:eastAsia="宋体" w:hAnsi="Arial" w:cs="Arial"/>
                <w:color w:val="333333"/>
                <w:sz w:val="18"/>
                <w:szCs w:val="18"/>
              </w:rPr>
              <w:t>Raw materials</w:t>
            </w:r>
          </w:p>
        </w:tc>
        <w:tc>
          <w:tcPr>
            <w:tcW w:w="0" w:type="auto"/>
            <w:gridSpan w:val="3"/>
            <w:shd w:val="clear" w:color="auto" w:fill="auto"/>
            <w:tcMar>
              <w:left w:w="20" w:type="dxa"/>
              <w:right w:w="20" w:type="dxa"/>
            </w:tcMar>
            <w:vAlign w:val="bottom"/>
          </w:tcPr>
          <w:p w14:paraId="36CA2DCB" w14:textId="77777777" w:rsidR="00787570" w:rsidRDefault="00787570">
            <w:pPr>
              <w:rPr>
                <w:rFonts w:ascii="宋体"/>
              </w:rPr>
            </w:pPr>
          </w:p>
        </w:tc>
        <w:tc>
          <w:tcPr>
            <w:tcW w:w="0" w:type="auto"/>
            <w:tcBorders>
              <w:top w:val="single" w:sz="8" w:space="0" w:color="0071C5"/>
            </w:tcBorders>
            <w:shd w:val="clear" w:color="auto" w:fill="auto"/>
            <w:tcMar>
              <w:top w:w="40" w:type="dxa"/>
              <w:left w:w="20" w:type="dxa"/>
              <w:bottom w:w="40" w:type="dxa"/>
            </w:tcMar>
            <w:vAlign w:val="bottom"/>
          </w:tcPr>
          <w:p w14:paraId="36CA2DCC" w14:textId="77777777" w:rsidR="00787570" w:rsidRDefault="000D56E2">
            <w:pPr>
              <w:textAlignment w:val="bottom"/>
            </w:pPr>
            <w:r>
              <w:rPr>
                <w:rFonts w:ascii="Arial" w:eastAsia="宋体" w:hAnsi="Arial" w:cs="Arial"/>
                <w:color w:val="026DCE"/>
                <w:sz w:val="18"/>
                <w:szCs w:val="18"/>
              </w:rPr>
              <w:t>$</w:t>
            </w:r>
          </w:p>
        </w:tc>
        <w:tc>
          <w:tcPr>
            <w:tcW w:w="0" w:type="auto"/>
            <w:tcBorders>
              <w:top w:val="single" w:sz="8" w:space="0" w:color="0071C5"/>
            </w:tcBorders>
            <w:shd w:val="clear" w:color="auto" w:fill="auto"/>
            <w:tcMar>
              <w:top w:w="40" w:type="dxa"/>
              <w:bottom w:w="40" w:type="dxa"/>
              <w:right w:w="0" w:type="dxa"/>
            </w:tcMar>
            <w:vAlign w:val="bottom"/>
          </w:tcPr>
          <w:p w14:paraId="36CA2DCD" w14:textId="77777777" w:rsidR="00787570" w:rsidRDefault="000D56E2">
            <w:pPr>
              <w:jc w:val="right"/>
              <w:textAlignment w:val="bottom"/>
            </w:pPr>
            <w:r>
              <w:rPr>
                <w:rFonts w:ascii="Arial" w:eastAsia="宋体" w:hAnsi="Arial" w:cs="Arial"/>
                <w:color w:val="026DCE"/>
                <w:sz w:val="18"/>
                <w:szCs w:val="18"/>
              </w:rPr>
              <w:t>975 </w:t>
            </w:r>
          </w:p>
        </w:tc>
        <w:tc>
          <w:tcPr>
            <w:tcW w:w="0" w:type="auto"/>
            <w:tcBorders>
              <w:top w:val="single" w:sz="8" w:space="0" w:color="0071C5"/>
            </w:tcBorders>
            <w:shd w:val="clear" w:color="auto" w:fill="auto"/>
            <w:tcMar>
              <w:top w:w="40" w:type="dxa"/>
              <w:bottom w:w="40" w:type="dxa"/>
              <w:right w:w="20" w:type="dxa"/>
            </w:tcMar>
            <w:vAlign w:val="bottom"/>
          </w:tcPr>
          <w:p w14:paraId="36CA2DCE"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2DCF" w14:textId="77777777" w:rsidR="00787570" w:rsidRDefault="00787570">
            <w:pPr>
              <w:rPr>
                <w:rFonts w:ascii="宋体"/>
              </w:rPr>
            </w:pPr>
          </w:p>
        </w:tc>
        <w:tc>
          <w:tcPr>
            <w:tcW w:w="0" w:type="auto"/>
            <w:tcBorders>
              <w:top w:val="single" w:sz="8" w:space="0" w:color="0071C5"/>
            </w:tcBorders>
            <w:shd w:val="clear" w:color="auto" w:fill="auto"/>
            <w:tcMar>
              <w:top w:w="40" w:type="dxa"/>
              <w:left w:w="20" w:type="dxa"/>
              <w:bottom w:w="40" w:type="dxa"/>
            </w:tcMar>
            <w:vAlign w:val="bottom"/>
          </w:tcPr>
          <w:p w14:paraId="36CA2DD0" w14:textId="77777777" w:rsidR="00787570" w:rsidRDefault="000D56E2">
            <w:pPr>
              <w:textAlignment w:val="bottom"/>
            </w:pPr>
            <w:r>
              <w:rPr>
                <w:rFonts w:ascii="Arial" w:eastAsia="宋体" w:hAnsi="Arial" w:cs="Arial"/>
                <w:color w:val="333333"/>
                <w:sz w:val="18"/>
                <w:szCs w:val="18"/>
              </w:rPr>
              <w:t>$</w:t>
            </w:r>
          </w:p>
        </w:tc>
        <w:tc>
          <w:tcPr>
            <w:tcW w:w="0" w:type="auto"/>
            <w:tcBorders>
              <w:top w:val="single" w:sz="8" w:space="0" w:color="0071C5"/>
            </w:tcBorders>
            <w:shd w:val="clear" w:color="auto" w:fill="auto"/>
            <w:tcMar>
              <w:top w:w="40" w:type="dxa"/>
              <w:bottom w:w="40" w:type="dxa"/>
              <w:right w:w="0" w:type="dxa"/>
            </w:tcMar>
            <w:vAlign w:val="bottom"/>
          </w:tcPr>
          <w:p w14:paraId="36CA2DD1" w14:textId="77777777" w:rsidR="00787570" w:rsidRDefault="000D56E2">
            <w:pPr>
              <w:jc w:val="right"/>
              <w:textAlignment w:val="bottom"/>
            </w:pPr>
            <w:r>
              <w:rPr>
                <w:rFonts w:ascii="Arial" w:eastAsia="宋体" w:hAnsi="Arial" w:cs="Arial"/>
                <w:color w:val="333333"/>
                <w:sz w:val="18"/>
                <w:szCs w:val="18"/>
              </w:rPr>
              <w:t>840 </w:t>
            </w:r>
          </w:p>
        </w:tc>
        <w:tc>
          <w:tcPr>
            <w:tcW w:w="0" w:type="auto"/>
            <w:tcBorders>
              <w:top w:val="single" w:sz="8" w:space="0" w:color="0071C5"/>
            </w:tcBorders>
            <w:shd w:val="clear" w:color="auto" w:fill="auto"/>
            <w:tcMar>
              <w:top w:w="40" w:type="dxa"/>
              <w:bottom w:w="40" w:type="dxa"/>
              <w:right w:w="20" w:type="dxa"/>
            </w:tcMar>
            <w:vAlign w:val="bottom"/>
          </w:tcPr>
          <w:p w14:paraId="36CA2DD2" w14:textId="77777777" w:rsidR="00787570" w:rsidRDefault="00787570">
            <w:pPr>
              <w:jc w:val="right"/>
              <w:rPr>
                <w:rFonts w:ascii="宋体"/>
              </w:rPr>
            </w:pPr>
          </w:p>
        </w:tc>
      </w:tr>
      <w:tr w:rsidR="00787570" w14:paraId="36CA2DDB" w14:textId="77777777">
        <w:tc>
          <w:tcPr>
            <w:tcW w:w="0" w:type="auto"/>
            <w:gridSpan w:val="3"/>
            <w:shd w:val="clear" w:color="auto" w:fill="auto"/>
            <w:tcMar>
              <w:top w:w="40" w:type="dxa"/>
              <w:left w:w="20" w:type="dxa"/>
              <w:bottom w:w="40" w:type="dxa"/>
              <w:right w:w="20" w:type="dxa"/>
            </w:tcMar>
          </w:tcPr>
          <w:p w14:paraId="36CA2DD4" w14:textId="77777777" w:rsidR="00787570" w:rsidRDefault="000D56E2">
            <w:pPr>
              <w:ind w:hanging="180"/>
              <w:textAlignment w:val="top"/>
            </w:pPr>
            <w:r>
              <w:rPr>
                <w:rFonts w:ascii="Arial" w:eastAsia="宋体" w:hAnsi="Arial" w:cs="Arial"/>
                <w:color w:val="333333"/>
                <w:sz w:val="18"/>
                <w:szCs w:val="18"/>
              </w:rPr>
              <w:t>Work in process</w:t>
            </w:r>
          </w:p>
        </w:tc>
        <w:tc>
          <w:tcPr>
            <w:tcW w:w="0" w:type="auto"/>
            <w:gridSpan w:val="3"/>
            <w:shd w:val="clear" w:color="auto" w:fill="auto"/>
            <w:tcMar>
              <w:left w:w="20" w:type="dxa"/>
              <w:right w:w="20" w:type="dxa"/>
            </w:tcMar>
            <w:vAlign w:val="bottom"/>
          </w:tcPr>
          <w:p w14:paraId="36CA2DD5"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2DD6" w14:textId="77777777" w:rsidR="00787570" w:rsidRDefault="000D56E2">
            <w:pPr>
              <w:jc w:val="right"/>
              <w:textAlignment w:val="bottom"/>
            </w:pPr>
            <w:r>
              <w:rPr>
                <w:rFonts w:ascii="Arial" w:eastAsia="宋体" w:hAnsi="Arial" w:cs="Arial"/>
                <w:color w:val="026DCE"/>
                <w:sz w:val="18"/>
                <w:szCs w:val="18"/>
              </w:rPr>
              <w:t>6,313 </w:t>
            </w:r>
          </w:p>
        </w:tc>
        <w:tc>
          <w:tcPr>
            <w:tcW w:w="0" w:type="auto"/>
            <w:shd w:val="clear" w:color="auto" w:fill="auto"/>
            <w:tcMar>
              <w:top w:w="40" w:type="dxa"/>
              <w:bottom w:w="40" w:type="dxa"/>
              <w:right w:w="20" w:type="dxa"/>
            </w:tcMar>
            <w:vAlign w:val="bottom"/>
          </w:tcPr>
          <w:p w14:paraId="36CA2DD7"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2DD8"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2DD9" w14:textId="77777777" w:rsidR="00787570" w:rsidRDefault="000D56E2">
            <w:pPr>
              <w:jc w:val="right"/>
              <w:textAlignment w:val="bottom"/>
            </w:pPr>
            <w:r>
              <w:rPr>
                <w:rFonts w:ascii="Arial" w:eastAsia="宋体" w:hAnsi="Arial" w:cs="Arial"/>
                <w:color w:val="333333"/>
                <w:sz w:val="18"/>
                <w:szCs w:val="18"/>
              </w:rPr>
              <w:t>6,225 </w:t>
            </w:r>
          </w:p>
        </w:tc>
        <w:tc>
          <w:tcPr>
            <w:tcW w:w="0" w:type="auto"/>
            <w:shd w:val="clear" w:color="auto" w:fill="auto"/>
            <w:tcMar>
              <w:top w:w="40" w:type="dxa"/>
              <w:bottom w:w="40" w:type="dxa"/>
              <w:right w:w="20" w:type="dxa"/>
            </w:tcMar>
            <w:vAlign w:val="bottom"/>
          </w:tcPr>
          <w:p w14:paraId="36CA2DDA" w14:textId="77777777" w:rsidR="00787570" w:rsidRDefault="00787570">
            <w:pPr>
              <w:jc w:val="right"/>
              <w:rPr>
                <w:rFonts w:ascii="宋体"/>
              </w:rPr>
            </w:pPr>
          </w:p>
        </w:tc>
      </w:tr>
      <w:tr w:rsidR="00787570" w14:paraId="36CA2DE3" w14:textId="77777777">
        <w:tc>
          <w:tcPr>
            <w:tcW w:w="0" w:type="auto"/>
            <w:gridSpan w:val="3"/>
            <w:shd w:val="clear" w:color="auto" w:fill="auto"/>
            <w:tcMar>
              <w:top w:w="40" w:type="dxa"/>
              <w:left w:w="20" w:type="dxa"/>
              <w:bottom w:w="40" w:type="dxa"/>
              <w:right w:w="20" w:type="dxa"/>
            </w:tcMar>
          </w:tcPr>
          <w:p w14:paraId="36CA2DDC" w14:textId="77777777" w:rsidR="00787570" w:rsidRDefault="000D56E2">
            <w:pPr>
              <w:ind w:hanging="180"/>
              <w:textAlignment w:val="top"/>
            </w:pPr>
            <w:r>
              <w:rPr>
                <w:rFonts w:ascii="Arial" w:eastAsia="宋体" w:hAnsi="Arial" w:cs="Arial"/>
                <w:color w:val="333333"/>
                <w:sz w:val="18"/>
                <w:szCs w:val="18"/>
              </w:rPr>
              <w:t>Finished goods</w:t>
            </w:r>
          </w:p>
        </w:tc>
        <w:tc>
          <w:tcPr>
            <w:tcW w:w="0" w:type="auto"/>
            <w:gridSpan w:val="3"/>
            <w:shd w:val="clear" w:color="auto" w:fill="auto"/>
            <w:tcMar>
              <w:left w:w="20" w:type="dxa"/>
              <w:right w:w="20" w:type="dxa"/>
            </w:tcMar>
            <w:vAlign w:val="bottom"/>
          </w:tcPr>
          <w:p w14:paraId="36CA2DDD"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2DDE" w14:textId="77777777" w:rsidR="00787570" w:rsidRDefault="000D56E2">
            <w:pPr>
              <w:jc w:val="right"/>
              <w:textAlignment w:val="bottom"/>
            </w:pPr>
            <w:r>
              <w:rPr>
                <w:rFonts w:ascii="Arial" w:eastAsia="宋体" w:hAnsi="Arial" w:cs="Arial"/>
                <w:color w:val="026DCE"/>
                <w:sz w:val="18"/>
                <w:szCs w:val="18"/>
              </w:rPr>
              <w:t>1,985 </w:t>
            </w:r>
          </w:p>
        </w:tc>
        <w:tc>
          <w:tcPr>
            <w:tcW w:w="0" w:type="auto"/>
            <w:shd w:val="clear" w:color="auto" w:fill="auto"/>
            <w:tcMar>
              <w:top w:w="40" w:type="dxa"/>
              <w:bottom w:w="40" w:type="dxa"/>
              <w:right w:w="20" w:type="dxa"/>
            </w:tcMar>
            <w:vAlign w:val="bottom"/>
          </w:tcPr>
          <w:p w14:paraId="36CA2DDF"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2DE0"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2DE1" w14:textId="77777777" w:rsidR="00787570" w:rsidRDefault="000D56E2">
            <w:pPr>
              <w:jc w:val="right"/>
              <w:textAlignment w:val="bottom"/>
            </w:pPr>
            <w:r>
              <w:rPr>
                <w:rFonts w:ascii="Arial" w:eastAsia="宋体" w:hAnsi="Arial" w:cs="Arial"/>
                <w:color w:val="333333"/>
                <w:sz w:val="18"/>
                <w:szCs w:val="18"/>
              </w:rPr>
              <w:t>1,679 </w:t>
            </w:r>
          </w:p>
        </w:tc>
        <w:tc>
          <w:tcPr>
            <w:tcW w:w="0" w:type="auto"/>
            <w:shd w:val="clear" w:color="auto" w:fill="auto"/>
            <w:tcMar>
              <w:top w:w="40" w:type="dxa"/>
              <w:bottom w:w="40" w:type="dxa"/>
              <w:right w:w="20" w:type="dxa"/>
            </w:tcMar>
            <w:vAlign w:val="bottom"/>
          </w:tcPr>
          <w:p w14:paraId="36CA2DE2" w14:textId="77777777" w:rsidR="00787570" w:rsidRDefault="00787570">
            <w:pPr>
              <w:jc w:val="right"/>
              <w:rPr>
                <w:rFonts w:ascii="宋体"/>
              </w:rPr>
            </w:pPr>
          </w:p>
        </w:tc>
      </w:tr>
      <w:tr w:rsidR="00787570" w14:paraId="36CA2DED" w14:textId="77777777">
        <w:tc>
          <w:tcPr>
            <w:tcW w:w="0" w:type="auto"/>
            <w:gridSpan w:val="3"/>
            <w:shd w:val="clear" w:color="auto" w:fill="auto"/>
            <w:tcMar>
              <w:top w:w="40" w:type="dxa"/>
              <w:left w:w="20" w:type="dxa"/>
              <w:bottom w:w="40" w:type="dxa"/>
              <w:right w:w="20" w:type="dxa"/>
            </w:tcMar>
          </w:tcPr>
          <w:p w14:paraId="36CA2DE4" w14:textId="77777777" w:rsidR="00787570" w:rsidRDefault="000D56E2">
            <w:pPr>
              <w:ind w:hanging="180"/>
              <w:textAlignment w:val="top"/>
            </w:pPr>
            <w:r>
              <w:rPr>
                <w:rFonts w:ascii="Arial" w:eastAsia="宋体" w:hAnsi="Arial" w:cs="Arial"/>
                <w:b/>
                <w:bCs/>
                <w:color w:val="333333"/>
                <w:sz w:val="18"/>
                <w:szCs w:val="18"/>
              </w:rPr>
              <w:t>Total inventories</w:t>
            </w:r>
          </w:p>
        </w:tc>
        <w:tc>
          <w:tcPr>
            <w:tcW w:w="0" w:type="auto"/>
            <w:gridSpan w:val="3"/>
            <w:shd w:val="clear" w:color="auto" w:fill="auto"/>
            <w:tcMar>
              <w:left w:w="20" w:type="dxa"/>
              <w:right w:w="20" w:type="dxa"/>
            </w:tcMar>
            <w:vAlign w:val="bottom"/>
          </w:tcPr>
          <w:p w14:paraId="36CA2DE5" w14:textId="77777777" w:rsidR="00787570" w:rsidRDefault="00787570">
            <w:pPr>
              <w:rPr>
                <w:rFonts w:ascii="宋体"/>
              </w:rPr>
            </w:pPr>
          </w:p>
        </w:tc>
        <w:tc>
          <w:tcPr>
            <w:tcW w:w="0" w:type="auto"/>
            <w:tcBorders>
              <w:top w:val="single" w:sz="8" w:space="0" w:color="333333"/>
              <w:bottom w:val="double" w:sz="6" w:space="0" w:color="333333"/>
            </w:tcBorders>
            <w:shd w:val="clear" w:color="auto" w:fill="auto"/>
            <w:tcMar>
              <w:top w:w="40" w:type="dxa"/>
              <w:left w:w="20" w:type="dxa"/>
              <w:bottom w:w="40" w:type="dxa"/>
            </w:tcMar>
            <w:vAlign w:val="bottom"/>
          </w:tcPr>
          <w:p w14:paraId="36CA2DE6" w14:textId="77777777" w:rsidR="00787570" w:rsidRDefault="000D56E2">
            <w:pPr>
              <w:textAlignment w:val="bottom"/>
            </w:pPr>
            <w:r>
              <w:rPr>
                <w:rFonts w:ascii="Arial" w:eastAsia="宋体" w:hAnsi="Arial" w:cs="Arial"/>
                <w:b/>
                <w:bCs/>
                <w:color w:val="026DCE"/>
                <w:sz w:val="18"/>
                <w:szCs w:val="18"/>
              </w:rPr>
              <w:t>$</w:t>
            </w:r>
          </w:p>
        </w:tc>
        <w:tc>
          <w:tcPr>
            <w:tcW w:w="0" w:type="auto"/>
            <w:tcBorders>
              <w:top w:val="single" w:sz="8" w:space="0" w:color="333333"/>
              <w:bottom w:val="double" w:sz="6" w:space="0" w:color="333333"/>
            </w:tcBorders>
            <w:shd w:val="clear" w:color="auto" w:fill="auto"/>
            <w:tcMar>
              <w:top w:w="40" w:type="dxa"/>
              <w:bottom w:w="40" w:type="dxa"/>
              <w:right w:w="0" w:type="dxa"/>
            </w:tcMar>
            <w:vAlign w:val="bottom"/>
          </w:tcPr>
          <w:p w14:paraId="36CA2DE7" w14:textId="77777777" w:rsidR="00787570" w:rsidRDefault="000D56E2">
            <w:pPr>
              <w:jc w:val="right"/>
              <w:textAlignment w:val="bottom"/>
            </w:pPr>
            <w:r>
              <w:rPr>
                <w:rFonts w:ascii="Arial" w:eastAsia="宋体" w:hAnsi="Arial" w:cs="Arial"/>
                <w:b/>
                <w:bCs/>
                <w:color w:val="026DCE"/>
                <w:sz w:val="18"/>
                <w:szCs w:val="18"/>
              </w:rPr>
              <w:t>9,273</w:t>
            </w:r>
            <w:r>
              <w:rPr>
                <w:rFonts w:ascii="Arial" w:eastAsia="宋体" w:hAnsi="Arial" w:cs="Arial"/>
                <w:color w:val="026DCE"/>
                <w:sz w:val="18"/>
                <w:szCs w:val="18"/>
              </w:rPr>
              <w:t> </w:t>
            </w:r>
          </w:p>
        </w:tc>
        <w:tc>
          <w:tcPr>
            <w:tcW w:w="0" w:type="auto"/>
            <w:tcBorders>
              <w:top w:val="single" w:sz="8" w:space="0" w:color="333333"/>
              <w:bottom w:val="double" w:sz="6" w:space="0" w:color="333333"/>
            </w:tcBorders>
            <w:shd w:val="clear" w:color="auto" w:fill="auto"/>
            <w:tcMar>
              <w:top w:w="40" w:type="dxa"/>
              <w:bottom w:w="40" w:type="dxa"/>
              <w:right w:w="20" w:type="dxa"/>
            </w:tcMar>
            <w:vAlign w:val="bottom"/>
          </w:tcPr>
          <w:p w14:paraId="36CA2DE8"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2DE9" w14:textId="77777777" w:rsidR="00787570" w:rsidRDefault="00787570">
            <w:pPr>
              <w:rPr>
                <w:rFonts w:ascii="宋体"/>
              </w:rPr>
            </w:pPr>
          </w:p>
        </w:tc>
        <w:tc>
          <w:tcPr>
            <w:tcW w:w="0" w:type="auto"/>
            <w:tcBorders>
              <w:top w:val="single" w:sz="8" w:space="0" w:color="333333"/>
              <w:bottom w:val="double" w:sz="6" w:space="0" w:color="333333"/>
            </w:tcBorders>
            <w:shd w:val="clear" w:color="auto" w:fill="auto"/>
            <w:tcMar>
              <w:top w:w="40" w:type="dxa"/>
              <w:left w:w="20" w:type="dxa"/>
              <w:bottom w:w="40" w:type="dxa"/>
            </w:tcMar>
            <w:vAlign w:val="bottom"/>
          </w:tcPr>
          <w:p w14:paraId="36CA2DEA" w14:textId="77777777" w:rsidR="00787570" w:rsidRDefault="000D56E2">
            <w:pPr>
              <w:textAlignment w:val="bottom"/>
            </w:pPr>
            <w:r>
              <w:rPr>
                <w:rFonts w:ascii="Arial" w:eastAsia="宋体" w:hAnsi="Arial" w:cs="Arial"/>
                <w:b/>
                <w:bCs/>
                <w:color w:val="333333"/>
                <w:sz w:val="18"/>
                <w:szCs w:val="18"/>
              </w:rPr>
              <w:t>$</w:t>
            </w:r>
          </w:p>
        </w:tc>
        <w:tc>
          <w:tcPr>
            <w:tcW w:w="0" w:type="auto"/>
            <w:tcBorders>
              <w:top w:val="single" w:sz="8" w:space="0" w:color="333333"/>
              <w:bottom w:val="double" w:sz="6" w:space="0" w:color="333333"/>
            </w:tcBorders>
            <w:shd w:val="clear" w:color="auto" w:fill="auto"/>
            <w:tcMar>
              <w:top w:w="40" w:type="dxa"/>
              <w:bottom w:w="40" w:type="dxa"/>
              <w:right w:w="0" w:type="dxa"/>
            </w:tcMar>
            <w:vAlign w:val="bottom"/>
          </w:tcPr>
          <w:p w14:paraId="36CA2DEB" w14:textId="77777777" w:rsidR="00787570" w:rsidRDefault="000D56E2">
            <w:pPr>
              <w:jc w:val="right"/>
              <w:textAlignment w:val="bottom"/>
            </w:pPr>
            <w:r>
              <w:rPr>
                <w:rFonts w:ascii="Arial" w:eastAsia="宋体" w:hAnsi="Arial" w:cs="Arial"/>
                <w:b/>
                <w:bCs/>
                <w:color w:val="333333"/>
                <w:sz w:val="18"/>
                <w:szCs w:val="18"/>
              </w:rPr>
              <w:t>8,744</w:t>
            </w:r>
            <w:r>
              <w:rPr>
                <w:rFonts w:ascii="Arial" w:eastAsia="宋体" w:hAnsi="Arial" w:cs="Arial"/>
                <w:color w:val="333333"/>
                <w:sz w:val="18"/>
                <w:szCs w:val="18"/>
              </w:rPr>
              <w:t> </w:t>
            </w:r>
          </w:p>
        </w:tc>
        <w:tc>
          <w:tcPr>
            <w:tcW w:w="0" w:type="auto"/>
            <w:tcBorders>
              <w:top w:val="single" w:sz="8" w:space="0" w:color="333333"/>
              <w:bottom w:val="double" w:sz="6" w:space="0" w:color="333333"/>
            </w:tcBorders>
            <w:shd w:val="clear" w:color="auto" w:fill="auto"/>
            <w:tcMar>
              <w:top w:w="40" w:type="dxa"/>
              <w:bottom w:w="40" w:type="dxa"/>
              <w:right w:w="20" w:type="dxa"/>
            </w:tcMar>
            <w:vAlign w:val="bottom"/>
          </w:tcPr>
          <w:p w14:paraId="36CA2DEC" w14:textId="77777777" w:rsidR="00787570" w:rsidRDefault="00787570">
            <w:pPr>
              <w:jc w:val="right"/>
              <w:rPr>
                <w:rFonts w:ascii="宋体"/>
              </w:rPr>
            </w:pPr>
          </w:p>
        </w:tc>
      </w:tr>
    </w:tbl>
    <w:p w14:paraId="36CA2DEE" w14:textId="77777777" w:rsidR="00787570" w:rsidRDefault="000D56E2">
      <w:pPr>
        <w:spacing w:before="300" w:after="180"/>
      </w:pPr>
      <w:r>
        <w:rPr>
          <w:rFonts w:ascii="Arial" w:eastAsia="宋体" w:hAnsi="Arial" w:cs="Arial"/>
          <w:b/>
          <w:bCs/>
          <w:color w:val="0071C5"/>
        </w:rPr>
        <w:t>INTEREST AND OTHER, NET</w:t>
      </w:r>
    </w:p>
    <w:p w14:paraId="36CA2DEF" w14:textId="77777777" w:rsidR="00787570" w:rsidRDefault="000D56E2">
      <w:pPr>
        <w:spacing w:after="120"/>
      </w:pPr>
      <w:r>
        <w:rPr>
          <w:rFonts w:ascii="Arial" w:eastAsia="宋体" w:hAnsi="Arial" w:cs="Arial"/>
          <w:color w:val="333333"/>
          <w:sz w:val="18"/>
          <w:szCs w:val="18"/>
        </w:rPr>
        <w:t>The components of interest and other, net for each period were as follows:</w:t>
      </w:r>
    </w:p>
    <w:tbl>
      <w:tblPr>
        <w:tblW w:w="5000" w:type="pct"/>
        <w:tblCellMar>
          <w:top w:w="15" w:type="dxa"/>
          <w:left w:w="15" w:type="dxa"/>
          <w:bottom w:w="15" w:type="dxa"/>
          <w:right w:w="15" w:type="dxa"/>
        </w:tblCellMar>
        <w:tblLook w:val="04A0" w:firstRow="1" w:lastRow="0" w:firstColumn="1" w:lastColumn="0" w:noHBand="0" w:noVBand="1"/>
      </w:tblPr>
      <w:tblGrid>
        <w:gridCol w:w="37"/>
        <w:gridCol w:w="3763"/>
        <w:gridCol w:w="36"/>
        <w:gridCol w:w="36"/>
        <w:gridCol w:w="36"/>
        <w:gridCol w:w="36"/>
        <w:gridCol w:w="136"/>
        <w:gridCol w:w="732"/>
        <w:gridCol w:w="41"/>
        <w:gridCol w:w="36"/>
        <w:gridCol w:w="36"/>
        <w:gridCol w:w="36"/>
        <w:gridCol w:w="136"/>
        <w:gridCol w:w="732"/>
        <w:gridCol w:w="41"/>
        <w:gridCol w:w="36"/>
        <w:gridCol w:w="36"/>
        <w:gridCol w:w="36"/>
        <w:gridCol w:w="136"/>
        <w:gridCol w:w="732"/>
        <w:gridCol w:w="41"/>
        <w:gridCol w:w="36"/>
        <w:gridCol w:w="36"/>
        <w:gridCol w:w="36"/>
        <w:gridCol w:w="136"/>
        <w:gridCol w:w="732"/>
        <w:gridCol w:w="41"/>
        <w:gridCol w:w="36"/>
        <w:gridCol w:w="36"/>
        <w:gridCol w:w="36"/>
        <w:gridCol w:w="36"/>
        <w:gridCol w:w="36"/>
        <w:gridCol w:w="36"/>
        <w:gridCol w:w="36"/>
        <w:gridCol w:w="36"/>
        <w:gridCol w:w="36"/>
        <w:gridCol w:w="36"/>
        <w:gridCol w:w="36"/>
        <w:gridCol w:w="36"/>
      </w:tblGrid>
      <w:tr w:rsidR="00787570" w14:paraId="36CA2E0B" w14:textId="77777777">
        <w:trPr>
          <w:gridAfter w:val="12"/>
        </w:trPr>
        <w:tc>
          <w:tcPr>
            <w:tcW w:w="50" w:type="pct"/>
            <w:shd w:val="clear" w:color="auto" w:fill="auto"/>
          </w:tcPr>
          <w:p w14:paraId="36CA2DF0" w14:textId="77777777" w:rsidR="00787570" w:rsidRDefault="00787570">
            <w:pPr>
              <w:rPr>
                <w:rFonts w:ascii="宋体"/>
              </w:rPr>
            </w:pPr>
          </w:p>
        </w:tc>
        <w:tc>
          <w:tcPr>
            <w:tcW w:w="2431" w:type="pct"/>
            <w:shd w:val="clear" w:color="auto" w:fill="auto"/>
          </w:tcPr>
          <w:p w14:paraId="36CA2DF1" w14:textId="77777777" w:rsidR="00787570" w:rsidRDefault="00787570">
            <w:pPr>
              <w:rPr>
                <w:rFonts w:ascii="宋体"/>
              </w:rPr>
            </w:pPr>
          </w:p>
        </w:tc>
        <w:tc>
          <w:tcPr>
            <w:tcW w:w="5" w:type="pct"/>
            <w:shd w:val="clear" w:color="auto" w:fill="auto"/>
          </w:tcPr>
          <w:p w14:paraId="36CA2DF2" w14:textId="77777777" w:rsidR="00787570" w:rsidRDefault="00787570">
            <w:pPr>
              <w:rPr>
                <w:rFonts w:ascii="宋体"/>
              </w:rPr>
            </w:pPr>
          </w:p>
        </w:tc>
        <w:tc>
          <w:tcPr>
            <w:tcW w:w="5" w:type="pct"/>
            <w:shd w:val="clear" w:color="auto" w:fill="auto"/>
          </w:tcPr>
          <w:p w14:paraId="36CA2DF3" w14:textId="77777777" w:rsidR="00787570" w:rsidRDefault="00787570">
            <w:pPr>
              <w:rPr>
                <w:rFonts w:ascii="宋体"/>
              </w:rPr>
            </w:pPr>
          </w:p>
        </w:tc>
        <w:tc>
          <w:tcPr>
            <w:tcW w:w="24" w:type="pct"/>
            <w:shd w:val="clear" w:color="auto" w:fill="auto"/>
          </w:tcPr>
          <w:p w14:paraId="36CA2DF4" w14:textId="77777777" w:rsidR="00787570" w:rsidRDefault="00787570">
            <w:pPr>
              <w:rPr>
                <w:rFonts w:ascii="宋体"/>
              </w:rPr>
            </w:pPr>
          </w:p>
        </w:tc>
        <w:tc>
          <w:tcPr>
            <w:tcW w:w="5" w:type="pct"/>
            <w:shd w:val="clear" w:color="auto" w:fill="auto"/>
          </w:tcPr>
          <w:p w14:paraId="36CA2DF5" w14:textId="77777777" w:rsidR="00787570" w:rsidRDefault="00787570">
            <w:pPr>
              <w:rPr>
                <w:rFonts w:ascii="宋体"/>
              </w:rPr>
            </w:pPr>
          </w:p>
        </w:tc>
        <w:tc>
          <w:tcPr>
            <w:tcW w:w="50" w:type="pct"/>
            <w:shd w:val="clear" w:color="auto" w:fill="auto"/>
          </w:tcPr>
          <w:p w14:paraId="36CA2DF6" w14:textId="77777777" w:rsidR="00787570" w:rsidRDefault="00787570">
            <w:pPr>
              <w:rPr>
                <w:rFonts w:ascii="宋体"/>
              </w:rPr>
            </w:pPr>
          </w:p>
        </w:tc>
        <w:tc>
          <w:tcPr>
            <w:tcW w:w="539" w:type="pct"/>
            <w:shd w:val="clear" w:color="auto" w:fill="auto"/>
          </w:tcPr>
          <w:p w14:paraId="36CA2DF7" w14:textId="77777777" w:rsidR="00787570" w:rsidRDefault="00787570">
            <w:pPr>
              <w:rPr>
                <w:rFonts w:ascii="宋体"/>
              </w:rPr>
            </w:pPr>
          </w:p>
        </w:tc>
        <w:tc>
          <w:tcPr>
            <w:tcW w:w="5" w:type="pct"/>
            <w:shd w:val="clear" w:color="auto" w:fill="auto"/>
          </w:tcPr>
          <w:p w14:paraId="36CA2DF8" w14:textId="77777777" w:rsidR="00787570" w:rsidRDefault="00787570">
            <w:pPr>
              <w:rPr>
                <w:rFonts w:ascii="宋体"/>
              </w:rPr>
            </w:pPr>
          </w:p>
        </w:tc>
        <w:tc>
          <w:tcPr>
            <w:tcW w:w="5" w:type="pct"/>
            <w:shd w:val="clear" w:color="auto" w:fill="auto"/>
          </w:tcPr>
          <w:p w14:paraId="36CA2DF9" w14:textId="77777777" w:rsidR="00787570" w:rsidRDefault="00787570">
            <w:pPr>
              <w:rPr>
                <w:rFonts w:ascii="宋体"/>
              </w:rPr>
            </w:pPr>
          </w:p>
        </w:tc>
        <w:tc>
          <w:tcPr>
            <w:tcW w:w="24" w:type="pct"/>
            <w:shd w:val="clear" w:color="auto" w:fill="auto"/>
          </w:tcPr>
          <w:p w14:paraId="36CA2DFA" w14:textId="77777777" w:rsidR="00787570" w:rsidRDefault="00787570">
            <w:pPr>
              <w:rPr>
                <w:rFonts w:ascii="宋体"/>
              </w:rPr>
            </w:pPr>
          </w:p>
        </w:tc>
        <w:tc>
          <w:tcPr>
            <w:tcW w:w="5" w:type="pct"/>
            <w:shd w:val="clear" w:color="auto" w:fill="auto"/>
          </w:tcPr>
          <w:p w14:paraId="36CA2DFB" w14:textId="77777777" w:rsidR="00787570" w:rsidRDefault="00787570">
            <w:pPr>
              <w:rPr>
                <w:rFonts w:ascii="宋体"/>
              </w:rPr>
            </w:pPr>
          </w:p>
        </w:tc>
        <w:tc>
          <w:tcPr>
            <w:tcW w:w="50" w:type="pct"/>
            <w:shd w:val="clear" w:color="auto" w:fill="auto"/>
          </w:tcPr>
          <w:p w14:paraId="36CA2DFC" w14:textId="77777777" w:rsidR="00787570" w:rsidRDefault="00787570">
            <w:pPr>
              <w:rPr>
                <w:rFonts w:ascii="宋体"/>
              </w:rPr>
            </w:pPr>
          </w:p>
        </w:tc>
        <w:tc>
          <w:tcPr>
            <w:tcW w:w="539" w:type="pct"/>
            <w:shd w:val="clear" w:color="auto" w:fill="auto"/>
          </w:tcPr>
          <w:p w14:paraId="36CA2DFD" w14:textId="77777777" w:rsidR="00787570" w:rsidRDefault="00787570">
            <w:pPr>
              <w:rPr>
                <w:rFonts w:ascii="宋体"/>
              </w:rPr>
            </w:pPr>
          </w:p>
        </w:tc>
        <w:tc>
          <w:tcPr>
            <w:tcW w:w="5" w:type="pct"/>
            <w:shd w:val="clear" w:color="auto" w:fill="auto"/>
          </w:tcPr>
          <w:p w14:paraId="36CA2DFE" w14:textId="77777777" w:rsidR="00787570" w:rsidRDefault="00787570">
            <w:pPr>
              <w:rPr>
                <w:rFonts w:ascii="宋体"/>
              </w:rPr>
            </w:pPr>
          </w:p>
        </w:tc>
        <w:tc>
          <w:tcPr>
            <w:tcW w:w="5" w:type="pct"/>
            <w:shd w:val="clear" w:color="auto" w:fill="auto"/>
          </w:tcPr>
          <w:p w14:paraId="36CA2DFF" w14:textId="77777777" w:rsidR="00787570" w:rsidRDefault="00787570">
            <w:pPr>
              <w:rPr>
                <w:rFonts w:ascii="宋体"/>
              </w:rPr>
            </w:pPr>
          </w:p>
        </w:tc>
        <w:tc>
          <w:tcPr>
            <w:tcW w:w="24" w:type="pct"/>
            <w:shd w:val="clear" w:color="auto" w:fill="auto"/>
          </w:tcPr>
          <w:p w14:paraId="36CA2E00" w14:textId="77777777" w:rsidR="00787570" w:rsidRDefault="00787570">
            <w:pPr>
              <w:rPr>
                <w:rFonts w:ascii="宋体"/>
              </w:rPr>
            </w:pPr>
          </w:p>
        </w:tc>
        <w:tc>
          <w:tcPr>
            <w:tcW w:w="5" w:type="pct"/>
            <w:shd w:val="clear" w:color="auto" w:fill="auto"/>
          </w:tcPr>
          <w:p w14:paraId="36CA2E01" w14:textId="77777777" w:rsidR="00787570" w:rsidRDefault="00787570">
            <w:pPr>
              <w:rPr>
                <w:rFonts w:ascii="宋体"/>
              </w:rPr>
            </w:pPr>
          </w:p>
        </w:tc>
        <w:tc>
          <w:tcPr>
            <w:tcW w:w="50" w:type="pct"/>
            <w:shd w:val="clear" w:color="auto" w:fill="auto"/>
          </w:tcPr>
          <w:p w14:paraId="36CA2E02" w14:textId="77777777" w:rsidR="00787570" w:rsidRDefault="00787570">
            <w:pPr>
              <w:rPr>
                <w:rFonts w:ascii="宋体"/>
              </w:rPr>
            </w:pPr>
          </w:p>
        </w:tc>
        <w:tc>
          <w:tcPr>
            <w:tcW w:w="539" w:type="pct"/>
            <w:shd w:val="clear" w:color="auto" w:fill="auto"/>
          </w:tcPr>
          <w:p w14:paraId="36CA2E03" w14:textId="77777777" w:rsidR="00787570" w:rsidRDefault="00787570">
            <w:pPr>
              <w:rPr>
                <w:rFonts w:ascii="宋体"/>
              </w:rPr>
            </w:pPr>
          </w:p>
        </w:tc>
        <w:tc>
          <w:tcPr>
            <w:tcW w:w="5" w:type="pct"/>
            <w:shd w:val="clear" w:color="auto" w:fill="auto"/>
          </w:tcPr>
          <w:p w14:paraId="36CA2E04" w14:textId="77777777" w:rsidR="00787570" w:rsidRDefault="00787570">
            <w:pPr>
              <w:rPr>
                <w:rFonts w:ascii="宋体"/>
              </w:rPr>
            </w:pPr>
          </w:p>
        </w:tc>
        <w:tc>
          <w:tcPr>
            <w:tcW w:w="5" w:type="pct"/>
            <w:shd w:val="clear" w:color="auto" w:fill="auto"/>
          </w:tcPr>
          <w:p w14:paraId="36CA2E05" w14:textId="77777777" w:rsidR="00787570" w:rsidRDefault="00787570">
            <w:pPr>
              <w:rPr>
                <w:rFonts w:ascii="宋体"/>
              </w:rPr>
            </w:pPr>
          </w:p>
        </w:tc>
        <w:tc>
          <w:tcPr>
            <w:tcW w:w="24" w:type="pct"/>
            <w:shd w:val="clear" w:color="auto" w:fill="auto"/>
          </w:tcPr>
          <w:p w14:paraId="36CA2E06" w14:textId="77777777" w:rsidR="00787570" w:rsidRDefault="00787570">
            <w:pPr>
              <w:rPr>
                <w:rFonts w:ascii="宋体"/>
              </w:rPr>
            </w:pPr>
          </w:p>
        </w:tc>
        <w:tc>
          <w:tcPr>
            <w:tcW w:w="5" w:type="pct"/>
            <w:shd w:val="clear" w:color="auto" w:fill="auto"/>
          </w:tcPr>
          <w:p w14:paraId="36CA2E07" w14:textId="77777777" w:rsidR="00787570" w:rsidRDefault="00787570">
            <w:pPr>
              <w:rPr>
                <w:rFonts w:ascii="宋体"/>
              </w:rPr>
            </w:pPr>
          </w:p>
        </w:tc>
        <w:tc>
          <w:tcPr>
            <w:tcW w:w="50" w:type="pct"/>
            <w:shd w:val="clear" w:color="auto" w:fill="auto"/>
          </w:tcPr>
          <w:p w14:paraId="36CA2E08" w14:textId="77777777" w:rsidR="00787570" w:rsidRDefault="00787570">
            <w:pPr>
              <w:rPr>
                <w:rFonts w:ascii="宋体"/>
              </w:rPr>
            </w:pPr>
          </w:p>
        </w:tc>
        <w:tc>
          <w:tcPr>
            <w:tcW w:w="539" w:type="pct"/>
            <w:shd w:val="clear" w:color="auto" w:fill="auto"/>
          </w:tcPr>
          <w:p w14:paraId="36CA2E09" w14:textId="77777777" w:rsidR="00787570" w:rsidRDefault="00787570">
            <w:pPr>
              <w:rPr>
                <w:rFonts w:ascii="宋体"/>
              </w:rPr>
            </w:pPr>
          </w:p>
        </w:tc>
        <w:tc>
          <w:tcPr>
            <w:tcW w:w="5" w:type="pct"/>
            <w:shd w:val="clear" w:color="auto" w:fill="auto"/>
          </w:tcPr>
          <w:p w14:paraId="36CA2E0A" w14:textId="77777777" w:rsidR="00787570" w:rsidRDefault="00787570">
            <w:pPr>
              <w:rPr>
                <w:rFonts w:ascii="宋体"/>
              </w:rPr>
            </w:pPr>
          </w:p>
        </w:tc>
      </w:tr>
      <w:tr w:rsidR="00787570" w14:paraId="36CA2E15" w14:textId="77777777">
        <w:tc>
          <w:tcPr>
            <w:tcW w:w="0" w:type="auto"/>
            <w:gridSpan w:val="3"/>
            <w:shd w:val="clear" w:color="auto" w:fill="auto"/>
            <w:tcMar>
              <w:top w:w="40" w:type="dxa"/>
              <w:left w:w="20" w:type="dxa"/>
              <w:bottom w:w="40" w:type="dxa"/>
              <w:right w:w="20" w:type="dxa"/>
            </w:tcMar>
            <w:vAlign w:val="bottom"/>
          </w:tcPr>
          <w:p w14:paraId="36CA2E0C" w14:textId="77777777" w:rsidR="00787570" w:rsidRDefault="000D56E2">
            <w:pPr>
              <w:ind w:hanging="180"/>
              <w:textAlignment w:val="bottom"/>
            </w:pPr>
            <w:r>
              <w:rPr>
                <w:rFonts w:ascii="Arial" w:eastAsia="宋体" w:hAnsi="Arial" w:cs="Arial"/>
                <w:color w:val="333333"/>
                <w:sz w:val="16"/>
                <w:szCs w:val="16"/>
              </w:rPr>
              <w:t> </w:t>
            </w:r>
          </w:p>
        </w:tc>
        <w:tc>
          <w:tcPr>
            <w:tcW w:w="0" w:type="auto"/>
            <w:gridSpan w:val="3"/>
            <w:shd w:val="clear" w:color="auto" w:fill="auto"/>
            <w:tcMar>
              <w:left w:w="20" w:type="dxa"/>
              <w:right w:w="20" w:type="dxa"/>
            </w:tcMar>
            <w:vAlign w:val="bottom"/>
          </w:tcPr>
          <w:p w14:paraId="36CA2E0D" w14:textId="77777777" w:rsidR="00787570" w:rsidRDefault="00787570">
            <w:pPr>
              <w:rPr>
                <w:rFonts w:ascii="宋体"/>
              </w:rPr>
            </w:pPr>
          </w:p>
        </w:tc>
        <w:tc>
          <w:tcPr>
            <w:tcW w:w="0" w:type="auto"/>
            <w:gridSpan w:val="9"/>
            <w:shd w:val="clear" w:color="auto" w:fill="auto"/>
            <w:tcMar>
              <w:top w:w="40" w:type="dxa"/>
              <w:left w:w="20" w:type="dxa"/>
              <w:bottom w:w="40" w:type="dxa"/>
              <w:right w:w="20" w:type="dxa"/>
            </w:tcMar>
            <w:vAlign w:val="bottom"/>
          </w:tcPr>
          <w:p w14:paraId="36CA2E0E" w14:textId="77777777" w:rsidR="00787570" w:rsidRDefault="000D56E2">
            <w:pPr>
              <w:jc w:val="center"/>
              <w:textAlignment w:val="bottom"/>
            </w:pPr>
            <w:r>
              <w:rPr>
                <w:rFonts w:ascii="Arial" w:eastAsia="宋体" w:hAnsi="Arial" w:cs="Arial"/>
                <w:b/>
                <w:bCs/>
                <w:color w:val="333333"/>
                <w:sz w:val="18"/>
                <w:szCs w:val="18"/>
              </w:rPr>
              <w:t>Three Months Ended</w:t>
            </w:r>
          </w:p>
        </w:tc>
        <w:tc>
          <w:tcPr>
            <w:tcW w:w="0" w:type="auto"/>
            <w:gridSpan w:val="3"/>
            <w:shd w:val="clear" w:color="auto" w:fill="auto"/>
          </w:tcPr>
          <w:p w14:paraId="36CA2E0F" w14:textId="77777777" w:rsidR="00787570" w:rsidRDefault="00787570">
            <w:pPr>
              <w:rPr>
                <w:rFonts w:ascii="宋体"/>
                <w:vanish/>
              </w:rPr>
            </w:pPr>
          </w:p>
        </w:tc>
        <w:tc>
          <w:tcPr>
            <w:tcW w:w="0" w:type="auto"/>
            <w:gridSpan w:val="3"/>
            <w:shd w:val="clear" w:color="auto" w:fill="auto"/>
          </w:tcPr>
          <w:p w14:paraId="36CA2E10" w14:textId="77777777" w:rsidR="00787570" w:rsidRDefault="00787570">
            <w:pPr>
              <w:rPr>
                <w:rFonts w:ascii="宋体"/>
                <w:vanish/>
              </w:rPr>
            </w:pPr>
          </w:p>
        </w:tc>
        <w:tc>
          <w:tcPr>
            <w:tcW w:w="0" w:type="auto"/>
            <w:gridSpan w:val="3"/>
            <w:shd w:val="clear" w:color="auto" w:fill="auto"/>
            <w:tcMar>
              <w:left w:w="20" w:type="dxa"/>
              <w:right w:w="20" w:type="dxa"/>
            </w:tcMar>
            <w:vAlign w:val="bottom"/>
          </w:tcPr>
          <w:p w14:paraId="36CA2E11" w14:textId="77777777" w:rsidR="00787570" w:rsidRDefault="00787570">
            <w:pPr>
              <w:rPr>
                <w:rFonts w:ascii="宋体"/>
              </w:rPr>
            </w:pPr>
          </w:p>
        </w:tc>
        <w:tc>
          <w:tcPr>
            <w:tcW w:w="0" w:type="auto"/>
            <w:gridSpan w:val="9"/>
            <w:shd w:val="clear" w:color="auto" w:fill="auto"/>
            <w:tcMar>
              <w:top w:w="40" w:type="dxa"/>
              <w:left w:w="20" w:type="dxa"/>
              <w:bottom w:w="40" w:type="dxa"/>
              <w:right w:w="20" w:type="dxa"/>
            </w:tcMar>
            <w:vAlign w:val="bottom"/>
          </w:tcPr>
          <w:p w14:paraId="36CA2E12" w14:textId="77777777" w:rsidR="00787570" w:rsidRDefault="000D56E2">
            <w:pPr>
              <w:jc w:val="center"/>
              <w:textAlignment w:val="bottom"/>
            </w:pPr>
            <w:r>
              <w:rPr>
                <w:rFonts w:ascii="Arial" w:eastAsia="宋体" w:hAnsi="Arial" w:cs="Arial"/>
                <w:b/>
                <w:bCs/>
                <w:color w:val="333333"/>
                <w:sz w:val="18"/>
                <w:szCs w:val="18"/>
              </w:rPr>
              <w:t>Nine Months Ended</w:t>
            </w:r>
          </w:p>
        </w:tc>
        <w:tc>
          <w:tcPr>
            <w:tcW w:w="0" w:type="auto"/>
            <w:gridSpan w:val="3"/>
            <w:shd w:val="clear" w:color="auto" w:fill="auto"/>
          </w:tcPr>
          <w:p w14:paraId="36CA2E13" w14:textId="77777777" w:rsidR="00787570" w:rsidRDefault="00787570">
            <w:pPr>
              <w:rPr>
                <w:rFonts w:ascii="宋体"/>
                <w:vanish/>
              </w:rPr>
            </w:pPr>
          </w:p>
        </w:tc>
        <w:tc>
          <w:tcPr>
            <w:tcW w:w="0" w:type="auto"/>
            <w:gridSpan w:val="3"/>
            <w:shd w:val="clear" w:color="auto" w:fill="auto"/>
          </w:tcPr>
          <w:p w14:paraId="36CA2E14" w14:textId="77777777" w:rsidR="00787570" w:rsidRDefault="00787570">
            <w:pPr>
              <w:rPr>
                <w:rFonts w:ascii="宋体"/>
                <w:vanish/>
              </w:rPr>
            </w:pPr>
          </w:p>
        </w:tc>
      </w:tr>
      <w:tr w:rsidR="00787570" w14:paraId="36CA2E2B" w14:textId="77777777">
        <w:tc>
          <w:tcPr>
            <w:tcW w:w="0" w:type="auto"/>
            <w:gridSpan w:val="3"/>
            <w:shd w:val="clear" w:color="auto" w:fill="auto"/>
            <w:tcMar>
              <w:top w:w="40" w:type="dxa"/>
              <w:left w:w="20" w:type="dxa"/>
              <w:bottom w:w="40" w:type="dxa"/>
              <w:right w:w="20" w:type="dxa"/>
            </w:tcMar>
            <w:vAlign w:val="bottom"/>
          </w:tcPr>
          <w:p w14:paraId="36CA2E16" w14:textId="77777777" w:rsidR="00787570" w:rsidRDefault="000D56E2">
            <w:pPr>
              <w:ind w:hanging="180"/>
              <w:textAlignment w:val="bottom"/>
            </w:pPr>
            <w:r>
              <w:rPr>
                <w:rFonts w:ascii="Arial" w:eastAsia="宋体" w:hAnsi="Arial" w:cs="Arial"/>
                <w:b/>
                <w:bCs/>
                <w:color w:val="333333"/>
                <w:sz w:val="18"/>
                <w:szCs w:val="18"/>
              </w:rPr>
              <w:t>(In Millions)</w:t>
            </w:r>
          </w:p>
        </w:tc>
        <w:tc>
          <w:tcPr>
            <w:tcW w:w="0" w:type="auto"/>
            <w:gridSpan w:val="3"/>
            <w:shd w:val="clear" w:color="auto" w:fill="auto"/>
            <w:tcMar>
              <w:left w:w="20" w:type="dxa"/>
              <w:right w:w="20" w:type="dxa"/>
            </w:tcMar>
            <w:vAlign w:val="bottom"/>
          </w:tcPr>
          <w:p w14:paraId="36CA2E17" w14:textId="77777777" w:rsidR="00787570" w:rsidRDefault="00787570">
            <w:pPr>
              <w:rPr>
                <w:rFonts w:ascii="宋体"/>
              </w:rPr>
            </w:pPr>
          </w:p>
        </w:tc>
        <w:tc>
          <w:tcPr>
            <w:tcW w:w="0" w:type="auto"/>
            <w:gridSpan w:val="3"/>
            <w:tcBorders>
              <w:top w:val="single" w:sz="8" w:space="0" w:color="0071C5"/>
            </w:tcBorders>
            <w:shd w:val="clear" w:color="auto" w:fill="auto"/>
            <w:tcMar>
              <w:top w:w="40" w:type="dxa"/>
              <w:left w:w="20" w:type="dxa"/>
              <w:bottom w:w="40" w:type="dxa"/>
              <w:right w:w="20" w:type="dxa"/>
            </w:tcMar>
            <w:vAlign w:val="bottom"/>
          </w:tcPr>
          <w:p w14:paraId="36CA2E18" w14:textId="77777777" w:rsidR="00787570" w:rsidRDefault="000D56E2">
            <w:pPr>
              <w:jc w:val="center"/>
              <w:textAlignment w:val="bottom"/>
            </w:pPr>
            <w:r>
              <w:rPr>
                <w:rFonts w:ascii="Arial" w:eastAsia="宋体" w:hAnsi="Arial" w:cs="Arial"/>
                <w:b/>
                <w:bCs/>
                <w:color w:val="333333"/>
                <w:sz w:val="18"/>
                <w:szCs w:val="18"/>
              </w:rPr>
              <w:t>Sep 26, 2020</w:t>
            </w:r>
          </w:p>
        </w:tc>
        <w:tc>
          <w:tcPr>
            <w:tcW w:w="0" w:type="auto"/>
            <w:gridSpan w:val="3"/>
            <w:tcBorders>
              <w:top w:val="single" w:sz="8" w:space="0" w:color="0071C5"/>
            </w:tcBorders>
            <w:shd w:val="clear" w:color="auto" w:fill="auto"/>
            <w:tcMar>
              <w:left w:w="20" w:type="dxa"/>
              <w:right w:w="20" w:type="dxa"/>
            </w:tcMar>
            <w:vAlign w:val="bottom"/>
          </w:tcPr>
          <w:p w14:paraId="36CA2E19" w14:textId="77777777" w:rsidR="00787570" w:rsidRDefault="00787570">
            <w:pPr>
              <w:rPr>
                <w:rFonts w:ascii="宋体"/>
              </w:rPr>
            </w:pPr>
          </w:p>
        </w:tc>
        <w:tc>
          <w:tcPr>
            <w:tcW w:w="0" w:type="auto"/>
            <w:gridSpan w:val="3"/>
            <w:tcBorders>
              <w:top w:val="single" w:sz="8" w:space="0" w:color="0071C5"/>
            </w:tcBorders>
            <w:shd w:val="clear" w:color="auto" w:fill="auto"/>
            <w:tcMar>
              <w:top w:w="40" w:type="dxa"/>
              <w:left w:w="20" w:type="dxa"/>
              <w:bottom w:w="40" w:type="dxa"/>
              <w:right w:w="20" w:type="dxa"/>
            </w:tcMar>
            <w:vAlign w:val="bottom"/>
          </w:tcPr>
          <w:p w14:paraId="36CA2E1A" w14:textId="77777777" w:rsidR="00787570" w:rsidRDefault="000D56E2">
            <w:pPr>
              <w:jc w:val="center"/>
              <w:textAlignment w:val="bottom"/>
            </w:pPr>
            <w:r>
              <w:rPr>
                <w:rFonts w:ascii="Arial" w:eastAsia="宋体" w:hAnsi="Arial" w:cs="Arial"/>
                <w:b/>
                <w:bCs/>
                <w:color w:val="333333"/>
                <w:sz w:val="18"/>
                <w:szCs w:val="18"/>
              </w:rPr>
              <w:t>Sep 28, 2019</w:t>
            </w:r>
          </w:p>
        </w:tc>
        <w:tc>
          <w:tcPr>
            <w:tcW w:w="0" w:type="auto"/>
            <w:gridSpan w:val="3"/>
            <w:shd w:val="clear" w:color="auto" w:fill="auto"/>
            <w:tcMar>
              <w:left w:w="20" w:type="dxa"/>
              <w:right w:w="20" w:type="dxa"/>
            </w:tcMar>
            <w:vAlign w:val="bottom"/>
          </w:tcPr>
          <w:p w14:paraId="36CA2E1B" w14:textId="77777777" w:rsidR="00787570" w:rsidRDefault="00787570">
            <w:pPr>
              <w:rPr>
                <w:rFonts w:ascii="宋体"/>
              </w:rPr>
            </w:pPr>
          </w:p>
        </w:tc>
        <w:tc>
          <w:tcPr>
            <w:tcW w:w="0" w:type="auto"/>
            <w:gridSpan w:val="3"/>
            <w:tcBorders>
              <w:top w:val="single" w:sz="8" w:space="0" w:color="0071C5"/>
            </w:tcBorders>
            <w:shd w:val="clear" w:color="auto" w:fill="auto"/>
            <w:tcMar>
              <w:top w:w="40" w:type="dxa"/>
              <w:left w:w="20" w:type="dxa"/>
              <w:bottom w:w="40" w:type="dxa"/>
              <w:right w:w="20" w:type="dxa"/>
            </w:tcMar>
            <w:vAlign w:val="bottom"/>
          </w:tcPr>
          <w:p w14:paraId="36CA2E1C" w14:textId="77777777" w:rsidR="00787570" w:rsidRDefault="000D56E2">
            <w:pPr>
              <w:jc w:val="center"/>
              <w:textAlignment w:val="bottom"/>
            </w:pPr>
            <w:r>
              <w:rPr>
                <w:rFonts w:ascii="Arial" w:eastAsia="宋体" w:hAnsi="Arial" w:cs="Arial"/>
                <w:b/>
                <w:bCs/>
                <w:color w:val="333333"/>
                <w:sz w:val="18"/>
                <w:szCs w:val="18"/>
              </w:rPr>
              <w:t>Sep 26, 2020</w:t>
            </w:r>
          </w:p>
        </w:tc>
        <w:tc>
          <w:tcPr>
            <w:tcW w:w="0" w:type="auto"/>
            <w:gridSpan w:val="3"/>
            <w:tcBorders>
              <w:top w:val="single" w:sz="8" w:space="0" w:color="0071C5"/>
            </w:tcBorders>
            <w:shd w:val="clear" w:color="auto" w:fill="auto"/>
            <w:tcMar>
              <w:left w:w="20" w:type="dxa"/>
              <w:right w:w="20" w:type="dxa"/>
            </w:tcMar>
            <w:vAlign w:val="bottom"/>
          </w:tcPr>
          <w:p w14:paraId="36CA2E1D" w14:textId="77777777" w:rsidR="00787570" w:rsidRDefault="00787570">
            <w:pPr>
              <w:rPr>
                <w:rFonts w:ascii="宋体"/>
              </w:rPr>
            </w:pPr>
          </w:p>
        </w:tc>
        <w:tc>
          <w:tcPr>
            <w:tcW w:w="0" w:type="auto"/>
            <w:gridSpan w:val="3"/>
            <w:tcBorders>
              <w:top w:val="single" w:sz="8" w:space="0" w:color="0071C5"/>
            </w:tcBorders>
            <w:shd w:val="clear" w:color="auto" w:fill="auto"/>
            <w:tcMar>
              <w:top w:w="40" w:type="dxa"/>
              <w:left w:w="20" w:type="dxa"/>
              <w:bottom w:w="40" w:type="dxa"/>
              <w:right w:w="20" w:type="dxa"/>
            </w:tcMar>
            <w:vAlign w:val="bottom"/>
          </w:tcPr>
          <w:p w14:paraId="36CA2E1E" w14:textId="77777777" w:rsidR="00787570" w:rsidRDefault="000D56E2">
            <w:pPr>
              <w:jc w:val="center"/>
              <w:textAlignment w:val="bottom"/>
            </w:pPr>
            <w:r>
              <w:rPr>
                <w:rFonts w:ascii="Arial" w:eastAsia="宋体" w:hAnsi="Arial" w:cs="Arial"/>
                <w:b/>
                <w:bCs/>
                <w:color w:val="333333"/>
                <w:sz w:val="18"/>
                <w:szCs w:val="18"/>
              </w:rPr>
              <w:t>Sep 28, 2019</w:t>
            </w:r>
          </w:p>
        </w:tc>
        <w:tc>
          <w:tcPr>
            <w:tcW w:w="0" w:type="auto"/>
            <w:shd w:val="clear" w:color="auto" w:fill="auto"/>
          </w:tcPr>
          <w:p w14:paraId="36CA2E1F" w14:textId="77777777" w:rsidR="00787570" w:rsidRDefault="00787570">
            <w:pPr>
              <w:rPr>
                <w:rFonts w:ascii="宋体"/>
              </w:rPr>
            </w:pPr>
          </w:p>
        </w:tc>
        <w:tc>
          <w:tcPr>
            <w:tcW w:w="0" w:type="auto"/>
            <w:shd w:val="clear" w:color="auto" w:fill="auto"/>
          </w:tcPr>
          <w:p w14:paraId="36CA2E20" w14:textId="77777777" w:rsidR="00787570" w:rsidRDefault="00787570">
            <w:pPr>
              <w:rPr>
                <w:rFonts w:ascii="宋体"/>
              </w:rPr>
            </w:pPr>
          </w:p>
        </w:tc>
        <w:tc>
          <w:tcPr>
            <w:tcW w:w="0" w:type="auto"/>
            <w:shd w:val="clear" w:color="auto" w:fill="auto"/>
          </w:tcPr>
          <w:p w14:paraId="36CA2E21" w14:textId="77777777" w:rsidR="00787570" w:rsidRDefault="00787570">
            <w:pPr>
              <w:rPr>
                <w:rFonts w:ascii="宋体"/>
              </w:rPr>
            </w:pPr>
          </w:p>
        </w:tc>
        <w:tc>
          <w:tcPr>
            <w:tcW w:w="0" w:type="auto"/>
            <w:shd w:val="clear" w:color="auto" w:fill="auto"/>
          </w:tcPr>
          <w:p w14:paraId="36CA2E22" w14:textId="77777777" w:rsidR="00787570" w:rsidRDefault="00787570">
            <w:pPr>
              <w:rPr>
                <w:rFonts w:ascii="宋体"/>
              </w:rPr>
            </w:pPr>
          </w:p>
        </w:tc>
        <w:tc>
          <w:tcPr>
            <w:tcW w:w="0" w:type="auto"/>
            <w:shd w:val="clear" w:color="auto" w:fill="auto"/>
          </w:tcPr>
          <w:p w14:paraId="36CA2E23" w14:textId="77777777" w:rsidR="00787570" w:rsidRDefault="00787570">
            <w:pPr>
              <w:rPr>
                <w:rFonts w:ascii="宋体"/>
              </w:rPr>
            </w:pPr>
          </w:p>
        </w:tc>
        <w:tc>
          <w:tcPr>
            <w:tcW w:w="0" w:type="auto"/>
            <w:shd w:val="clear" w:color="auto" w:fill="auto"/>
          </w:tcPr>
          <w:p w14:paraId="36CA2E24" w14:textId="77777777" w:rsidR="00787570" w:rsidRDefault="00787570">
            <w:pPr>
              <w:rPr>
                <w:rFonts w:ascii="宋体"/>
              </w:rPr>
            </w:pPr>
          </w:p>
        </w:tc>
        <w:tc>
          <w:tcPr>
            <w:tcW w:w="0" w:type="auto"/>
            <w:shd w:val="clear" w:color="auto" w:fill="auto"/>
          </w:tcPr>
          <w:p w14:paraId="36CA2E25" w14:textId="77777777" w:rsidR="00787570" w:rsidRDefault="00787570">
            <w:pPr>
              <w:rPr>
                <w:rFonts w:ascii="宋体"/>
              </w:rPr>
            </w:pPr>
          </w:p>
        </w:tc>
        <w:tc>
          <w:tcPr>
            <w:tcW w:w="0" w:type="auto"/>
            <w:shd w:val="clear" w:color="auto" w:fill="auto"/>
          </w:tcPr>
          <w:p w14:paraId="36CA2E26" w14:textId="77777777" w:rsidR="00787570" w:rsidRDefault="00787570">
            <w:pPr>
              <w:rPr>
                <w:rFonts w:ascii="宋体"/>
              </w:rPr>
            </w:pPr>
          </w:p>
        </w:tc>
        <w:tc>
          <w:tcPr>
            <w:tcW w:w="0" w:type="auto"/>
            <w:shd w:val="clear" w:color="auto" w:fill="auto"/>
          </w:tcPr>
          <w:p w14:paraId="36CA2E27" w14:textId="77777777" w:rsidR="00787570" w:rsidRDefault="00787570">
            <w:pPr>
              <w:rPr>
                <w:rFonts w:ascii="宋体"/>
              </w:rPr>
            </w:pPr>
          </w:p>
        </w:tc>
        <w:tc>
          <w:tcPr>
            <w:tcW w:w="0" w:type="auto"/>
            <w:shd w:val="clear" w:color="auto" w:fill="auto"/>
          </w:tcPr>
          <w:p w14:paraId="36CA2E28" w14:textId="77777777" w:rsidR="00787570" w:rsidRDefault="00787570">
            <w:pPr>
              <w:rPr>
                <w:rFonts w:ascii="宋体"/>
              </w:rPr>
            </w:pPr>
          </w:p>
        </w:tc>
        <w:tc>
          <w:tcPr>
            <w:tcW w:w="0" w:type="auto"/>
            <w:shd w:val="clear" w:color="auto" w:fill="auto"/>
          </w:tcPr>
          <w:p w14:paraId="36CA2E29" w14:textId="77777777" w:rsidR="00787570" w:rsidRDefault="00787570">
            <w:pPr>
              <w:rPr>
                <w:rFonts w:ascii="宋体"/>
              </w:rPr>
            </w:pPr>
          </w:p>
        </w:tc>
        <w:tc>
          <w:tcPr>
            <w:tcW w:w="0" w:type="auto"/>
            <w:shd w:val="clear" w:color="auto" w:fill="auto"/>
          </w:tcPr>
          <w:p w14:paraId="36CA2E2A" w14:textId="77777777" w:rsidR="00787570" w:rsidRDefault="00787570">
            <w:pPr>
              <w:rPr>
                <w:rFonts w:ascii="宋体"/>
              </w:rPr>
            </w:pPr>
          </w:p>
        </w:tc>
      </w:tr>
      <w:tr w:rsidR="00787570" w14:paraId="36CA2E49" w14:textId="77777777">
        <w:tc>
          <w:tcPr>
            <w:tcW w:w="0" w:type="auto"/>
            <w:gridSpan w:val="3"/>
            <w:tcBorders>
              <w:top w:val="single" w:sz="8" w:space="0" w:color="0071C5"/>
            </w:tcBorders>
            <w:shd w:val="clear" w:color="auto" w:fill="auto"/>
            <w:tcMar>
              <w:top w:w="40" w:type="dxa"/>
              <w:left w:w="20" w:type="dxa"/>
              <w:bottom w:w="40" w:type="dxa"/>
              <w:right w:w="20" w:type="dxa"/>
            </w:tcMar>
          </w:tcPr>
          <w:p w14:paraId="36CA2E2C" w14:textId="77777777" w:rsidR="00787570" w:rsidRDefault="000D56E2">
            <w:pPr>
              <w:ind w:hanging="180"/>
              <w:textAlignment w:val="top"/>
            </w:pPr>
            <w:r>
              <w:rPr>
                <w:rFonts w:ascii="Arial" w:eastAsia="宋体" w:hAnsi="Arial" w:cs="Arial"/>
                <w:color w:val="333333"/>
                <w:sz w:val="18"/>
                <w:szCs w:val="18"/>
              </w:rPr>
              <w:t>Interes</w:t>
            </w:r>
            <w:r>
              <w:rPr>
                <w:rFonts w:ascii="Arial" w:eastAsia="宋体" w:hAnsi="Arial" w:cs="Arial"/>
                <w:color w:val="333333"/>
                <w:sz w:val="18"/>
                <w:szCs w:val="18"/>
              </w:rPr>
              <w:t>t income</w:t>
            </w:r>
          </w:p>
        </w:tc>
        <w:tc>
          <w:tcPr>
            <w:tcW w:w="0" w:type="auto"/>
            <w:gridSpan w:val="3"/>
            <w:shd w:val="clear" w:color="auto" w:fill="auto"/>
            <w:tcMar>
              <w:left w:w="20" w:type="dxa"/>
              <w:right w:w="20" w:type="dxa"/>
            </w:tcMar>
            <w:vAlign w:val="bottom"/>
          </w:tcPr>
          <w:p w14:paraId="36CA2E2D" w14:textId="77777777" w:rsidR="00787570" w:rsidRDefault="00787570">
            <w:pPr>
              <w:rPr>
                <w:rFonts w:ascii="宋体"/>
              </w:rPr>
            </w:pPr>
          </w:p>
        </w:tc>
        <w:tc>
          <w:tcPr>
            <w:tcW w:w="0" w:type="auto"/>
            <w:tcBorders>
              <w:top w:val="single" w:sz="8" w:space="0" w:color="0071C5"/>
            </w:tcBorders>
            <w:shd w:val="clear" w:color="auto" w:fill="auto"/>
            <w:tcMar>
              <w:top w:w="40" w:type="dxa"/>
              <w:left w:w="20" w:type="dxa"/>
              <w:bottom w:w="40" w:type="dxa"/>
            </w:tcMar>
            <w:vAlign w:val="bottom"/>
          </w:tcPr>
          <w:p w14:paraId="36CA2E2E" w14:textId="77777777" w:rsidR="00787570" w:rsidRDefault="000D56E2">
            <w:pPr>
              <w:textAlignment w:val="bottom"/>
            </w:pPr>
            <w:r>
              <w:rPr>
                <w:rFonts w:ascii="Arial" w:eastAsia="宋体" w:hAnsi="Arial" w:cs="Arial"/>
                <w:color w:val="026DCE"/>
                <w:sz w:val="18"/>
                <w:szCs w:val="18"/>
              </w:rPr>
              <w:t>$</w:t>
            </w:r>
          </w:p>
        </w:tc>
        <w:tc>
          <w:tcPr>
            <w:tcW w:w="0" w:type="auto"/>
            <w:tcBorders>
              <w:top w:val="single" w:sz="8" w:space="0" w:color="0071C5"/>
            </w:tcBorders>
            <w:shd w:val="clear" w:color="auto" w:fill="auto"/>
            <w:tcMar>
              <w:top w:w="40" w:type="dxa"/>
              <w:bottom w:w="40" w:type="dxa"/>
              <w:right w:w="0" w:type="dxa"/>
            </w:tcMar>
            <w:vAlign w:val="bottom"/>
          </w:tcPr>
          <w:p w14:paraId="36CA2E2F" w14:textId="77777777" w:rsidR="00787570" w:rsidRDefault="000D56E2">
            <w:pPr>
              <w:jc w:val="right"/>
              <w:textAlignment w:val="bottom"/>
            </w:pPr>
            <w:r>
              <w:rPr>
                <w:rFonts w:ascii="Arial" w:eastAsia="宋体" w:hAnsi="Arial" w:cs="Arial"/>
                <w:color w:val="026DCE"/>
                <w:sz w:val="18"/>
                <w:szCs w:val="18"/>
              </w:rPr>
              <w:t>53 </w:t>
            </w:r>
          </w:p>
        </w:tc>
        <w:tc>
          <w:tcPr>
            <w:tcW w:w="0" w:type="auto"/>
            <w:tcBorders>
              <w:top w:val="single" w:sz="8" w:space="0" w:color="0071C5"/>
            </w:tcBorders>
            <w:shd w:val="clear" w:color="auto" w:fill="auto"/>
            <w:tcMar>
              <w:top w:w="40" w:type="dxa"/>
              <w:bottom w:w="40" w:type="dxa"/>
              <w:right w:w="20" w:type="dxa"/>
            </w:tcMar>
            <w:vAlign w:val="bottom"/>
          </w:tcPr>
          <w:p w14:paraId="36CA2E30"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2E31" w14:textId="77777777" w:rsidR="00787570" w:rsidRDefault="00787570">
            <w:pPr>
              <w:rPr>
                <w:rFonts w:ascii="宋体"/>
              </w:rPr>
            </w:pPr>
          </w:p>
        </w:tc>
        <w:tc>
          <w:tcPr>
            <w:tcW w:w="0" w:type="auto"/>
            <w:tcBorders>
              <w:top w:val="single" w:sz="8" w:space="0" w:color="0071C5"/>
            </w:tcBorders>
            <w:shd w:val="clear" w:color="auto" w:fill="auto"/>
            <w:tcMar>
              <w:top w:w="40" w:type="dxa"/>
              <w:left w:w="20" w:type="dxa"/>
              <w:bottom w:w="40" w:type="dxa"/>
            </w:tcMar>
            <w:vAlign w:val="bottom"/>
          </w:tcPr>
          <w:p w14:paraId="36CA2E32" w14:textId="77777777" w:rsidR="00787570" w:rsidRDefault="000D56E2">
            <w:pPr>
              <w:textAlignment w:val="bottom"/>
            </w:pPr>
            <w:r>
              <w:rPr>
                <w:rFonts w:ascii="Arial" w:eastAsia="宋体" w:hAnsi="Arial" w:cs="Arial"/>
                <w:color w:val="333333"/>
                <w:sz w:val="18"/>
                <w:szCs w:val="18"/>
              </w:rPr>
              <w:t>$</w:t>
            </w:r>
          </w:p>
        </w:tc>
        <w:tc>
          <w:tcPr>
            <w:tcW w:w="0" w:type="auto"/>
            <w:tcBorders>
              <w:top w:val="single" w:sz="8" w:space="0" w:color="0071C5"/>
            </w:tcBorders>
            <w:shd w:val="clear" w:color="auto" w:fill="auto"/>
            <w:tcMar>
              <w:top w:w="40" w:type="dxa"/>
              <w:bottom w:w="40" w:type="dxa"/>
              <w:right w:w="0" w:type="dxa"/>
            </w:tcMar>
            <w:vAlign w:val="bottom"/>
          </w:tcPr>
          <w:p w14:paraId="36CA2E33" w14:textId="77777777" w:rsidR="00787570" w:rsidRDefault="000D56E2">
            <w:pPr>
              <w:jc w:val="right"/>
              <w:textAlignment w:val="bottom"/>
            </w:pPr>
            <w:r>
              <w:rPr>
                <w:rFonts w:ascii="Arial" w:eastAsia="宋体" w:hAnsi="Arial" w:cs="Arial"/>
                <w:color w:val="333333"/>
                <w:sz w:val="18"/>
                <w:szCs w:val="18"/>
              </w:rPr>
              <w:t>114 </w:t>
            </w:r>
          </w:p>
        </w:tc>
        <w:tc>
          <w:tcPr>
            <w:tcW w:w="0" w:type="auto"/>
            <w:tcBorders>
              <w:top w:val="single" w:sz="8" w:space="0" w:color="0071C5"/>
            </w:tcBorders>
            <w:shd w:val="clear" w:color="auto" w:fill="auto"/>
            <w:tcMar>
              <w:top w:w="40" w:type="dxa"/>
              <w:bottom w:w="40" w:type="dxa"/>
              <w:right w:w="20" w:type="dxa"/>
            </w:tcMar>
            <w:vAlign w:val="bottom"/>
          </w:tcPr>
          <w:p w14:paraId="36CA2E34"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2E35" w14:textId="77777777" w:rsidR="00787570" w:rsidRDefault="00787570">
            <w:pPr>
              <w:rPr>
                <w:rFonts w:ascii="宋体"/>
              </w:rPr>
            </w:pPr>
          </w:p>
        </w:tc>
        <w:tc>
          <w:tcPr>
            <w:tcW w:w="0" w:type="auto"/>
            <w:tcBorders>
              <w:top w:val="single" w:sz="8" w:space="0" w:color="0071C5"/>
            </w:tcBorders>
            <w:shd w:val="clear" w:color="auto" w:fill="auto"/>
            <w:tcMar>
              <w:top w:w="40" w:type="dxa"/>
              <w:left w:w="20" w:type="dxa"/>
              <w:bottom w:w="40" w:type="dxa"/>
            </w:tcMar>
            <w:vAlign w:val="bottom"/>
          </w:tcPr>
          <w:p w14:paraId="36CA2E36" w14:textId="77777777" w:rsidR="00787570" w:rsidRDefault="000D56E2">
            <w:pPr>
              <w:textAlignment w:val="bottom"/>
            </w:pPr>
            <w:r>
              <w:rPr>
                <w:rFonts w:ascii="Arial" w:eastAsia="宋体" w:hAnsi="Arial" w:cs="Arial"/>
                <w:color w:val="0071C5"/>
                <w:sz w:val="18"/>
                <w:szCs w:val="18"/>
              </w:rPr>
              <w:t>$</w:t>
            </w:r>
          </w:p>
        </w:tc>
        <w:tc>
          <w:tcPr>
            <w:tcW w:w="0" w:type="auto"/>
            <w:tcBorders>
              <w:top w:val="single" w:sz="8" w:space="0" w:color="0071C5"/>
            </w:tcBorders>
            <w:shd w:val="clear" w:color="auto" w:fill="auto"/>
            <w:tcMar>
              <w:top w:w="40" w:type="dxa"/>
              <w:bottom w:w="40" w:type="dxa"/>
              <w:right w:w="0" w:type="dxa"/>
            </w:tcMar>
            <w:vAlign w:val="bottom"/>
          </w:tcPr>
          <w:p w14:paraId="36CA2E37" w14:textId="77777777" w:rsidR="00787570" w:rsidRDefault="000D56E2">
            <w:pPr>
              <w:jc w:val="right"/>
              <w:textAlignment w:val="bottom"/>
            </w:pPr>
            <w:r>
              <w:rPr>
                <w:rFonts w:ascii="Arial" w:eastAsia="宋体" w:hAnsi="Arial" w:cs="Arial"/>
                <w:color w:val="0071C5"/>
                <w:sz w:val="18"/>
                <w:szCs w:val="18"/>
              </w:rPr>
              <w:t>229 </w:t>
            </w:r>
          </w:p>
        </w:tc>
        <w:tc>
          <w:tcPr>
            <w:tcW w:w="0" w:type="auto"/>
            <w:tcBorders>
              <w:top w:val="single" w:sz="8" w:space="0" w:color="0071C5"/>
            </w:tcBorders>
            <w:shd w:val="clear" w:color="auto" w:fill="auto"/>
            <w:tcMar>
              <w:top w:w="40" w:type="dxa"/>
              <w:bottom w:w="40" w:type="dxa"/>
              <w:right w:w="20" w:type="dxa"/>
            </w:tcMar>
            <w:vAlign w:val="bottom"/>
          </w:tcPr>
          <w:p w14:paraId="36CA2E38"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2E39" w14:textId="77777777" w:rsidR="00787570" w:rsidRDefault="00787570">
            <w:pPr>
              <w:rPr>
                <w:rFonts w:ascii="宋体"/>
              </w:rPr>
            </w:pPr>
          </w:p>
        </w:tc>
        <w:tc>
          <w:tcPr>
            <w:tcW w:w="0" w:type="auto"/>
            <w:tcBorders>
              <w:top w:val="single" w:sz="8" w:space="0" w:color="0071C5"/>
            </w:tcBorders>
            <w:shd w:val="clear" w:color="auto" w:fill="auto"/>
            <w:tcMar>
              <w:top w:w="40" w:type="dxa"/>
              <w:left w:w="20" w:type="dxa"/>
              <w:bottom w:w="40" w:type="dxa"/>
            </w:tcMar>
            <w:vAlign w:val="bottom"/>
          </w:tcPr>
          <w:p w14:paraId="36CA2E3A" w14:textId="77777777" w:rsidR="00787570" w:rsidRDefault="000D56E2">
            <w:pPr>
              <w:textAlignment w:val="bottom"/>
            </w:pPr>
            <w:r>
              <w:rPr>
                <w:rFonts w:ascii="Arial" w:eastAsia="宋体" w:hAnsi="Arial" w:cs="Arial"/>
                <w:color w:val="333333"/>
                <w:sz w:val="18"/>
                <w:szCs w:val="18"/>
              </w:rPr>
              <w:t>$</w:t>
            </w:r>
          </w:p>
        </w:tc>
        <w:tc>
          <w:tcPr>
            <w:tcW w:w="0" w:type="auto"/>
            <w:tcBorders>
              <w:top w:val="single" w:sz="8" w:space="0" w:color="0071C5"/>
            </w:tcBorders>
            <w:shd w:val="clear" w:color="auto" w:fill="auto"/>
            <w:tcMar>
              <w:top w:w="40" w:type="dxa"/>
              <w:bottom w:w="40" w:type="dxa"/>
              <w:right w:w="0" w:type="dxa"/>
            </w:tcMar>
            <w:vAlign w:val="bottom"/>
          </w:tcPr>
          <w:p w14:paraId="36CA2E3B" w14:textId="77777777" w:rsidR="00787570" w:rsidRDefault="000D56E2">
            <w:pPr>
              <w:jc w:val="right"/>
              <w:textAlignment w:val="bottom"/>
            </w:pPr>
            <w:r>
              <w:rPr>
                <w:rFonts w:ascii="Arial" w:eastAsia="宋体" w:hAnsi="Arial" w:cs="Arial"/>
                <w:color w:val="333333"/>
                <w:sz w:val="18"/>
                <w:szCs w:val="18"/>
              </w:rPr>
              <w:t>374 </w:t>
            </w:r>
          </w:p>
        </w:tc>
        <w:tc>
          <w:tcPr>
            <w:tcW w:w="0" w:type="auto"/>
            <w:tcBorders>
              <w:top w:val="single" w:sz="8" w:space="0" w:color="0071C5"/>
            </w:tcBorders>
            <w:shd w:val="clear" w:color="auto" w:fill="auto"/>
            <w:tcMar>
              <w:top w:w="40" w:type="dxa"/>
              <w:bottom w:w="40" w:type="dxa"/>
              <w:right w:w="20" w:type="dxa"/>
            </w:tcMar>
            <w:vAlign w:val="bottom"/>
          </w:tcPr>
          <w:p w14:paraId="36CA2E3C" w14:textId="77777777" w:rsidR="00787570" w:rsidRDefault="00787570">
            <w:pPr>
              <w:jc w:val="right"/>
              <w:rPr>
                <w:rFonts w:ascii="宋体"/>
              </w:rPr>
            </w:pPr>
          </w:p>
        </w:tc>
        <w:tc>
          <w:tcPr>
            <w:tcW w:w="0" w:type="auto"/>
            <w:shd w:val="clear" w:color="auto" w:fill="auto"/>
          </w:tcPr>
          <w:p w14:paraId="36CA2E3D" w14:textId="77777777" w:rsidR="00787570" w:rsidRDefault="00787570">
            <w:pPr>
              <w:rPr>
                <w:rFonts w:ascii="宋体"/>
              </w:rPr>
            </w:pPr>
          </w:p>
        </w:tc>
        <w:tc>
          <w:tcPr>
            <w:tcW w:w="0" w:type="auto"/>
            <w:shd w:val="clear" w:color="auto" w:fill="auto"/>
          </w:tcPr>
          <w:p w14:paraId="36CA2E3E" w14:textId="77777777" w:rsidR="00787570" w:rsidRDefault="00787570">
            <w:pPr>
              <w:rPr>
                <w:rFonts w:ascii="宋体"/>
              </w:rPr>
            </w:pPr>
          </w:p>
        </w:tc>
        <w:tc>
          <w:tcPr>
            <w:tcW w:w="0" w:type="auto"/>
            <w:shd w:val="clear" w:color="auto" w:fill="auto"/>
          </w:tcPr>
          <w:p w14:paraId="36CA2E3F" w14:textId="77777777" w:rsidR="00787570" w:rsidRDefault="00787570">
            <w:pPr>
              <w:rPr>
                <w:rFonts w:ascii="宋体"/>
              </w:rPr>
            </w:pPr>
          </w:p>
        </w:tc>
        <w:tc>
          <w:tcPr>
            <w:tcW w:w="0" w:type="auto"/>
            <w:shd w:val="clear" w:color="auto" w:fill="auto"/>
          </w:tcPr>
          <w:p w14:paraId="36CA2E40" w14:textId="77777777" w:rsidR="00787570" w:rsidRDefault="00787570">
            <w:pPr>
              <w:rPr>
                <w:rFonts w:ascii="宋体"/>
              </w:rPr>
            </w:pPr>
          </w:p>
        </w:tc>
        <w:tc>
          <w:tcPr>
            <w:tcW w:w="0" w:type="auto"/>
            <w:shd w:val="clear" w:color="auto" w:fill="auto"/>
          </w:tcPr>
          <w:p w14:paraId="36CA2E41" w14:textId="77777777" w:rsidR="00787570" w:rsidRDefault="00787570">
            <w:pPr>
              <w:rPr>
                <w:rFonts w:ascii="宋体"/>
              </w:rPr>
            </w:pPr>
          </w:p>
        </w:tc>
        <w:tc>
          <w:tcPr>
            <w:tcW w:w="0" w:type="auto"/>
            <w:shd w:val="clear" w:color="auto" w:fill="auto"/>
          </w:tcPr>
          <w:p w14:paraId="36CA2E42" w14:textId="77777777" w:rsidR="00787570" w:rsidRDefault="00787570">
            <w:pPr>
              <w:rPr>
                <w:rFonts w:ascii="宋体"/>
              </w:rPr>
            </w:pPr>
          </w:p>
        </w:tc>
        <w:tc>
          <w:tcPr>
            <w:tcW w:w="0" w:type="auto"/>
            <w:shd w:val="clear" w:color="auto" w:fill="auto"/>
          </w:tcPr>
          <w:p w14:paraId="36CA2E43" w14:textId="77777777" w:rsidR="00787570" w:rsidRDefault="00787570">
            <w:pPr>
              <w:rPr>
                <w:rFonts w:ascii="宋体"/>
              </w:rPr>
            </w:pPr>
          </w:p>
        </w:tc>
        <w:tc>
          <w:tcPr>
            <w:tcW w:w="0" w:type="auto"/>
            <w:shd w:val="clear" w:color="auto" w:fill="auto"/>
          </w:tcPr>
          <w:p w14:paraId="36CA2E44" w14:textId="77777777" w:rsidR="00787570" w:rsidRDefault="00787570">
            <w:pPr>
              <w:rPr>
                <w:rFonts w:ascii="宋体"/>
              </w:rPr>
            </w:pPr>
          </w:p>
        </w:tc>
        <w:tc>
          <w:tcPr>
            <w:tcW w:w="0" w:type="auto"/>
            <w:shd w:val="clear" w:color="auto" w:fill="auto"/>
          </w:tcPr>
          <w:p w14:paraId="36CA2E45" w14:textId="77777777" w:rsidR="00787570" w:rsidRDefault="00787570">
            <w:pPr>
              <w:rPr>
                <w:rFonts w:ascii="宋体"/>
              </w:rPr>
            </w:pPr>
          </w:p>
        </w:tc>
        <w:tc>
          <w:tcPr>
            <w:tcW w:w="0" w:type="auto"/>
            <w:shd w:val="clear" w:color="auto" w:fill="auto"/>
          </w:tcPr>
          <w:p w14:paraId="36CA2E46" w14:textId="77777777" w:rsidR="00787570" w:rsidRDefault="00787570">
            <w:pPr>
              <w:rPr>
                <w:rFonts w:ascii="宋体"/>
              </w:rPr>
            </w:pPr>
          </w:p>
        </w:tc>
        <w:tc>
          <w:tcPr>
            <w:tcW w:w="0" w:type="auto"/>
            <w:shd w:val="clear" w:color="auto" w:fill="auto"/>
          </w:tcPr>
          <w:p w14:paraId="36CA2E47" w14:textId="77777777" w:rsidR="00787570" w:rsidRDefault="00787570">
            <w:pPr>
              <w:rPr>
                <w:rFonts w:ascii="宋体"/>
              </w:rPr>
            </w:pPr>
          </w:p>
        </w:tc>
        <w:tc>
          <w:tcPr>
            <w:tcW w:w="0" w:type="auto"/>
            <w:shd w:val="clear" w:color="auto" w:fill="auto"/>
          </w:tcPr>
          <w:p w14:paraId="36CA2E48" w14:textId="77777777" w:rsidR="00787570" w:rsidRDefault="00787570">
            <w:pPr>
              <w:rPr>
                <w:rFonts w:ascii="宋体"/>
              </w:rPr>
            </w:pPr>
          </w:p>
        </w:tc>
      </w:tr>
      <w:tr w:rsidR="00787570" w14:paraId="36CA2E63" w14:textId="77777777">
        <w:tc>
          <w:tcPr>
            <w:tcW w:w="0" w:type="auto"/>
            <w:gridSpan w:val="3"/>
            <w:shd w:val="clear" w:color="auto" w:fill="auto"/>
            <w:tcMar>
              <w:top w:w="40" w:type="dxa"/>
              <w:left w:w="20" w:type="dxa"/>
              <w:bottom w:w="40" w:type="dxa"/>
              <w:right w:w="20" w:type="dxa"/>
            </w:tcMar>
          </w:tcPr>
          <w:p w14:paraId="36CA2E4A" w14:textId="77777777" w:rsidR="00787570" w:rsidRDefault="000D56E2">
            <w:pPr>
              <w:ind w:hanging="180"/>
              <w:textAlignment w:val="top"/>
            </w:pPr>
            <w:r>
              <w:rPr>
                <w:rFonts w:ascii="Arial" w:eastAsia="宋体" w:hAnsi="Arial" w:cs="Arial"/>
                <w:color w:val="333333"/>
                <w:sz w:val="18"/>
                <w:szCs w:val="18"/>
              </w:rPr>
              <w:t>Interest expense</w:t>
            </w:r>
          </w:p>
        </w:tc>
        <w:tc>
          <w:tcPr>
            <w:tcW w:w="0" w:type="auto"/>
            <w:gridSpan w:val="3"/>
            <w:shd w:val="clear" w:color="auto" w:fill="auto"/>
            <w:tcMar>
              <w:left w:w="20" w:type="dxa"/>
              <w:right w:w="20" w:type="dxa"/>
            </w:tcMar>
            <w:vAlign w:val="bottom"/>
          </w:tcPr>
          <w:p w14:paraId="36CA2E4B"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2E4C" w14:textId="77777777" w:rsidR="00787570" w:rsidRDefault="000D56E2">
            <w:pPr>
              <w:jc w:val="right"/>
              <w:textAlignment w:val="bottom"/>
            </w:pPr>
            <w:r>
              <w:rPr>
                <w:rFonts w:ascii="Arial" w:eastAsia="宋体" w:hAnsi="Arial" w:cs="Arial"/>
                <w:color w:val="026DCE"/>
                <w:sz w:val="18"/>
                <w:szCs w:val="18"/>
              </w:rPr>
              <w:t>(160)</w:t>
            </w:r>
          </w:p>
        </w:tc>
        <w:tc>
          <w:tcPr>
            <w:tcW w:w="0" w:type="auto"/>
            <w:shd w:val="clear" w:color="auto" w:fill="auto"/>
            <w:tcMar>
              <w:top w:w="40" w:type="dxa"/>
              <w:bottom w:w="40" w:type="dxa"/>
              <w:right w:w="20" w:type="dxa"/>
            </w:tcMar>
            <w:vAlign w:val="bottom"/>
          </w:tcPr>
          <w:p w14:paraId="36CA2E4D"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2E4E"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2E4F" w14:textId="77777777" w:rsidR="00787570" w:rsidRDefault="000D56E2">
            <w:pPr>
              <w:jc w:val="right"/>
              <w:textAlignment w:val="bottom"/>
            </w:pPr>
            <w:r>
              <w:rPr>
                <w:rFonts w:ascii="Arial" w:eastAsia="宋体" w:hAnsi="Arial" w:cs="Arial"/>
                <w:color w:val="333333"/>
                <w:sz w:val="18"/>
                <w:szCs w:val="18"/>
              </w:rPr>
              <w:t>(107)</w:t>
            </w:r>
          </w:p>
        </w:tc>
        <w:tc>
          <w:tcPr>
            <w:tcW w:w="0" w:type="auto"/>
            <w:shd w:val="clear" w:color="auto" w:fill="auto"/>
            <w:tcMar>
              <w:top w:w="40" w:type="dxa"/>
              <w:bottom w:w="40" w:type="dxa"/>
              <w:right w:w="20" w:type="dxa"/>
            </w:tcMar>
            <w:vAlign w:val="bottom"/>
          </w:tcPr>
          <w:p w14:paraId="36CA2E50"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2E51"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2E52" w14:textId="77777777" w:rsidR="00787570" w:rsidRDefault="000D56E2">
            <w:pPr>
              <w:jc w:val="right"/>
              <w:textAlignment w:val="bottom"/>
            </w:pPr>
            <w:r>
              <w:rPr>
                <w:rFonts w:ascii="Arial" w:eastAsia="宋体" w:hAnsi="Arial" w:cs="Arial"/>
                <w:color w:val="0071C5"/>
                <w:sz w:val="18"/>
                <w:szCs w:val="18"/>
              </w:rPr>
              <w:t>(481)</w:t>
            </w:r>
          </w:p>
        </w:tc>
        <w:tc>
          <w:tcPr>
            <w:tcW w:w="0" w:type="auto"/>
            <w:shd w:val="clear" w:color="auto" w:fill="auto"/>
            <w:tcMar>
              <w:top w:w="40" w:type="dxa"/>
              <w:bottom w:w="40" w:type="dxa"/>
              <w:right w:w="20" w:type="dxa"/>
            </w:tcMar>
            <w:vAlign w:val="bottom"/>
          </w:tcPr>
          <w:p w14:paraId="36CA2E53"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2E54"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2E55" w14:textId="77777777" w:rsidR="00787570" w:rsidRDefault="000D56E2">
            <w:pPr>
              <w:jc w:val="right"/>
              <w:textAlignment w:val="bottom"/>
            </w:pPr>
            <w:r>
              <w:rPr>
                <w:rFonts w:ascii="Arial" w:eastAsia="宋体" w:hAnsi="Arial" w:cs="Arial"/>
                <w:color w:val="333333"/>
                <w:sz w:val="18"/>
                <w:szCs w:val="18"/>
              </w:rPr>
              <w:t>(381)</w:t>
            </w:r>
          </w:p>
        </w:tc>
        <w:tc>
          <w:tcPr>
            <w:tcW w:w="0" w:type="auto"/>
            <w:shd w:val="clear" w:color="auto" w:fill="auto"/>
            <w:tcMar>
              <w:top w:w="40" w:type="dxa"/>
              <w:bottom w:w="40" w:type="dxa"/>
              <w:right w:w="20" w:type="dxa"/>
            </w:tcMar>
            <w:vAlign w:val="bottom"/>
          </w:tcPr>
          <w:p w14:paraId="36CA2E56" w14:textId="77777777" w:rsidR="00787570" w:rsidRDefault="00787570">
            <w:pPr>
              <w:jc w:val="right"/>
              <w:rPr>
                <w:rFonts w:ascii="宋体"/>
              </w:rPr>
            </w:pPr>
          </w:p>
        </w:tc>
        <w:tc>
          <w:tcPr>
            <w:tcW w:w="0" w:type="auto"/>
            <w:shd w:val="clear" w:color="auto" w:fill="auto"/>
          </w:tcPr>
          <w:p w14:paraId="36CA2E57" w14:textId="77777777" w:rsidR="00787570" w:rsidRDefault="00787570">
            <w:pPr>
              <w:rPr>
                <w:rFonts w:ascii="宋体"/>
              </w:rPr>
            </w:pPr>
          </w:p>
        </w:tc>
        <w:tc>
          <w:tcPr>
            <w:tcW w:w="0" w:type="auto"/>
            <w:shd w:val="clear" w:color="auto" w:fill="auto"/>
          </w:tcPr>
          <w:p w14:paraId="36CA2E58" w14:textId="77777777" w:rsidR="00787570" w:rsidRDefault="00787570">
            <w:pPr>
              <w:rPr>
                <w:rFonts w:ascii="宋体"/>
              </w:rPr>
            </w:pPr>
          </w:p>
        </w:tc>
        <w:tc>
          <w:tcPr>
            <w:tcW w:w="0" w:type="auto"/>
            <w:shd w:val="clear" w:color="auto" w:fill="auto"/>
          </w:tcPr>
          <w:p w14:paraId="36CA2E59" w14:textId="77777777" w:rsidR="00787570" w:rsidRDefault="00787570">
            <w:pPr>
              <w:rPr>
                <w:rFonts w:ascii="宋体"/>
              </w:rPr>
            </w:pPr>
          </w:p>
        </w:tc>
        <w:tc>
          <w:tcPr>
            <w:tcW w:w="0" w:type="auto"/>
            <w:shd w:val="clear" w:color="auto" w:fill="auto"/>
          </w:tcPr>
          <w:p w14:paraId="36CA2E5A" w14:textId="77777777" w:rsidR="00787570" w:rsidRDefault="00787570">
            <w:pPr>
              <w:rPr>
                <w:rFonts w:ascii="宋体"/>
              </w:rPr>
            </w:pPr>
          </w:p>
        </w:tc>
        <w:tc>
          <w:tcPr>
            <w:tcW w:w="0" w:type="auto"/>
            <w:shd w:val="clear" w:color="auto" w:fill="auto"/>
          </w:tcPr>
          <w:p w14:paraId="36CA2E5B" w14:textId="77777777" w:rsidR="00787570" w:rsidRDefault="00787570">
            <w:pPr>
              <w:rPr>
                <w:rFonts w:ascii="宋体"/>
              </w:rPr>
            </w:pPr>
          </w:p>
        </w:tc>
        <w:tc>
          <w:tcPr>
            <w:tcW w:w="0" w:type="auto"/>
            <w:shd w:val="clear" w:color="auto" w:fill="auto"/>
          </w:tcPr>
          <w:p w14:paraId="36CA2E5C" w14:textId="77777777" w:rsidR="00787570" w:rsidRDefault="00787570">
            <w:pPr>
              <w:rPr>
                <w:rFonts w:ascii="宋体"/>
              </w:rPr>
            </w:pPr>
          </w:p>
        </w:tc>
        <w:tc>
          <w:tcPr>
            <w:tcW w:w="0" w:type="auto"/>
            <w:shd w:val="clear" w:color="auto" w:fill="auto"/>
          </w:tcPr>
          <w:p w14:paraId="36CA2E5D" w14:textId="77777777" w:rsidR="00787570" w:rsidRDefault="00787570">
            <w:pPr>
              <w:rPr>
                <w:rFonts w:ascii="宋体"/>
              </w:rPr>
            </w:pPr>
          </w:p>
        </w:tc>
        <w:tc>
          <w:tcPr>
            <w:tcW w:w="0" w:type="auto"/>
            <w:shd w:val="clear" w:color="auto" w:fill="auto"/>
          </w:tcPr>
          <w:p w14:paraId="36CA2E5E" w14:textId="77777777" w:rsidR="00787570" w:rsidRDefault="00787570">
            <w:pPr>
              <w:rPr>
                <w:rFonts w:ascii="宋体"/>
              </w:rPr>
            </w:pPr>
          </w:p>
        </w:tc>
        <w:tc>
          <w:tcPr>
            <w:tcW w:w="0" w:type="auto"/>
            <w:shd w:val="clear" w:color="auto" w:fill="auto"/>
          </w:tcPr>
          <w:p w14:paraId="36CA2E5F" w14:textId="77777777" w:rsidR="00787570" w:rsidRDefault="00787570">
            <w:pPr>
              <w:rPr>
                <w:rFonts w:ascii="宋体"/>
              </w:rPr>
            </w:pPr>
          </w:p>
        </w:tc>
        <w:tc>
          <w:tcPr>
            <w:tcW w:w="0" w:type="auto"/>
            <w:shd w:val="clear" w:color="auto" w:fill="auto"/>
          </w:tcPr>
          <w:p w14:paraId="36CA2E60" w14:textId="77777777" w:rsidR="00787570" w:rsidRDefault="00787570">
            <w:pPr>
              <w:rPr>
                <w:rFonts w:ascii="宋体"/>
              </w:rPr>
            </w:pPr>
          </w:p>
        </w:tc>
        <w:tc>
          <w:tcPr>
            <w:tcW w:w="0" w:type="auto"/>
            <w:shd w:val="clear" w:color="auto" w:fill="auto"/>
          </w:tcPr>
          <w:p w14:paraId="36CA2E61" w14:textId="77777777" w:rsidR="00787570" w:rsidRDefault="00787570">
            <w:pPr>
              <w:rPr>
                <w:rFonts w:ascii="宋体"/>
              </w:rPr>
            </w:pPr>
          </w:p>
        </w:tc>
        <w:tc>
          <w:tcPr>
            <w:tcW w:w="0" w:type="auto"/>
            <w:shd w:val="clear" w:color="auto" w:fill="auto"/>
          </w:tcPr>
          <w:p w14:paraId="36CA2E62" w14:textId="77777777" w:rsidR="00787570" w:rsidRDefault="00787570">
            <w:pPr>
              <w:rPr>
                <w:rFonts w:ascii="宋体"/>
              </w:rPr>
            </w:pPr>
          </w:p>
        </w:tc>
      </w:tr>
      <w:tr w:rsidR="00787570" w14:paraId="36CA2E7D" w14:textId="77777777">
        <w:tc>
          <w:tcPr>
            <w:tcW w:w="0" w:type="auto"/>
            <w:gridSpan w:val="3"/>
            <w:shd w:val="clear" w:color="auto" w:fill="auto"/>
            <w:tcMar>
              <w:top w:w="40" w:type="dxa"/>
              <w:left w:w="20" w:type="dxa"/>
              <w:bottom w:w="40" w:type="dxa"/>
              <w:right w:w="20" w:type="dxa"/>
            </w:tcMar>
          </w:tcPr>
          <w:p w14:paraId="36CA2E64" w14:textId="77777777" w:rsidR="00787570" w:rsidRDefault="000D56E2">
            <w:pPr>
              <w:ind w:hanging="180"/>
              <w:textAlignment w:val="top"/>
            </w:pPr>
            <w:r>
              <w:rPr>
                <w:rFonts w:ascii="Arial" w:eastAsia="宋体" w:hAnsi="Arial" w:cs="Arial"/>
                <w:color w:val="333333"/>
                <w:sz w:val="18"/>
                <w:szCs w:val="18"/>
              </w:rPr>
              <w:t>Other, net</w:t>
            </w:r>
          </w:p>
        </w:tc>
        <w:tc>
          <w:tcPr>
            <w:tcW w:w="0" w:type="auto"/>
            <w:gridSpan w:val="3"/>
            <w:shd w:val="clear" w:color="auto" w:fill="auto"/>
            <w:tcMar>
              <w:left w:w="20" w:type="dxa"/>
              <w:right w:w="20" w:type="dxa"/>
            </w:tcMar>
            <w:vAlign w:val="bottom"/>
          </w:tcPr>
          <w:p w14:paraId="36CA2E65"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2E66" w14:textId="77777777" w:rsidR="00787570" w:rsidRDefault="000D56E2">
            <w:pPr>
              <w:jc w:val="right"/>
              <w:textAlignment w:val="bottom"/>
            </w:pPr>
            <w:r>
              <w:rPr>
                <w:rFonts w:ascii="Arial" w:eastAsia="宋体" w:hAnsi="Arial" w:cs="Arial"/>
                <w:color w:val="026DCE"/>
                <w:sz w:val="18"/>
                <w:szCs w:val="18"/>
              </w:rPr>
              <w:t>33 </w:t>
            </w:r>
          </w:p>
        </w:tc>
        <w:tc>
          <w:tcPr>
            <w:tcW w:w="0" w:type="auto"/>
            <w:shd w:val="clear" w:color="auto" w:fill="auto"/>
            <w:tcMar>
              <w:top w:w="40" w:type="dxa"/>
              <w:bottom w:w="40" w:type="dxa"/>
              <w:right w:w="20" w:type="dxa"/>
            </w:tcMar>
            <w:vAlign w:val="bottom"/>
          </w:tcPr>
          <w:p w14:paraId="36CA2E67"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2E68"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2E69" w14:textId="77777777" w:rsidR="00787570" w:rsidRDefault="000D56E2">
            <w:pPr>
              <w:jc w:val="right"/>
              <w:textAlignment w:val="bottom"/>
            </w:pPr>
            <w:r>
              <w:rPr>
                <w:rFonts w:ascii="Arial" w:eastAsia="宋体" w:hAnsi="Arial" w:cs="Arial"/>
                <w:color w:val="333333"/>
                <w:sz w:val="18"/>
                <w:szCs w:val="18"/>
              </w:rPr>
              <w:t>(53)</w:t>
            </w:r>
          </w:p>
        </w:tc>
        <w:tc>
          <w:tcPr>
            <w:tcW w:w="0" w:type="auto"/>
            <w:shd w:val="clear" w:color="auto" w:fill="auto"/>
            <w:tcMar>
              <w:top w:w="40" w:type="dxa"/>
              <w:bottom w:w="40" w:type="dxa"/>
              <w:right w:w="20" w:type="dxa"/>
            </w:tcMar>
            <w:vAlign w:val="bottom"/>
          </w:tcPr>
          <w:p w14:paraId="36CA2E6A"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2E6B"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2E6C" w14:textId="77777777" w:rsidR="00787570" w:rsidRDefault="000D56E2">
            <w:pPr>
              <w:jc w:val="right"/>
              <w:textAlignment w:val="bottom"/>
            </w:pPr>
            <w:r>
              <w:rPr>
                <w:rFonts w:ascii="Arial" w:eastAsia="宋体" w:hAnsi="Arial" w:cs="Arial"/>
                <w:color w:val="0071C5"/>
                <w:sz w:val="18"/>
                <w:szCs w:val="18"/>
              </w:rPr>
              <w:t>(164)</w:t>
            </w:r>
          </w:p>
        </w:tc>
        <w:tc>
          <w:tcPr>
            <w:tcW w:w="0" w:type="auto"/>
            <w:shd w:val="clear" w:color="auto" w:fill="auto"/>
            <w:tcMar>
              <w:top w:w="40" w:type="dxa"/>
              <w:bottom w:w="40" w:type="dxa"/>
              <w:right w:w="20" w:type="dxa"/>
            </w:tcMar>
            <w:vAlign w:val="bottom"/>
          </w:tcPr>
          <w:p w14:paraId="36CA2E6D"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2E6E"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2E6F" w14:textId="77777777" w:rsidR="00787570" w:rsidRDefault="000D56E2">
            <w:pPr>
              <w:jc w:val="right"/>
              <w:textAlignment w:val="bottom"/>
            </w:pPr>
            <w:r>
              <w:rPr>
                <w:rFonts w:ascii="Arial" w:eastAsia="宋体" w:hAnsi="Arial" w:cs="Arial"/>
                <w:color w:val="333333"/>
                <w:sz w:val="18"/>
                <w:szCs w:val="18"/>
              </w:rPr>
              <w:t>(163)</w:t>
            </w:r>
          </w:p>
        </w:tc>
        <w:tc>
          <w:tcPr>
            <w:tcW w:w="0" w:type="auto"/>
            <w:shd w:val="clear" w:color="auto" w:fill="auto"/>
            <w:tcMar>
              <w:top w:w="40" w:type="dxa"/>
              <w:bottom w:w="40" w:type="dxa"/>
              <w:right w:w="20" w:type="dxa"/>
            </w:tcMar>
            <w:vAlign w:val="bottom"/>
          </w:tcPr>
          <w:p w14:paraId="36CA2E70" w14:textId="77777777" w:rsidR="00787570" w:rsidRDefault="00787570">
            <w:pPr>
              <w:jc w:val="right"/>
              <w:rPr>
                <w:rFonts w:ascii="宋体"/>
              </w:rPr>
            </w:pPr>
          </w:p>
        </w:tc>
        <w:tc>
          <w:tcPr>
            <w:tcW w:w="0" w:type="auto"/>
            <w:shd w:val="clear" w:color="auto" w:fill="auto"/>
          </w:tcPr>
          <w:p w14:paraId="36CA2E71" w14:textId="77777777" w:rsidR="00787570" w:rsidRDefault="00787570">
            <w:pPr>
              <w:rPr>
                <w:rFonts w:ascii="宋体"/>
              </w:rPr>
            </w:pPr>
          </w:p>
        </w:tc>
        <w:tc>
          <w:tcPr>
            <w:tcW w:w="0" w:type="auto"/>
            <w:shd w:val="clear" w:color="auto" w:fill="auto"/>
          </w:tcPr>
          <w:p w14:paraId="36CA2E72" w14:textId="77777777" w:rsidR="00787570" w:rsidRDefault="00787570">
            <w:pPr>
              <w:rPr>
                <w:rFonts w:ascii="宋体"/>
              </w:rPr>
            </w:pPr>
          </w:p>
        </w:tc>
        <w:tc>
          <w:tcPr>
            <w:tcW w:w="0" w:type="auto"/>
            <w:shd w:val="clear" w:color="auto" w:fill="auto"/>
          </w:tcPr>
          <w:p w14:paraId="36CA2E73" w14:textId="77777777" w:rsidR="00787570" w:rsidRDefault="00787570">
            <w:pPr>
              <w:rPr>
                <w:rFonts w:ascii="宋体"/>
              </w:rPr>
            </w:pPr>
          </w:p>
        </w:tc>
        <w:tc>
          <w:tcPr>
            <w:tcW w:w="0" w:type="auto"/>
            <w:shd w:val="clear" w:color="auto" w:fill="auto"/>
          </w:tcPr>
          <w:p w14:paraId="36CA2E74" w14:textId="77777777" w:rsidR="00787570" w:rsidRDefault="00787570">
            <w:pPr>
              <w:rPr>
                <w:rFonts w:ascii="宋体"/>
              </w:rPr>
            </w:pPr>
          </w:p>
        </w:tc>
        <w:tc>
          <w:tcPr>
            <w:tcW w:w="0" w:type="auto"/>
            <w:shd w:val="clear" w:color="auto" w:fill="auto"/>
          </w:tcPr>
          <w:p w14:paraId="36CA2E75" w14:textId="77777777" w:rsidR="00787570" w:rsidRDefault="00787570">
            <w:pPr>
              <w:rPr>
                <w:rFonts w:ascii="宋体"/>
              </w:rPr>
            </w:pPr>
          </w:p>
        </w:tc>
        <w:tc>
          <w:tcPr>
            <w:tcW w:w="0" w:type="auto"/>
            <w:shd w:val="clear" w:color="auto" w:fill="auto"/>
          </w:tcPr>
          <w:p w14:paraId="36CA2E76" w14:textId="77777777" w:rsidR="00787570" w:rsidRDefault="00787570">
            <w:pPr>
              <w:rPr>
                <w:rFonts w:ascii="宋体"/>
              </w:rPr>
            </w:pPr>
          </w:p>
        </w:tc>
        <w:tc>
          <w:tcPr>
            <w:tcW w:w="0" w:type="auto"/>
            <w:shd w:val="clear" w:color="auto" w:fill="auto"/>
          </w:tcPr>
          <w:p w14:paraId="36CA2E77" w14:textId="77777777" w:rsidR="00787570" w:rsidRDefault="00787570">
            <w:pPr>
              <w:rPr>
                <w:rFonts w:ascii="宋体"/>
              </w:rPr>
            </w:pPr>
          </w:p>
        </w:tc>
        <w:tc>
          <w:tcPr>
            <w:tcW w:w="0" w:type="auto"/>
            <w:shd w:val="clear" w:color="auto" w:fill="auto"/>
          </w:tcPr>
          <w:p w14:paraId="36CA2E78" w14:textId="77777777" w:rsidR="00787570" w:rsidRDefault="00787570">
            <w:pPr>
              <w:rPr>
                <w:rFonts w:ascii="宋体"/>
              </w:rPr>
            </w:pPr>
          </w:p>
        </w:tc>
        <w:tc>
          <w:tcPr>
            <w:tcW w:w="0" w:type="auto"/>
            <w:shd w:val="clear" w:color="auto" w:fill="auto"/>
          </w:tcPr>
          <w:p w14:paraId="36CA2E79" w14:textId="77777777" w:rsidR="00787570" w:rsidRDefault="00787570">
            <w:pPr>
              <w:rPr>
                <w:rFonts w:ascii="宋体"/>
              </w:rPr>
            </w:pPr>
          </w:p>
        </w:tc>
        <w:tc>
          <w:tcPr>
            <w:tcW w:w="0" w:type="auto"/>
            <w:shd w:val="clear" w:color="auto" w:fill="auto"/>
          </w:tcPr>
          <w:p w14:paraId="36CA2E7A" w14:textId="77777777" w:rsidR="00787570" w:rsidRDefault="00787570">
            <w:pPr>
              <w:rPr>
                <w:rFonts w:ascii="宋体"/>
              </w:rPr>
            </w:pPr>
          </w:p>
        </w:tc>
        <w:tc>
          <w:tcPr>
            <w:tcW w:w="0" w:type="auto"/>
            <w:shd w:val="clear" w:color="auto" w:fill="auto"/>
          </w:tcPr>
          <w:p w14:paraId="36CA2E7B" w14:textId="77777777" w:rsidR="00787570" w:rsidRDefault="00787570">
            <w:pPr>
              <w:rPr>
                <w:rFonts w:ascii="宋体"/>
              </w:rPr>
            </w:pPr>
          </w:p>
        </w:tc>
        <w:tc>
          <w:tcPr>
            <w:tcW w:w="0" w:type="auto"/>
            <w:shd w:val="clear" w:color="auto" w:fill="auto"/>
          </w:tcPr>
          <w:p w14:paraId="36CA2E7C" w14:textId="77777777" w:rsidR="00787570" w:rsidRDefault="00787570">
            <w:pPr>
              <w:rPr>
                <w:rFonts w:ascii="宋体"/>
              </w:rPr>
            </w:pPr>
          </w:p>
        </w:tc>
      </w:tr>
      <w:tr w:rsidR="00787570" w14:paraId="36CA2E9B" w14:textId="77777777">
        <w:tc>
          <w:tcPr>
            <w:tcW w:w="0" w:type="auto"/>
            <w:gridSpan w:val="3"/>
            <w:shd w:val="clear" w:color="auto" w:fill="auto"/>
            <w:tcMar>
              <w:top w:w="40" w:type="dxa"/>
              <w:left w:w="20" w:type="dxa"/>
              <w:bottom w:w="40" w:type="dxa"/>
              <w:right w:w="20" w:type="dxa"/>
            </w:tcMar>
          </w:tcPr>
          <w:p w14:paraId="36CA2E7E" w14:textId="77777777" w:rsidR="00787570" w:rsidRDefault="000D56E2">
            <w:pPr>
              <w:ind w:hanging="180"/>
              <w:textAlignment w:val="top"/>
            </w:pPr>
            <w:r>
              <w:rPr>
                <w:rFonts w:ascii="Arial" w:eastAsia="宋体" w:hAnsi="Arial" w:cs="Arial"/>
                <w:b/>
                <w:bCs/>
                <w:color w:val="333333"/>
                <w:sz w:val="18"/>
                <w:szCs w:val="18"/>
              </w:rPr>
              <w:t>Total interest and other, net</w:t>
            </w:r>
          </w:p>
        </w:tc>
        <w:tc>
          <w:tcPr>
            <w:tcW w:w="0" w:type="auto"/>
            <w:gridSpan w:val="3"/>
            <w:shd w:val="clear" w:color="auto" w:fill="auto"/>
            <w:tcMar>
              <w:left w:w="20" w:type="dxa"/>
              <w:right w:w="20" w:type="dxa"/>
            </w:tcMar>
            <w:vAlign w:val="bottom"/>
          </w:tcPr>
          <w:p w14:paraId="36CA2E7F" w14:textId="77777777" w:rsidR="00787570" w:rsidRDefault="00787570">
            <w:pPr>
              <w:rPr>
                <w:rFonts w:ascii="宋体"/>
              </w:rPr>
            </w:pPr>
          </w:p>
        </w:tc>
        <w:tc>
          <w:tcPr>
            <w:tcW w:w="0" w:type="auto"/>
            <w:tcBorders>
              <w:top w:val="single" w:sz="8" w:space="0" w:color="333333"/>
              <w:bottom w:val="double" w:sz="6" w:space="0" w:color="333333"/>
            </w:tcBorders>
            <w:shd w:val="clear" w:color="auto" w:fill="auto"/>
            <w:tcMar>
              <w:top w:w="40" w:type="dxa"/>
              <w:left w:w="20" w:type="dxa"/>
              <w:bottom w:w="40" w:type="dxa"/>
            </w:tcMar>
            <w:vAlign w:val="bottom"/>
          </w:tcPr>
          <w:p w14:paraId="36CA2E80" w14:textId="77777777" w:rsidR="00787570" w:rsidRDefault="000D56E2">
            <w:pPr>
              <w:textAlignment w:val="bottom"/>
            </w:pPr>
            <w:r>
              <w:rPr>
                <w:rFonts w:ascii="Arial" w:eastAsia="宋体" w:hAnsi="Arial" w:cs="Arial"/>
                <w:b/>
                <w:bCs/>
                <w:color w:val="026DCE"/>
                <w:sz w:val="18"/>
                <w:szCs w:val="18"/>
              </w:rPr>
              <w:t>$</w:t>
            </w:r>
          </w:p>
        </w:tc>
        <w:tc>
          <w:tcPr>
            <w:tcW w:w="0" w:type="auto"/>
            <w:tcBorders>
              <w:top w:val="single" w:sz="8" w:space="0" w:color="333333"/>
              <w:bottom w:val="double" w:sz="6" w:space="0" w:color="333333"/>
            </w:tcBorders>
            <w:shd w:val="clear" w:color="auto" w:fill="auto"/>
            <w:tcMar>
              <w:top w:w="40" w:type="dxa"/>
              <w:bottom w:w="40" w:type="dxa"/>
              <w:right w:w="0" w:type="dxa"/>
            </w:tcMar>
            <w:vAlign w:val="bottom"/>
          </w:tcPr>
          <w:p w14:paraId="36CA2E81" w14:textId="77777777" w:rsidR="00787570" w:rsidRDefault="000D56E2">
            <w:pPr>
              <w:jc w:val="right"/>
              <w:textAlignment w:val="bottom"/>
            </w:pPr>
            <w:r>
              <w:rPr>
                <w:rFonts w:ascii="Arial" w:eastAsia="宋体" w:hAnsi="Arial" w:cs="Arial"/>
                <w:b/>
                <w:bCs/>
                <w:color w:val="026DCE"/>
                <w:sz w:val="18"/>
                <w:szCs w:val="18"/>
              </w:rPr>
              <w:t>(74)</w:t>
            </w:r>
          </w:p>
        </w:tc>
        <w:tc>
          <w:tcPr>
            <w:tcW w:w="0" w:type="auto"/>
            <w:tcBorders>
              <w:top w:val="single" w:sz="8" w:space="0" w:color="333333"/>
              <w:bottom w:val="double" w:sz="6" w:space="0" w:color="333333"/>
            </w:tcBorders>
            <w:shd w:val="clear" w:color="auto" w:fill="auto"/>
            <w:tcMar>
              <w:top w:w="40" w:type="dxa"/>
              <w:bottom w:w="40" w:type="dxa"/>
              <w:right w:w="20" w:type="dxa"/>
            </w:tcMar>
            <w:vAlign w:val="bottom"/>
          </w:tcPr>
          <w:p w14:paraId="36CA2E82"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2E83" w14:textId="77777777" w:rsidR="00787570" w:rsidRDefault="00787570">
            <w:pPr>
              <w:rPr>
                <w:rFonts w:ascii="宋体"/>
              </w:rPr>
            </w:pPr>
          </w:p>
        </w:tc>
        <w:tc>
          <w:tcPr>
            <w:tcW w:w="0" w:type="auto"/>
            <w:tcBorders>
              <w:top w:val="single" w:sz="8" w:space="0" w:color="333333"/>
              <w:bottom w:val="double" w:sz="6" w:space="0" w:color="333333"/>
            </w:tcBorders>
            <w:shd w:val="clear" w:color="auto" w:fill="auto"/>
            <w:tcMar>
              <w:top w:w="40" w:type="dxa"/>
              <w:left w:w="20" w:type="dxa"/>
              <w:bottom w:w="40" w:type="dxa"/>
            </w:tcMar>
            <w:vAlign w:val="bottom"/>
          </w:tcPr>
          <w:p w14:paraId="36CA2E84" w14:textId="77777777" w:rsidR="00787570" w:rsidRDefault="000D56E2">
            <w:pPr>
              <w:textAlignment w:val="bottom"/>
            </w:pPr>
            <w:r>
              <w:rPr>
                <w:rFonts w:ascii="Arial" w:eastAsia="宋体" w:hAnsi="Arial" w:cs="Arial"/>
                <w:b/>
                <w:bCs/>
                <w:color w:val="333333"/>
                <w:sz w:val="18"/>
                <w:szCs w:val="18"/>
              </w:rPr>
              <w:t>$</w:t>
            </w:r>
          </w:p>
        </w:tc>
        <w:tc>
          <w:tcPr>
            <w:tcW w:w="0" w:type="auto"/>
            <w:tcBorders>
              <w:top w:val="single" w:sz="8" w:space="0" w:color="333333"/>
              <w:bottom w:val="double" w:sz="6" w:space="0" w:color="333333"/>
            </w:tcBorders>
            <w:shd w:val="clear" w:color="auto" w:fill="auto"/>
            <w:tcMar>
              <w:top w:w="40" w:type="dxa"/>
              <w:bottom w:w="40" w:type="dxa"/>
              <w:right w:w="0" w:type="dxa"/>
            </w:tcMar>
            <w:vAlign w:val="bottom"/>
          </w:tcPr>
          <w:p w14:paraId="36CA2E85" w14:textId="77777777" w:rsidR="00787570" w:rsidRDefault="000D56E2">
            <w:pPr>
              <w:jc w:val="right"/>
              <w:textAlignment w:val="bottom"/>
            </w:pPr>
            <w:r>
              <w:rPr>
                <w:rFonts w:ascii="Arial" w:eastAsia="宋体" w:hAnsi="Arial" w:cs="Arial"/>
                <w:b/>
                <w:bCs/>
                <w:color w:val="333333"/>
                <w:sz w:val="18"/>
                <w:szCs w:val="18"/>
              </w:rPr>
              <w:t>(46)</w:t>
            </w:r>
          </w:p>
        </w:tc>
        <w:tc>
          <w:tcPr>
            <w:tcW w:w="0" w:type="auto"/>
            <w:tcBorders>
              <w:top w:val="single" w:sz="8" w:space="0" w:color="333333"/>
              <w:bottom w:val="double" w:sz="6" w:space="0" w:color="333333"/>
            </w:tcBorders>
            <w:shd w:val="clear" w:color="auto" w:fill="auto"/>
            <w:tcMar>
              <w:top w:w="40" w:type="dxa"/>
              <w:bottom w:w="40" w:type="dxa"/>
              <w:right w:w="20" w:type="dxa"/>
            </w:tcMar>
            <w:vAlign w:val="bottom"/>
          </w:tcPr>
          <w:p w14:paraId="36CA2E86"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2E87" w14:textId="77777777" w:rsidR="00787570" w:rsidRDefault="00787570">
            <w:pPr>
              <w:rPr>
                <w:rFonts w:ascii="宋体"/>
              </w:rPr>
            </w:pPr>
          </w:p>
        </w:tc>
        <w:tc>
          <w:tcPr>
            <w:tcW w:w="0" w:type="auto"/>
            <w:tcBorders>
              <w:top w:val="single" w:sz="8" w:space="0" w:color="333333"/>
              <w:bottom w:val="double" w:sz="6" w:space="0" w:color="333333"/>
            </w:tcBorders>
            <w:shd w:val="clear" w:color="auto" w:fill="auto"/>
            <w:tcMar>
              <w:top w:w="40" w:type="dxa"/>
              <w:left w:w="20" w:type="dxa"/>
              <w:bottom w:w="40" w:type="dxa"/>
            </w:tcMar>
            <w:vAlign w:val="bottom"/>
          </w:tcPr>
          <w:p w14:paraId="36CA2E88" w14:textId="77777777" w:rsidR="00787570" w:rsidRDefault="000D56E2">
            <w:pPr>
              <w:textAlignment w:val="bottom"/>
            </w:pPr>
            <w:r>
              <w:rPr>
                <w:rFonts w:ascii="Arial" w:eastAsia="宋体" w:hAnsi="Arial" w:cs="Arial"/>
                <w:b/>
                <w:bCs/>
                <w:color w:val="0071C5"/>
                <w:sz w:val="18"/>
                <w:szCs w:val="18"/>
              </w:rPr>
              <w:t>$</w:t>
            </w:r>
          </w:p>
        </w:tc>
        <w:tc>
          <w:tcPr>
            <w:tcW w:w="0" w:type="auto"/>
            <w:tcBorders>
              <w:top w:val="single" w:sz="8" w:space="0" w:color="333333"/>
              <w:bottom w:val="double" w:sz="6" w:space="0" w:color="333333"/>
            </w:tcBorders>
            <w:shd w:val="clear" w:color="auto" w:fill="auto"/>
            <w:tcMar>
              <w:top w:w="40" w:type="dxa"/>
              <w:bottom w:w="40" w:type="dxa"/>
              <w:right w:w="0" w:type="dxa"/>
            </w:tcMar>
            <w:vAlign w:val="bottom"/>
          </w:tcPr>
          <w:p w14:paraId="36CA2E89" w14:textId="77777777" w:rsidR="00787570" w:rsidRDefault="000D56E2">
            <w:pPr>
              <w:jc w:val="right"/>
              <w:textAlignment w:val="bottom"/>
            </w:pPr>
            <w:r>
              <w:rPr>
                <w:rFonts w:ascii="Arial" w:eastAsia="宋体" w:hAnsi="Arial" w:cs="Arial"/>
                <w:b/>
                <w:bCs/>
                <w:color w:val="0071C5"/>
                <w:sz w:val="18"/>
                <w:szCs w:val="18"/>
              </w:rPr>
              <w:t>(416)</w:t>
            </w:r>
          </w:p>
        </w:tc>
        <w:tc>
          <w:tcPr>
            <w:tcW w:w="0" w:type="auto"/>
            <w:tcBorders>
              <w:top w:val="single" w:sz="8" w:space="0" w:color="333333"/>
              <w:bottom w:val="double" w:sz="6" w:space="0" w:color="333333"/>
            </w:tcBorders>
            <w:shd w:val="clear" w:color="auto" w:fill="auto"/>
            <w:tcMar>
              <w:top w:w="40" w:type="dxa"/>
              <w:bottom w:w="40" w:type="dxa"/>
              <w:right w:w="20" w:type="dxa"/>
            </w:tcMar>
            <w:vAlign w:val="bottom"/>
          </w:tcPr>
          <w:p w14:paraId="36CA2E8A"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2E8B" w14:textId="77777777" w:rsidR="00787570" w:rsidRDefault="00787570">
            <w:pPr>
              <w:rPr>
                <w:rFonts w:ascii="宋体"/>
              </w:rPr>
            </w:pPr>
          </w:p>
        </w:tc>
        <w:tc>
          <w:tcPr>
            <w:tcW w:w="0" w:type="auto"/>
            <w:tcBorders>
              <w:top w:val="single" w:sz="8" w:space="0" w:color="333333"/>
              <w:bottom w:val="double" w:sz="6" w:space="0" w:color="333333"/>
            </w:tcBorders>
            <w:shd w:val="clear" w:color="auto" w:fill="auto"/>
            <w:tcMar>
              <w:top w:w="40" w:type="dxa"/>
              <w:left w:w="20" w:type="dxa"/>
              <w:bottom w:w="40" w:type="dxa"/>
            </w:tcMar>
            <w:vAlign w:val="bottom"/>
          </w:tcPr>
          <w:p w14:paraId="36CA2E8C" w14:textId="77777777" w:rsidR="00787570" w:rsidRDefault="000D56E2">
            <w:pPr>
              <w:textAlignment w:val="bottom"/>
            </w:pPr>
            <w:r>
              <w:rPr>
                <w:rFonts w:ascii="Arial" w:eastAsia="宋体" w:hAnsi="Arial" w:cs="Arial"/>
                <w:b/>
                <w:bCs/>
                <w:color w:val="333333"/>
                <w:sz w:val="18"/>
                <w:szCs w:val="18"/>
              </w:rPr>
              <w:t>$</w:t>
            </w:r>
          </w:p>
        </w:tc>
        <w:tc>
          <w:tcPr>
            <w:tcW w:w="0" w:type="auto"/>
            <w:tcBorders>
              <w:top w:val="single" w:sz="8" w:space="0" w:color="333333"/>
              <w:bottom w:val="double" w:sz="6" w:space="0" w:color="333333"/>
            </w:tcBorders>
            <w:shd w:val="clear" w:color="auto" w:fill="auto"/>
            <w:tcMar>
              <w:top w:w="40" w:type="dxa"/>
              <w:bottom w:w="40" w:type="dxa"/>
              <w:right w:w="0" w:type="dxa"/>
            </w:tcMar>
            <w:vAlign w:val="bottom"/>
          </w:tcPr>
          <w:p w14:paraId="36CA2E8D" w14:textId="77777777" w:rsidR="00787570" w:rsidRDefault="000D56E2">
            <w:pPr>
              <w:jc w:val="right"/>
              <w:textAlignment w:val="bottom"/>
            </w:pPr>
            <w:r>
              <w:rPr>
                <w:rFonts w:ascii="Arial" w:eastAsia="宋体" w:hAnsi="Arial" w:cs="Arial"/>
                <w:b/>
                <w:bCs/>
                <w:color w:val="333333"/>
                <w:sz w:val="18"/>
                <w:szCs w:val="18"/>
              </w:rPr>
              <w:t>(170)</w:t>
            </w:r>
          </w:p>
        </w:tc>
        <w:tc>
          <w:tcPr>
            <w:tcW w:w="0" w:type="auto"/>
            <w:tcBorders>
              <w:top w:val="single" w:sz="8" w:space="0" w:color="333333"/>
              <w:bottom w:val="double" w:sz="6" w:space="0" w:color="333333"/>
            </w:tcBorders>
            <w:shd w:val="clear" w:color="auto" w:fill="auto"/>
            <w:tcMar>
              <w:top w:w="40" w:type="dxa"/>
              <w:bottom w:w="40" w:type="dxa"/>
              <w:right w:w="20" w:type="dxa"/>
            </w:tcMar>
            <w:vAlign w:val="bottom"/>
          </w:tcPr>
          <w:p w14:paraId="36CA2E8E" w14:textId="77777777" w:rsidR="00787570" w:rsidRDefault="00787570">
            <w:pPr>
              <w:jc w:val="right"/>
              <w:rPr>
                <w:rFonts w:ascii="宋体"/>
              </w:rPr>
            </w:pPr>
          </w:p>
        </w:tc>
        <w:tc>
          <w:tcPr>
            <w:tcW w:w="0" w:type="auto"/>
            <w:shd w:val="clear" w:color="auto" w:fill="auto"/>
          </w:tcPr>
          <w:p w14:paraId="36CA2E8F" w14:textId="77777777" w:rsidR="00787570" w:rsidRDefault="00787570">
            <w:pPr>
              <w:rPr>
                <w:rFonts w:ascii="宋体"/>
              </w:rPr>
            </w:pPr>
          </w:p>
        </w:tc>
        <w:tc>
          <w:tcPr>
            <w:tcW w:w="0" w:type="auto"/>
            <w:shd w:val="clear" w:color="auto" w:fill="auto"/>
          </w:tcPr>
          <w:p w14:paraId="36CA2E90" w14:textId="77777777" w:rsidR="00787570" w:rsidRDefault="00787570">
            <w:pPr>
              <w:rPr>
                <w:rFonts w:ascii="宋体"/>
              </w:rPr>
            </w:pPr>
          </w:p>
        </w:tc>
        <w:tc>
          <w:tcPr>
            <w:tcW w:w="0" w:type="auto"/>
            <w:shd w:val="clear" w:color="auto" w:fill="auto"/>
          </w:tcPr>
          <w:p w14:paraId="36CA2E91" w14:textId="77777777" w:rsidR="00787570" w:rsidRDefault="00787570">
            <w:pPr>
              <w:rPr>
                <w:rFonts w:ascii="宋体"/>
              </w:rPr>
            </w:pPr>
          </w:p>
        </w:tc>
        <w:tc>
          <w:tcPr>
            <w:tcW w:w="0" w:type="auto"/>
            <w:shd w:val="clear" w:color="auto" w:fill="auto"/>
          </w:tcPr>
          <w:p w14:paraId="36CA2E92" w14:textId="77777777" w:rsidR="00787570" w:rsidRDefault="00787570">
            <w:pPr>
              <w:rPr>
                <w:rFonts w:ascii="宋体"/>
              </w:rPr>
            </w:pPr>
          </w:p>
        </w:tc>
        <w:tc>
          <w:tcPr>
            <w:tcW w:w="0" w:type="auto"/>
            <w:shd w:val="clear" w:color="auto" w:fill="auto"/>
          </w:tcPr>
          <w:p w14:paraId="36CA2E93" w14:textId="77777777" w:rsidR="00787570" w:rsidRDefault="00787570">
            <w:pPr>
              <w:rPr>
                <w:rFonts w:ascii="宋体"/>
              </w:rPr>
            </w:pPr>
          </w:p>
        </w:tc>
        <w:tc>
          <w:tcPr>
            <w:tcW w:w="0" w:type="auto"/>
            <w:shd w:val="clear" w:color="auto" w:fill="auto"/>
          </w:tcPr>
          <w:p w14:paraId="36CA2E94" w14:textId="77777777" w:rsidR="00787570" w:rsidRDefault="00787570">
            <w:pPr>
              <w:rPr>
                <w:rFonts w:ascii="宋体"/>
              </w:rPr>
            </w:pPr>
          </w:p>
        </w:tc>
        <w:tc>
          <w:tcPr>
            <w:tcW w:w="0" w:type="auto"/>
            <w:shd w:val="clear" w:color="auto" w:fill="auto"/>
          </w:tcPr>
          <w:p w14:paraId="36CA2E95" w14:textId="77777777" w:rsidR="00787570" w:rsidRDefault="00787570">
            <w:pPr>
              <w:rPr>
                <w:rFonts w:ascii="宋体"/>
              </w:rPr>
            </w:pPr>
          </w:p>
        </w:tc>
        <w:tc>
          <w:tcPr>
            <w:tcW w:w="0" w:type="auto"/>
            <w:shd w:val="clear" w:color="auto" w:fill="auto"/>
          </w:tcPr>
          <w:p w14:paraId="36CA2E96" w14:textId="77777777" w:rsidR="00787570" w:rsidRDefault="00787570">
            <w:pPr>
              <w:rPr>
                <w:rFonts w:ascii="宋体"/>
              </w:rPr>
            </w:pPr>
          </w:p>
        </w:tc>
        <w:tc>
          <w:tcPr>
            <w:tcW w:w="0" w:type="auto"/>
            <w:shd w:val="clear" w:color="auto" w:fill="auto"/>
          </w:tcPr>
          <w:p w14:paraId="36CA2E97" w14:textId="77777777" w:rsidR="00787570" w:rsidRDefault="00787570">
            <w:pPr>
              <w:rPr>
                <w:rFonts w:ascii="宋体"/>
              </w:rPr>
            </w:pPr>
          </w:p>
        </w:tc>
        <w:tc>
          <w:tcPr>
            <w:tcW w:w="0" w:type="auto"/>
            <w:shd w:val="clear" w:color="auto" w:fill="auto"/>
          </w:tcPr>
          <w:p w14:paraId="36CA2E98" w14:textId="77777777" w:rsidR="00787570" w:rsidRDefault="00787570">
            <w:pPr>
              <w:rPr>
                <w:rFonts w:ascii="宋体"/>
              </w:rPr>
            </w:pPr>
          </w:p>
        </w:tc>
        <w:tc>
          <w:tcPr>
            <w:tcW w:w="0" w:type="auto"/>
            <w:shd w:val="clear" w:color="auto" w:fill="auto"/>
          </w:tcPr>
          <w:p w14:paraId="36CA2E99" w14:textId="77777777" w:rsidR="00787570" w:rsidRDefault="00787570">
            <w:pPr>
              <w:rPr>
                <w:rFonts w:ascii="宋体"/>
              </w:rPr>
            </w:pPr>
          </w:p>
        </w:tc>
        <w:tc>
          <w:tcPr>
            <w:tcW w:w="0" w:type="auto"/>
            <w:shd w:val="clear" w:color="auto" w:fill="auto"/>
          </w:tcPr>
          <w:p w14:paraId="36CA2E9A" w14:textId="77777777" w:rsidR="00787570" w:rsidRDefault="00787570">
            <w:pPr>
              <w:rPr>
                <w:rFonts w:ascii="宋体"/>
              </w:rPr>
            </w:pPr>
          </w:p>
        </w:tc>
      </w:tr>
    </w:tbl>
    <w:p w14:paraId="36CA2E9C" w14:textId="77777777" w:rsidR="00787570" w:rsidRDefault="000D56E2">
      <w:pPr>
        <w:spacing w:before="180" w:after="180"/>
      </w:pPr>
      <w:r>
        <w:rPr>
          <w:rFonts w:ascii="Arial" w:eastAsia="宋体" w:hAnsi="Arial" w:cs="Arial"/>
          <w:color w:val="333333"/>
          <w:sz w:val="18"/>
          <w:szCs w:val="18"/>
        </w:rPr>
        <w:t>Interest expense in the preceding table is net of $81 million of interest capitaliz</w:t>
      </w:r>
      <w:r>
        <w:rPr>
          <w:rFonts w:ascii="Arial" w:eastAsia="宋体" w:hAnsi="Arial" w:cs="Arial"/>
          <w:color w:val="333333"/>
          <w:sz w:val="18"/>
          <w:szCs w:val="18"/>
        </w:rPr>
        <w:t>ed in the third quarter of 2020 and $251 million in the first nine months of 2020 ($122 million in the third quarter of 2019 and $366 million in the first nine months of 2019).</w:t>
      </w:r>
    </w:p>
    <w:p w14:paraId="36CA2E9D" w14:textId="77777777" w:rsidR="00787570" w:rsidRDefault="00787570">
      <w:pPr>
        <w:spacing w:after="180"/>
      </w:pPr>
    </w:p>
    <w:p w14:paraId="36CA2E9E" w14:textId="77777777" w:rsidR="00787570" w:rsidRDefault="00787570">
      <w:pPr>
        <w:spacing w:after="180"/>
      </w:pPr>
    </w:p>
    <w:p w14:paraId="36CA2E9F" w14:textId="77777777" w:rsidR="00787570" w:rsidRDefault="00787570">
      <w:pPr>
        <w:spacing w:after="180"/>
      </w:pPr>
    </w:p>
    <w:p w14:paraId="36CA2EA0" w14:textId="77777777" w:rsidR="00787570" w:rsidRDefault="00787570">
      <w:pPr>
        <w:spacing w:after="180"/>
      </w:pPr>
    </w:p>
    <w:p w14:paraId="36CA2EA1" w14:textId="77777777" w:rsidR="00787570" w:rsidRDefault="00787570">
      <w:pPr>
        <w:spacing w:after="180"/>
      </w:pPr>
    </w:p>
    <w:p w14:paraId="36CA2EA2" w14:textId="77777777" w:rsidR="00787570" w:rsidRDefault="00787570">
      <w:pPr>
        <w:spacing w:after="180"/>
      </w:pPr>
    </w:p>
    <w:p w14:paraId="36CA2EA3" w14:textId="77777777" w:rsidR="00787570" w:rsidRDefault="00787570">
      <w:pPr>
        <w:spacing w:after="180"/>
      </w:pPr>
    </w:p>
    <w:tbl>
      <w:tblPr>
        <w:tblW w:w="5000" w:type="pct"/>
        <w:tblCellMar>
          <w:top w:w="15" w:type="dxa"/>
          <w:left w:w="15" w:type="dxa"/>
          <w:bottom w:w="15" w:type="dxa"/>
          <w:right w:w="15" w:type="dxa"/>
        </w:tblCellMar>
        <w:tblLook w:val="04A0" w:firstRow="1" w:lastRow="0" w:firstColumn="1" w:lastColumn="0" w:noHBand="0" w:noVBand="1"/>
      </w:tblPr>
      <w:tblGrid>
        <w:gridCol w:w="86"/>
        <w:gridCol w:w="426"/>
        <w:gridCol w:w="36"/>
        <w:gridCol w:w="62"/>
        <w:gridCol w:w="1676"/>
        <w:gridCol w:w="36"/>
        <w:gridCol w:w="62"/>
        <w:gridCol w:w="3655"/>
        <w:gridCol w:w="36"/>
        <w:gridCol w:w="63"/>
        <w:gridCol w:w="2162"/>
        <w:gridCol w:w="36"/>
      </w:tblGrid>
      <w:tr w:rsidR="00787570" w14:paraId="36CA2EB0" w14:textId="77777777">
        <w:tc>
          <w:tcPr>
            <w:tcW w:w="50" w:type="pct"/>
            <w:shd w:val="clear" w:color="auto" w:fill="auto"/>
            <w:vAlign w:val="bottom"/>
          </w:tcPr>
          <w:p w14:paraId="36CA2EA4" w14:textId="77777777" w:rsidR="00787570" w:rsidRDefault="00787570">
            <w:pPr>
              <w:rPr>
                <w:rFonts w:ascii="宋体"/>
              </w:rPr>
            </w:pPr>
          </w:p>
        </w:tc>
        <w:tc>
          <w:tcPr>
            <w:tcW w:w="248" w:type="pct"/>
            <w:shd w:val="clear" w:color="auto" w:fill="auto"/>
            <w:vAlign w:val="bottom"/>
          </w:tcPr>
          <w:p w14:paraId="36CA2EA5" w14:textId="77777777" w:rsidR="00787570" w:rsidRDefault="00787570">
            <w:pPr>
              <w:rPr>
                <w:rFonts w:ascii="宋体"/>
              </w:rPr>
            </w:pPr>
          </w:p>
        </w:tc>
        <w:tc>
          <w:tcPr>
            <w:tcW w:w="5" w:type="pct"/>
            <w:shd w:val="clear" w:color="auto" w:fill="auto"/>
            <w:vAlign w:val="bottom"/>
          </w:tcPr>
          <w:p w14:paraId="36CA2EA6" w14:textId="77777777" w:rsidR="00787570" w:rsidRDefault="00787570">
            <w:pPr>
              <w:rPr>
                <w:rFonts w:ascii="宋体"/>
              </w:rPr>
            </w:pPr>
          </w:p>
        </w:tc>
        <w:tc>
          <w:tcPr>
            <w:tcW w:w="50" w:type="pct"/>
            <w:shd w:val="clear" w:color="auto" w:fill="auto"/>
            <w:vAlign w:val="bottom"/>
          </w:tcPr>
          <w:p w14:paraId="36CA2EA7" w14:textId="77777777" w:rsidR="00787570" w:rsidRDefault="00787570">
            <w:pPr>
              <w:rPr>
                <w:rFonts w:ascii="宋体"/>
              </w:rPr>
            </w:pPr>
          </w:p>
        </w:tc>
        <w:tc>
          <w:tcPr>
            <w:tcW w:w="1018" w:type="pct"/>
            <w:shd w:val="clear" w:color="auto" w:fill="auto"/>
            <w:vAlign w:val="bottom"/>
          </w:tcPr>
          <w:p w14:paraId="36CA2EA8" w14:textId="77777777" w:rsidR="00787570" w:rsidRDefault="00787570">
            <w:pPr>
              <w:rPr>
                <w:rFonts w:ascii="宋体"/>
              </w:rPr>
            </w:pPr>
          </w:p>
        </w:tc>
        <w:tc>
          <w:tcPr>
            <w:tcW w:w="5" w:type="pct"/>
            <w:shd w:val="clear" w:color="auto" w:fill="auto"/>
            <w:vAlign w:val="bottom"/>
          </w:tcPr>
          <w:p w14:paraId="36CA2EA9" w14:textId="77777777" w:rsidR="00787570" w:rsidRDefault="00787570">
            <w:pPr>
              <w:rPr>
                <w:rFonts w:ascii="宋体"/>
              </w:rPr>
            </w:pPr>
          </w:p>
        </w:tc>
        <w:tc>
          <w:tcPr>
            <w:tcW w:w="50" w:type="pct"/>
            <w:shd w:val="clear" w:color="auto" w:fill="auto"/>
            <w:vAlign w:val="bottom"/>
          </w:tcPr>
          <w:p w14:paraId="36CA2EAA" w14:textId="77777777" w:rsidR="00787570" w:rsidRDefault="00787570">
            <w:pPr>
              <w:rPr>
                <w:rFonts w:ascii="宋体"/>
              </w:rPr>
            </w:pPr>
          </w:p>
        </w:tc>
        <w:tc>
          <w:tcPr>
            <w:tcW w:w="2204" w:type="pct"/>
            <w:shd w:val="clear" w:color="auto" w:fill="auto"/>
            <w:vAlign w:val="bottom"/>
          </w:tcPr>
          <w:p w14:paraId="36CA2EAB" w14:textId="77777777" w:rsidR="00787570" w:rsidRDefault="00787570">
            <w:pPr>
              <w:rPr>
                <w:rFonts w:ascii="宋体"/>
              </w:rPr>
            </w:pPr>
          </w:p>
        </w:tc>
        <w:tc>
          <w:tcPr>
            <w:tcW w:w="5" w:type="pct"/>
            <w:shd w:val="clear" w:color="auto" w:fill="auto"/>
            <w:vAlign w:val="bottom"/>
          </w:tcPr>
          <w:p w14:paraId="36CA2EAC" w14:textId="77777777" w:rsidR="00787570" w:rsidRDefault="00787570">
            <w:pPr>
              <w:rPr>
                <w:rFonts w:ascii="宋体"/>
              </w:rPr>
            </w:pPr>
          </w:p>
        </w:tc>
        <w:tc>
          <w:tcPr>
            <w:tcW w:w="50" w:type="pct"/>
            <w:shd w:val="clear" w:color="auto" w:fill="auto"/>
            <w:vAlign w:val="bottom"/>
          </w:tcPr>
          <w:p w14:paraId="36CA2EAD" w14:textId="77777777" w:rsidR="00787570" w:rsidRDefault="00787570">
            <w:pPr>
              <w:rPr>
                <w:rFonts w:ascii="宋体"/>
              </w:rPr>
            </w:pPr>
          </w:p>
        </w:tc>
        <w:tc>
          <w:tcPr>
            <w:tcW w:w="1308" w:type="pct"/>
            <w:shd w:val="clear" w:color="auto" w:fill="auto"/>
            <w:vAlign w:val="bottom"/>
          </w:tcPr>
          <w:p w14:paraId="36CA2EAE" w14:textId="77777777" w:rsidR="00787570" w:rsidRDefault="00787570">
            <w:pPr>
              <w:rPr>
                <w:rFonts w:ascii="宋体"/>
              </w:rPr>
            </w:pPr>
          </w:p>
        </w:tc>
        <w:tc>
          <w:tcPr>
            <w:tcW w:w="5" w:type="pct"/>
            <w:shd w:val="clear" w:color="auto" w:fill="auto"/>
            <w:vAlign w:val="bottom"/>
          </w:tcPr>
          <w:p w14:paraId="36CA2EAF" w14:textId="77777777" w:rsidR="00787570" w:rsidRDefault="00787570">
            <w:pPr>
              <w:rPr>
                <w:rFonts w:ascii="宋体"/>
              </w:rPr>
            </w:pPr>
          </w:p>
        </w:tc>
      </w:tr>
      <w:tr w:rsidR="00787570" w14:paraId="36CA2EB5" w14:textId="77777777">
        <w:tc>
          <w:tcPr>
            <w:tcW w:w="0" w:type="auto"/>
            <w:gridSpan w:val="3"/>
            <w:tcBorders>
              <w:top w:val="single" w:sz="8" w:space="0" w:color="0071C5"/>
            </w:tcBorders>
            <w:shd w:val="clear" w:color="auto" w:fill="auto"/>
            <w:tcMar>
              <w:left w:w="20" w:type="dxa"/>
              <w:right w:w="20" w:type="dxa"/>
            </w:tcMar>
            <w:vAlign w:val="center"/>
          </w:tcPr>
          <w:p w14:paraId="36CA2EB1" w14:textId="77777777" w:rsidR="00787570" w:rsidRDefault="000D56E2">
            <w:pPr>
              <w:textAlignment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Viewer9_files/intc-20200926_g2.jpg"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36CA5C0C" wp14:editId="36CA5C0D">
                  <wp:extent cx="304800" cy="304800"/>
                  <wp:effectExtent l="0" t="0" r="0" b="0"/>
                  <wp:docPr id="4" name="图片 65" descr="IMG_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65" descr="IMG_329"/>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8" w:space="0" w:color="0071C5"/>
            </w:tcBorders>
            <w:shd w:val="clear" w:color="auto" w:fill="auto"/>
            <w:tcMar>
              <w:top w:w="40" w:type="dxa"/>
              <w:left w:w="20" w:type="dxa"/>
              <w:bottom w:w="40" w:type="dxa"/>
              <w:right w:w="20" w:type="dxa"/>
            </w:tcMar>
            <w:vAlign w:val="center"/>
          </w:tcPr>
          <w:p w14:paraId="36CA2EB2" w14:textId="77777777" w:rsidR="00787570" w:rsidRDefault="000D56E2">
            <w:pPr>
              <w:textAlignment w:val="center"/>
            </w:pPr>
            <w:r>
              <w:rPr>
                <w:rFonts w:ascii="Arial" w:eastAsia="宋体" w:hAnsi="Arial" w:cs="Arial"/>
                <w:color w:val="333333"/>
                <w:sz w:val="16"/>
                <w:szCs w:val="16"/>
              </w:rPr>
              <w:t> FINANCIAL STATEMENTS</w:t>
            </w:r>
          </w:p>
        </w:tc>
        <w:tc>
          <w:tcPr>
            <w:tcW w:w="0" w:type="auto"/>
            <w:gridSpan w:val="3"/>
            <w:tcBorders>
              <w:top w:val="single" w:sz="8" w:space="0" w:color="0071C5"/>
              <w:left w:val="single" w:sz="24" w:space="0" w:color="0071C5"/>
            </w:tcBorders>
            <w:shd w:val="clear" w:color="auto" w:fill="auto"/>
            <w:tcMar>
              <w:top w:w="40" w:type="dxa"/>
              <w:left w:w="20" w:type="dxa"/>
              <w:bottom w:w="40" w:type="dxa"/>
              <w:right w:w="20" w:type="dxa"/>
            </w:tcMar>
            <w:vAlign w:val="center"/>
          </w:tcPr>
          <w:p w14:paraId="36CA2EB3" w14:textId="77777777" w:rsidR="00787570" w:rsidRDefault="000D56E2">
            <w:pPr>
              <w:textAlignment w:val="center"/>
            </w:pPr>
            <w:r>
              <w:rPr>
                <w:rFonts w:ascii="Arial" w:eastAsia="宋体" w:hAnsi="Arial" w:cs="Arial"/>
                <w:color w:val="333333"/>
                <w:sz w:val="16"/>
                <w:szCs w:val="16"/>
              </w:rPr>
              <w:t>  Notes to Financial Statements</w:t>
            </w:r>
          </w:p>
        </w:tc>
        <w:tc>
          <w:tcPr>
            <w:tcW w:w="0" w:type="auto"/>
            <w:gridSpan w:val="3"/>
            <w:tcBorders>
              <w:top w:val="single" w:sz="8" w:space="0" w:color="0071C5"/>
            </w:tcBorders>
            <w:shd w:val="clear" w:color="auto" w:fill="auto"/>
            <w:tcMar>
              <w:top w:w="40" w:type="dxa"/>
              <w:left w:w="20" w:type="dxa"/>
              <w:bottom w:w="40" w:type="dxa"/>
              <w:right w:w="20" w:type="dxa"/>
            </w:tcMar>
            <w:vAlign w:val="center"/>
          </w:tcPr>
          <w:p w14:paraId="36CA2EB4" w14:textId="77777777" w:rsidR="00787570" w:rsidRDefault="000D56E2">
            <w:pPr>
              <w:jc w:val="right"/>
              <w:textAlignment w:val="center"/>
            </w:pPr>
            <w:r>
              <w:rPr>
                <w:rFonts w:ascii="Arial" w:eastAsia="宋体" w:hAnsi="Arial" w:cs="Arial"/>
                <w:color w:val="333333"/>
                <w:sz w:val="16"/>
                <w:szCs w:val="16"/>
              </w:rPr>
              <w:t>13</w:t>
            </w:r>
          </w:p>
        </w:tc>
      </w:tr>
    </w:tbl>
    <w:p w14:paraId="36CA2EB6" w14:textId="77777777" w:rsidR="00787570" w:rsidRDefault="000D56E2">
      <w:r>
        <w:pict w14:anchorId="36CA5C0E">
          <v:rect id="_x0000_i1039" style="width:415.3pt;height:1.5pt" o:hralign="center" o:hrstd="t" o:hr="t" fillcolor="#a0a0a0" stroked="f"/>
        </w:pict>
      </w:r>
    </w:p>
    <w:p w14:paraId="36CA2EB7" w14:textId="77777777" w:rsidR="00787570" w:rsidRDefault="000D56E2">
      <w:pPr>
        <w:spacing w:after="180"/>
        <w:jc w:val="right"/>
      </w:pPr>
      <w:hyperlink r:id="rId41" w:anchor="i32771df14e9449d2bec5be911426bf04_7" w:history="1">
        <w:r>
          <w:rPr>
            <w:rStyle w:val="a5"/>
            <w:rFonts w:ascii="Arial" w:eastAsia="宋体" w:hAnsi="Arial" w:cs="Arial"/>
            <w:b/>
            <w:bCs/>
            <w:sz w:val="16"/>
            <w:szCs w:val="16"/>
          </w:rPr>
          <w:t>Table of Contents</w:t>
        </w:r>
      </w:hyperlink>
    </w:p>
    <w:p w14:paraId="36CA2EB8" w14:textId="77777777" w:rsidR="00787570" w:rsidRDefault="00787570">
      <w:pPr>
        <w:spacing w:after="180"/>
        <w:jc w:val="right"/>
      </w:pPr>
    </w:p>
    <w:p w14:paraId="36CA2EB9" w14:textId="77777777" w:rsidR="00787570" w:rsidRDefault="000D56E2">
      <w:pPr>
        <w:spacing w:before="300" w:after="180"/>
      </w:pPr>
      <w:r>
        <w:rPr>
          <w:rFonts w:ascii="Arial" w:eastAsia="宋体" w:hAnsi="Arial" w:cs="Arial"/>
          <w:b/>
          <w:bCs/>
          <w:color w:val="0071C5"/>
        </w:rPr>
        <w:t xml:space="preserve">ACCELERATED SHARE REPURCHASE </w:t>
      </w:r>
    </w:p>
    <w:p w14:paraId="36CA2EBA" w14:textId="77777777" w:rsidR="00787570" w:rsidRDefault="000D56E2">
      <w:pPr>
        <w:spacing w:after="180"/>
      </w:pPr>
      <w:r>
        <w:rPr>
          <w:rFonts w:ascii="Arial" w:eastAsia="宋体" w:hAnsi="Arial" w:cs="Arial"/>
          <w:color w:val="333333"/>
          <w:sz w:val="18"/>
          <w:szCs w:val="18"/>
        </w:rPr>
        <w:t>In August 2020, we entered into ASR agreements with fi</w:t>
      </w:r>
      <w:r>
        <w:rPr>
          <w:rFonts w:ascii="Arial" w:eastAsia="宋体" w:hAnsi="Arial" w:cs="Arial"/>
          <w:color w:val="333333"/>
          <w:sz w:val="18"/>
          <w:szCs w:val="18"/>
        </w:rPr>
        <w:t>nancial institutions under which we paid an aggregate of $10.0 billion and received an aggregate initial share delivery of 166 million shares of our common stock, which were immediately retired. In accordance with the terms of the ASR agreements, the final</w:t>
      </w:r>
      <w:r>
        <w:rPr>
          <w:rFonts w:ascii="Arial" w:eastAsia="宋体" w:hAnsi="Arial" w:cs="Arial"/>
          <w:color w:val="333333"/>
          <w:sz w:val="18"/>
          <w:szCs w:val="18"/>
        </w:rPr>
        <w:t xml:space="preserve"> number of shares to be repurchased and the average price paid per share will be determined upon settlement of the agreements by the end of 2020. The final number of shares to be repurchased will be based on the volume-weighted average price of our common </w:t>
      </w:r>
      <w:r>
        <w:rPr>
          <w:rFonts w:ascii="Arial" w:eastAsia="宋体" w:hAnsi="Arial" w:cs="Arial"/>
          <w:color w:val="333333"/>
          <w:sz w:val="18"/>
          <w:szCs w:val="18"/>
        </w:rPr>
        <w:t>stock over the duration of the ASR agreements, less applicable discounts. Upon settlement, the financial institutions may be required to deliver additional shares of common stock to us, or under certain conditions, we may be required to make a cash payment</w:t>
      </w:r>
      <w:r>
        <w:rPr>
          <w:rFonts w:ascii="Arial" w:eastAsia="宋体" w:hAnsi="Arial" w:cs="Arial"/>
          <w:color w:val="333333"/>
          <w:sz w:val="18"/>
          <w:szCs w:val="18"/>
        </w:rPr>
        <w:t xml:space="preserve"> or deliver shares of common stock, at our election, to one or more of the financial institutions. The unsettled portion of each ASR agreement qualifies as a forward contract indexed to our own stock which has been classified within stockholders’ equity as</w:t>
      </w:r>
      <w:r>
        <w:rPr>
          <w:rFonts w:ascii="Arial" w:eastAsia="宋体" w:hAnsi="Arial" w:cs="Arial"/>
          <w:color w:val="333333"/>
          <w:sz w:val="18"/>
          <w:szCs w:val="18"/>
        </w:rPr>
        <w:t xml:space="preserve"> additional paid in capital. The ASR agreements were entered into pursuant to our existing share repurchase program.</w:t>
      </w:r>
    </w:p>
    <w:tbl>
      <w:tblPr>
        <w:tblW w:w="5000" w:type="pct"/>
        <w:tblCellMar>
          <w:top w:w="15" w:type="dxa"/>
          <w:left w:w="15" w:type="dxa"/>
          <w:bottom w:w="15" w:type="dxa"/>
          <w:right w:w="15" w:type="dxa"/>
        </w:tblCellMar>
        <w:tblLook w:val="04A0" w:firstRow="1" w:lastRow="0" w:firstColumn="1" w:lastColumn="0" w:noHBand="0" w:noVBand="1"/>
      </w:tblPr>
      <w:tblGrid>
        <w:gridCol w:w="69"/>
        <w:gridCol w:w="998"/>
        <w:gridCol w:w="36"/>
        <w:gridCol w:w="69"/>
        <w:gridCol w:w="7128"/>
        <w:gridCol w:w="36"/>
      </w:tblGrid>
      <w:tr w:rsidR="00787570" w14:paraId="36CA2EC1" w14:textId="77777777">
        <w:tc>
          <w:tcPr>
            <w:tcW w:w="50" w:type="pct"/>
            <w:shd w:val="clear" w:color="auto" w:fill="auto"/>
          </w:tcPr>
          <w:p w14:paraId="36CA2EBB" w14:textId="77777777" w:rsidR="00787570" w:rsidRDefault="00787570">
            <w:pPr>
              <w:rPr>
                <w:rFonts w:ascii="宋体"/>
              </w:rPr>
            </w:pPr>
          </w:p>
        </w:tc>
        <w:tc>
          <w:tcPr>
            <w:tcW w:w="607" w:type="pct"/>
            <w:shd w:val="clear" w:color="auto" w:fill="auto"/>
          </w:tcPr>
          <w:p w14:paraId="36CA2EBC" w14:textId="77777777" w:rsidR="00787570" w:rsidRDefault="00787570">
            <w:pPr>
              <w:rPr>
                <w:rFonts w:ascii="宋体"/>
              </w:rPr>
            </w:pPr>
          </w:p>
        </w:tc>
        <w:tc>
          <w:tcPr>
            <w:tcW w:w="5" w:type="pct"/>
            <w:shd w:val="clear" w:color="auto" w:fill="auto"/>
          </w:tcPr>
          <w:p w14:paraId="36CA2EBD" w14:textId="77777777" w:rsidR="00787570" w:rsidRDefault="00787570">
            <w:pPr>
              <w:rPr>
                <w:rFonts w:ascii="宋体"/>
              </w:rPr>
            </w:pPr>
          </w:p>
        </w:tc>
        <w:tc>
          <w:tcPr>
            <w:tcW w:w="50" w:type="pct"/>
            <w:shd w:val="clear" w:color="auto" w:fill="auto"/>
          </w:tcPr>
          <w:p w14:paraId="36CA2EBE" w14:textId="77777777" w:rsidR="00787570" w:rsidRDefault="00787570">
            <w:pPr>
              <w:rPr>
                <w:rFonts w:ascii="宋体"/>
              </w:rPr>
            </w:pPr>
          </w:p>
        </w:tc>
        <w:tc>
          <w:tcPr>
            <w:tcW w:w="4282" w:type="pct"/>
            <w:shd w:val="clear" w:color="auto" w:fill="auto"/>
          </w:tcPr>
          <w:p w14:paraId="36CA2EBF" w14:textId="77777777" w:rsidR="00787570" w:rsidRDefault="00787570">
            <w:pPr>
              <w:rPr>
                <w:rFonts w:ascii="宋体"/>
              </w:rPr>
            </w:pPr>
          </w:p>
        </w:tc>
        <w:tc>
          <w:tcPr>
            <w:tcW w:w="5" w:type="pct"/>
            <w:shd w:val="clear" w:color="auto" w:fill="auto"/>
          </w:tcPr>
          <w:p w14:paraId="36CA2EC0" w14:textId="77777777" w:rsidR="00787570" w:rsidRDefault="00787570">
            <w:pPr>
              <w:rPr>
                <w:rFonts w:ascii="宋体"/>
              </w:rPr>
            </w:pPr>
          </w:p>
        </w:tc>
      </w:tr>
      <w:tr w:rsidR="00787570" w14:paraId="36CA2EC4" w14:textId="77777777">
        <w:tc>
          <w:tcPr>
            <w:tcW w:w="0" w:type="auto"/>
            <w:gridSpan w:val="3"/>
            <w:tcBorders>
              <w:bottom w:val="single" w:sz="8" w:space="0" w:color="0071C5"/>
            </w:tcBorders>
            <w:shd w:val="clear" w:color="auto" w:fill="0071C5"/>
            <w:tcMar>
              <w:top w:w="40" w:type="dxa"/>
              <w:left w:w="20" w:type="dxa"/>
              <w:bottom w:w="40" w:type="dxa"/>
              <w:right w:w="20" w:type="dxa"/>
            </w:tcMar>
            <w:vAlign w:val="bottom"/>
          </w:tcPr>
          <w:p w14:paraId="36CA2EC2" w14:textId="77777777" w:rsidR="00787570" w:rsidRDefault="000D56E2">
            <w:pPr>
              <w:textAlignment w:val="bottom"/>
            </w:pPr>
            <w:r>
              <w:rPr>
                <w:rFonts w:ascii="Arial" w:eastAsia="宋体" w:hAnsi="Arial" w:cs="Arial"/>
                <w:b/>
                <w:bCs/>
                <w:color w:val="FFFFFF"/>
                <w:sz w:val="28"/>
                <w:szCs w:val="28"/>
              </w:rPr>
              <w:t xml:space="preserve">NOTE 6 : </w:t>
            </w:r>
          </w:p>
        </w:tc>
        <w:tc>
          <w:tcPr>
            <w:tcW w:w="0" w:type="auto"/>
            <w:gridSpan w:val="3"/>
            <w:tcBorders>
              <w:bottom w:val="single" w:sz="8" w:space="0" w:color="0071C5"/>
            </w:tcBorders>
            <w:shd w:val="clear" w:color="auto" w:fill="auto"/>
            <w:tcMar>
              <w:top w:w="40" w:type="dxa"/>
              <w:left w:w="20" w:type="dxa"/>
              <w:bottom w:w="40" w:type="dxa"/>
              <w:right w:w="20" w:type="dxa"/>
            </w:tcMar>
            <w:vAlign w:val="bottom"/>
          </w:tcPr>
          <w:p w14:paraId="36CA2EC3" w14:textId="77777777" w:rsidR="00787570" w:rsidRDefault="000D56E2">
            <w:pPr>
              <w:textAlignment w:val="bottom"/>
            </w:pPr>
            <w:r>
              <w:rPr>
                <w:rFonts w:ascii="Arial" w:eastAsia="宋体" w:hAnsi="Arial" w:cs="Arial"/>
                <w:b/>
                <w:bCs/>
                <w:color w:val="0071C5"/>
                <w:sz w:val="28"/>
                <w:szCs w:val="28"/>
              </w:rPr>
              <w:t>RESTRUCTURING AND OTHER CHARGES</w:t>
            </w:r>
          </w:p>
        </w:tc>
      </w:tr>
    </w:tbl>
    <w:p w14:paraId="36CA2EC5" w14:textId="77777777" w:rsidR="00787570" w:rsidRDefault="000D56E2">
      <w:pPr>
        <w:spacing w:before="180" w:after="180"/>
      </w:pPr>
      <w:r>
        <w:rPr>
          <w:rFonts w:ascii="Arial" w:eastAsia="宋体" w:hAnsi="Arial" w:cs="Arial"/>
          <w:color w:val="333333"/>
          <w:sz w:val="18"/>
          <w:szCs w:val="18"/>
        </w:rPr>
        <w:t>A restructuring program was approved in the first quarter of 2020, which is ongoing, to further align our workforce with our continuing investments in the business and to execute the planned divestiture of Home Gateway Platform, a division of CCG. These ac</w:t>
      </w:r>
      <w:r>
        <w:rPr>
          <w:rFonts w:ascii="Arial" w:eastAsia="宋体" w:hAnsi="Arial" w:cs="Arial"/>
          <w:color w:val="333333"/>
          <w:sz w:val="18"/>
          <w:szCs w:val="18"/>
        </w:rPr>
        <w:t xml:space="preserve">tions are expected to be substantially completed in 2021. </w:t>
      </w:r>
    </w:p>
    <w:p w14:paraId="36CA2EC6" w14:textId="77777777" w:rsidR="00787570" w:rsidRDefault="000D56E2">
      <w:pPr>
        <w:spacing w:after="180"/>
      </w:pPr>
      <w:r>
        <w:rPr>
          <w:rFonts w:ascii="Arial" w:eastAsia="宋体" w:hAnsi="Arial" w:cs="Arial"/>
          <w:color w:val="333333"/>
          <w:sz w:val="18"/>
          <w:szCs w:val="18"/>
        </w:rPr>
        <w:t>A restructuring program was approved in the second quarter of 2019 to align our workforce with our exit of the 5G smartphone modem business. This action was substantially completed in the third qua</w:t>
      </w:r>
      <w:r>
        <w:rPr>
          <w:rFonts w:ascii="Arial" w:eastAsia="宋体" w:hAnsi="Arial" w:cs="Arial"/>
          <w:color w:val="333333"/>
          <w:sz w:val="18"/>
          <w:szCs w:val="18"/>
        </w:rPr>
        <w:t>rter of 2020.</w:t>
      </w:r>
    </w:p>
    <w:p w14:paraId="36CA2EC7" w14:textId="77777777" w:rsidR="00787570" w:rsidRDefault="000D56E2">
      <w:pPr>
        <w:spacing w:after="120"/>
      </w:pPr>
      <w:r>
        <w:rPr>
          <w:rFonts w:ascii="Arial" w:eastAsia="宋体" w:hAnsi="Arial" w:cs="Arial"/>
          <w:color w:val="333333"/>
          <w:sz w:val="18"/>
          <w:szCs w:val="18"/>
        </w:rPr>
        <w:t>Restructuring and other charges by type for each period were as follows:</w:t>
      </w:r>
    </w:p>
    <w:tbl>
      <w:tblPr>
        <w:tblW w:w="5000" w:type="pct"/>
        <w:tblCellMar>
          <w:top w:w="15" w:type="dxa"/>
          <w:left w:w="15" w:type="dxa"/>
          <w:bottom w:w="15" w:type="dxa"/>
          <w:right w:w="15" w:type="dxa"/>
        </w:tblCellMar>
        <w:tblLook w:val="04A0" w:firstRow="1" w:lastRow="0" w:firstColumn="1" w:lastColumn="0" w:noHBand="0" w:noVBand="1"/>
      </w:tblPr>
      <w:tblGrid>
        <w:gridCol w:w="38"/>
        <w:gridCol w:w="3716"/>
        <w:gridCol w:w="36"/>
        <w:gridCol w:w="36"/>
        <w:gridCol w:w="36"/>
        <w:gridCol w:w="36"/>
        <w:gridCol w:w="136"/>
        <w:gridCol w:w="667"/>
        <w:gridCol w:w="41"/>
        <w:gridCol w:w="36"/>
        <w:gridCol w:w="36"/>
        <w:gridCol w:w="36"/>
        <w:gridCol w:w="136"/>
        <w:gridCol w:w="757"/>
        <w:gridCol w:w="41"/>
        <w:gridCol w:w="36"/>
        <w:gridCol w:w="36"/>
        <w:gridCol w:w="36"/>
        <w:gridCol w:w="136"/>
        <w:gridCol w:w="757"/>
        <w:gridCol w:w="41"/>
        <w:gridCol w:w="36"/>
        <w:gridCol w:w="36"/>
        <w:gridCol w:w="36"/>
        <w:gridCol w:w="136"/>
        <w:gridCol w:w="757"/>
        <w:gridCol w:w="41"/>
        <w:gridCol w:w="36"/>
        <w:gridCol w:w="36"/>
        <w:gridCol w:w="36"/>
        <w:gridCol w:w="36"/>
        <w:gridCol w:w="36"/>
        <w:gridCol w:w="36"/>
        <w:gridCol w:w="36"/>
        <w:gridCol w:w="36"/>
        <w:gridCol w:w="36"/>
        <w:gridCol w:w="36"/>
        <w:gridCol w:w="36"/>
        <w:gridCol w:w="36"/>
        <w:gridCol w:w="36"/>
      </w:tblGrid>
      <w:tr w:rsidR="00787570" w14:paraId="36CA2EE4" w14:textId="77777777">
        <w:trPr>
          <w:gridAfter w:val="12"/>
        </w:trPr>
        <w:tc>
          <w:tcPr>
            <w:tcW w:w="50" w:type="pct"/>
            <w:shd w:val="clear" w:color="auto" w:fill="auto"/>
          </w:tcPr>
          <w:p w14:paraId="36CA2EC8" w14:textId="77777777" w:rsidR="00787570" w:rsidRDefault="00787570">
            <w:pPr>
              <w:rPr>
                <w:rFonts w:ascii="宋体"/>
              </w:rPr>
            </w:pPr>
          </w:p>
        </w:tc>
        <w:tc>
          <w:tcPr>
            <w:tcW w:w="2451" w:type="pct"/>
            <w:shd w:val="clear" w:color="auto" w:fill="auto"/>
          </w:tcPr>
          <w:p w14:paraId="36CA2EC9" w14:textId="77777777" w:rsidR="00787570" w:rsidRDefault="00787570">
            <w:pPr>
              <w:rPr>
                <w:rFonts w:ascii="宋体"/>
              </w:rPr>
            </w:pPr>
          </w:p>
        </w:tc>
        <w:tc>
          <w:tcPr>
            <w:tcW w:w="5" w:type="pct"/>
            <w:shd w:val="clear" w:color="auto" w:fill="auto"/>
          </w:tcPr>
          <w:p w14:paraId="36CA2ECA" w14:textId="77777777" w:rsidR="00787570" w:rsidRDefault="00787570">
            <w:pPr>
              <w:rPr>
                <w:rFonts w:ascii="宋体"/>
              </w:rPr>
            </w:pPr>
          </w:p>
        </w:tc>
        <w:tc>
          <w:tcPr>
            <w:tcW w:w="5" w:type="pct"/>
            <w:shd w:val="clear" w:color="auto" w:fill="auto"/>
          </w:tcPr>
          <w:p w14:paraId="36CA2ECB" w14:textId="77777777" w:rsidR="00787570" w:rsidRDefault="00787570">
            <w:pPr>
              <w:rPr>
                <w:rFonts w:ascii="宋体"/>
              </w:rPr>
            </w:pPr>
          </w:p>
        </w:tc>
        <w:tc>
          <w:tcPr>
            <w:tcW w:w="24" w:type="pct"/>
            <w:shd w:val="clear" w:color="auto" w:fill="auto"/>
          </w:tcPr>
          <w:p w14:paraId="36CA2ECC" w14:textId="77777777" w:rsidR="00787570" w:rsidRDefault="00787570">
            <w:pPr>
              <w:rPr>
                <w:rFonts w:ascii="宋体"/>
              </w:rPr>
            </w:pPr>
          </w:p>
        </w:tc>
        <w:tc>
          <w:tcPr>
            <w:tcW w:w="5" w:type="pct"/>
            <w:shd w:val="clear" w:color="auto" w:fill="auto"/>
          </w:tcPr>
          <w:p w14:paraId="36CA2ECD" w14:textId="77777777" w:rsidR="00787570" w:rsidRDefault="00787570">
            <w:pPr>
              <w:rPr>
                <w:rFonts w:ascii="宋体"/>
              </w:rPr>
            </w:pPr>
          </w:p>
        </w:tc>
        <w:tc>
          <w:tcPr>
            <w:tcW w:w="50" w:type="pct"/>
            <w:shd w:val="clear" w:color="auto" w:fill="auto"/>
          </w:tcPr>
          <w:p w14:paraId="36CA2ECE" w14:textId="77777777" w:rsidR="00787570" w:rsidRDefault="00787570">
            <w:pPr>
              <w:rPr>
                <w:rFonts w:ascii="宋体"/>
              </w:rPr>
            </w:pPr>
          </w:p>
        </w:tc>
        <w:tc>
          <w:tcPr>
            <w:tcW w:w="539" w:type="pct"/>
            <w:shd w:val="clear" w:color="auto" w:fill="auto"/>
          </w:tcPr>
          <w:p w14:paraId="36CA2ECF" w14:textId="77777777" w:rsidR="00787570" w:rsidRDefault="00787570">
            <w:pPr>
              <w:rPr>
                <w:rFonts w:ascii="宋体"/>
              </w:rPr>
            </w:pPr>
          </w:p>
        </w:tc>
        <w:tc>
          <w:tcPr>
            <w:tcW w:w="5" w:type="pct"/>
            <w:shd w:val="clear" w:color="auto" w:fill="auto"/>
          </w:tcPr>
          <w:p w14:paraId="36CA2ED0" w14:textId="77777777" w:rsidR="00787570" w:rsidRDefault="00787570">
            <w:pPr>
              <w:rPr>
                <w:rFonts w:ascii="宋体"/>
              </w:rPr>
            </w:pPr>
          </w:p>
        </w:tc>
        <w:tc>
          <w:tcPr>
            <w:tcW w:w="5" w:type="pct"/>
            <w:shd w:val="clear" w:color="auto" w:fill="auto"/>
          </w:tcPr>
          <w:p w14:paraId="36CA2ED1" w14:textId="77777777" w:rsidR="00787570" w:rsidRDefault="00787570">
            <w:pPr>
              <w:rPr>
                <w:rFonts w:ascii="宋体"/>
              </w:rPr>
            </w:pPr>
          </w:p>
        </w:tc>
        <w:tc>
          <w:tcPr>
            <w:tcW w:w="17" w:type="pct"/>
            <w:shd w:val="clear" w:color="auto" w:fill="auto"/>
          </w:tcPr>
          <w:p w14:paraId="36CA2ED2" w14:textId="77777777" w:rsidR="00787570" w:rsidRDefault="00787570">
            <w:pPr>
              <w:rPr>
                <w:rFonts w:ascii="宋体"/>
              </w:rPr>
            </w:pPr>
          </w:p>
        </w:tc>
        <w:tc>
          <w:tcPr>
            <w:tcW w:w="5" w:type="pct"/>
            <w:shd w:val="clear" w:color="auto" w:fill="auto"/>
          </w:tcPr>
          <w:p w14:paraId="36CA2ED3" w14:textId="77777777" w:rsidR="00787570" w:rsidRDefault="00787570">
            <w:pPr>
              <w:rPr>
                <w:rFonts w:ascii="宋体"/>
              </w:rPr>
            </w:pPr>
          </w:p>
        </w:tc>
        <w:tc>
          <w:tcPr>
            <w:tcW w:w="50" w:type="pct"/>
            <w:shd w:val="clear" w:color="auto" w:fill="auto"/>
          </w:tcPr>
          <w:p w14:paraId="36CA2ED4" w14:textId="77777777" w:rsidR="00787570" w:rsidRDefault="00787570">
            <w:pPr>
              <w:rPr>
                <w:rFonts w:ascii="宋体"/>
              </w:rPr>
            </w:pPr>
          </w:p>
        </w:tc>
        <w:tc>
          <w:tcPr>
            <w:tcW w:w="539" w:type="pct"/>
            <w:shd w:val="clear" w:color="auto" w:fill="auto"/>
          </w:tcPr>
          <w:p w14:paraId="36CA2ED5" w14:textId="77777777" w:rsidR="00787570" w:rsidRDefault="00787570">
            <w:pPr>
              <w:rPr>
                <w:rFonts w:ascii="宋体"/>
              </w:rPr>
            </w:pPr>
          </w:p>
        </w:tc>
        <w:tc>
          <w:tcPr>
            <w:tcW w:w="5" w:type="pct"/>
            <w:shd w:val="clear" w:color="auto" w:fill="auto"/>
          </w:tcPr>
          <w:p w14:paraId="36CA2ED6" w14:textId="77777777" w:rsidR="00787570" w:rsidRDefault="00787570">
            <w:pPr>
              <w:rPr>
                <w:rFonts w:ascii="宋体"/>
              </w:rPr>
            </w:pPr>
          </w:p>
        </w:tc>
        <w:tc>
          <w:tcPr>
            <w:tcW w:w="5" w:type="pct"/>
            <w:shd w:val="clear" w:color="auto" w:fill="auto"/>
          </w:tcPr>
          <w:p w14:paraId="36CA2ED7" w14:textId="77777777" w:rsidR="00787570" w:rsidRDefault="00787570">
            <w:pPr>
              <w:rPr>
                <w:rFonts w:ascii="宋体"/>
              </w:rPr>
            </w:pPr>
          </w:p>
        </w:tc>
        <w:tc>
          <w:tcPr>
            <w:tcW w:w="17" w:type="pct"/>
            <w:shd w:val="clear" w:color="auto" w:fill="auto"/>
          </w:tcPr>
          <w:p w14:paraId="36CA2ED8" w14:textId="77777777" w:rsidR="00787570" w:rsidRDefault="00787570">
            <w:pPr>
              <w:rPr>
                <w:rFonts w:ascii="宋体"/>
              </w:rPr>
            </w:pPr>
          </w:p>
        </w:tc>
        <w:tc>
          <w:tcPr>
            <w:tcW w:w="5" w:type="pct"/>
            <w:shd w:val="clear" w:color="auto" w:fill="auto"/>
          </w:tcPr>
          <w:p w14:paraId="36CA2ED9" w14:textId="77777777" w:rsidR="00787570" w:rsidRDefault="00787570">
            <w:pPr>
              <w:rPr>
                <w:rFonts w:ascii="宋体"/>
              </w:rPr>
            </w:pPr>
          </w:p>
        </w:tc>
        <w:tc>
          <w:tcPr>
            <w:tcW w:w="50" w:type="pct"/>
            <w:shd w:val="clear" w:color="auto" w:fill="auto"/>
          </w:tcPr>
          <w:p w14:paraId="36CA2EDA" w14:textId="77777777" w:rsidR="00787570" w:rsidRDefault="00787570">
            <w:pPr>
              <w:rPr>
                <w:rFonts w:ascii="宋体"/>
              </w:rPr>
            </w:pPr>
          </w:p>
        </w:tc>
        <w:tc>
          <w:tcPr>
            <w:tcW w:w="539" w:type="pct"/>
            <w:shd w:val="clear" w:color="auto" w:fill="auto"/>
          </w:tcPr>
          <w:p w14:paraId="36CA2EDB" w14:textId="77777777" w:rsidR="00787570" w:rsidRDefault="00787570">
            <w:pPr>
              <w:rPr>
                <w:rFonts w:ascii="宋体"/>
              </w:rPr>
            </w:pPr>
          </w:p>
        </w:tc>
        <w:tc>
          <w:tcPr>
            <w:tcW w:w="5" w:type="pct"/>
            <w:shd w:val="clear" w:color="auto" w:fill="auto"/>
          </w:tcPr>
          <w:p w14:paraId="36CA2EDC" w14:textId="77777777" w:rsidR="00787570" w:rsidRDefault="00787570">
            <w:pPr>
              <w:rPr>
                <w:rFonts w:ascii="宋体"/>
              </w:rPr>
            </w:pPr>
          </w:p>
        </w:tc>
        <w:tc>
          <w:tcPr>
            <w:tcW w:w="5" w:type="pct"/>
            <w:shd w:val="clear" w:color="auto" w:fill="auto"/>
          </w:tcPr>
          <w:p w14:paraId="36CA2EDD" w14:textId="77777777" w:rsidR="00787570" w:rsidRDefault="00787570">
            <w:pPr>
              <w:rPr>
                <w:rFonts w:ascii="宋体"/>
              </w:rPr>
            </w:pPr>
          </w:p>
        </w:tc>
        <w:tc>
          <w:tcPr>
            <w:tcW w:w="17" w:type="pct"/>
            <w:shd w:val="clear" w:color="auto" w:fill="auto"/>
          </w:tcPr>
          <w:p w14:paraId="36CA2EDE" w14:textId="77777777" w:rsidR="00787570" w:rsidRDefault="00787570">
            <w:pPr>
              <w:rPr>
                <w:rFonts w:ascii="宋体"/>
              </w:rPr>
            </w:pPr>
          </w:p>
        </w:tc>
        <w:tc>
          <w:tcPr>
            <w:tcW w:w="5" w:type="pct"/>
            <w:shd w:val="clear" w:color="auto" w:fill="auto"/>
          </w:tcPr>
          <w:p w14:paraId="36CA2EDF" w14:textId="77777777" w:rsidR="00787570" w:rsidRDefault="00787570">
            <w:pPr>
              <w:rPr>
                <w:rFonts w:ascii="宋体"/>
              </w:rPr>
            </w:pPr>
          </w:p>
        </w:tc>
        <w:tc>
          <w:tcPr>
            <w:tcW w:w="50" w:type="pct"/>
            <w:shd w:val="clear" w:color="auto" w:fill="auto"/>
          </w:tcPr>
          <w:p w14:paraId="36CA2EE0" w14:textId="77777777" w:rsidR="00787570" w:rsidRDefault="00787570">
            <w:pPr>
              <w:rPr>
                <w:rFonts w:ascii="宋体"/>
              </w:rPr>
            </w:pPr>
          </w:p>
        </w:tc>
        <w:tc>
          <w:tcPr>
            <w:tcW w:w="539" w:type="pct"/>
            <w:shd w:val="clear" w:color="auto" w:fill="auto"/>
          </w:tcPr>
          <w:p w14:paraId="36CA2EE1" w14:textId="77777777" w:rsidR="00787570" w:rsidRDefault="00787570">
            <w:pPr>
              <w:rPr>
                <w:rFonts w:ascii="宋体"/>
              </w:rPr>
            </w:pPr>
          </w:p>
        </w:tc>
        <w:tc>
          <w:tcPr>
            <w:tcW w:w="5" w:type="pct"/>
            <w:shd w:val="clear" w:color="auto" w:fill="auto"/>
          </w:tcPr>
          <w:p w14:paraId="36CA2EE2" w14:textId="77777777" w:rsidR="00787570" w:rsidRDefault="00787570">
            <w:pPr>
              <w:rPr>
                <w:rFonts w:ascii="宋体"/>
              </w:rPr>
            </w:pPr>
          </w:p>
        </w:tc>
        <w:tc>
          <w:tcPr>
            <w:tcW w:w="0" w:type="auto"/>
            <w:shd w:val="clear" w:color="auto" w:fill="auto"/>
          </w:tcPr>
          <w:p w14:paraId="36CA2EE3" w14:textId="77777777" w:rsidR="00787570" w:rsidRDefault="00787570">
            <w:pPr>
              <w:rPr>
                <w:rFonts w:ascii="宋体"/>
                <w:vanish/>
              </w:rPr>
            </w:pPr>
          </w:p>
        </w:tc>
      </w:tr>
      <w:tr w:rsidR="00787570" w14:paraId="36CA2EEF" w14:textId="77777777">
        <w:tc>
          <w:tcPr>
            <w:tcW w:w="0" w:type="auto"/>
            <w:gridSpan w:val="3"/>
            <w:shd w:val="clear" w:color="auto" w:fill="auto"/>
            <w:tcMar>
              <w:left w:w="20" w:type="dxa"/>
              <w:right w:w="20" w:type="dxa"/>
            </w:tcMar>
            <w:vAlign w:val="bottom"/>
          </w:tcPr>
          <w:p w14:paraId="36CA2EE5"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2EE6" w14:textId="77777777" w:rsidR="00787570" w:rsidRDefault="00787570">
            <w:pPr>
              <w:rPr>
                <w:rFonts w:ascii="宋体"/>
              </w:rPr>
            </w:pPr>
          </w:p>
        </w:tc>
        <w:tc>
          <w:tcPr>
            <w:tcW w:w="0" w:type="auto"/>
            <w:gridSpan w:val="9"/>
            <w:shd w:val="clear" w:color="auto" w:fill="auto"/>
            <w:tcMar>
              <w:top w:w="40" w:type="dxa"/>
              <w:left w:w="20" w:type="dxa"/>
              <w:bottom w:w="40" w:type="dxa"/>
              <w:right w:w="20" w:type="dxa"/>
            </w:tcMar>
            <w:vAlign w:val="bottom"/>
          </w:tcPr>
          <w:p w14:paraId="36CA2EE7" w14:textId="77777777" w:rsidR="00787570" w:rsidRDefault="000D56E2">
            <w:pPr>
              <w:jc w:val="center"/>
              <w:textAlignment w:val="bottom"/>
            </w:pPr>
            <w:r>
              <w:rPr>
                <w:rFonts w:ascii="Arial" w:eastAsia="宋体" w:hAnsi="Arial" w:cs="Arial"/>
                <w:b/>
                <w:bCs/>
                <w:color w:val="333333"/>
                <w:sz w:val="18"/>
                <w:szCs w:val="18"/>
              </w:rPr>
              <w:t>Three Months Ended</w:t>
            </w:r>
          </w:p>
        </w:tc>
        <w:tc>
          <w:tcPr>
            <w:tcW w:w="0" w:type="auto"/>
            <w:gridSpan w:val="3"/>
            <w:shd w:val="clear" w:color="auto" w:fill="auto"/>
          </w:tcPr>
          <w:p w14:paraId="36CA2EE8" w14:textId="77777777" w:rsidR="00787570" w:rsidRDefault="00787570">
            <w:pPr>
              <w:rPr>
                <w:rFonts w:ascii="宋体"/>
                <w:vanish/>
              </w:rPr>
            </w:pPr>
          </w:p>
        </w:tc>
        <w:tc>
          <w:tcPr>
            <w:tcW w:w="0" w:type="auto"/>
            <w:gridSpan w:val="3"/>
            <w:shd w:val="clear" w:color="auto" w:fill="auto"/>
          </w:tcPr>
          <w:p w14:paraId="36CA2EE9" w14:textId="77777777" w:rsidR="00787570" w:rsidRDefault="00787570">
            <w:pPr>
              <w:rPr>
                <w:rFonts w:ascii="宋体"/>
                <w:vanish/>
              </w:rPr>
            </w:pPr>
          </w:p>
        </w:tc>
        <w:tc>
          <w:tcPr>
            <w:tcW w:w="0" w:type="auto"/>
            <w:gridSpan w:val="3"/>
            <w:shd w:val="clear" w:color="auto" w:fill="auto"/>
            <w:tcMar>
              <w:left w:w="20" w:type="dxa"/>
              <w:right w:w="20" w:type="dxa"/>
            </w:tcMar>
            <w:vAlign w:val="bottom"/>
          </w:tcPr>
          <w:p w14:paraId="36CA2EEA" w14:textId="77777777" w:rsidR="00787570" w:rsidRDefault="00787570">
            <w:pPr>
              <w:rPr>
                <w:rFonts w:ascii="宋体"/>
              </w:rPr>
            </w:pPr>
          </w:p>
        </w:tc>
        <w:tc>
          <w:tcPr>
            <w:tcW w:w="0" w:type="auto"/>
            <w:gridSpan w:val="7"/>
            <w:shd w:val="clear" w:color="auto" w:fill="auto"/>
            <w:tcMar>
              <w:top w:w="40" w:type="dxa"/>
              <w:left w:w="20" w:type="dxa"/>
              <w:bottom w:w="40" w:type="dxa"/>
              <w:right w:w="20" w:type="dxa"/>
            </w:tcMar>
            <w:vAlign w:val="bottom"/>
          </w:tcPr>
          <w:p w14:paraId="36CA2EEB" w14:textId="77777777" w:rsidR="00787570" w:rsidRDefault="000D56E2">
            <w:pPr>
              <w:jc w:val="center"/>
              <w:textAlignment w:val="bottom"/>
            </w:pPr>
            <w:r>
              <w:rPr>
                <w:rFonts w:ascii="Arial" w:eastAsia="宋体" w:hAnsi="Arial" w:cs="Arial"/>
                <w:b/>
                <w:bCs/>
                <w:color w:val="333333"/>
                <w:sz w:val="18"/>
                <w:szCs w:val="18"/>
              </w:rPr>
              <w:t>Nine Months Ended</w:t>
            </w:r>
          </w:p>
        </w:tc>
        <w:tc>
          <w:tcPr>
            <w:tcW w:w="0" w:type="auto"/>
            <w:gridSpan w:val="3"/>
            <w:shd w:val="clear" w:color="auto" w:fill="auto"/>
          </w:tcPr>
          <w:p w14:paraId="36CA2EEC" w14:textId="77777777" w:rsidR="00787570" w:rsidRDefault="00787570">
            <w:pPr>
              <w:rPr>
                <w:rFonts w:ascii="宋体"/>
                <w:vanish/>
              </w:rPr>
            </w:pPr>
          </w:p>
        </w:tc>
        <w:tc>
          <w:tcPr>
            <w:tcW w:w="0" w:type="auto"/>
            <w:gridSpan w:val="3"/>
            <w:shd w:val="clear" w:color="auto" w:fill="auto"/>
          </w:tcPr>
          <w:p w14:paraId="36CA2EED" w14:textId="77777777" w:rsidR="00787570" w:rsidRDefault="00787570">
            <w:pPr>
              <w:rPr>
                <w:rFonts w:ascii="宋体"/>
                <w:vanish/>
              </w:rPr>
            </w:pPr>
          </w:p>
        </w:tc>
        <w:tc>
          <w:tcPr>
            <w:tcW w:w="0" w:type="auto"/>
            <w:gridSpan w:val="3"/>
            <w:shd w:val="clear" w:color="auto" w:fill="auto"/>
          </w:tcPr>
          <w:p w14:paraId="36CA2EEE" w14:textId="77777777" w:rsidR="00787570" w:rsidRDefault="00787570">
            <w:pPr>
              <w:rPr>
                <w:rFonts w:ascii="宋体"/>
                <w:vanish/>
              </w:rPr>
            </w:pPr>
          </w:p>
        </w:tc>
      </w:tr>
      <w:tr w:rsidR="00787570" w14:paraId="36CA2F06" w14:textId="77777777">
        <w:tc>
          <w:tcPr>
            <w:tcW w:w="0" w:type="auto"/>
            <w:gridSpan w:val="3"/>
            <w:shd w:val="clear" w:color="auto" w:fill="auto"/>
            <w:tcMar>
              <w:top w:w="40" w:type="dxa"/>
              <w:left w:w="20" w:type="dxa"/>
              <w:bottom w:w="40" w:type="dxa"/>
              <w:right w:w="20" w:type="dxa"/>
            </w:tcMar>
            <w:vAlign w:val="bottom"/>
          </w:tcPr>
          <w:p w14:paraId="36CA2EF0" w14:textId="77777777" w:rsidR="00787570" w:rsidRDefault="000D56E2">
            <w:pPr>
              <w:textAlignment w:val="bottom"/>
            </w:pPr>
            <w:r>
              <w:rPr>
                <w:rFonts w:ascii="Arial" w:eastAsia="宋体" w:hAnsi="Arial" w:cs="Arial"/>
                <w:b/>
                <w:bCs/>
                <w:color w:val="333333"/>
                <w:sz w:val="18"/>
                <w:szCs w:val="18"/>
              </w:rPr>
              <w:t>(In Millions)</w:t>
            </w:r>
          </w:p>
        </w:tc>
        <w:tc>
          <w:tcPr>
            <w:tcW w:w="0" w:type="auto"/>
            <w:gridSpan w:val="3"/>
            <w:shd w:val="clear" w:color="auto" w:fill="auto"/>
            <w:tcMar>
              <w:left w:w="20" w:type="dxa"/>
              <w:right w:w="20" w:type="dxa"/>
            </w:tcMar>
            <w:vAlign w:val="bottom"/>
          </w:tcPr>
          <w:p w14:paraId="36CA2EF1" w14:textId="77777777" w:rsidR="00787570" w:rsidRDefault="00787570">
            <w:pPr>
              <w:rPr>
                <w:rFonts w:ascii="宋体"/>
              </w:rPr>
            </w:pPr>
          </w:p>
        </w:tc>
        <w:tc>
          <w:tcPr>
            <w:tcW w:w="0" w:type="auto"/>
            <w:gridSpan w:val="3"/>
            <w:tcBorders>
              <w:top w:val="single" w:sz="8" w:space="0" w:color="0071C5"/>
            </w:tcBorders>
            <w:shd w:val="clear" w:color="auto" w:fill="auto"/>
            <w:tcMar>
              <w:top w:w="40" w:type="dxa"/>
              <w:left w:w="20" w:type="dxa"/>
              <w:bottom w:w="40" w:type="dxa"/>
              <w:right w:w="20" w:type="dxa"/>
            </w:tcMar>
            <w:vAlign w:val="bottom"/>
          </w:tcPr>
          <w:p w14:paraId="36CA2EF2" w14:textId="77777777" w:rsidR="00787570" w:rsidRDefault="000D56E2">
            <w:pPr>
              <w:jc w:val="center"/>
              <w:textAlignment w:val="bottom"/>
            </w:pPr>
            <w:r>
              <w:rPr>
                <w:rFonts w:ascii="Arial" w:eastAsia="宋体" w:hAnsi="Arial" w:cs="Arial"/>
                <w:b/>
                <w:bCs/>
                <w:color w:val="333333"/>
                <w:sz w:val="18"/>
                <w:szCs w:val="18"/>
              </w:rPr>
              <w:t>Sep 26, 2020</w:t>
            </w:r>
          </w:p>
        </w:tc>
        <w:tc>
          <w:tcPr>
            <w:tcW w:w="0" w:type="auto"/>
            <w:gridSpan w:val="3"/>
            <w:tcBorders>
              <w:top w:val="single" w:sz="8" w:space="0" w:color="0071C5"/>
            </w:tcBorders>
            <w:shd w:val="clear" w:color="auto" w:fill="auto"/>
            <w:tcMar>
              <w:left w:w="20" w:type="dxa"/>
              <w:right w:w="20" w:type="dxa"/>
            </w:tcMar>
            <w:vAlign w:val="bottom"/>
          </w:tcPr>
          <w:p w14:paraId="36CA2EF3" w14:textId="77777777" w:rsidR="00787570" w:rsidRDefault="00787570">
            <w:pPr>
              <w:rPr>
                <w:rFonts w:ascii="宋体"/>
              </w:rPr>
            </w:pPr>
          </w:p>
        </w:tc>
        <w:tc>
          <w:tcPr>
            <w:tcW w:w="0" w:type="auto"/>
            <w:gridSpan w:val="3"/>
            <w:tcBorders>
              <w:top w:val="single" w:sz="8" w:space="0" w:color="0071C5"/>
            </w:tcBorders>
            <w:shd w:val="clear" w:color="auto" w:fill="auto"/>
            <w:tcMar>
              <w:top w:w="40" w:type="dxa"/>
              <w:left w:w="20" w:type="dxa"/>
              <w:bottom w:w="40" w:type="dxa"/>
              <w:right w:w="20" w:type="dxa"/>
            </w:tcMar>
            <w:vAlign w:val="bottom"/>
          </w:tcPr>
          <w:p w14:paraId="36CA2EF4" w14:textId="77777777" w:rsidR="00787570" w:rsidRDefault="000D56E2">
            <w:pPr>
              <w:jc w:val="center"/>
              <w:textAlignment w:val="bottom"/>
            </w:pPr>
            <w:r>
              <w:rPr>
                <w:rFonts w:ascii="Arial" w:eastAsia="宋体" w:hAnsi="Arial" w:cs="Arial"/>
                <w:b/>
                <w:bCs/>
                <w:color w:val="333333"/>
                <w:sz w:val="18"/>
                <w:szCs w:val="18"/>
              </w:rPr>
              <w:t>Sep 28, 2019</w:t>
            </w:r>
          </w:p>
        </w:tc>
        <w:tc>
          <w:tcPr>
            <w:tcW w:w="0" w:type="auto"/>
            <w:gridSpan w:val="3"/>
            <w:shd w:val="clear" w:color="auto" w:fill="auto"/>
            <w:tcMar>
              <w:left w:w="20" w:type="dxa"/>
              <w:right w:w="20" w:type="dxa"/>
            </w:tcMar>
            <w:vAlign w:val="bottom"/>
          </w:tcPr>
          <w:p w14:paraId="36CA2EF5" w14:textId="77777777" w:rsidR="00787570" w:rsidRDefault="00787570">
            <w:pPr>
              <w:rPr>
                <w:rFonts w:ascii="宋体"/>
              </w:rPr>
            </w:pPr>
          </w:p>
        </w:tc>
        <w:tc>
          <w:tcPr>
            <w:tcW w:w="0" w:type="auto"/>
            <w:gridSpan w:val="3"/>
            <w:tcBorders>
              <w:top w:val="single" w:sz="8" w:space="0" w:color="0071C5"/>
            </w:tcBorders>
            <w:shd w:val="clear" w:color="auto" w:fill="auto"/>
            <w:tcMar>
              <w:top w:w="40" w:type="dxa"/>
              <w:left w:w="20" w:type="dxa"/>
              <w:bottom w:w="40" w:type="dxa"/>
              <w:right w:w="20" w:type="dxa"/>
            </w:tcMar>
            <w:vAlign w:val="bottom"/>
          </w:tcPr>
          <w:p w14:paraId="36CA2EF6" w14:textId="77777777" w:rsidR="00787570" w:rsidRDefault="000D56E2">
            <w:pPr>
              <w:jc w:val="center"/>
              <w:textAlignment w:val="bottom"/>
            </w:pPr>
            <w:r>
              <w:rPr>
                <w:rFonts w:ascii="Arial" w:eastAsia="宋体" w:hAnsi="Arial" w:cs="Arial"/>
                <w:b/>
                <w:bCs/>
                <w:color w:val="333333"/>
                <w:sz w:val="18"/>
                <w:szCs w:val="18"/>
              </w:rPr>
              <w:t>Sep 26, 2020</w:t>
            </w:r>
          </w:p>
        </w:tc>
        <w:tc>
          <w:tcPr>
            <w:tcW w:w="0" w:type="auto"/>
            <w:gridSpan w:val="3"/>
            <w:tcBorders>
              <w:top w:val="single" w:sz="8" w:space="0" w:color="0071C5"/>
            </w:tcBorders>
            <w:shd w:val="clear" w:color="auto" w:fill="auto"/>
            <w:tcMar>
              <w:left w:w="20" w:type="dxa"/>
              <w:right w:w="20" w:type="dxa"/>
            </w:tcMar>
            <w:vAlign w:val="bottom"/>
          </w:tcPr>
          <w:p w14:paraId="36CA2EF7" w14:textId="77777777" w:rsidR="00787570" w:rsidRDefault="00787570">
            <w:pPr>
              <w:rPr>
                <w:rFonts w:ascii="宋体"/>
              </w:rPr>
            </w:pPr>
          </w:p>
        </w:tc>
        <w:tc>
          <w:tcPr>
            <w:tcW w:w="0" w:type="auto"/>
            <w:gridSpan w:val="3"/>
            <w:tcBorders>
              <w:top w:val="single" w:sz="8" w:space="0" w:color="0071C5"/>
            </w:tcBorders>
            <w:shd w:val="clear" w:color="auto" w:fill="auto"/>
            <w:tcMar>
              <w:top w:w="40" w:type="dxa"/>
              <w:left w:w="20" w:type="dxa"/>
              <w:bottom w:w="40" w:type="dxa"/>
              <w:right w:w="20" w:type="dxa"/>
            </w:tcMar>
            <w:vAlign w:val="bottom"/>
          </w:tcPr>
          <w:p w14:paraId="36CA2EF8" w14:textId="77777777" w:rsidR="00787570" w:rsidRDefault="000D56E2">
            <w:pPr>
              <w:jc w:val="center"/>
              <w:textAlignment w:val="bottom"/>
            </w:pPr>
            <w:r>
              <w:rPr>
                <w:rFonts w:ascii="Arial" w:eastAsia="宋体" w:hAnsi="Arial" w:cs="Arial"/>
                <w:b/>
                <w:bCs/>
                <w:color w:val="333333"/>
                <w:sz w:val="18"/>
                <w:szCs w:val="18"/>
              </w:rPr>
              <w:t>Sep 28, 2019</w:t>
            </w:r>
          </w:p>
        </w:tc>
        <w:tc>
          <w:tcPr>
            <w:tcW w:w="0" w:type="auto"/>
            <w:shd w:val="clear" w:color="auto" w:fill="auto"/>
          </w:tcPr>
          <w:p w14:paraId="36CA2EF9" w14:textId="77777777" w:rsidR="00787570" w:rsidRDefault="00787570">
            <w:pPr>
              <w:rPr>
                <w:rFonts w:ascii="宋体"/>
                <w:vanish/>
              </w:rPr>
            </w:pPr>
          </w:p>
        </w:tc>
        <w:tc>
          <w:tcPr>
            <w:tcW w:w="0" w:type="auto"/>
            <w:shd w:val="clear" w:color="auto" w:fill="auto"/>
          </w:tcPr>
          <w:p w14:paraId="36CA2EFA" w14:textId="77777777" w:rsidR="00787570" w:rsidRDefault="00787570">
            <w:pPr>
              <w:rPr>
                <w:rFonts w:ascii="宋体"/>
              </w:rPr>
            </w:pPr>
          </w:p>
        </w:tc>
        <w:tc>
          <w:tcPr>
            <w:tcW w:w="0" w:type="auto"/>
            <w:shd w:val="clear" w:color="auto" w:fill="auto"/>
          </w:tcPr>
          <w:p w14:paraId="36CA2EFB" w14:textId="77777777" w:rsidR="00787570" w:rsidRDefault="00787570">
            <w:pPr>
              <w:rPr>
                <w:rFonts w:ascii="宋体"/>
              </w:rPr>
            </w:pPr>
          </w:p>
        </w:tc>
        <w:tc>
          <w:tcPr>
            <w:tcW w:w="0" w:type="auto"/>
            <w:shd w:val="clear" w:color="auto" w:fill="auto"/>
          </w:tcPr>
          <w:p w14:paraId="36CA2EFC" w14:textId="77777777" w:rsidR="00787570" w:rsidRDefault="00787570">
            <w:pPr>
              <w:rPr>
                <w:rFonts w:ascii="宋体"/>
              </w:rPr>
            </w:pPr>
          </w:p>
        </w:tc>
        <w:tc>
          <w:tcPr>
            <w:tcW w:w="0" w:type="auto"/>
            <w:shd w:val="clear" w:color="auto" w:fill="auto"/>
          </w:tcPr>
          <w:p w14:paraId="36CA2EFD" w14:textId="77777777" w:rsidR="00787570" w:rsidRDefault="00787570">
            <w:pPr>
              <w:rPr>
                <w:rFonts w:ascii="宋体"/>
              </w:rPr>
            </w:pPr>
          </w:p>
        </w:tc>
        <w:tc>
          <w:tcPr>
            <w:tcW w:w="0" w:type="auto"/>
            <w:shd w:val="clear" w:color="auto" w:fill="auto"/>
          </w:tcPr>
          <w:p w14:paraId="36CA2EFE" w14:textId="77777777" w:rsidR="00787570" w:rsidRDefault="00787570">
            <w:pPr>
              <w:rPr>
                <w:rFonts w:ascii="宋体"/>
              </w:rPr>
            </w:pPr>
          </w:p>
        </w:tc>
        <w:tc>
          <w:tcPr>
            <w:tcW w:w="0" w:type="auto"/>
            <w:shd w:val="clear" w:color="auto" w:fill="auto"/>
          </w:tcPr>
          <w:p w14:paraId="36CA2EFF" w14:textId="77777777" w:rsidR="00787570" w:rsidRDefault="00787570">
            <w:pPr>
              <w:rPr>
                <w:rFonts w:ascii="宋体"/>
              </w:rPr>
            </w:pPr>
          </w:p>
        </w:tc>
        <w:tc>
          <w:tcPr>
            <w:tcW w:w="0" w:type="auto"/>
            <w:shd w:val="clear" w:color="auto" w:fill="auto"/>
          </w:tcPr>
          <w:p w14:paraId="36CA2F00" w14:textId="77777777" w:rsidR="00787570" w:rsidRDefault="00787570">
            <w:pPr>
              <w:rPr>
                <w:rFonts w:ascii="宋体"/>
              </w:rPr>
            </w:pPr>
          </w:p>
        </w:tc>
        <w:tc>
          <w:tcPr>
            <w:tcW w:w="0" w:type="auto"/>
            <w:shd w:val="clear" w:color="auto" w:fill="auto"/>
          </w:tcPr>
          <w:p w14:paraId="36CA2F01" w14:textId="77777777" w:rsidR="00787570" w:rsidRDefault="00787570">
            <w:pPr>
              <w:rPr>
                <w:rFonts w:ascii="宋体"/>
              </w:rPr>
            </w:pPr>
          </w:p>
        </w:tc>
        <w:tc>
          <w:tcPr>
            <w:tcW w:w="0" w:type="auto"/>
            <w:shd w:val="clear" w:color="auto" w:fill="auto"/>
          </w:tcPr>
          <w:p w14:paraId="36CA2F02" w14:textId="77777777" w:rsidR="00787570" w:rsidRDefault="00787570">
            <w:pPr>
              <w:rPr>
                <w:rFonts w:ascii="宋体"/>
              </w:rPr>
            </w:pPr>
          </w:p>
        </w:tc>
        <w:tc>
          <w:tcPr>
            <w:tcW w:w="0" w:type="auto"/>
            <w:shd w:val="clear" w:color="auto" w:fill="auto"/>
          </w:tcPr>
          <w:p w14:paraId="36CA2F03" w14:textId="77777777" w:rsidR="00787570" w:rsidRDefault="00787570">
            <w:pPr>
              <w:rPr>
                <w:rFonts w:ascii="宋体"/>
              </w:rPr>
            </w:pPr>
          </w:p>
        </w:tc>
        <w:tc>
          <w:tcPr>
            <w:tcW w:w="0" w:type="auto"/>
            <w:shd w:val="clear" w:color="auto" w:fill="auto"/>
          </w:tcPr>
          <w:p w14:paraId="36CA2F04" w14:textId="77777777" w:rsidR="00787570" w:rsidRDefault="00787570">
            <w:pPr>
              <w:rPr>
                <w:rFonts w:ascii="宋体"/>
              </w:rPr>
            </w:pPr>
          </w:p>
        </w:tc>
        <w:tc>
          <w:tcPr>
            <w:tcW w:w="0" w:type="auto"/>
            <w:shd w:val="clear" w:color="auto" w:fill="auto"/>
          </w:tcPr>
          <w:p w14:paraId="36CA2F05" w14:textId="77777777" w:rsidR="00787570" w:rsidRDefault="00787570">
            <w:pPr>
              <w:rPr>
                <w:rFonts w:ascii="宋体"/>
              </w:rPr>
            </w:pPr>
          </w:p>
        </w:tc>
      </w:tr>
      <w:tr w:rsidR="00787570" w14:paraId="36CA2F25" w14:textId="77777777">
        <w:tc>
          <w:tcPr>
            <w:tcW w:w="0" w:type="auto"/>
            <w:gridSpan w:val="3"/>
            <w:tcBorders>
              <w:top w:val="single" w:sz="8" w:space="0" w:color="0071C5"/>
            </w:tcBorders>
            <w:shd w:val="clear" w:color="auto" w:fill="auto"/>
            <w:tcMar>
              <w:top w:w="40" w:type="dxa"/>
              <w:left w:w="20" w:type="dxa"/>
              <w:bottom w:w="40" w:type="dxa"/>
              <w:right w:w="20" w:type="dxa"/>
            </w:tcMar>
          </w:tcPr>
          <w:p w14:paraId="36CA2F07" w14:textId="77777777" w:rsidR="00787570" w:rsidRDefault="000D56E2">
            <w:pPr>
              <w:textAlignment w:val="top"/>
            </w:pPr>
            <w:r>
              <w:rPr>
                <w:rFonts w:ascii="Arial" w:eastAsia="宋体" w:hAnsi="Arial" w:cs="Arial"/>
                <w:color w:val="333333"/>
                <w:sz w:val="18"/>
                <w:szCs w:val="18"/>
              </w:rPr>
              <w:t>Em</w:t>
            </w:r>
            <w:r>
              <w:rPr>
                <w:rFonts w:ascii="Arial" w:eastAsia="宋体" w:hAnsi="Arial" w:cs="Arial"/>
                <w:color w:val="333333"/>
                <w:sz w:val="18"/>
                <w:szCs w:val="18"/>
              </w:rPr>
              <w:t>ployee severance and benefit arrangements</w:t>
            </w:r>
          </w:p>
        </w:tc>
        <w:tc>
          <w:tcPr>
            <w:tcW w:w="0" w:type="auto"/>
            <w:gridSpan w:val="3"/>
            <w:shd w:val="clear" w:color="auto" w:fill="auto"/>
            <w:tcMar>
              <w:left w:w="20" w:type="dxa"/>
              <w:right w:w="20" w:type="dxa"/>
            </w:tcMar>
            <w:vAlign w:val="bottom"/>
          </w:tcPr>
          <w:p w14:paraId="36CA2F08" w14:textId="77777777" w:rsidR="00787570" w:rsidRDefault="00787570">
            <w:pPr>
              <w:rPr>
                <w:rFonts w:ascii="宋体"/>
              </w:rPr>
            </w:pPr>
          </w:p>
        </w:tc>
        <w:tc>
          <w:tcPr>
            <w:tcW w:w="0" w:type="auto"/>
            <w:tcBorders>
              <w:top w:val="single" w:sz="8" w:space="0" w:color="0071C5"/>
            </w:tcBorders>
            <w:shd w:val="clear" w:color="auto" w:fill="auto"/>
            <w:tcMar>
              <w:top w:w="40" w:type="dxa"/>
              <w:left w:w="20" w:type="dxa"/>
              <w:bottom w:w="40" w:type="dxa"/>
            </w:tcMar>
            <w:vAlign w:val="bottom"/>
          </w:tcPr>
          <w:p w14:paraId="36CA2F09" w14:textId="77777777" w:rsidR="00787570" w:rsidRDefault="000D56E2">
            <w:pPr>
              <w:textAlignment w:val="bottom"/>
            </w:pPr>
            <w:r>
              <w:rPr>
                <w:rFonts w:ascii="Arial" w:eastAsia="宋体" w:hAnsi="Arial" w:cs="Arial"/>
                <w:color w:val="026DCE"/>
                <w:sz w:val="18"/>
                <w:szCs w:val="18"/>
              </w:rPr>
              <w:t>$</w:t>
            </w:r>
          </w:p>
        </w:tc>
        <w:tc>
          <w:tcPr>
            <w:tcW w:w="0" w:type="auto"/>
            <w:tcBorders>
              <w:top w:val="single" w:sz="8" w:space="0" w:color="0071C5"/>
            </w:tcBorders>
            <w:shd w:val="clear" w:color="auto" w:fill="auto"/>
            <w:tcMar>
              <w:top w:w="40" w:type="dxa"/>
              <w:bottom w:w="40" w:type="dxa"/>
              <w:right w:w="0" w:type="dxa"/>
            </w:tcMar>
            <w:vAlign w:val="bottom"/>
          </w:tcPr>
          <w:p w14:paraId="36CA2F0A" w14:textId="77777777" w:rsidR="00787570" w:rsidRDefault="000D56E2">
            <w:pPr>
              <w:jc w:val="right"/>
              <w:textAlignment w:val="bottom"/>
            </w:pPr>
            <w:r>
              <w:rPr>
                <w:rFonts w:ascii="Arial" w:eastAsia="宋体" w:hAnsi="Arial" w:cs="Arial"/>
                <w:color w:val="026DCE"/>
                <w:sz w:val="18"/>
                <w:szCs w:val="18"/>
              </w:rPr>
              <w:t>(17)</w:t>
            </w:r>
          </w:p>
        </w:tc>
        <w:tc>
          <w:tcPr>
            <w:tcW w:w="0" w:type="auto"/>
            <w:tcBorders>
              <w:top w:val="single" w:sz="8" w:space="0" w:color="0071C5"/>
            </w:tcBorders>
            <w:shd w:val="clear" w:color="auto" w:fill="auto"/>
            <w:tcMar>
              <w:top w:w="40" w:type="dxa"/>
              <w:bottom w:w="40" w:type="dxa"/>
              <w:right w:w="20" w:type="dxa"/>
            </w:tcMar>
            <w:vAlign w:val="bottom"/>
          </w:tcPr>
          <w:p w14:paraId="36CA2F0B"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2F0C" w14:textId="77777777" w:rsidR="00787570" w:rsidRDefault="00787570">
            <w:pPr>
              <w:rPr>
                <w:rFonts w:ascii="宋体"/>
              </w:rPr>
            </w:pPr>
          </w:p>
        </w:tc>
        <w:tc>
          <w:tcPr>
            <w:tcW w:w="0" w:type="auto"/>
            <w:tcBorders>
              <w:top w:val="single" w:sz="8" w:space="0" w:color="0071C5"/>
            </w:tcBorders>
            <w:shd w:val="clear" w:color="auto" w:fill="auto"/>
            <w:tcMar>
              <w:top w:w="40" w:type="dxa"/>
              <w:left w:w="20" w:type="dxa"/>
              <w:bottom w:w="40" w:type="dxa"/>
            </w:tcMar>
            <w:vAlign w:val="bottom"/>
          </w:tcPr>
          <w:p w14:paraId="36CA2F0D" w14:textId="77777777" w:rsidR="00787570" w:rsidRDefault="000D56E2">
            <w:pPr>
              <w:textAlignment w:val="bottom"/>
            </w:pPr>
            <w:r>
              <w:rPr>
                <w:rFonts w:ascii="Arial" w:eastAsia="宋体" w:hAnsi="Arial" w:cs="Arial"/>
                <w:color w:val="333333"/>
                <w:sz w:val="18"/>
                <w:szCs w:val="18"/>
              </w:rPr>
              <w:t>$</w:t>
            </w:r>
          </w:p>
        </w:tc>
        <w:tc>
          <w:tcPr>
            <w:tcW w:w="0" w:type="auto"/>
            <w:tcBorders>
              <w:top w:val="single" w:sz="8" w:space="0" w:color="0071C5"/>
            </w:tcBorders>
            <w:shd w:val="clear" w:color="auto" w:fill="auto"/>
            <w:tcMar>
              <w:top w:w="40" w:type="dxa"/>
              <w:bottom w:w="40" w:type="dxa"/>
              <w:right w:w="0" w:type="dxa"/>
            </w:tcMar>
            <w:vAlign w:val="bottom"/>
          </w:tcPr>
          <w:p w14:paraId="36CA2F0E" w14:textId="77777777" w:rsidR="00787570" w:rsidRDefault="000D56E2">
            <w:pPr>
              <w:jc w:val="right"/>
              <w:textAlignment w:val="bottom"/>
            </w:pPr>
            <w:r>
              <w:rPr>
                <w:rFonts w:ascii="Arial" w:eastAsia="宋体" w:hAnsi="Arial" w:cs="Arial"/>
                <w:color w:val="333333"/>
                <w:sz w:val="18"/>
                <w:szCs w:val="18"/>
              </w:rPr>
              <w:t>40 </w:t>
            </w:r>
          </w:p>
        </w:tc>
        <w:tc>
          <w:tcPr>
            <w:tcW w:w="0" w:type="auto"/>
            <w:tcBorders>
              <w:top w:val="single" w:sz="8" w:space="0" w:color="0071C5"/>
            </w:tcBorders>
            <w:shd w:val="clear" w:color="auto" w:fill="auto"/>
            <w:tcMar>
              <w:top w:w="40" w:type="dxa"/>
              <w:bottom w:w="40" w:type="dxa"/>
              <w:right w:w="20" w:type="dxa"/>
            </w:tcMar>
            <w:vAlign w:val="bottom"/>
          </w:tcPr>
          <w:p w14:paraId="36CA2F0F"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2F10" w14:textId="77777777" w:rsidR="00787570" w:rsidRDefault="00787570">
            <w:pPr>
              <w:rPr>
                <w:rFonts w:ascii="宋体"/>
              </w:rPr>
            </w:pPr>
          </w:p>
        </w:tc>
        <w:tc>
          <w:tcPr>
            <w:tcW w:w="0" w:type="auto"/>
            <w:tcBorders>
              <w:top w:val="single" w:sz="8" w:space="0" w:color="0071C5"/>
            </w:tcBorders>
            <w:shd w:val="clear" w:color="auto" w:fill="auto"/>
            <w:tcMar>
              <w:top w:w="40" w:type="dxa"/>
              <w:left w:w="20" w:type="dxa"/>
              <w:bottom w:w="40" w:type="dxa"/>
            </w:tcMar>
            <w:vAlign w:val="bottom"/>
          </w:tcPr>
          <w:p w14:paraId="36CA2F11" w14:textId="77777777" w:rsidR="00787570" w:rsidRDefault="000D56E2">
            <w:pPr>
              <w:textAlignment w:val="bottom"/>
            </w:pPr>
            <w:r>
              <w:rPr>
                <w:rFonts w:ascii="Arial" w:eastAsia="宋体" w:hAnsi="Arial" w:cs="Arial"/>
                <w:color w:val="0071C5"/>
                <w:sz w:val="18"/>
                <w:szCs w:val="18"/>
              </w:rPr>
              <w:t>$</w:t>
            </w:r>
          </w:p>
        </w:tc>
        <w:tc>
          <w:tcPr>
            <w:tcW w:w="0" w:type="auto"/>
            <w:tcBorders>
              <w:top w:val="single" w:sz="8" w:space="0" w:color="0071C5"/>
            </w:tcBorders>
            <w:shd w:val="clear" w:color="auto" w:fill="auto"/>
            <w:tcMar>
              <w:top w:w="40" w:type="dxa"/>
              <w:bottom w:w="40" w:type="dxa"/>
              <w:right w:w="0" w:type="dxa"/>
            </w:tcMar>
            <w:vAlign w:val="bottom"/>
          </w:tcPr>
          <w:p w14:paraId="36CA2F12" w14:textId="77777777" w:rsidR="00787570" w:rsidRDefault="000D56E2">
            <w:pPr>
              <w:jc w:val="right"/>
              <w:textAlignment w:val="bottom"/>
            </w:pPr>
            <w:r>
              <w:rPr>
                <w:rFonts w:ascii="Arial" w:eastAsia="宋体" w:hAnsi="Arial" w:cs="Arial"/>
                <w:color w:val="0071C5"/>
                <w:sz w:val="18"/>
                <w:szCs w:val="18"/>
              </w:rPr>
              <w:t>90 </w:t>
            </w:r>
          </w:p>
        </w:tc>
        <w:tc>
          <w:tcPr>
            <w:tcW w:w="0" w:type="auto"/>
            <w:tcBorders>
              <w:top w:val="single" w:sz="8" w:space="0" w:color="0071C5"/>
            </w:tcBorders>
            <w:shd w:val="clear" w:color="auto" w:fill="auto"/>
            <w:tcMar>
              <w:top w:w="40" w:type="dxa"/>
              <w:bottom w:w="40" w:type="dxa"/>
              <w:right w:w="20" w:type="dxa"/>
            </w:tcMar>
            <w:vAlign w:val="bottom"/>
          </w:tcPr>
          <w:p w14:paraId="36CA2F13"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2F14" w14:textId="77777777" w:rsidR="00787570" w:rsidRDefault="00787570">
            <w:pPr>
              <w:rPr>
                <w:rFonts w:ascii="宋体"/>
              </w:rPr>
            </w:pPr>
          </w:p>
        </w:tc>
        <w:tc>
          <w:tcPr>
            <w:tcW w:w="0" w:type="auto"/>
            <w:tcBorders>
              <w:top w:val="single" w:sz="8" w:space="0" w:color="0071C5"/>
            </w:tcBorders>
            <w:shd w:val="clear" w:color="auto" w:fill="auto"/>
            <w:tcMar>
              <w:top w:w="40" w:type="dxa"/>
              <w:left w:w="20" w:type="dxa"/>
              <w:bottom w:w="40" w:type="dxa"/>
            </w:tcMar>
            <w:vAlign w:val="bottom"/>
          </w:tcPr>
          <w:p w14:paraId="36CA2F15" w14:textId="77777777" w:rsidR="00787570" w:rsidRDefault="000D56E2">
            <w:pPr>
              <w:textAlignment w:val="bottom"/>
            </w:pPr>
            <w:r>
              <w:rPr>
                <w:rFonts w:ascii="Arial" w:eastAsia="宋体" w:hAnsi="Arial" w:cs="Arial"/>
                <w:color w:val="333333"/>
                <w:sz w:val="18"/>
                <w:szCs w:val="18"/>
              </w:rPr>
              <w:t>$</w:t>
            </w:r>
          </w:p>
        </w:tc>
        <w:tc>
          <w:tcPr>
            <w:tcW w:w="0" w:type="auto"/>
            <w:tcBorders>
              <w:top w:val="single" w:sz="8" w:space="0" w:color="0071C5"/>
            </w:tcBorders>
            <w:shd w:val="clear" w:color="auto" w:fill="auto"/>
            <w:tcMar>
              <w:top w:w="40" w:type="dxa"/>
              <w:bottom w:w="40" w:type="dxa"/>
              <w:right w:w="0" w:type="dxa"/>
            </w:tcMar>
            <w:vAlign w:val="bottom"/>
          </w:tcPr>
          <w:p w14:paraId="36CA2F16" w14:textId="77777777" w:rsidR="00787570" w:rsidRDefault="000D56E2">
            <w:pPr>
              <w:jc w:val="right"/>
              <w:textAlignment w:val="bottom"/>
            </w:pPr>
            <w:r>
              <w:rPr>
                <w:rFonts w:ascii="Arial" w:eastAsia="宋体" w:hAnsi="Arial" w:cs="Arial"/>
                <w:color w:val="333333"/>
                <w:sz w:val="18"/>
                <w:szCs w:val="18"/>
              </w:rPr>
              <w:t>208 </w:t>
            </w:r>
          </w:p>
        </w:tc>
        <w:tc>
          <w:tcPr>
            <w:tcW w:w="0" w:type="auto"/>
            <w:tcBorders>
              <w:top w:val="single" w:sz="8" w:space="0" w:color="0071C5"/>
            </w:tcBorders>
            <w:shd w:val="clear" w:color="auto" w:fill="auto"/>
            <w:tcMar>
              <w:top w:w="40" w:type="dxa"/>
              <w:bottom w:w="40" w:type="dxa"/>
              <w:right w:w="20" w:type="dxa"/>
            </w:tcMar>
            <w:vAlign w:val="bottom"/>
          </w:tcPr>
          <w:p w14:paraId="36CA2F17" w14:textId="77777777" w:rsidR="00787570" w:rsidRDefault="00787570">
            <w:pPr>
              <w:jc w:val="right"/>
              <w:rPr>
                <w:rFonts w:ascii="宋体"/>
              </w:rPr>
            </w:pPr>
          </w:p>
        </w:tc>
        <w:tc>
          <w:tcPr>
            <w:tcW w:w="0" w:type="auto"/>
            <w:shd w:val="clear" w:color="auto" w:fill="auto"/>
          </w:tcPr>
          <w:p w14:paraId="36CA2F18" w14:textId="77777777" w:rsidR="00787570" w:rsidRDefault="00787570">
            <w:pPr>
              <w:rPr>
                <w:rFonts w:ascii="宋体"/>
                <w:vanish/>
              </w:rPr>
            </w:pPr>
          </w:p>
        </w:tc>
        <w:tc>
          <w:tcPr>
            <w:tcW w:w="0" w:type="auto"/>
            <w:shd w:val="clear" w:color="auto" w:fill="auto"/>
          </w:tcPr>
          <w:p w14:paraId="36CA2F19" w14:textId="77777777" w:rsidR="00787570" w:rsidRDefault="00787570">
            <w:pPr>
              <w:rPr>
                <w:rFonts w:ascii="宋体"/>
              </w:rPr>
            </w:pPr>
          </w:p>
        </w:tc>
        <w:tc>
          <w:tcPr>
            <w:tcW w:w="0" w:type="auto"/>
            <w:shd w:val="clear" w:color="auto" w:fill="auto"/>
          </w:tcPr>
          <w:p w14:paraId="36CA2F1A" w14:textId="77777777" w:rsidR="00787570" w:rsidRDefault="00787570">
            <w:pPr>
              <w:rPr>
                <w:rFonts w:ascii="宋体"/>
              </w:rPr>
            </w:pPr>
          </w:p>
        </w:tc>
        <w:tc>
          <w:tcPr>
            <w:tcW w:w="0" w:type="auto"/>
            <w:shd w:val="clear" w:color="auto" w:fill="auto"/>
          </w:tcPr>
          <w:p w14:paraId="36CA2F1B" w14:textId="77777777" w:rsidR="00787570" w:rsidRDefault="00787570">
            <w:pPr>
              <w:rPr>
                <w:rFonts w:ascii="宋体"/>
              </w:rPr>
            </w:pPr>
          </w:p>
        </w:tc>
        <w:tc>
          <w:tcPr>
            <w:tcW w:w="0" w:type="auto"/>
            <w:shd w:val="clear" w:color="auto" w:fill="auto"/>
          </w:tcPr>
          <w:p w14:paraId="36CA2F1C" w14:textId="77777777" w:rsidR="00787570" w:rsidRDefault="00787570">
            <w:pPr>
              <w:rPr>
                <w:rFonts w:ascii="宋体"/>
              </w:rPr>
            </w:pPr>
          </w:p>
        </w:tc>
        <w:tc>
          <w:tcPr>
            <w:tcW w:w="0" w:type="auto"/>
            <w:shd w:val="clear" w:color="auto" w:fill="auto"/>
          </w:tcPr>
          <w:p w14:paraId="36CA2F1D" w14:textId="77777777" w:rsidR="00787570" w:rsidRDefault="00787570">
            <w:pPr>
              <w:rPr>
                <w:rFonts w:ascii="宋体"/>
              </w:rPr>
            </w:pPr>
          </w:p>
        </w:tc>
        <w:tc>
          <w:tcPr>
            <w:tcW w:w="0" w:type="auto"/>
            <w:shd w:val="clear" w:color="auto" w:fill="auto"/>
          </w:tcPr>
          <w:p w14:paraId="36CA2F1E" w14:textId="77777777" w:rsidR="00787570" w:rsidRDefault="00787570">
            <w:pPr>
              <w:rPr>
                <w:rFonts w:ascii="宋体"/>
              </w:rPr>
            </w:pPr>
          </w:p>
        </w:tc>
        <w:tc>
          <w:tcPr>
            <w:tcW w:w="0" w:type="auto"/>
            <w:shd w:val="clear" w:color="auto" w:fill="auto"/>
          </w:tcPr>
          <w:p w14:paraId="36CA2F1F" w14:textId="77777777" w:rsidR="00787570" w:rsidRDefault="00787570">
            <w:pPr>
              <w:rPr>
                <w:rFonts w:ascii="宋体"/>
              </w:rPr>
            </w:pPr>
          </w:p>
        </w:tc>
        <w:tc>
          <w:tcPr>
            <w:tcW w:w="0" w:type="auto"/>
            <w:shd w:val="clear" w:color="auto" w:fill="auto"/>
          </w:tcPr>
          <w:p w14:paraId="36CA2F20" w14:textId="77777777" w:rsidR="00787570" w:rsidRDefault="00787570">
            <w:pPr>
              <w:rPr>
                <w:rFonts w:ascii="宋体"/>
              </w:rPr>
            </w:pPr>
          </w:p>
        </w:tc>
        <w:tc>
          <w:tcPr>
            <w:tcW w:w="0" w:type="auto"/>
            <w:shd w:val="clear" w:color="auto" w:fill="auto"/>
          </w:tcPr>
          <w:p w14:paraId="36CA2F21" w14:textId="77777777" w:rsidR="00787570" w:rsidRDefault="00787570">
            <w:pPr>
              <w:rPr>
                <w:rFonts w:ascii="宋体"/>
              </w:rPr>
            </w:pPr>
          </w:p>
        </w:tc>
        <w:tc>
          <w:tcPr>
            <w:tcW w:w="0" w:type="auto"/>
            <w:shd w:val="clear" w:color="auto" w:fill="auto"/>
          </w:tcPr>
          <w:p w14:paraId="36CA2F22" w14:textId="77777777" w:rsidR="00787570" w:rsidRDefault="00787570">
            <w:pPr>
              <w:rPr>
                <w:rFonts w:ascii="宋体"/>
              </w:rPr>
            </w:pPr>
          </w:p>
        </w:tc>
        <w:tc>
          <w:tcPr>
            <w:tcW w:w="0" w:type="auto"/>
            <w:shd w:val="clear" w:color="auto" w:fill="auto"/>
          </w:tcPr>
          <w:p w14:paraId="36CA2F23" w14:textId="77777777" w:rsidR="00787570" w:rsidRDefault="00787570">
            <w:pPr>
              <w:rPr>
                <w:rFonts w:ascii="宋体"/>
              </w:rPr>
            </w:pPr>
          </w:p>
        </w:tc>
        <w:tc>
          <w:tcPr>
            <w:tcW w:w="0" w:type="auto"/>
            <w:shd w:val="clear" w:color="auto" w:fill="auto"/>
          </w:tcPr>
          <w:p w14:paraId="36CA2F24" w14:textId="77777777" w:rsidR="00787570" w:rsidRDefault="00787570">
            <w:pPr>
              <w:rPr>
                <w:rFonts w:ascii="宋体"/>
              </w:rPr>
            </w:pPr>
          </w:p>
        </w:tc>
      </w:tr>
      <w:tr w:rsidR="00787570" w14:paraId="36CA2F3C" w14:textId="77777777">
        <w:trPr>
          <w:hidden/>
        </w:trPr>
        <w:tc>
          <w:tcPr>
            <w:tcW w:w="0" w:type="auto"/>
            <w:gridSpan w:val="3"/>
            <w:shd w:val="clear" w:color="auto" w:fill="auto"/>
          </w:tcPr>
          <w:p w14:paraId="36CA2F26" w14:textId="77777777" w:rsidR="00787570" w:rsidRDefault="00787570">
            <w:pPr>
              <w:rPr>
                <w:rFonts w:ascii="宋体"/>
                <w:vanish/>
              </w:rPr>
            </w:pPr>
          </w:p>
        </w:tc>
        <w:tc>
          <w:tcPr>
            <w:tcW w:w="0" w:type="auto"/>
            <w:gridSpan w:val="3"/>
            <w:shd w:val="clear" w:color="auto" w:fill="auto"/>
          </w:tcPr>
          <w:p w14:paraId="36CA2F27" w14:textId="77777777" w:rsidR="00787570" w:rsidRDefault="00787570">
            <w:pPr>
              <w:rPr>
                <w:rFonts w:ascii="宋体"/>
                <w:vanish/>
              </w:rPr>
            </w:pPr>
          </w:p>
        </w:tc>
        <w:tc>
          <w:tcPr>
            <w:tcW w:w="0" w:type="auto"/>
            <w:gridSpan w:val="3"/>
            <w:shd w:val="clear" w:color="auto" w:fill="auto"/>
          </w:tcPr>
          <w:p w14:paraId="36CA2F28" w14:textId="77777777" w:rsidR="00787570" w:rsidRDefault="00787570">
            <w:pPr>
              <w:rPr>
                <w:rFonts w:ascii="宋体"/>
                <w:vanish/>
              </w:rPr>
            </w:pPr>
          </w:p>
        </w:tc>
        <w:tc>
          <w:tcPr>
            <w:tcW w:w="0" w:type="auto"/>
            <w:gridSpan w:val="3"/>
            <w:shd w:val="clear" w:color="auto" w:fill="auto"/>
          </w:tcPr>
          <w:p w14:paraId="36CA2F29" w14:textId="77777777" w:rsidR="00787570" w:rsidRDefault="00787570">
            <w:pPr>
              <w:rPr>
                <w:rFonts w:ascii="宋体"/>
                <w:vanish/>
              </w:rPr>
            </w:pPr>
          </w:p>
        </w:tc>
        <w:tc>
          <w:tcPr>
            <w:tcW w:w="0" w:type="auto"/>
            <w:gridSpan w:val="3"/>
            <w:shd w:val="clear" w:color="auto" w:fill="auto"/>
          </w:tcPr>
          <w:p w14:paraId="36CA2F2A" w14:textId="77777777" w:rsidR="00787570" w:rsidRDefault="00787570">
            <w:pPr>
              <w:rPr>
                <w:rFonts w:ascii="宋体"/>
                <w:vanish/>
              </w:rPr>
            </w:pPr>
          </w:p>
        </w:tc>
        <w:tc>
          <w:tcPr>
            <w:tcW w:w="0" w:type="auto"/>
            <w:gridSpan w:val="3"/>
            <w:shd w:val="clear" w:color="auto" w:fill="auto"/>
          </w:tcPr>
          <w:p w14:paraId="36CA2F2B" w14:textId="77777777" w:rsidR="00787570" w:rsidRDefault="00787570">
            <w:pPr>
              <w:rPr>
                <w:rFonts w:ascii="宋体"/>
                <w:vanish/>
              </w:rPr>
            </w:pPr>
          </w:p>
        </w:tc>
        <w:tc>
          <w:tcPr>
            <w:tcW w:w="0" w:type="auto"/>
            <w:gridSpan w:val="3"/>
            <w:shd w:val="clear" w:color="auto" w:fill="auto"/>
          </w:tcPr>
          <w:p w14:paraId="36CA2F2C" w14:textId="77777777" w:rsidR="00787570" w:rsidRDefault="00787570">
            <w:pPr>
              <w:rPr>
                <w:rFonts w:ascii="宋体"/>
                <w:vanish/>
              </w:rPr>
            </w:pPr>
          </w:p>
        </w:tc>
        <w:tc>
          <w:tcPr>
            <w:tcW w:w="0" w:type="auto"/>
            <w:gridSpan w:val="3"/>
            <w:shd w:val="clear" w:color="auto" w:fill="auto"/>
          </w:tcPr>
          <w:p w14:paraId="36CA2F2D" w14:textId="77777777" w:rsidR="00787570" w:rsidRDefault="00787570">
            <w:pPr>
              <w:rPr>
                <w:rFonts w:ascii="宋体"/>
                <w:vanish/>
              </w:rPr>
            </w:pPr>
          </w:p>
        </w:tc>
        <w:tc>
          <w:tcPr>
            <w:tcW w:w="0" w:type="auto"/>
            <w:gridSpan w:val="3"/>
            <w:shd w:val="clear" w:color="auto" w:fill="auto"/>
          </w:tcPr>
          <w:p w14:paraId="36CA2F2E" w14:textId="77777777" w:rsidR="00787570" w:rsidRDefault="00787570">
            <w:pPr>
              <w:rPr>
                <w:rFonts w:ascii="宋体"/>
                <w:vanish/>
              </w:rPr>
            </w:pPr>
          </w:p>
        </w:tc>
        <w:tc>
          <w:tcPr>
            <w:tcW w:w="0" w:type="auto"/>
            <w:shd w:val="clear" w:color="auto" w:fill="auto"/>
          </w:tcPr>
          <w:p w14:paraId="36CA2F2F" w14:textId="77777777" w:rsidR="00787570" w:rsidRDefault="00787570">
            <w:pPr>
              <w:rPr>
                <w:rFonts w:ascii="宋体"/>
                <w:vanish/>
              </w:rPr>
            </w:pPr>
          </w:p>
        </w:tc>
        <w:tc>
          <w:tcPr>
            <w:tcW w:w="0" w:type="auto"/>
            <w:shd w:val="clear" w:color="auto" w:fill="auto"/>
          </w:tcPr>
          <w:p w14:paraId="36CA2F30" w14:textId="77777777" w:rsidR="00787570" w:rsidRDefault="00787570">
            <w:pPr>
              <w:rPr>
                <w:rFonts w:ascii="宋体"/>
              </w:rPr>
            </w:pPr>
          </w:p>
        </w:tc>
        <w:tc>
          <w:tcPr>
            <w:tcW w:w="0" w:type="auto"/>
            <w:shd w:val="clear" w:color="auto" w:fill="auto"/>
          </w:tcPr>
          <w:p w14:paraId="36CA2F31" w14:textId="77777777" w:rsidR="00787570" w:rsidRDefault="00787570">
            <w:pPr>
              <w:rPr>
                <w:rFonts w:ascii="宋体"/>
              </w:rPr>
            </w:pPr>
          </w:p>
        </w:tc>
        <w:tc>
          <w:tcPr>
            <w:tcW w:w="0" w:type="auto"/>
            <w:shd w:val="clear" w:color="auto" w:fill="auto"/>
          </w:tcPr>
          <w:p w14:paraId="36CA2F32" w14:textId="77777777" w:rsidR="00787570" w:rsidRDefault="00787570">
            <w:pPr>
              <w:rPr>
                <w:rFonts w:ascii="宋体"/>
              </w:rPr>
            </w:pPr>
          </w:p>
        </w:tc>
        <w:tc>
          <w:tcPr>
            <w:tcW w:w="0" w:type="auto"/>
            <w:shd w:val="clear" w:color="auto" w:fill="auto"/>
          </w:tcPr>
          <w:p w14:paraId="36CA2F33" w14:textId="77777777" w:rsidR="00787570" w:rsidRDefault="00787570">
            <w:pPr>
              <w:rPr>
                <w:rFonts w:ascii="宋体"/>
              </w:rPr>
            </w:pPr>
          </w:p>
        </w:tc>
        <w:tc>
          <w:tcPr>
            <w:tcW w:w="0" w:type="auto"/>
            <w:shd w:val="clear" w:color="auto" w:fill="auto"/>
          </w:tcPr>
          <w:p w14:paraId="36CA2F34" w14:textId="77777777" w:rsidR="00787570" w:rsidRDefault="00787570">
            <w:pPr>
              <w:rPr>
                <w:rFonts w:ascii="宋体"/>
              </w:rPr>
            </w:pPr>
          </w:p>
        </w:tc>
        <w:tc>
          <w:tcPr>
            <w:tcW w:w="0" w:type="auto"/>
            <w:shd w:val="clear" w:color="auto" w:fill="auto"/>
          </w:tcPr>
          <w:p w14:paraId="36CA2F35" w14:textId="77777777" w:rsidR="00787570" w:rsidRDefault="00787570">
            <w:pPr>
              <w:rPr>
                <w:rFonts w:ascii="宋体"/>
              </w:rPr>
            </w:pPr>
          </w:p>
        </w:tc>
        <w:tc>
          <w:tcPr>
            <w:tcW w:w="0" w:type="auto"/>
            <w:shd w:val="clear" w:color="auto" w:fill="auto"/>
          </w:tcPr>
          <w:p w14:paraId="36CA2F36" w14:textId="77777777" w:rsidR="00787570" w:rsidRDefault="00787570">
            <w:pPr>
              <w:rPr>
                <w:rFonts w:ascii="宋体"/>
              </w:rPr>
            </w:pPr>
          </w:p>
        </w:tc>
        <w:tc>
          <w:tcPr>
            <w:tcW w:w="0" w:type="auto"/>
            <w:shd w:val="clear" w:color="auto" w:fill="auto"/>
          </w:tcPr>
          <w:p w14:paraId="36CA2F37" w14:textId="77777777" w:rsidR="00787570" w:rsidRDefault="00787570">
            <w:pPr>
              <w:rPr>
                <w:rFonts w:ascii="宋体"/>
              </w:rPr>
            </w:pPr>
          </w:p>
        </w:tc>
        <w:tc>
          <w:tcPr>
            <w:tcW w:w="0" w:type="auto"/>
            <w:shd w:val="clear" w:color="auto" w:fill="auto"/>
          </w:tcPr>
          <w:p w14:paraId="36CA2F38" w14:textId="77777777" w:rsidR="00787570" w:rsidRDefault="00787570">
            <w:pPr>
              <w:rPr>
                <w:rFonts w:ascii="宋体"/>
              </w:rPr>
            </w:pPr>
          </w:p>
        </w:tc>
        <w:tc>
          <w:tcPr>
            <w:tcW w:w="0" w:type="auto"/>
            <w:shd w:val="clear" w:color="auto" w:fill="auto"/>
          </w:tcPr>
          <w:p w14:paraId="36CA2F39" w14:textId="77777777" w:rsidR="00787570" w:rsidRDefault="00787570">
            <w:pPr>
              <w:rPr>
                <w:rFonts w:ascii="宋体"/>
              </w:rPr>
            </w:pPr>
          </w:p>
        </w:tc>
        <w:tc>
          <w:tcPr>
            <w:tcW w:w="0" w:type="auto"/>
            <w:shd w:val="clear" w:color="auto" w:fill="auto"/>
          </w:tcPr>
          <w:p w14:paraId="36CA2F3A" w14:textId="77777777" w:rsidR="00787570" w:rsidRDefault="00787570">
            <w:pPr>
              <w:rPr>
                <w:rFonts w:ascii="宋体"/>
              </w:rPr>
            </w:pPr>
          </w:p>
        </w:tc>
        <w:tc>
          <w:tcPr>
            <w:tcW w:w="0" w:type="auto"/>
            <w:shd w:val="clear" w:color="auto" w:fill="auto"/>
          </w:tcPr>
          <w:p w14:paraId="36CA2F3B" w14:textId="77777777" w:rsidR="00787570" w:rsidRDefault="00787570">
            <w:pPr>
              <w:rPr>
                <w:rFonts w:ascii="宋体"/>
              </w:rPr>
            </w:pPr>
          </w:p>
        </w:tc>
      </w:tr>
      <w:tr w:rsidR="00787570" w14:paraId="36CA2F57" w14:textId="77777777">
        <w:tc>
          <w:tcPr>
            <w:tcW w:w="0" w:type="auto"/>
            <w:gridSpan w:val="3"/>
            <w:shd w:val="clear" w:color="auto" w:fill="auto"/>
            <w:tcMar>
              <w:top w:w="40" w:type="dxa"/>
              <w:left w:w="20" w:type="dxa"/>
              <w:bottom w:w="40" w:type="dxa"/>
              <w:right w:w="20" w:type="dxa"/>
            </w:tcMar>
          </w:tcPr>
          <w:p w14:paraId="36CA2F3D" w14:textId="77777777" w:rsidR="00787570" w:rsidRDefault="000D56E2">
            <w:pPr>
              <w:textAlignment w:val="top"/>
            </w:pPr>
            <w:r>
              <w:rPr>
                <w:rFonts w:ascii="Arial" w:eastAsia="宋体" w:hAnsi="Arial" w:cs="Arial"/>
                <w:color w:val="333333"/>
                <w:sz w:val="18"/>
                <w:szCs w:val="18"/>
              </w:rPr>
              <w:t>Asset impairment and other charges</w:t>
            </w:r>
          </w:p>
        </w:tc>
        <w:tc>
          <w:tcPr>
            <w:tcW w:w="0" w:type="auto"/>
            <w:gridSpan w:val="3"/>
            <w:shd w:val="clear" w:color="auto" w:fill="auto"/>
            <w:tcMar>
              <w:left w:w="20" w:type="dxa"/>
              <w:right w:w="20" w:type="dxa"/>
            </w:tcMar>
            <w:vAlign w:val="bottom"/>
          </w:tcPr>
          <w:p w14:paraId="36CA2F3E"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2F3F" w14:textId="77777777" w:rsidR="00787570" w:rsidRDefault="000D56E2">
            <w:pPr>
              <w:jc w:val="right"/>
              <w:textAlignment w:val="bottom"/>
            </w:pPr>
            <w:r>
              <w:rPr>
                <w:rFonts w:ascii="Arial" w:eastAsia="宋体" w:hAnsi="Arial" w:cs="Arial"/>
                <w:color w:val="026DCE"/>
                <w:sz w:val="18"/>
                <w:szCs w:val="18"/>
              </w:rPr>
              <w:t>(8)</w:t>
            </w:r>
          </w:p>
        </w:tc>
        <w:tc>
          <w:tcPr>
            <w:tcW w:w="0" w:type="auto"/>
            <w:shd w:val="clear" w:color="auto" w:fill="auto"/>
            <w:tcMar>
              <w:top w:w="40" w:type="dxa"/>
              <w:bottom w:w="40" w:type="dxa"/>
              <w:right w:w="20" w:type="dxa"/>
            </w:tcMar>
            <w:vAlign w:val="bottom"/>
          </w:tcPr>
          <w:p w14:paraId="36CA2F40"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2F41"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2F42" w14:textId="77777777" w:rsidR="00787570" w:rsidRDefault="000D56E2">
            <w:pPr>
              <w:jc w:val="right"/>
              <w:textAlignment w:val="bottom"/>
            </w:pPr>
            <w:r>
              <w:rPr>
                <w:rFonts w:ascii="Arial" w:eastAsia="宋体" w:hAnsi="Arial" w:cs="Arial"/>
                <w:color w:val="333333"/>
                <w:sz w:val="18"/>
                <w:szCs w:val="18"/>
              </w:rPr>
              <w:t>64 </w:t>
            </w:r>
          </w:p>
        </w:tc>
        <w:tc>
          <w:tcPr>
            <w:tcW w:w="0" w:type="auto"/>
            <w:shd w:val="clear" w:color="auto" w:fill="auto"/>
            <w:tcMar>
              <w:top w:w="40" w:type="dxa"/>
              <w:bottom w:w="40" w:type="dxa"/>
              <w:right w:w="20" w:type="dxa"/>
            </w:tcMar>
            <w:vAlign w:val="bottom"/>
          </w:tcPr>
          <w:p w14:paraId="36CA2F43"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2F44"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2F45" w14:textId="77777777" w:rsidR="00787570" w:rsidRDefault="000D56E2">
            <w:pPr>
              <w:jc w:val="right"/>
              <w:textAlignment w:val="bottom"/>
            </w:pPr>
            <w:r>
              <w:rPr>
                <w:rFonts w:ascii="Arial" w:eastAsia="宋体" w:hAnsi="Arial" w:cs="Arial"/>
                <w:color w:val="0071C5"/>
                <w:sz w:val="18"/>
                <w:szCs w:val="18"/>
              </w:rPr>
              <w:t>56 </w:t>
            </w:r>
          </w:p>
        </w:tc>
        <w:tc>
          <w:tcPr>
            <w:tcW w:w="0" w:type="auto"/>
            <w:shd w:val="clear" w:color="auto" w:fill="auto"/>
            <w:tcMar>
              <w:top w:w="40" w:type="dxa"/>
              <w:bottom w:w="40" w:type="dxa"/>
              <w:right w:w="20" w:type="dxa"/>
            </w:tcMar>
            <w:vAlign w:val="bottom"/>
          </w:tcPr>
          <w:p w14:paraId="36CA2F46"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2F47"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2F48" w14:textId="77777777" w:rsidR="00787570" w:rsidRDefault="000D56E2">
            <w:pPr>
              <w:jc w:val="right"/>
              <w:textAlignment w:val="bottom"/>
            </w:pPr>
            <w:r>
              <w:rPr>
                <w:rFonts w:ascii="Arial" w:eastAsia="宋体" w:hAnsi="Arial" w:cs="Arial"/>
                <w:color w:val="333333"/>
                <w:sz w:val="18"/>
                <w:szCs w:val="18"/>
              </w:rPr>
              <w:t>80 </w:t>
            </w:r>
          </w:p>
        </w:tc>
        <w:tc>
          <w:tcPr>
            <w:tcW w:w="0" w:type="auto"/>
            <w:shd w:val="clear" w:color="auto" w:fill="auto"/>
            <w:tcMar>
              <w:top w:w="40" w:type="dxa"/>
              <w:bottom w:w="40" w:type="dxa"/>
              <w:right w:w="20" w:type="dxa"/>
            </w:tcMar>
            <w:vAlign w:val="bottom"/>
          </w:tcPr>
          <w:p w14:paraId="36CA2F49" w14:textId="77777777" w:rsidR="00787570" w:rsidRDefault="00787570">
            <w:pPr>
              <w:jc w:val="right"/>
              <w:rPr>
                <w:rFonts w:ascii="宋体"/>
              </w:rPr>
            </w:pPr>
          </w:p>
        </w:tc>
        <w:tc>
          <w:tcPr>
            <w:tcW w:w="0" w:type="auto"/>
            <w:shd w:val="clear" w:color="auto" w:fill="auto"/>
          </w:tcPr>
          <w:p w14:paraId="36CA2F4A" w14:textId="77777777" w:rsidR="00787570" w:rsidRDefault="00787570">
            <w:pPr>
              <w:rPr>
                <w:rFonts w:ascii="宋体"/>
                <w:vanish/>
              </w:rPr>
            </w:pPr>
          </w:p>
        </w:tc>
        <w:tc>
          <w:tcPr>
            <w:tcW w:w="0" w:type="auto"/>
            <w:shd w:val="clear" w:color="auto" w:fill="auto"/>
          </w:tcPr>
          <w:p w14:paraId="36CA2F4B" w14:textId="77777777" w:rsidR="00787570" w:rsidRDefault="00787570">
            <w:pPr>
              <w:rPr>
                <w:rFonts w:ascii="宋体"/>
              </w:rPr>
            </w:pPr>
          </w:p>
        </w:tc>
        <w:tc>
          <w:tcPr>
            <w:tcW w:w="0" w:type="auto"/>
            <w:shd w:val="clear" w:color="auto" w:fill="auto"/>
          </w:tcPr>
          <w:p w14:paraId="36CA2F4C" w14:textId="77777777" w:rsidR="00787570" w:rsidRDefault="00787570">
            <w:pPr>
              <w:rPr>
                <w:rFonts w:ascii="宋体"/>
              </w:rPr>
            </w:pPr>
          </w:p>
        </w:tc>
        <w:tc>
          <w:tcPr>
            <w:tcW w:w="0" w:type="auto"/>
            <w:shd w:val="clear" w:color="auto" w:fill="auto"/>
          </w:tcPr>
          <w:p w14:paraId="36CA2F4D" w14:textId="77777777" w:rsidR="00787570" w:rsidRDefault="00787570">
            <w:pPr>
              <w:rPr>
                <w:rFonts w:ascii="宋体"/>
              </w:rPr>
            </w:pPr>
          </w:p>
        </w:tc>
        <w:tc>
          <w:tcPr>
            <w:tcW w:w="0" w:type="auto"/>
            <w:shd w:val="clear" w:color="auto" w:fill="auto"/>
          </w:tcPr>
          <w:p w14:paraId="36CA2F4E" w14:textId="77777777" w:rsidR="00787570" w:rsidRDefault="00787570">
            <w:pPr>
              <w:rPr>
                <w:rFonts w:ascii="宋体"/>
              </w:rPr>
            </w:pPr>
          </w:p>
        </w:tc>
        <w:tc>
          <w:tcPr>
            <w:tcW w:w="0" w:type="auto"/>
            <w:shd w:val="clear" w:color="auto" w:fill="auto"/>
          </w:tcPr>
          <w:p w14:paraId="36CA2F4F" w14:textId="77777777" w:rsidR="00787570" w:rsidRDefault="00787570">
            <w:pPr>
              <w:rPr>
                <w:rFonts w:ascii="宋体"/>
              </w:rPr>
            </w:pPr>
          </w:p>
        </w:tc>
        <w:tc>
          <w:tcPr>
            <w:tcW w:w="0" w:type="auto"/>
            <w:shd w:val="clear" w:color="auto" w:fill="auto"/>
          </w:tcPr>
          <w:p w14:paraId="36CA2F50" w14:textId="77777777" w:rsidR="00787570" w:rsidRDefault="00787570">
            <w:pPr>
              <w:rPr>
                <w:rFonts w:ascii="宋体"/>
              </w:rPr>
            </w:pPr>
          </w:p>
        </w:tc>
        <w:tc>
          <w:tcPr>
            <w:tcW w:w="0" w:type="auto"/>
            <w:shd w:val="clear" w:color="auto" w:fill="auto"/>
          </w:tcPr>
          <w:p w14:paraId="36CA2F51" w14:textId="77777777" w:rsidR="00787570" w:rsidRDefault="00787570">
            <w:pPr>
              <w:rPr>
                <w:rFonts w:ascii="宋体"/>
              </w:rPr>
            </w:pPr>
          </w:p>
        </w:tc>
        <w:tc>
          <w:tcPr>
            <w:tcW w:w="0" w:type="auto"/>
            <w:shd w:val="clear" w:color="auto" w:fill="auto"/>
          </w:tcPr>
          <w:p w14:paraId="36CA2F52" w14:textId="77777777" w:rsidR="00787570" w:rsidRDefault="00787570">
            <w:pPr>
              <w:rPr>
                <w:rFonts w:ascii="宋体"/>
              </w:rPr>
            </w:pPr>
          </w:p>
        </w:tc>
        <w:tc>
          <w:tcPr>
            <w:tcW w:w="0" w:type="auto"/>
            <w:shd w:val="clear" w:color="auto" w:fill="auto"/>
          </w:tcPr>
          <w:p w14:paraId="36CA2F53" w14:textId="77777777" w:rsidR="00787570" w:rsidRDefault="00787570">
            <w:pPr>
              <w:rPr>
                <w:rFonts w:ascii="宋体"/>
              </w:rPr>
            </w:pPr>
          </w:p>
        </w:tc>
        <w:tc>
          <w:tcPr>
            <w:tcW w:w="0" w:type="auto"/>
            <w:shd w:val="clear" w:color="auto" w:fill="auto"/>
          </w:tcPr>
          <w:p w14:paraId="36CA2F54" w14:textId="77777777" w:rsidR="00787570" w:rsidRDefault="00787570">
            <w:pPr>
              <w:rPr>
                <w:rFonts w:ascii="宋体"/>
              </w:rPr>
            </w:pPr>
          </w:p>
        </w:tc>
        <w:tc>
          <w:tcPr>
            <w:tcW w:w="0" w:type="auto"/>
            <w:shd w:val="clear" w:color="auto" w:fill="auto"/>
          </w:tcPr>
          <w:p w14:paraId="36CA2F55" w14:textId="77777777" w:rsidR="00787570" w:rsidRDefault="00787570">
            <w:pPr>
              <w:rPr>
                <w:rFonts w:ascii="宋体"/>
              </w:rPr>
            </w:pPr>
          </w:p>
        </w:tc>
        <w:tc>
          <w:tcPr>
            <w:tcW w:w="0" w:type="auto"/>
            <w:shd w:val="clear" w:color="auto" w:fill="auto"/>
          </w:tcPr>
          <w:p w14:paraId="36CA2F56" w14:textId="77777777" w:rsidR="00787570" w:rsidRDefault="00787570">
            <w:pPr>
              <w:rPr>
                <w:rFonts w:ascii="宋体"/>
              </w:rPr>
            </w:pPr>
          </w:p>
        </w:tc>
      </w:tr>
      <w:tr w:rsidR="00787570" w14:paraId="36CA2F76" w14:textId="77777777">
        <w:tc>
          <w:tcPr>
            <w:tcW w:w="0" w:type="auto"/>
            <w:gridSpan w:val="3"/>
            <w:shd w:val="clear" w:color="auto" w:fill="auto"/>
            <w:tcMar>
              <w:top w:w="40" w:type="dxa"/>
              <w:left w:w="20" w:type="dxa"/>
              <w:bottom w:w="40" w:type="dxa"/>
              <w:right w:w="20" w:type="dxa"/>
            </w:tcMar>
          </w:tcPr>
          <w:p w14:paraId="36CA2F58" w14:textId="77777777" w:rsidR="00787570" w:rsidRDefault="000D56E2">
            <w:pPr>
              <w:textAlignment w:val="top"/>
            </w:pPr>
            <w:r>
              <w:rPr>
                <w:rFonts w:ascii="Arial" w:eastAsia="宋体" w:hAnsi="Arial" w:cs="Arial"/>
                <w:b/>
                <w:bCs/>
                <w:color w:val="333333"/>
                <w:sz w:val="18"/>
                <w:szCs w:val="18"/>
              </w:rPr>
              <w:t>Total restructuring and other charges</w:t>
            </w:r>
          </w:p>
        </w:tc>
        <w:tc>
          <w:tcPr>
            <w:tcW w:w="0" w:type="auto"/>
            <w:gridSpan w:val="3"/>
            <w:shd w:val="clear" w:color="auto" w:fill="auto"/>
            <w:tcMar>
              <w:left w:w="20" w:type="dxa"/>
              <w:right w:w="20" w:type="dxa"/>
            </w:tcMar>
            <w:vAlign w:val="bottom"/>
          </w:tcPr>
          <w:p w14:paraId="36CA2F59" w14:textId="77777777" w:rsidR="00787570" w:rsidRDefault="00787570">
            <w:pPr>
              <w:rPr>
                <w:rFonts w:ascii="宋体"/>
              </w:rPr>
            </w:pPr>
          </w:p>
        </w:tc>
        <w:tc>
          <w:tcPr>
            <w:tcW w:w="0" w:type="auto"/>
            <w:tcBorders>
              <w:top w:val="single" w:sz="8" w:space="0" w:color="333333"/>
              <w:bottom w:val="double" w:sz="6" w:space="0" w:color="333333"/>
            </w:tcBorders>
            <w:shd w:val="clear" w:color="auto" w:fill="auto"/>
            <w:tcMar>
              <w:top w:w="40" w:type="dxa"/>
              <w:left w:w="20" w:type="dxa"/>
              <w:bottom w:w="40" w:type="dxa"/>
            </w:tcMar>
            <w:vAlign w:val="bottom"/>
          </w:tcPr>
          <w:p w14:paraId="36CA2F5A" w14:textId="77777777" w:rsidR="00787570" w:rsidRDefault="000D56E2">
            <w:pPr>
              <w:textAlignment w:val="bottom"/>
            </w:pPr>
            <w:r>
              <w:rPr>
                <w:rFonts w:ascii="Arial" w:eastAsia="宋体" w:hAnsi="Arial" w:cs="Arial"/>
                <w:b/>
                <w:bCs/>
                <w:color w:val="026DCE"/>
                <w:sz w:val="18"/>
                <w:szCs w:val="18"/>
              </w:rPr>
              <w:t>$</w:t>
            </w:r>
          </w:p>
        </w:tc>
        <w:tc>
          <w:tcPr>
            <w:tcW w:w="0" w:type="auto"/>
            <w:tcBorders>
              <w:top w:val="single" w:sz="8" w:space="0" w:color="333333"/>
              <w:bottom w:val="double" w:sz="6" w:space="0" w:color="333333"/>
            </w:tcBorders>
            <w:shd w:val="clear" w:color="auto" w:fill="auto"/>
            <w:tcMar>
              <w:top w:w="40" w:type="dxa"/>
              <w:bottom w:w="40" w:type="dxa"/>
              <w:right w:w="0" w:type="dxa"/>
            </w:tcMar>
            <w:vAlign w:val="bottom"/>
          </w:tcPr>
          <w:p w14:paraId="36CA2F5B" w14:textId="77777777" w:rsidR="00787570" w:rsidRDefault="000D56E2">
            <w:pPr>
              <w:jc w:val="right"/>
              <w:textAlignment w:val="bottom"/>
            </w:pPr>
            <w:r>
              <w:rPr>
                <w:rFonts w:ascii="Arial" w:eastAsia="宋体" w:hAnsi="Arial" w:cs="Arial"/>
                <w:b/>
                <w:bCs/>
                <w:color w:val="026DCE"/>
                <w:sz w:val="18"/>
                <w:szCs w:val="18"/>
              </w:rPr>
              <w:t>(25)</w:t>
            </w:r>
          </w:p>
        </w:tc>
        <w:tc>
          <w:tcPr>
            <w:tcW w:w="0" w:type="auto"/>
            <w:tcBorders>
              <w:top w:val="single" w:sz="8" w:space="0" w:color="333333"/>
              <w:bottom w:val="double" w:sz="6" w:space="0" w:color="333333"/>
            </w:tcBorders>
            <w:shd w:val="clear" w:color="auto" w:fill="auto"/>
            <w:tcMar>
              <w:top w:w="40" w:type="dxa"/>
              <w:bottom w:w="40" w:type="dxa"/>
              <w:right w:w="20" w:type="dxa"/>
            </w:tcMar>
            <w:vAlign w:val="bottom"/>
          </w:tcPr>
          <w:p w14:paraId="36CA2F5C"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2F5D" w14:textId="77777777" w:rsidR="00787570" w:rsidRDefault="00787570">
            <w:pPr>
              <w:rPr>
                <w:rFonts w:ascii="宋体"/>
              </w:rPr>
            </w:pPr>
          </w:p>
        </w:tc>
        <w:tc>
          <w:tcPr>
            <w:tcW w:w="0" w:type="auto"/>
            <w:tcBorders>
              <w:top w:val="single" w:sz="8" w:space="0" w:color="333333"/>
              <w:bottom w:val="double" w:sz="6" w:space="0" w:color="333333"/>
            </w:tcBorders>
            <w:shd w:val="clear" w:color="auto" w:fill="auto"/>
            <w:tcMar>
              <w:top w:w="40" w:type="dxa"/>
              <w:left w:w="20" w:type="dxa"/>
              <w:bottom w:w="40" w:type="dxa"/>
            </w:tcMar>
            <w:vAlign w:val="bottom"/>
          </w:tcPr>
          <w:p w14:paraId="36CA2F5E" w14:textId="77777777" w:rsidR="00787570" w:rsidRDefault="000D56E2">
            <w:pPr>
              <w:textAlignment w:val="bottom"/>
            </w:pPr>
            <w:r>
              <w:rPr>
                <w:rFonts w:ascii="Arial" w:eastAsia="宋体" w:hAnsi="Arial" w:cs="Arial"/>
                <w:b/>
                <w:bCs/>
                <w:color w:val="333333"/>
                <w:sz w:val="18"/>
                <w:szCs w:val="18"/>
              </w:rPr>
              <w:t>$</w:t>
            </w:r>
          </w:p>
        </w:tc>
        <w:tc>
          <w:tcPr>
            <w:tcW w:w="0" w:type="auto"/>
            <w:tcBorders>
              <w:top w:val="single" w:sz="8" w:space="0" w:color="333333"/>
              <w:bottom w:val="double" w:sz="6" w:space="0" w:color="333333"/>
            </w:tcBorders>
            <w:shd w:val="clear" w:color="auto" w:fill="auto"/>
            <w:tcMar>
              <w:top w:w="40" w:type="dxa"/>
              <w:bottom w:w="40" w:type="dxa"/>
              <w:right w:w="0" w:type="dxa"/>
            </w:tcMar>
            <w:vAlign w:val="bottom"/>
          </w:tcPr>
          <w:p w14:paraId="36CA2F5F" w14:textId="77777777" w:rsidR="00787570" w:rsidRDefault="000D56E2">
            <w:pPr>
              <w:jc w:val="right"/>
              <w:textAlignment w:val="bottom"/>
            </w:pPr>
            <w:r>
              <w:rPr>
                <w:rFonts w:ascii="Arial" w:eastAsia="宋体" w:hAnsi="Arial" w:cs="Arial"/>
                <w:b/>
                <w:bCs/>
                <w:color w:val="333333"/>
                <w:sz w:val="18"/>
                <w:szCs w:val="18"/>
              </w:rPr>
              <w:t>104</w:t>
            </w:r>
            <w:r>
              <w:rPr>
                <w:rFonts w:ascii="Arial" w:eastAsia="宋体" w:hAnsi="Arial" w:cs="Arial"/>
                <w:color w:val="333333"/>
                <w:sz w:val="18"/>
                <w:szCs w:val="18"/>
              </w:rPr>
              <w:t> </w:t>
            </w:r>
          </w:p>
        </w:tc>
        <w:tc>
          <w:tcPr>
            <w:tcW w:w="0" w:type="auto"/>
            <w:tcBorders>
              <w:top w:val="single" w:sz="8" w:space="0" w:color="333333"/>
              <w:bottom w:val="double" w:sz="6" w:space="0" w:color="333333"/>
            </w:tcBorders>
            <w:shd w:val="clear" w:color="auto" w:fill="auto"/>
            <w:tcMar>
              <w:top w:w="40" w:type="dxa"/>
              <w:bottom w:w="40" w:type="dxa"/>
              <w:right w:w="20" w:type="dxa"/>
            </w:tcMar>
            <w:vAlign w:val="bottom"/>
          </w:tcPr>
          <w:p w14:paraId="36CA2F60"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2F61" w14:textId="77777777" w:rsidR="00787570" w:rsidRDefault="00787570">
            <w:pPr>
              <w:rPr>
                <w:rFonts w:ascii="宋体"/>
              </w:rPr>
            </w:pPr>
          </w:p>
        </w:tc>
        <w:tc>
          <w:tcPr>
            <w:tcW w:w="0" w:type="auto"/>
            <w:tcBorders>
              <w:top w:val="single" w:sz="8" w:space="0" w:color="333333"/>
              <w:bottom w:val="double" w:sz="6" w:space="0" w:color="333333"/>
            </w:tcBorders>
            <w:shd w:val="clear" w:color="auto" w:fill="auto"/>
            <w:tcMar>
              <w:top w:w="40" w:type="dxa"/>
              <w:left w:w="20" w:type="dxa"/>
              <w:bottom w:w="40" w:type="dxa"/>
            </w:tcMar>
            <w:vAlign w:val="bottom"/>
          </w:tcPr>
          <w:p w14:paraId="36CA2F62" w14:textId="77777777" w:rsidR="00787570" w:rsidRDefault="000D56E2">
            <w:pPr>
              <w:textAlignment w:val="bottom"/>
            </w:pPr>
            <w:r>
              <w:rPr>
                <w:rFonts w:ascii="Arial" w:eastAsia="宋体" w:hAnsi="Arial" w:cs="Arial"/>
                <w:b/>
                <w:bCs/>
                <w:color w:val="0071C5"/>
                <w:sz w:val="18"/>
                <w:szCs w:val="18"/>
              </w:rPr>
              <w:t>$</w:t>
            </w:r>
          </w:p>
        </w:tc>
        <w:tc>
          <w:tcPr>
            <w:tcW w:w="0" w:type="auto"/>
            <w:tcBorders>
              <w:top w:val="single" w:sz="8" w:space="0" w:color="333333"/>
              <w:bottom w:val="double" w:sz="6" w:space="0" w:color="333333"/>
            </w:tcBorders>
            <w:shd w:val="clear" w:color="auto" w:fill="auto"/>
            <w:tcMar>
              <w:top w:w="40" w:type="dxa"/>
              <w:bottom w:w="40" w:type="dxa"/>
              <w:right w:w="0" w:type="dxa"/>
            </w:tcMar>
            <w:vAlign w:val="bottom"/>
          </w:tcPr>
          <w:p w14:paraId="36CA2F63" w14:textId="77777777" w:rsidR="00787570" w:rsidRDefault="000D56E2">
            <w:pPr>
              <w:jc w:val="right"/>
              <w:textAlignment w:val="bottom"/>
            </w:pPr>
            <w:r>
              <w:rPr>
                <w:rFonts w:ascii="Arial" w:eastAsia="宋体" w:hAnsi="Arial" w:cs="Arial"/>
                <w:b/>
                <w:bCs/>
                <w:color w:val="0071C5"/>
                <w:sz w:val="18"/>
                <w:szCs w:val="18"/>
              </w:rPr>
              <w:t>146</w:t>
            </w:r>
            <w:r>
              <w:rPr>
                <w:rFonts w:ascii="Arial" w:eastAsia="宋体" w:hAnsi="Arial" w:cs="Arial"/>
                <w:color w:val="0071C5"/>
                <w:sz w:val="18"/>
                <w:szCs w:val="18"/>
              </w:rPr>
              <w:t> </w:t>
            </w:r>
          </w:p>
        </w:tc>
        <w:tc>
          <w:tcPr>
            <w:tcW w:w="0" w:type="auto"/>
            <w:tcBorders>
              <w:top w:val="single" w:sz="8" w:space="0" w:color="333333"/>
              <w:bottom w:val="double" w:sz="6" w:space="0" w:color="333333"/>
            </w:tcBorders>
            <w:shd w:val="clear" w:color="auto" w:fill="auto"/>
            <w:tcMar>
              <w:top w:w="40" w:type="dxa"/>
              <w:bottom w:w="40" w:type="dxa"/>
              <w:right w:w="20" w:type="dxa"/>
            </w:tcMar>
            <w:vAlign w:val="bottom"/>
          </w:tcPr>
          <w:p w14:paraId="36CA2F64"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2F65" w14:textId="77777777" w:rsidR="00787570" w:rsidRDefault="00787570">
            <w:pPr>
              <w:rPr>
                <w:rFonts w:ascii="宋体"/>
              </w:rPr>
            </w:pPr>
          </w:p>
        </w:tc>
        <w:tc>
          <w:tcPr>
            <w:tcW w:w="0" w:type="auto"/>
            <w:tcBorders>
              <w:top w:val="single" w:sz="8" w:space="0" w:color="333333"/>
              <w:bottom w:val="double" w:sz="6" w:space="0" w:color="333333"/>
            </w:tcBorders>
            <w:shd w:val="clear" w:color="auto" w:fill="auto"/>
            <w:tcMar>
              <w:top w:w="40" w:type="dxa"/>
              <w:left w:w="20" w:type="dxa"/>
              <w:bottom w:w="40" w:type="dxa"/>
            </w:tcMar>
            <w:vAlign w:val="bottom"/>
          </w:tcPr>
          <w:p w14:paraId="36CA2F66" w14:textId="77777777" w:rsidR="00787570" w:rsidRDefault="000D56E2">
            <w:pPr>
              <w:textAlignment w:val="bottom"/>
            </w:pPr>
            <w:r>
              <w:rPr>
                <w:rFonts w:ascii="Arial" w:eastAsia="宋体" w:hAnsi="Arial" w:cs="Arial"/>
                <w:b/>
                <w:bCs/>
                <w:color w:val="333333"/>
                <w:sz w:val="18"/>
                <w:szCs w:val="18"/>
              </w:rPr>
              <w:t>$</w:t>
            </w:r>
          </w:p>
        </w:tc>
        <w:tc>
          <w:tcPr>
            <w:tcW w:w="0" w:type="auto"/>
            <w:tcBorders>
              <w:top w:val="single" w:sz="8" w:space="0" w:color="333333"/>
              <w:bottom w:val="double" w:sz="6" w:space="0" w:color="333333"/>
            </w:tcBorders>
            <w:shd w:val="clear" w:color="auto" w:fill="auto"/>
            <w:tcMar>
              <w:top w:w="40" w:type="dxa"/>
              <w:bottom w:w="40" w:type="dxa"/>
              <w:right w:w="0" w:type="dxa"/>
            </w:tcMar>
            <w:vAlign w:val="bottom"/>
          </w:tcPr>
          <w:p w14:paraId="36CA2F67" w14:textId="77777777" w:rsidR="00787570" w:rsidRDefault="000D56E2">
            <w:pPr>
              <w:jc w:val="right"/>
              <w:textAlignment w:val="bottom"/>
            </w:pPr>
            <w:r>
              <w:rPr>
                <w:rFonts w:ascii="Arial" w:eastAsia="宋体" w:hAnsi="Arial" w:cs="Arial"/>
                <w:b/>
                <w:bCs/>
                <w:color w:val="333333"/>
                <w:sz w:val="18"/>
                <w:szCs w:val="18"/>
              </w:rPr>
              <w:t>288</w:t>
            </w:r>
            <w:r>
              <w:rPr>
                <w:rFonts w:ascii="Arial" w:eastAsia="宋体" w:hAnsi="Arial" w:cs="Arial"/>
                <w:color w:val="333333"/>
                <w:sz w:val="18"/>
                <w:szCs w:val="18"/>
              </w:rPr>
              <w:t> </w:t>
            </w:r>
          </w:p>
        </w:tc>
        <w:tc>
          <w:tcPr>
            <w:tcW w:w="0" w:type="auto"/>
            <w:tcBorders>
              <w:top w:val="single" w:sz="8" w:space="0" w:color="333333"/>
              <w:bottom w:val="double" w:sz="6" w:space="0" w:color="333333"/>
            </w:tcBorders>
            <w:shd w:val="clear" w:color="auto" w:fill="auto"/>
            <w:tcMar>
              <w:top w:w="40" w:type="dxa"/>
              <w:bottom w:w="40" w:type="dxa"/>
              <w:right w:w="20" w:type="dxa"/>
            </w:tcMar>
            <w:vAlign w:val="bottom"/>
          </w:tcPr>
          <w:p w14:paraId="36CA2F68" w14:textId="77777777" w:rsidR="00787570" w:rsidRDefault="00787570">
            <w:pPr>
              <w:jc w:val="right"/>
              <w:rPr>
                <w:rFonts w:ascii="宋体"/>
              </w:rPr>
            </w:pPr>
          </w:p>
        </w:tc>
        <w:tc>
          <w:tcPr>
            <w:tcW w:w="0" w:type="auto"/>
            <w:shd w:val="clear" w:color="auto" w:fill="auto"/>
          </w:tcPr>
          <w:p w14:paraId="36CA2F69" w14:textId="77777777" w:rsidR="00787570" w:rsidRDefault="00787570">
            <w:pPr>
              <w:rPr>
                <w:rFonts w:ascii="宋体"/>
                <w:vanish/>
              </w:rPr>
            </w:pPr>
          </w:p>
        </w:tc>
        <w:tc>
          <w:tcPr>
            <w:tcW w:w="0" w:type="auto"/>
            <w:shd w:val="clear" w:color="auto" w:fill="auto"/>
          </w:tcPr>
          <w:p w14:paraId="36CA2F6A" w14:textId="77777777" w:rsidR="00787570" w:rsidRDefault="00787570">
            <w:pPr>
              <w:rPr>
                <w:rFonts w:ascii="宋体"/>
              </w:rPr>
            </w:pPr>
          </w:p>
        </w:tc>
        <w:tc>
          <w:tcPr>
            <w:tcW w:w="0" w:type="auto"/>
            <w:shd w:val="clear" w:color="auto" w:fill="auto"/>
          </w:tcPr>
          <w:p w14:paraId="36CA2F6B" w14:textId="77777777" w:rsidR="00787570" w:rsidRDefault="00787570">
            <w:pPr>
              <w:rPr>
                <w:rFonts w:ascii="宋体"/>
              </w:rPr>
            </w:pPr>
          </w:p>
        </w:tc>
        <w:tc>
          <w:tcPr>
            <w:tcW w:w="0" w:type="auto"/>
            <w:shd w:val="clear" w:color="auto" w:fill="auto"/>
          </w:tcPr>
          <w:p w14:paraId="36CA2F6C" w14:textId="77777777" w:rsidR="00787570" w:rsidRDefault="00787570">
            <w:pPr>
              <w:rPr>
                <w:rFonts w:ascii="宋体"/>
              </w:rPr>
            </w:pPr>
          </w:p>
        </w:tc>
        <w:tc>
          <w:tcPr>
            <w:tcW w:w="0" w:type="auto"/>
            <w:shd w:val="clear" w:color="auto" w:fill="auto"/>
          </w:tcPr>
          <w:p w14:paraId="36CA2F6D" w14:textId="77777777" w:rsidR="00787570" w:rsidRDefault="00787570">
            <w:pPr>
              <w:rPr>
                <w:rFonts w:ascii="宋体"/>
              </w:rPr>
            </w:pPr>
          </w:p>
        </w:tc>
        <w:tc>
          <w:tcPr>
            <w:tcW w:w="0" w:type="auto"/>
            <w:shd w:val="clear" w:color="auto" w:fill="auto"/>
          </w:tcPr>
          <w:p w14:paraId="36CA2F6E" w14:textId="77777777" w:rsidR="00787570" w:rsidRDefault="00787570">
            <w:pPr>
              <w:rPr>
                <w:rFonts w:ascii="宋体"/>
              </w:rPr>
            </w:pPr>
          </w:p>
        </w:tc>
        <w:tc>
          <w:tcPr>
            <w:tcW w:w="0" w:type="auto"/>
            <w:shd w:val="clear" w:color="auto" w:fill="auto"/>
          </w:tcPr>
          <w:p w14:paraId="36CA2F6F" w14:textId="77777777" w:rsidR="00787570" w:rsidRDefault="00787570">
            <w:pPr>
              <w:rPr>
                <w:rFonts w:ascii="宋体"/>
              </w:rPr>
            </w:pPr>
          </w:p>
        </w:tc>
        <w:tc>
          <w:tcPr>
            <w:tcW w:w="0" w:type="auto"/>
            <w:shd w:val="clear" w:color="auto" w:fill="auto"/>
          </w:tcPr>
          <w:p w14:paraId="36CA2F70" w14:textId="77777777" w:rsidR="00787570" w:rsidRDefault="00787570">
            <w:pPr>
              <w:rPr>
                <w:rFonts w:ascii="宋体"/>
              </w:rPr>
            </w:pPr>
          </w:p>
        </w:tc>
        <w:tc>
          <w:tcPr>
            <w:tcW w:w="0" w:type="auto"/>
            <w:shd w:val="clear" w:color="auto" w:fill="auto"/>
          </w:tcPr>
          <w:p w14:paraId="36CA2F71" w14:textId="77777777" w:rsidR="00787570" w:rsidRDefault="00787570">
            <w:pPr>
              <w:rPr>
                <w:rFonts w:ascii="宋体"/>
              </w:rPr>
            </w:pPr>
          </w:p>
        </w:tc>
        <w:tc>
          <w:tcPr>
            <w:tcW w:w="0" w:type="auto"/>
            <w:shd w:val="clear" w:color="auto" w:fill="auto"/>
          </w:tcPr>
          <w:p w14:paraId="36CA2F72" w14:textId="77777777" w:rsidR="00787570" w:rsidRDefault="00787570">
            <w:pPr>
              <w:rPr>
                <w:rFonts w:ascii="宋体"/>
              </w:rPr>
            </w:pPr>
          </w:p>
        </w:tc>
        <w:tc>
          <w:tcPr>
            <w:tcW w:w="0" w:type="auto"/>
            <w:shd w:val="clear" w:color="auto" w:fill="auto"/>
          </w:tcPr>
          <w:p w14:paraId="36CA2F73" w14:textId="77777777" w:rsidR="00787570" w:rsidRDefault="00787570">
            <w:pPr>
              <w:rPr>
                <w:rFonts w:ascii="宋体"/>
              </w:rPr>
            </w:pPr>
          </w:p>
        </w:tc>
        <w:tc>
          <w:tcPr>
            <w:tcW w:w="0" w:type="auto"/>
            <w:shd w:val="clear" w:color="auto" w:fill="auto"/>
          </w:tcPr>
          <w:p w14:paraId="36CA2F74" w14:textId="77777777" w:rsidR="00787570" w:rsidRDefault="00787570">
            <w:pPr>
              <w:rPr>
                <w:rFonts w:ascii="宋体"/>
              </w:rPr>
            </w:pPr>
          </w:p>
        </w:tc>
        <w:tc>
          <w:tcPr>
            <w:tcW w:w="0" w:type="auto"/>
            <w:shd w:val="clear" w:color="auto" w:fill="auto"/>
          </w:tcPr>
          <w:p w14:paraId="36CA2F75" w14:textId="77777777" w:rsidR="00787570" w:rsidRDefault="00787570">
            <w:pPr>
              <w:rPr>
                <w:rFonts w:ascii="宋体"/>
              </w:rPr>
            </w:pPr>
          </w:p>
        </w:tc>
      </w:tr>
    </w:tbl>
    <w:p w14:paraId="36CA2F77" w14:textId="77777777" w:rsidR="00787570" w:rsidRDefault="00787570">
      <w:pPr>
        <w:spacing w:after="180"/>
      </w:pPr>
    </w:p>
    <w:p w14:paraId="36CA2F78" w14:textId="77777777" w:rsidR="00787570" w:rsidRDefault="00787570">
      <w:pPr>
        <w:spacing w:after="180"/>
      </w:pPr>
    </w:p>
    <w:p w14:paraId="36CA2F79" w14:textId="77777777" w:rsidR="00787570" w:rsidRDefault="00787570">
      <w:pPr>
        <w:spacing w:after="180"/>
      </w:pPr>
    </w:p>
    <w:p w14:paraId="36CA2F7A" w14:textId="77777777" w:rsidR="00787570" w:rsidRDefault="00787570">
      <w:pPr>
        <w:spacing w:after="180"/>
      </w:pPr>
    </w:p>
    <w:p w14:paraId="36CA2F7B" w14:textId="77777777" w:rsidR="00787570" w:rsidRDefault="00787570">
      <w:pPr>
        <w:spacing w:after="180"/>
      </w:pPr>
    </w:p>
    <w:p w14:paraId="36CA2F7C" w14:textId="77777777" w:rsidR="00787570" w:rsidRDefault="00787570">
      <w:pPr>
        <w:spacing w:after="180"/>
      </w:pPr>
    </w:p>
    <w:p w14:paraId="36CA2F7D" w14:textId="77777777" w:rsidR="00787570" w:rsidRDefault="00787570">
      <w:pPr>
        <w:spacing w:after="180"/>
      </w:pPr>
    </w:p>
    <w:tbl>
      <w:tblPr>
        <w:tblW w:w="5000" w:type="pct"/>
        <w:tblCellMar>
          <w:top w:w="15" w:type="dxa"/>
          <w:left w:w="15" w:type="dxa"/>
          <w:bottom w:w="15" w:type="dxa"/>
          <w:right w:w="15" w:type="dxa"/>
        </w:tblCellMar>
        <w:tblLook w:val="04A0" w:firstRow="1" w:lastRow="0" w:firstColumn="1" w:lastColumn="0" w:noHBand="0" w:noVBand="1"/>
      </w:tblPr>
      <w:tblGrid>
        <w:gridCol w:w="86"/>
        <w:gridCol w:w="426"/>
        <w:gridCol w:w="36"/>
        <w:gridCol w:w="62"/>
        <w:gridCol w:w="1676"/>
        <w:gridCol w:w="36"/>
        <w:gridCol w:w="62"/>
        <w:gridCol w:w="3655"/>
        <w:gridCol w:w="36"/>
        <w:gridCol w:w="63"/>
        <w:gridCol w:w="2162"/>
        <w:gridCol w:w="36"/>
      </w:tblGrid>
      <w:tr w:rsidR="00787570" w14:paraId="36CA2F8A" w14:textId="77777777">
        <w:tc>
          <w:tcPr>
            <w:tcW w:w="50" w:type="pct"/>
            <w:shd w:val="clear" w:color="auto" w:fill="auto"/>
            <w:vAlign w:val="bottom"/>
          </w:tcPr>
          <w:p w14:paraId="36CA2F7E" w14:textId="77777777" w:rsidR="00787570" w:rsidRDefault="00787570">
            <w:pPr>
              <w:rPr>
                <w:rFonts w:ascii="宋体"/>
              </w:rPr>
            </w:pPr>
          </w:p>
        </w:tc>
        <w:tc>
          <w:tcPr>
            <w:tcW w:w="248" w:type="pct"/>
            <w:shd w:val="clear" w:color="auto" w:fill="auto"/>
            <w:vAlign w:val="bottom"/>
          </w:tcPr>
          <w:p w14:paraId="36CA2F7F" w14:textId="77777777" w:rsidR="00787570" w:rsidRDefault="00787570">
            <w:pPr>
              <w:rPr>
                <w:rFonts w:ascii="宋体"/>
              </w:rPr>
            </w:pPr>
          </w:p>
        </w:tc>
        <w:tc>
          <w:tcPr>
            <w:tcW w:w="5" w:type="pct"/>
            <w:shd w:val="clear" w:color="auto" w:fill="auto"/>
            <w:vAlign w:val="bottom"/>
          </w:tcPr>
          <w:p w14:paraId="36CA2F80" w14:textId="77777777" w:rsidR="00787570" w:rsidRDefault="00787570">
            <w:pPr>
              <w:rPr>
                <w:rFonts w:ascii="宋体"/>
              </w:rPr>
            </w:pPr>
          </w:p>
        </w:tc>
        <w:tc>
          <w:tcPr>
            <w:tcW w:w="50" w:type="pct"/>
            <w:shd w:val="clear" w:color="auto" w:fill="auto"/>
            <w:vAlign w:val="bottom"/>
          </w:tcPr>
          <w:p w14:paraId="36CA2F81" w14:textId="77777777" w:rsidR="00787570" w:rsidRDefault="00787570">
            <w:pPr>
              <w:rPr>
                <w:rFonts w:ascii="宋体"/>
              </w:rPr>
            </w:pPr>
          </w:p>
        </w:tc>
        <w:tc>
          <w:tcPr>
            <w:tcW w:w="1018" w:type="pct"/>
            <w:shd w:val="clear" w:color="auto" w:fill="auto"/>
            <w:vAlign w:val="bottom"/>
          </w:tcPr>
          <w:p w14:paraId="36CA2F82" w14:textId="77777777" w:rsidR="00787570" w:rsidRDefault="00787570">
            <w:pPr>
              <w:rPr>
                <w:rFonts w:ascii="宋体"/>
              </w:rPr>
            </w:pPr>
          </w:p>
        </w:tc>
        <w:tc>
          <w:tcPr>
            <w:tcW w:w="5" w:type="pct"/>
            <w:shd w:val="clear" w:color="auto" w:fill="auto"/>
            <w:vAlign w:val="bottom"/>
          </w:tcPr>
          <w:p w14:paraId="36CA2F83" w14:textId="77777777" w:rsidR="00787570" w:rsidRDefault="00787570">
            <w:pPr>
              <w:rPr>
                <w:rFonts w:ascii="宋体"/>
              </w:rPr>
            </w:pPr>
          </w:p>
        </w:tc>
        <w:tc>
          <w:tcPr>
            <w:tcW w:w="50" w:type="pct"/>
            <w:shd w:val="clear" w:color="auto" w:fill="auto"/>
            <w:vAlign w:val="bottom"/>
          </w:tcPr>
          <w:p w14:paraId="36CA2F84" w14:textId="77777777" w:rsidR="00787570" w:rsidRDefault="00787570">
            <w:pPr>
              <w:rPr>
                <w:rFonts w:ascii="宋体"/>
              </w:rPr>
            </w:pPr>
          </w:p>
        </w:tc>
        <w:tc>
          <w:tcPr>
            <w:tcW w:w="2204" w:type="pct"/>
            <w:shd w:val="clear" w:color="auto" w:fill="auto"/>
            <w:vAlign w:val="bottom"/>
          </w:tcPr>
          <w:p w14:paraId="36CA2F85" w14:textId="77777777" w:rsidR="00787570" w:rsidRDefault="00787570">
            <w:pPr>
              <w:rPr>
                <w:rFonts w:ascii="宋体"/>
              </w:rPr>
            </w:pPr>
          </w:p>
        </w:tc>
        <w:tc>
          <w:tcPr>
            <w:tcW w:w="5" w:type="pct"/>
            <w:shd w:val="clear" w:color="auto" w:fill="auto"/>
            <w:vAlign w:val="bottom"/>
          </w:tcPr>
          <w:p w14:paraId="36CA2F86" w14:textId="77777777" w:rsidR="00787570" w:rsidRDefault="00787570">
            <w:pPr>
              <w:rPr>
                <w:rFonts w:ascii="宋体"/>
              </w:rPr>
            </w:pPr>
          </w:p>
        </w:tc>
        <w:tc>
          <w:tcPr>
            <w:tcW w:w="50" w:type="pct"/>
            <w:shd w:val="clear" w:color="auto" w:fill="auto"/>
            <w:vAlign w:val="bottom"/>
          </w:tcPr>
          <w:p w14:paraId="36CA2F87" w14:textId="77777777" w:rsidR="00787570" w:rsidRDefault="00787570">
            <w:pPr>
              <w:rPr>
                <w:rFonts w:ascii="宋体"/>
              </w:rPr>
            </w:pPr>
          </w:p>
        </w:tc>
        <w:tc>
          <w:tcPr>
            <w:tcW w:w="1308" w:type="pct"/>
            <w:shd w:val="clear" w:color="auto" w:fill="auto"/>
            <w:vAlign w:val="bottom"/>
          </w:tcPr>
          <w:p w14:paraId="36CA2F88" w14:textId="77777777" w:rsidR="00787570" w:rsidRDefault="00787570">
            <w:pPr>
              <w:rPr>
                <w:rFonts w:ascii="宋体"/>
              </w:rPr>
            </w:pPr>
          </w:p>
        </w:tc>
        <w:tc>
          <w:tcPr>
            <w:tcW w:w="5" w:type="pct"/>
            <w:shd w:val="clear" w:color="auto" w:fill="auto"/>
            <w:vAlign w:val="bottom"/>
          </w:tcPr>
          <w:p w14:paraId="36CA2F89" w14:textId="77777777" w:rsidR="00787570" w:rsidRDefault="00787570">
            <w:pPr>
              <w:rPr>
                <w:rFonts w:ascii="宋体"/>
              </w:rPr>
            </w:pPr>
          </w:p>
        </w:tc>
      </w:tr>
      <w:tr w:rsidR="00787570" w14:paraId="36CA2F8F" w14:textId="77777777">
        <w:tc>
          <w:tcPr>
            <w:tcW w:w="0" w:type="auto"/>
            <w:gridSpan w:val="3"/>
            <w:tcBorders>
              <w:top w:val="single" w:sz="8" w:space="0" w:color="0071C5"/>
            </w:tcBorders>
            <w:shd w:val="clear" w:color="auto" w:fill="auto"/>
            <w:tcMar>
              <w:left w:w="20" w:type="dxa"/>
              <w:right w:w="20" w:type="dxa"/>
            </w:tcMar>
            <w:vAlign w:val="center"/>
          </w:tcPr>
          <w:p w14:paraId="36CA2F8B" w14:textId="77777777" w:rsidR="00787570" w:rsidRDefault="000D56E2">
            <w:pPr>
              <w:textAlignment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Viewer9_files/intc-20200926_g2.jpg"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36CA5C0F" wp14:editId="36CA5C10">
                  <wp:extent cx="304800" cy="304800"/>
                  <wp:effectExtent l="0" t="0" r="0" b="0"/>
                  <wp:docPr id="28" name="图片 67" descr="IMG_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67" descr="IMG_329"/>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8" w:space="0" w:color="0071C5"/>
            </w:tcBorders>
            <w:shd w:val="clear" w:color="auto" w:fill="auto"/>
            <w:tcMar>
              <w:top w:w="40" w:type="dxa"/>
              <w:left w:w="20" w:type="dxa"/>
              <w:bottom w:w="40" w:type="dxa"/>
              <w:right w:w="20" w:type="dxa"/>
            </w:tcMar>
            <w:vAlign w:val="center"/>
          </w:tcPr>
          <w:p w14:paraId="36CA2F8C" w14:textId="77777777" w:rsidR="00787570" w:rsidRDefault="000D56E2">
            <w:pPr>
              <w:textAlignment w:val="center"/>
            </w:pPr>
            <w:r>
              <w:rPr>
                <w:rFonts w:ascii="Arial" w:eastAsia="宋体" w:hAnsi="Arial" w:cs="Arial"/>
                <w:color w:val="333333"/>
                <w:sz w:val="16"/>
                <w:szCs w:val="16"/>
              </w:rPr>
              <w:t> FINANCIAL STATEMENTS</w:t>
            </w:r>
          </w:p>
        </w:tc>
        <w:tc>
          <w:tcPr>
            <w:tcW w:w="0" w:type="auto"/>
            <w:gridSpan w:val="3"/>
            <w:tcBorders>
              <w:top w:val="single" w:sz="8" w:space="0" w:color="0071C5"/>
              <w:left w:val="single" w:sz="24" w:space="0" w:color="0071C5"/>
            </w:tcBorders>
            <w:shd w:val="clear" w:color="auto" w:fill="auto"/>
            <w:tcMar>
              <w:top w:w="40" w:type="dxa"/>
              <w:left w:w="20" w:type="dxa"/>
              <w:bottom w:w="40" w:type="dxa"/>
              <w:right w:w="20" w:type="dxa"/>
            </w:tcMar>
            <w:vAlign w:val="center"/>
          </w:tcPr>
          <w:p w14:paraId="36CA2F8D" w14:textId="77777777" w:rsidR="00787570" w:rsidRDefault="000D56E2">
            <w:pPr>
              <w:textAlignment w:val="center"/>
            </w:pPr>
            <w:r>
              <w:rPr>
                <w:rFonts w:ascii="Arial" w:eastAsia="宋体" w:hAnsi="Arial" w:cs="Arial"/>
                <w:color w:val="333333"/>
                <w:sz w:val="16"/>
                <w:szCs w:val="16"/>
              </w:rPr>
              <w:t>  Notes to Financial Statements</w:t>
            </w:r>
          </w:p>
        </w:tc>
        <w:tc>
          <w:tcPr>
            <w:tcW w:w="0" w:type="auto"/>
            <w:gridSpan w:val="3"/>
            <w:tcBorders>
              <w:top w:val="single" w:sz="8" w:space="0" w:color="0071C5"/>
            </w:tcBorders>
            <w:shd w:val="clear" w:color="auto" w:fill="auto"/>
            <w:tcMar>
              <w:top w:w="40" w:type="dxa"/>
              <w:left w:w="20" w:type="dxa"/>
              <w:bottom w:w="40" w:type="dxa"/>
              <w:right w:w="20" w:type="dxa"/>
            </w:tcMar>
            <w:vAlign w:val="center"/>
          </w:tcPr>
          <w:p w14:paraId="36CA2F8E" w14:textId="77777777" w:rsidR="00787570" w:rsidRDefault="000D56E2">
            <w:pPr>
              <w:jc w:val="right"/>
              <w:textAlignment w:val="center"/>
            </w:pPr>
            <w:r>
              <w:rPr>
                <w:rFonts w:ascii="Arial" w:eastAsia="宋体" w:hAnsi="Arial" w:cs="Arial"/>
                <w:color w:val="333333"/>
                <w:sz w:val="16"/>
                <w:szCs w:val="16"/>
              </w:rPr>
              <w:t>14</w:t>
            </w:r>
          </w:p>
        </w:tc>
      </w:tr>
    </w:tbl>
    <w:p w14:paraId="36CA2F90" w14:textId="77777777" w:rsidR="00787570" w:rsidRDefault="000D56E2">
      <w:r>
        <w:pict w14:anchorId="36CA5C11">
          <v:rect id="_x0000_i1040" style="width:415.3pt;height:1.5pt" o:hralign="center" o:hrstd="t" o:hr="t" fillcolor="#a0a0a0" stroked="f"/>
        </w:pict>
      </w:r>
    </w:p>
    <w:p w14:paraId="36CA2F91" w14:textId="77777777" w:rsidR="00787570" w:rsidRDefault="000D56E2">
      <w:pPr>
        <w:spacing w:after="180"/>
        <w:jc w:val="right"/>
      </w:pPr>
      <w:hyperlink r:id="rId42" w:anchor="i32771df14e9449d2bec5be911426bf04_7" w:history="1">
        <w:r>
          <w:rPr>
            <w:rStyle w:val="a5"/>
            <w:rFonts w:ascii="Arial" w:eastAsia="宋体" w:hAnsi="Arial" w:cs="Arial"/>
            <w:b/>
            <w:bCs/>
            <w:sz w:val="16"/>
            <w:szCs w:val="16"/>
          </w:rPr>
          <w:t>Table of Contents</w:t>
        </w:r>
      </w:hyperlink>
    </w:p>
    <w:p w14:paraId="36CA2F92" w14:textId="77777777" w:rsidR="00787570" w:rsidRDefault="00787570">
      <w:pPr>
        <w:spacing w:after="180"/>
        <w:jc w:val="right"/>
      </w:pPr>
    </w:p>
    <w:tbl>
      <w:tblPr>
        <w:tblW w:w="5000" w:type="pct"/>
        <w:tblCellMar>
          <w:top w:w="15" w:type="dxa"/>
          <w:left w:w="15" w:type="dxa"/>
          <w:bottom w:w="15" w:type="dxa"/>
          <w:right w:w="15" w:type="dxa"/>
        </w:tblCellMar>
        <w:tblLook w:val="04A0" w:firstRow="1" w:lastRow="0" w:firstColumn="1" w:lastColumn="0" w:noHBand="0" w:noVBand="1"/>
      </w:tblPr>
      <w:tblGrid>
        <w:gridCol w:w="69"/>
        <w:gridCol w:w="998"/>
        <w:gridCol w:w="36"/>
        <w:gridCol w:w="69"/>
        <w:gridCol w:w="7128"/>
        <w:gridCol w:w="36"/>
      </w:tblGrid>
      <w:tr w:rsidR="00787570" w14:paraId="36CA2F99" w14:textId="77777777">
        <w:tc>
          <w:tcPr>
            <w:tcW w:w="50" w:type="pct"/>
            <w:shd w:val="clear" w:color="auto" w:fill="auto"/>
          </w:tcPr>
          <w:p w14:paraId="36CA2F93" w14:textId="77777777" w:rsidR="00787570" w:rsidRDefault="00787570">
            <w:pPr>
              <w:rPr>
                <w:rFonts w:ascii="宋体"/>
              </w:rPr>
            </w:pPr>
          </w:p>
        </w:tc>
        <w:tc>
          <w:tcPr>
            <w:tcW w:w="607" w:type="pct"/>
            <w:shd w:val="clear" w:color="auto" w:fill="auto"/>
          </w:tcPr>
          <w:p w14:paraId="36CA2F94" w14:textId="77777777" w:rsidR="00787570" w:rsidRDefault="00787570">
            <w:pPr>
              <w:rPr>
                <w:rFonts w:ascii="宋体"/>
              </w:rPr>
            </w:pPr>
          </w:p>
        </w:tc>
        <w:tc>
          <w:tcPr>
            <w:tcW w:w="5" w:type="pct"/>
            <w:shd w:val="clear" w:color="auto" w:fill="auto"/>
          </w:tcPr>
          <w:p w14:paraId="36CA2F95" w14:textId="77777777" w:rsidR="00787570" w:rsidRDefault="00787570">
            <w:pPr>
              <w:rPr>
                <w:rFonts w:ascii="宋体"/>
              </w:rPr>
            </w:pPr>
          </w:p>
        </w:tc>
        <w:tc>
          <w:tcPr>
            <w:tcW w:w="50" w:type="pct"/>
            <w:shd w:val="clear" w:color="auto" w:fill="auto"/>
          </w:tcPr>
          <w:p w14:paraId="36CA2F96" w14:textId="77777777" w:rsidR="00787570" w:rsidRDefault="00787570">
            <w:pPr>
              <w:rPr>
                <w:rFonts w:ascii="宋体"/>
              </w:rPr>
            </w:pPr>
          </w:p>
        </w:tc>
        <w:tc>
          <w:tcPr>
            <w:tcW w:w="4282" w:type="pct"/>
            <w:shd w:val="clear" w:color="auto" w:fill="auto"/>
          </w:tcPr>
          <w:p w14:paraId="36CA2F97" w14:textId="77777777" w:rsidR="00787570" w:rsidRDefault="00787570">
            <w:pPr>
              <w:rPr>
                <w:rFonts w:ascii="宋体"/>
              </w:rPr>
            </w:pPr>
          </w:p>
        </w:tc>
        <w:tc>
          <w:tcPr>
            <w:tcW w:w="5" w:type="pct"/>
            <w:shd w:val="clear" w:color="auto" w:fill="auto"/>
          </w:tcPr>
          <w:p w14:paraId="36CA2F98" w14:textId="77777777" w:rsidR="00787570" w:rsidRDefault="00787570">
            <w:pPr>
              <w:rPr>
                <w:rFonts w:ascii="宋体"/>
              </w:rPr>
            </w:pPr>
          </w:p>
        </w:tc>
      </w:tr>
      <w:tr w:rsidR="00787570" w14:paraId="36CA2F9C" w14:textId="77777777">
        <w:tc>
          <w:tcPr>
            <w:tcW w:w="0" w:type="auto"/>
            <w:gridSpan w:val="3"/>
            <w:tcBorders>
              <w:bottom w:val="single" w:sz="8" w:space="0" w:color="0071C5"/>
            </w:tcBorders>
            <w:shd w:val="clear" w:color="auto" w:fill="0071C5"/>
            <w:tcMar>
              <w:top w:w="40" w:type="dxa"/>
              <w:left w:w="20" w:type="dxa"/>
              <w:bottom w:w="40" w:type="dxa"/>
              <w:right w:w="20" w:type="dxa"/>
            </w:tcMar>
            <w:vAlign w:val="bottom"/>
          </w:tcPr>
          <w:p w14:paraId="36CA2F9A" w14:textId="77777777" w:rsidR="00787570" w:rsidRDefault="000D56E2">
            <w:pPr>
              <w:textAlignment w:val="bottom"/>
            </w:pPr>
            <w:r>
              <w:rPr>
                <w:rFonts w:ascii="Arial" w:eastAsia="宋体" w:hAnsi="Arial" w:cs="Arial"/>
                <w:b/>
                <w:bCs/>
                <w:color w:val="FFFFFF"/>
                <w:sz w:val="28"/>
                <w:szCs w:val="28"/>
              </w:rPr>
              <w:t xml:space="preserve">NOTE 7 : </w:t>
            </w:r>
          </w:p>
        </w:tc>
        <w:tc>
          <w:tcPr>
            <w:tcW w:w="0" w:type="auto"/>
            <w:gridSpan w:val="3"/>
            <w:tcBorders>
              <w:bottom w:val="single" w:sz="8" w:space="0" w:color="0071C5"/>
            </w:tcBorders>
            <w:shd w:val="clear" w:color="auto" w:fill="auto"/>
            <w:tcMar>
              <w:top w:w="40" w:type="dxa"/>
              <w:left w:w="20" w:type="dxa"/>
              <w:bottom w:w="40" w:type="dxa"/>
              <w:right w:w="20" w:type="dxa"/>
            </w:tcMar>
            <w:vAlign w:val="bottom"/>
          </w:tcPr>
          <w:p w14:paraId="36CA2F9B" w14:textId="77777777" w:rsidR="00787570" w:rsidRDefault="000D56E2">
            <w:pPr>
              <w:textAlignment w:val="bottom"/>
            </w:pPr>
            <w:r>
              <w:rPr>
                <w:rFonts w:ascii="Arial" w:eastAsia="宋体" w:hAnsi="Arial" w:cs="Arial"/>
                <w:b/>
                <w:bCs/>
                <w:color w:val="0071C5"/>
                <w:sz w:val="28"/>
                <w:szCs w:val="28"/>
              </w:rPr>
              <w:t>INVESTMENTS</w:t>
            </w:r>
          </w:p>
        </w:tc>
      </w:tr>
    </w:tbl>
    <w:p w14:paraId="36CA2F9D" w14:textId="77777777" w:rsidR="00787570" w:rsidRDefault="000D56E2">
      <w:pPr>
        <w:spacing w:before="180" w:after="180"/>
      </w:pPr>
      <w:r>
        <w:rPr>
          <w:rFonts w:ascii="Arial" w:eastAsia="宋体" w:hAnsi="Arial" w:cs="Arial"/>
          <w:b/>
          <w:bCs/>
          <w:color w:val="0071C5"/>
        </w:rPr>
        <w:t>DEBT INVESTMENTS</w:t>
      </w:r>
    </w:p>
    <w:p w14:paraId="36CA2F9E" w14:textId="77777777" w:rsidR="00787570" w:rsidRDefault="000D56E2">
      <w:pPr>
        <w:spacing w:after="120"/>
      </w:pPr>
      <w:r>
        <w:rPr>
          <w:rFonts w:ascii="Arial" w:eastAsia="宋体" w:hAnsi="Arial" w:cs="Arial"/>
          <w:b/>
          <w:bCs/>
          <w:color w:val="333333"/>
          <w:sz w:val="20"/>
          <w:szCs w:val="20"/>
        </w:rPr>
        <w:t>Trading Assets</w:t>
      </w:r>
    </w:p>
    <w:p w14:paraId="36CA2F9F" w14:textId="77777777" w:rsidR="00787570" w:rsidRDefault="000D56E2">
      <w:pPr>
        <w:spacing w:after="180"/>
      </w:pPr>
      <w:r>
        <w:rPr>
          <w:rFonts w:ascii="Arial" w:eastAsia="宋体" w:hAnsi="Arial" w:cs="Arial"/>
          <w:color w:val="333333"/>
          <w:sz w:val="18"/>
          <w:szCs w:val="18"/>
        </w:rPr>
        <w:t xml:space="preserve">Net gains recorded for trading assets still held at the reporting date were $205 million in the third quarter of 2020 and $347 million in the first nine months of 2020 ($75 million of net losses in the third quarter of 2019 and $21 million of net gains in </w:t>
      </w:r>
      <w:r>
        <w:rPr>
          <w:rFonts w:ascii="Arial" w:eastAsia="宋体" w:hAnsi="Arial" w:cs="Arial"/>
          <w:color w:val="333333"/>
          <w:sz w:val="18"/>
          <w:szCs w:val="18"/>
        </w:rPr>
        <w:t>the first nine months of 2019). Net losses on the related derivatives were $163 million in the third quarter of 2020 and $334 million in the first nine months of 2020 ($81 million of net gains in the third quarter of 2019 and $7 million of net losses in th</w:t>
      </w:r>
      <w:r>
        <w:rPr>
          <w:rFonts w:ascii="Arial" w:eastAsia="宋体" w:hAnsi="Arial" w:cs="Arial"/>
          <w:color w:val="333333"/>
          <w:sz w:val="18"/>
          <w:szCs w:val="18"/>
        </w:rPr>
        <w:t xml:space="preserve">e first nine months of 2019). </w:t>
      </w:r>
    </w:p>
    <w:p w14:paraId="36CA2FA0" w14:textId="77777777" w:rsidR="00787570" w:rsidRDefault="000D56E2">
      <w:pPr>
        <w:spacing w:after="120"/>
      </w:pPr>
      <w:r>
        <w:rPr>
          <w:rFonts w:ascii="Arial" w:eastAsia="宋体" w:hAnsi="Arial" w:cs="Arial"/>
          <w:b/>
          <w:bCs/>
          <w:color w:val="333333"/>
          <w:sz w:val="20"/>
          <w:szCs w:val="20"/>
        </w:rPr>
        <w:t>Available-for-Sale Debt Investments</w:t>
      </w:r>
    </w:p>
    <w:tbl>
      <w:tblPr>
        <w:tblW w:w="4980" w:type="pct"/>
        <w:tblCellMar>
          <w:top w:w="15" w:type="dxa"/>
          <w:left w:w="15" w:type="dxa"/>
          <w:bottom w:w="15" w:type="dxa"/>
          <w:right w:w="15" w:type="dxa"/>
        </w:tblCellMar>
        <w:tblLook w:val="04A0" w:firstRow="1" w:lastRow="0" w:firstColumn="1" w:lastColumn="0" w:noHBand="0" w:noVBand="1"/>
      </w:tblPr>
      <w:tblGrid>
        <w:gridCol w:w="68"/>
        <w:gridCol w:w="1120"/>
        <w:gridCol w:w="37"/>
        <w:gridCol w:w="37"/>
        <w:gridCol w:w="34"/>
        <w:gridCol w:w="34"/>
        <w:gridCol w:w="115"/>
        <w:gridCol w:w="563"/>
        <w:gridCol w:w="39"/>
        <w:gridCol w:w="37"/>
        <w:gridCol w:w="34"/>
        <w:gridCol w:w="34"/>
        <w:gridCol w:w="115"/>
        <w:gridCol w:w="662"/>
        <w:gridCol w:w="39"/>
        <w:gridCol w:w="37"/>
        <w:gridCol w:w="34"/>
        <w:gridCol w:w="35"/>
        <w:gridCol w:w="116"/>
        <w:gridCol w:w="663"/>
        <w:gridCol w:w="40"/>
        <w:gridCol w:w="37"/>
        <w:gridCol w:w="35"/>
        <w:gridCol w:w="35"/>
        <w:gridCol w:w="115"/>
        <w:gridCol w:w="410"/>
        <w:gridCol w:w="40"/>
        <w:gridCol w:w="37"/>
        <w:gridCol w:w="35"/>
        <w:gridCol w:w="35"/>
        <w:gridCol w:w="116"/>
        <w:gridCol w:w="564"/>
        <w:gridCol w:w="40"/>
        <w:gridCol w:w="37"/>
        <w:gridCol w:w="35"/>
        <w:gridCol w:w="35"/>
        <w:gridCol w:w="116"/>
        <w:gridCol w:w="663"/>
        <w:gridCol w:w="40"/>
        <w:gridCol w:w="37"/>
        <w:gridCol w:w="35"/>
        <w:gridCol w:w="35"/>
        <w:gridCol w:w="116"/>
        <w:gridCol w:w="663"/>
        <w:gridCol w:w="40"/>
        <w:gridCol w:w="37"/>
        <w:gridCol w:w="35"/>
        <w:gridCol w:w="35"/>
        <w:gridCol w:w="115"/>
        <w:gridCol w:w="410"/>
        <w:gridCol w:w="40"/>
        <w:gridCol w:w="35"/>
        <w:gridCol w:w="35"/>
        <w:gridCol w:w="35"/>
        <w:gridCol w:w="35"/>
        <w:gridCol w:w="35"/>
        <w:gridCol w:w="35"/>
        <w:gridCol w:w="35"/>
        <w:gridCol w:w="35"/>
        <w:gridCol w:w="35"/>
        <w:gridCol w:w="35"/>
        <w:gridCol w:w="35"/>
        <w:gridCol w:w="35"/>
      </w:tblGrid>
      <w:tr w:rsidR="00787570" w14:paraId="36CA2FD4" w14:textId="77777777">
        <w:trPr>
          <w:gridAfter w:val="12"/>
        </w:trPr>
        <w:tc>
          <w:tcPr>
            <w:tcW w:w="50" w:type="pct"/>
            <w:shd w:val="clear" w:color="auto" w:fill="auto"/>
          </w:tcPr>
          <w:p w14:paraId="36CA2FA1" w14:textId="77777777" w:rsidR="00787570" w:rsidRDefault="00787570">
            <w:pPr>
              <w:rPr>
                <w:rFonts w:ascii="宋体"/>
              </w:rPr>
            </w:pPr>
          </w:p>
        </w:tc>
        <w:tc>
          <w:tcPr>
            <w:tcW w:w="939" w:type="pct"/>
            <w:shd w:val="clear" w:color="auto" w:fill="auto"/>
          </w:tcPr>
          <w:p w14:paraId="36CA2FA2" w14:textId="77777777" w:rsidR="00787570" w:rsidRDefault="00787570">
            <w:pPr>
              <w:rPr>
                <w:rFonts w:ascii="宋体"/>
              </w:rPr>
            </w:pPr>
          </w:p>
        </w:tc>
        <w:tc>
          <w:tcPr>
            <w:tcW w:w="5" w:type="pct"/>
            <w:shd w:val="clear" w:color="auto" w:fill="auto"/>
          </w:tcPr>
          <w:p w14:paraId="36CA2FA3" w14:textId="77777777" w:rsidR="00787570" w:rsidRDefault="00787570">
            <w:pPr>
              <w:rPr>
                <w:rFonts w:ascii="宋体"/>
              </w:rPr>
            </w:pPr>
          </w:p>
        </w:tc>
        <w:tc>
          <w:tcPr>
            <w:tcW w:w="5" w:type="pct"/>
            <w:shd w:val="clear" w:color="auto" w:fill="auto"/>
          </w:tcPr>
          <w:p w14:paraId="36CA2FA4" w14:textId="77777777" w:rsidR="00787570" w:rsidRDefault="00787570">
            <w:pPr>
              <w:rPr>
                <w:rFonts w:ascii="宋体"/>
              </w:rPr>
            </w:pPr>
          </w:p>
        </w:tc>
        <w:tc>
          <w:tcPr>
            <w:tcW w:w="24" w:type="pct"/>
            <w:shd w:val="clear" w:color="auto" w:fill="auto"/>
          </w:tcPr>
          <w:p w14:paraId="36CA2FA5" w14:textId="77777777" w:rsidR="00787570" w:rsidRDefault="00787570">
            <w:pPr>
              <w:rPr>
                <w:rFonts w:ascii="宋体"/>
              </w:rPr>
            </w:pPr>
          </w:p>
        </w:tc>
        <w:tc>
          <w:tcPr>
            <w:tcW w:w="5" w:type="pct"/>
            <w:shd w:val="clear" w:color="auto" w:fill="auto"/>
          </w:tcPr>
          <w:p w14:paraId="36CA2FA6" w14:textId="77777777" w:rsidR="00787570" w:rsidRDefault="00787570">
            <w:pPr>
              <w:rPr>
                <w:rFonts w:ascii="宋体"/>
              </w:rPr>
            </w:pPr>
          </w:p>
        </w:tc>
        <w:tc>
          <w:tcPr>
            <w:tcW w:w="50" w:type="pct"/>
            <w:shd w:val="clear" w:color="auto" w:fill="auto"/>
          </w:tcPr>
          <w:p w14:paraId="36CA2FA7" w14:textId="77777777" w:rsidR="00787570" w:rsidRDefault="00787570">
            <w:pPr>
              <w:rPr>
                <w:rFonts w:ascii="宋体"/>
              </w:rPr>
            </w:pPr>
          </w:p>
        </w:tc>
        <w:tc>
          <w:tcPr>
            <w:tcW w:w="404" w:type="pct"/>
            <w:shd w:val="clear" w:color="auto" w:fill="auto"/>
          </w:tcPr>
          <w:p w14:paraId="36CA2FA8" w14:textId="77777777" w:rsidR="00787570" w:rsidRDefault="00787570">
            <w:pPr>
              <w:rPr>
                <w:rFonts w:ascii="宋体"/>
              </w:rPr>
            </w:pPr>
          </w:p>
        </w:tc>
        <w:tc>
          <w:tcPr>
            <w:tcW w:w="5" w:type="pct"/>
            <w:shd w:val="clear" w:color="auto" w:fill="auto"/>
          </w:tcPr>
          <w:p w14:paraId="36CA2FA9" w14:textId="77777777" w:rsidR="00787570" w:rsidRDefault="00787570">
            <w:pPr>
              <w:rPr>
                <w:rFonts w:ascii="宋体"/>
              </w:rPr>
            </w:pPr>
          </w:p>
        </w:tc>
        <w:tc>
          <w:tcPr>
            <w:tcW w:w="5" w:type="pct"/>
            <w:shd w:val="clear" w:color="auto" w:fill="auto"/>
          </w:tcPr>
          <w:p w14:paraId="36CA2FAA" w14:textId="77777777" w:rsidR="00787570" w:rsidRDefault="00787570">
            <w:pPr>
              <w:rPr>
                <w:rFonts w:ascii="宋体"/>
              </w:rPr>
            </w:pPr>
          </w:p>
        </w:tc>
        <w:tc>
          <w:tcPr>
            <w:tcW w:w="24" w:type="pct"/>
            <w:shd w:val="clear" w:color="auto" w:fill="auto"/>
          </w:tcPr>
          <w:p w14:paraId="36CA2FAB" w14:textId="77777777" w:rsidR="00787570" w:rsidRDefault="00787570">
            <w:pPr>
              <w:rPr>
                <w:rFonts w:ascii="宋体"/>
              </w:rPr>
            </w:pPr>
          </w:p>
        </w:tc>
        <w:tc>
          <w:tcPr>
            <w:tcW w:w="5" w:type="pct"/>
            <w:shd w:val="clear" w:color="auto" w:fill="auto"/>
          </w:tcPr>
          <w:p w14:paraId="36CA2FAC" w14:textId="77777777" w:rsidR="00787570" w:rsidRDefault="00787570">
            <w:pPr>
              <w:rPr>
                <w:rFonts w:ascii="宋体"/>
              </w:rPr>
            </w:pPr>
          </w:p>
        </w:tc>
        <w:tc>
          <w:tcPr>
            <w:tcW w:w="50" w:type="pct"/>
            <w:shd w:val="clear" w:color="auto" w:fill="auto"/>
          </w:tcPr>
          <w:p w14:paraId="36CA2FAD" w14:textId="77777777" w:rsidR="00787570" w:rsidRDefault="00787570">
            <w:pPr>
              <w:rPr>
                <w:rFonts w:ascii="宋体"/>
              </w:rPr>
            </w:pPr>
          </w:p>
        </w:tc>
        <w:tc>
          <w:tcPr>
            <w:tcW w:w="418" w:type="pct"/>
            <w:shd w:val="clear" w:color="auto" w:fill="auto"/>
          </w:tcPr>
          <w:p w14:paraId="36CA2FAE" w14:textId="77777777" w:rsidR="00787570" w:rsidRDefault="00787570">
            <w:pPr>
              <w:rPr>
                <w:rFonts w:ascii="宋体"/>
              </w:rPr>
            </w:pPr>
          </w:p>
        </w:tc>
        <w:tc>
          <w:tcPr>
            <w:tcW w:w="5" w:type="pct"/>
            <w:shd w:val="clear" w:color="auto" w:fill="auto"/>
          </w:tcPr>
          <w:p w14:paraId="36CA2FAF" w14:textId="77777777" w:rsidR="00787570" w:rsidRDefault="00787570">
            <w:pPr>
              <w:rPr>
                <w:rFonts w:ascii="宋体"/>
              </w:rPr>
            </w:pPr>
          </w:p>
        </w:tc>
        <w:tc>
          <w:tcPr>
            <w:tcW w:w="5" w:type="pct"/>
            <w:shd w:val="clear" w:color="auto" w:fill="auto"/>
          </w:tcPr>
          <w:p w14:paraId="36CA2FB0" w14:textId="77777777" w:rsidR="00787570" w:rsidRDefault="00787570">
            <w:pPr>
              <w:rPr>
                <w:rFonts w:ascii="宋体"/>
              </w:rPr>
            </w:pPr>
          </w:p>
        </w:tc>
        <w:tc>
          <w:tcPr>
            <w:tcW w:w="24" w:type="pct"/>
            <w:shd w:val="clear" w:color="auto" w:fill="auto"/>
          </w:tcPr>
          <w:p w14:paraId="36CA2FB1" w14:textId="77777777" w:rsidR="00787570" w:rsidRDefault="00787570">
            <w:pPr>
              <w:rPr>
                <w:rFonts w:ascii="宋体"/>
              </w:rPr>
            </w:pPr>
          </w:p>
        </w:tc>
        <w:tc>
          <w:tcPr>
            <w:tcW w:w="5" w:type="pct"/>
            <w:shd w:val="clear" w:color="auto" w:fill="auto"/>
          </w:tcPr>
          <w:p w14:paraId="36CA2FB2" w14:textId="77777777" w:rsidR="00787570" w:rsidRDefault="00787570">
            <w:pPr>
              <w:rPr>
                <w:rFonts w:ascii="宋体"/>
              </w:rPr>
            </w:pPr>
          </w:p>
        </w:tc>
        <w:tc>
          <w:tcPr>
            <w:tcW w:w="50" w:type="pct"/>
            <w:shd w:val="clear" w:color="auto" w:fill="auto"/>
          </w:tcPr>
          <w:p w14:paraId="36CA2FB3" w14:textId="77777777" w:rsidR="00787570" w:rsidRDefault="00787570">
            <w:pPr>
              <w:rPr>
                <w:rFonts w:ascii="宋体"/>
              </w:rPr>
            </w:pPr>
          </w:p>
        </w:tc>
        <w:tc>
          <w:tcPr>
            <w:tcW w:w="418" w:type="pct"/>
            <w:shd w:val="clear" w:color="auto" w:fill="auto"/>
          </w:tcPr>
          <w:p w14:paraId="36CA2FB4" w14:textId="77777777" w:rsidR="00787570" w:rsidRDefault="00787570">
            <w:pPr>
              <w:rPr>
                <w:rFonts w:ascii="宋体"/>
              </w:rPr>
            </w:pPr>
          </w:p>
        </w:tc>
        <w:tc>
          <w:tcPr>
            <w:tcW w:w="5" w:type="pct"/>
            <w:shd w:val="clear" w:color="auto" w:fill="auto"/>
          </w:tcPr>
          <w:p w14:paraId="36CA2FB5" w14:textId="77777777" w:rsidR="00787570" w:rsidRDefault="00787570">
            <w:pPr>
              <w:rPr>
                <w:rFonts w:ascii="宋体"/>
              </w:rPr>
            </w:pPr>
          </w:p>
        </w:tc>
        <w:tc>
          <w:tcPr>
            <w:tcW w:w="5" w:type="pct"/>
            <w:shd w:val="clear" w:color="auto" w:fill="auto"/>
          </w:tcPr>
          <w:p w14:paraId="36CA2FB6" w14:textId="77777777" w:rsidR="00787570" w:rsidRDefault="00787570">
            <w:pPr>
              <w:rPr>
                <w:rFonts w:ascii="宋体"/>
              </w:rPr>
            </w:pPr>
          </w:p>
        </w:tc>
        <w:tc>
          <w:tcPr>
            <w:tcW w:w="24" w:type="pct"/>
            <w:shd w:val="clear" w:color="auto" w:fill="auto"/>
          </w:tcPr>
          <w:p w14:paraId="36CA2FB7" w14:textId="77777777" w:rsidR="00787570" w:rsidRDefault="00787570">
            <w:pPr>
              <w:rPr>
                <w:rFonts w:ascii="宋体"/>
              </w:rPr>
            </w:pPr>
          </w:p>
        </w:tc>
        <w:tc>
          <w:tcPr>
            <w:tcW w:w="5" w:type="pct"/>
            <w:shd w:val="clear" w:color="auto" w:fill="auto"/>
          </w:tcPr>
          <w:p w14:paraId="36CA2FB8" w14:textId="77777777" w:rsidR="00787570" w:rsidRDefault="00787570">
            <w:pPr>
              <w:rPr>
                <w:rFonts w:ascii="宋体"/>
              </w:rPr>
            </w:pPr>
          </w:p>
        </w:tc>
        <w:tc>
          <w:tcPr>
            <w:tcW w:w="50" w:type="pct"/>
            <w:shd w:val="clear" w:color="auto" w:fill="auto"/>
          </w:tcPr>
          <w:p w14:paraId="36CA2FB9" w14:textId="77777777" w:rsidR="00787570" w:rsidRDefault="00787570">
            <w:pPr>
              <w:rPr>
                <w:rFonts w:ascii="宋体"/>
              </w:rPr>
            </w:pPr>
          </w:p>
        </w:tc>
        <w:tc>
          <w:tcPr>
            <w:tcW w:w="404" w:type="pct"/>
            <w:shd w:val="clear" w:color="auto" w:fill="auto"/>
          </w:tcPr>
          <w:p w14:paraId="36CA2FBA" w14:textId="77777777" w:rsidR="00787570" w:rsidRDefault="00787570">
            <w:pPr>
              <w:rPr>
                <w:rFonts w:ascii="宋体"/>
              </w:rPr>
            </w:pPr>
          </w:p>
        </w:tc>
        <w:tc>
          <w:tcPr>
            <w:tcW w:w="5" w:type="pct"/>
            <w:shd w:val="clear" w:color="auto" w:fill="auto"/>
          </w:tcPr>
          <w:p w14:paraId="36CA2FBB" w14:textId="77777777" w:rsidR="00787570" w:rsidRDefault="00787570">
            <w:pPr>
              <w:rPr>
                <w:rFonts w:ascii="宋体"/>
              </w:rPr>
            </w:pPr>
          </w:p>
        </w:tc>
        <w:tc>
          <w:tcPr>
            <w:tcW w:w="5" w:type="pct"/>
            <w:shd w:val="clear" w:color="auto" w:fill="auto"/>
          </w:tcPr>
          <w:p w14:paraId="36CA2FBC" w14:textId="77777777" w:rsidR="00787570" w:rsidRDefault="00787570">
            <w:pPr>
              <w:rPr>
                <w:rFonts w:ascii="宋体"/>
              </w:rPr>
            </w:pPr>
          </w:p>
        </w:tc>
        <w:tc>
          <w:tcPr>
            <w:tcW w:w="24" w:type="pct"/>
            <w:shd w:val="clear" w:color="auto" w:fill="auto"/>
          </w:tcPr>
          <w:p w14:paraId="36CA2FBD" w14:textId="77777777" w:rsidR="00787570" w:rsidRDefault="00787570">
            <w:pPr>
              <w:rPr>
                <w:rFonts w:ascii="宋体"/>
              </w:rPr>
            </w:pPr>
          </w:p>
        </w:tc>
        <w:tc>
          <w:tcPr>
            <w:tcW w:w="5" w:type="pct"/>
            <w:shd w:val="clear" w:color="auto" w:fill="auto"/>
          </w:tcPr>
          <w:p w14:paraId="36CA2FBE" w14:textId="77777777" w:rsidR="00787570" w:rsidRDefault="00787570">
            <w:pPr>
              <w:rPr>
                <w:rFonts w:ascii="宋体"/>
              </w:rPr>
            </w:pPr>
          </w:p>
        </w:tc>
        <w:tc>
          <w:tcPr>
            <w:tcW w:w="50" w:type="pct"/>
            <w:shd w:val="clear" w:color="auto" w:fill="auto"/>
          </w:tcPr>
          <w:p w14:paraId="36CA2FBF" w14:textId="77777777" w:rsidR="00787570" w:rsidRDefault="00787570">
            <w:pPr>
              <w:rPr>
                <w:rFonts w:ascii="宋体"/>
              </w:rPr>
            </w:pPr>
          </w:p>
        </w:tc>
        <w:tc>
          <w:tcPr>
            <w:tcW w:w="404" w:type="pct"/>
            <w:shd w:val="clear" w:color="auto" w:fill="auto"/>
          </w:tcPr>
          <w:p w14:paraId="36CA2FC0" w14:textId="77777777" w:rsidR="00787570" w:rsidRDefault="00787570">
            <w:pPr>
              <w:rPr>
                <w:rFonts w:ascii="宋体"/>
              </w:rPr>
            </w:pPr>
          </w:p>
        </w:tc>
        <w:tc>
          <w:tcPr>
            <w:tcW w:w="5" w:type="pct"/>
            <w:shd w:val="clear" w:color="auto" w:fill="auto"/>
          </w:tcPr>
          <w:p w14:paraId="36CA2FC1" w14:textId="77777777" w:rsidR="00787570" w:rsidRDefault="00787570">
            <w:pPr>
              <w:rPr>
                <w:rFonts w:ascii="宋体"/>
              </w:rPr>
            </w:pPr>
          </w:p>
        </w:tc>
        <w:tc>
          <w:tcPr>
            <w:tcW w:w="5" w:type="pct"/>
            <w:shd w:val="clear" w:color="auto" w:fill="auto"/>
          </w:tcPr>
          <w:p w14:paraId="36CA2FC2" w14:textId="77777777" w:rsidR="00787570" w:rsidRDefault="00787570">
            <w:pPr>
              <w:rPr>
                <w:rFonts w:ascii="宋体"/>
              </w:rPr>
            </w:pPr>
          </w:p>
        </w:tc>
        <w:tc>
          <w:tcPr>
            <w:tcW w:w="24" w:type="pct"/>
            <w:shd w:val="clear" w:color="auto" w:fill="auto"/>
          </w:tcPr>
          <w:p w14:paraId="36CA2FC3" w14:textId="77777777" w:rsidR="00787570" w:rsidRDefault="00787570">
            <w:pPr>
              <w:rPr>
                <w:rFonts w:ascii="宋体"/>
              </w:rPr>
            </w:pPr>
          </w:p>
        </w:tc>
        <w:tc>
          <w:tcPr>
            <w:tcW w:w="5" w:type="pct"/>
            <w:shd w:val="clear" w:color="auto" w:fill="auto"/>
          </w:tcPr>
          <w:p w14:paraId="36CA2FC4" w14:textId="77777777" w:rsidR="00787570" w:rsidRDefault="00787570">
            <w:pPr>
              <w:rPr>
                <w:rFonts w:ascii="宋体"/>
              </w:rPr>
            </w:pPr>
          </w:p>
        </w:tc>
        <w:tc>
          <w:tcPr>
            <w:tcW w:w="50" w:type="pct"/>
            <w:shd w:val="clear" w:color="auto" w:fill="auto"/>
          </w:tcPr>
          <w:p w14:paraId="36CA2FC5" w14:textId="77777777" w:rsidR="00787570" w:rsidRDefault="00787570">
            <w:pPr>
              <w:rPr>
                <w:rFonts w:ascii="宋体"/>
              </w:rPr>
            </w:pPr>
          </w:p>
        </w:tc>
        <w:tc>
          <w:tcPr>
            <w:tcW w:w="418" w:type="pct"/>
            <w:shd w:val="clear" w:color="auto" w:fill="auto"/>
          </w:tcPr>
          <w:p w14:paraId="36CA2FC6" w14:textId="77777777" w:rsidR="00787570" w:rsidRDefault="00787570">
            <w:pPr>
              <w:rPr>
                <w:rFonts w:ascii="宋体"/>
              </w:rPr>
            </w:pPr>
          </w:p>
        </w:tc>
        <w:tc>
          <w:tcPr>
            <w:tcW w:w="5" w:type="pct"/>
            <w:shd w:val="clear" w:color="auto" w:fill="auto"/>
          </w:tcPr>
          <w:p w14:paraId="36CA2FC7" w14:textId="77777777" w:rsidR="00787570" w:rsidRDefault="00787570">
            <w:pPr>
              <w:rPr>
                <w:rFonts w:ascii="宋体"/>
              </w:rPr>
            </w:pPr>
          </w:p>
        </w:tc>
        <w:tc>
          <w:tcPr>
            <w:tcW w:w="5" w:type="pct"/>
            <w:shd w:val="clear" w:color="auto" w:fill="auto"/>
          </w:tcPr>
          <w:p w14:paraId="36CA2FC8" w14:textId="77777777" w:rsidR="00787570" w:rsidRDefault="00787570">
            <w:pPr>
              <w:rPr>
                <w:rFonts w:ascii="宋体"/>
              </w:rPr>
            </w:pPr>
          </w:p>
        </w:tc>
        <w:tc>
          <w:tcPr>
            <w:tcW w:w="24" w:type="pct"/>
            <w:shd w:val="clear" w:color="auto" w:fill="auto"/>
          </w:tcPr>
          <w:p w14:paraId="36CA2FC9" w14:textId="77777777" w:rsidR="00787570" w:rsidRDefault="00787570">
            <w:pPr>
              <w:rPr>
                <w:rFonts w:ascii="宋体"/>
              </w:rPr>
            </w:pPr>
          </w:p>
        </w:tc>
        <w:tc>
          <w:tcPr>
            <w:tcW w:w="5" w:type="pct"/>
            <w:shd w:val="clear" w:color="auto" w:fill="auto"/>
          </w:tcPr>
          <w:p w14:paraId="36CA2FCA" w14:textId="77777777" w:rsidR="00787570" w:rsidRDefault="00787570">
            <w:pPr>
              <w:rPr>
                <w:rFonts w:ascii="宋体"/>
              </w:rPr>
            </w:pPr>
          </w:p>
        </w:tc>
        <w:tc>
          <w:tcPr>
            <w:tcW w:w="50" w:type="pct"/>
            <w:shd w:val="clear" w:color="auto" w:fill="auto"/>
          </w:tcPr>
          <w:p w14:paraId="36CA2FCB" w14:textId="77777777" w:rsidR="00787570" w:rsidRDefault="00787570">
            <w:pPr>
              <w:rPr>
                <w:rFonts w:ascii="宋体"/>
              </w:rPr>
            </w:pPr>
          </w:p>
        </w:tc>
        <w:tc>
          <w:tcPr>
            <w:tcW w:w="418" w:type="pct"/>
            <w:shd w:val="clear" w:color="auto" w:fill="auto"/>
          </w:tcPr>
          <w:p w14:paraId="36CA2FCC" w14:textId="77777777" w:rsidR="00787570" w:rsidRDefault="00787570">
            <w:pPr>
              <w:rPr>
                <w:rFonts w:ascii="宋体"/>
              </w:rPr>
            </w:pPr>
          </w:p>
        </w:tc>
        <w:tc>
          <w:tcPr>
            <w:tcW w:w="5" w:type="pct"/>
            <w:shd w:val="clear" w:color="auto" w:fill="auto"/>
          </w:tcPr>
          <w:p w14:paraId="36CA2FCD" w14:textId="77777777" w:rsidR="00787570" w:rsidRDefault="00787570">
            <w:pPr>
              <w:rPr>
                <w:rFonts w:ascii="宋体"/>
              </w:rPr>
            </w:pPr>
          </w:p>
        </w:tc>
        <w:tc>
          <w:tcPr>
            <w:tcW w:w="5" w:type="pct"/>
            <w:shd w:val="clear" w:color="auto" w:fill="auto"/>
          </w:tcPr>
          <w:p w14:paraId="36CA2FCE" w14:textId="77777777" w:rsidR="00787570" w:rsidRDefault="00787570">
            <w:pPr>
              <w:rPr>
                <w:rFonts w:ascii="宋体"/>
              </w:rPr>
            </w:pPr>
          </w:p>
        </w:tc>
        <w:tc>
          <w:tcPr>
            <w:tcW w:w="24" w:type="pct"/>
            <w:shd w:val="clear" w:color="auto" w:fill="auto"/>
          </w:tcPr>
          <w:p w14:paraId="36CA2FCF" w14:textId="77777777" w:rsidR="00787570" w:rsidRDefault="00787570">
            <w:pPr>
              <w:rPr>
                <w:rFonts w:ascii="宋体"/>
              </w:rPr>
            </w:pPr>
          </w:p>
        </w:tc>
        <w:tc>
          <w:tcPr>
            <w:tcW w:w="5" w:type="pct"/>
            <w:shd w:val="clear" w:color="auto" w:fill="auto"/>
          </w:tcPr>
          <w:p w14:paraId="36CA2FD0" w14:textId="77777777" w:rsidR="00787570" w:rsidRDefault="00787570">
            <w:pPr>
              <w:rPr>
                <w:rFonts w:ascii="宋体"/>
              </w:rPr>
            </w:pPr>
          </w:p>
        </w:tc>
        <w:tc>
          <w:tcPr>
            <w:tcW w:w="50" w:type="pct"/>
            <w:shd w:val="clear" w:color="auto" w:fill="auto"/>
          </w:tcPr>
          <w:p w14:paraId="36CA2FD1" w14:textId="77777777" w:rsidR="00787570" w:rsidRDefault="00787570">
            <w:pPr>
              <w:rPr>
                <w:rFonts w:ascii="宋体"/>
              </w:rPr>
            </w:pPr>
          </w:p>
        </w:tc>
        <w:tc>
          <w:tcPr>
            <w:tcW w:w="405" w:type="pct"/>
            <w:shd w:val="clear" w:color="auto" w:fill="auto"/>
          </w:tcPr>
          <w:p w14:paraId="36CA2FD2" w14:textId="77777777" w:rsidR="00787570" w:rsidRDefault="00787570">
            <w:pPr>
              <w:rPr>
                <w:rFonts w:ascii="宋体"/>
              </w:rPr>
            </w:pPr>
          </w:p>
        </w:tc>
        <w:tc>
          <w:tcPr>
            <w:tcW w:w="5" w:type="pct"/>
            <w:shd w:val="clear" w:color="auto" w:fill="auto"/>
          </w:tcPr>
          <w:p w14:paraId="36CA2FD3" w14:textId="77777777" w:rsidR="00787570" w:rsidRDefault="00787570">
            <w:pPr>
              <w:rPr>
                <w:rFonts w:ascii="宋体"/>
              </w:rPr>
            </w:pPr>
          </w:p>
        </w:tc>
      </w:tr>
      <w:tr w:rsidR="00787570" w14:paraId="36CA2FE1" w14:textId="77777777">
        <w:tc>
          <w:tcPr>
            <w:tcW w:w="0" w:type="auto"/>
            <w:gridSpan w:val="3"/>
            <w:shd w:val="clear" w:color="auto" w:fill="auto"/>
            <w:tcMar>
              <w:left w:w="20" w:type="dxa"/>
              <w:right w:w="20" w:type="dxa"/>
            </w:tcMar>
            <w:vAlign w:val="bottom"/>
          </w:tcPr>
          <w:p w14:paraId="36CA2FD5"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2FD6" w14:textId="77777777" w:rsidR="00787570" w:rsidRDefault="00787570">
            <w:pPr>
              <w:rPr>
                <w:rFonts w:ascii="宋体"/>
              </w:rPr>
            </w:pPr>
          </w:p>
        </w:tc>
        <w:tc>
          <w:tcPr>
            <w:tcW w:w="0" w:type="auto"/>
            <w:gridSpan w:val="21"/>
            <w:shd w:val="clear" w:color="auto" w:fill="auto"/>
            <w:tcMar>
              <w:top w:w="40" w:type="dxa"/>
              <w:left w:w="20" w:type="dxa"/>
              <w:bottom w:w="40" w:type="dxa"/>
              <w:right w:w="20" w:type="dxa"/>
            </w:tcMar>
            <w:vAlign w:val="bottom"/>
          </w:tcPr>
          <w:p w14:paraId="36CA2FD7" w14:textId="77777777" w:rsidR="00787570" w:rsidRDefault="000D56E2">
            <w:pPr>
              <w:jc w:val="center"/>
              <w:textAlignment w:val="bottom"/>
            </w:pPr>
            <w:r>
              <w:rPr>
                <w:rFonts w:ascii="Arial" w:eastAsia="宋体" w:hAnsi="Arial" w:cs="Arial"/>
                <w:b/>
                <w:bCs/>
                <w:color w:val="333333"/>
                <w:sz w:val="18"/>
                <w:szCs w:val="18"/>
              </w:rPr>
              <w:t>Sep 26, 2020</w:t>
            </w:r>
          </w:p>
        </w:tc>
        <w:tc>
          <w:tcPr>
            <w:tcW w:w="0" w:type="auto"/>
            <w:gridSpan w:val="3"/>
            <w:shd w:val="clear" w:color="auto" w:fill="auto"/>
          </w:tcPr>
          <w:p w14:paraId="36CA2FD8" w14:textId="77777777" w:rsidR="00787570" w:rsidRDefault="00787570">
            <w:pPr>
              <w:rPr>
                <w:rFonts w:ascii="宋体"/>
                <w:vanish/>
              </w:rPr>
            </w:pPr>
          </w:p>
        </w:tc>
        <w:tc>
          <w:tcPr>
            <w:tcW w:w="0" w:type="auto"/>
            <w:gridSpan w:val="3"/>
            <w:shd w:val="clear" w:color="auto" w:fill="auto"/>
          </w:tcPr>
          <w:p w14:paraId="36CA2FD9" w14:textId="77777777" w:rsidR="00787570" w:rsidRDefault="00787570">
            <w:pPr>
              <w:rPr>
                <w:rFonts w:ascii="宋体"/>
                <w:vanish/>
              </w:rPr>
            </w:pPr>
          </w:p>
        </w:tc>
        <w:tc>
          <w:tcPr>
            <w:tcW w:w="0" w:type="auto"/>
            <w:gridSpan w:val="3"/>
            <w:shd w:val="clear" w:color="auto" w:fill="auto"/>
          </w:tcPr>
          <w:p w14:paraId="36CA2FDA" w14:textId="77777777" w:rsidR="00787570" w:rsidRDefault="00787570">
            <w:pPr>
              <w:rPr>
                <w:rFonts w:ascii="宋体"/>
                <w:vanish/>
              </w:rPr>
            </w:pPr>
          </w:p>
        </w:tc>
        <w:tc>
          <w:tcPr>
            <w:tcW w:w="0" w:type="auto"/>
            <w:gridSpan w:val="3"/>
            <w:shd w:val="clear" w:color="auto" w:fill="auto"/>
          </w:tcPr>
          <w:p w14:paraId="36CA2FDB" w14:textId="77777777" w:rsidR="00787570" w:rsidRDefault="00787570">
            <w:pPr>
              <w:rPr>
                <w:rFonts w:ascii="宋体"/>
                <w:vanish/>
              </w:rPr>
            </w:pPr>
          </w:p>
        </w:tc>
        <w:tc>
          <w:tcPr>
            <w:tcW w:w="0" w:type="auto"/>
            <w:gridSpan w:val="3"/>
            <w:shd w:val="clear" w:color="auto" w:fill="auto"/>
          </w:tcPr>
          <w:p w14:paraId="36CA2FDC" w14:textId="77777777" w:rsidR="00787570" w:rsidRDefault="00787570">
            <w:pPr>
              <w:rPr>
                <w:rFonts w:ascii="宋体"/>
                <w:vanish/>
              </w:rPr>
            </w:pPr>
          </w:p>
        </w:tc>
        <w:tc>
          <w:tcPr>
            <w:tcW w:w="0" w:type="auto"/>
            <w:gridSpan w:val="3"/>
            <w:shd w:val="clear" w:color="auto" w:fill="auto"/>
          </w:tcPr>
          <w:p w14:paraId="36CA2FDD" w14:textId="77777777" w:rsidR="00787570" w:rsidRDefault="00787570">
            <w:pPr>
              <w:rPr>
                <w:rFonts w:ascii="宋体"/>
                <w:vanish/>
              </w:rPr>
            </w:pPr>
          </w:p>
        </w:tc>
        <w:tc>
          <w:tcPr>
            <w:tcW w:w="0" w:type="auto"/>
            <w:gridSpan w:val="3"/>
            <w:shd w:val="clear" w:color="auto" w:fill="auto"/>
            <w:tcMar>
              <w:left w:w="20" w:type="dxa"/>
              <w:right w:w="20" w:type="dxa"/>
            </w:tcMar>
            <w:vAlign w:val="bottom"/>
          </w:tcPr>
          <w:p w14:paraId="36CA2FDE" w14:textId="77777777" w:rsidR="00787570" w:rsidRDefault="00787570">
            <w:pPr>
              <w:rPr>
                <w:rFonts w:ascii="宋体"/>
              </w:rPr>
            </w:pPr>
          </w:p>
        </w:tc>
        <w:tc>
          <w:tcPr>
            <w:tcW w:w="0" w:type="auto"/>
            <w:gridSpan w:val="14"/>
            <w:shd w:val="clear" w:color="auto" w:fill="auto"/>
            <w:tcMar>
              <w:top w:w="40" w:type="dxa"/>
              <w:left w:w="20" w:type="dxa"/>
              <w:bottom w:w="40" w:type="dxa"/>
              <w:right w:w="20" w:type="dxa"/>
            </w:tcMar>
            <w:vAlign w:val="bottom"/>
          </w:tcPr>
          <w:p w14:paraId="36CA2FDF" w14:textId="77777777" w:rsidR="00787570" w:rsidRDefault="000D56E2">
            <w:pPr>
              <w:jc w:val="center"/>
              <w:textAlignment w:val="bottom"/>
            </w:pPr>
            <w:r>
              <w:rPr>
                <w:rFonts w:ascii="Arial" w:eastAsia="宋体" w:hAnsi="Arial" w:cs="Arial"/>
                <w:b/>
                <w:bCs/>
                <w:color w:val="333333"/>
                <w:sz w:val="18"/>
                <w:szCs w:val="18"/>
              </w:rPr>
              <w:t>Dec 28, 2019</w:t>
            </w:r>
          </w:p>
        </w:tc>
        <w:tc>
          <w:tcPr>
            <w:tcW w:w="0" w:type="auto"/>
            <w:shd w:val="clear" w:color="auto" w:fill="auto"/>
          </w:tcPr>
          <w:p w14:paraId="36CA2FE0" w14:textId="77777777" w:rsidR="00787570" w:rsidRDefault="00787570">
            <w:pPr>
              <w:rPr>
                <w:rFonts w:ascii="宋体"/>
                <w:vanish/>
              </w:rPr>
            </w:pPr>
          </w:p>
        </w:tc>
      </w:tr>
      <w:tr w:rsidR="00787570" w14:paraId="36CA2FFF" w14:textId="77777777">
        <w:tc>
          <w:tcPr>
            <w:tcW w:w="0" w:type="auto"/>
            <w:gridSpan w:val="3"/>
            <w:shd w:val="clear" w:color="auto" w:fill="auto"/>
            <w:tcMar>
              <w:top w:w="40" w:type="dxa"/>
              <w:left w:w="20" w:type="dxa"/>
              <w:bottom w:w="40" w:type="dxa"/>
              <w:right w:w="20" w:type="dxa"/>
            </w:tcMar>
            <w:vAlign w:val="bottom"/>
          </w:tcPr>
          <w:p w14:paraId="36CA2FE2" w14:textId="77777777" w:rsidR="00787570" w:rsidRDefault="000D56E2">
            <w:pPr>
              <w:ind w:hanging="180"/>
              <w:textAlignment w:val="bottom"/>
            </w:pPr>
            <w:r>
              <w:rPr>
                <w:rFonts w:ascii="Arial" w:eastAsia="宋体" w:hAnsi="Arial" w:cs="Arial"/>
                <w:b/>
                <w:bCs/>
                <w:color w:val="333333"/>
                <w:sz w:val="18"/>
                <w:szCs w:val="18"/>
              </w:rPr>
              <w:t>(In Millions)</w:t>
            </w:r>
          </w:p>
        </w:tc>
        <w:tc>
          <w:tcPr>
            <w:tcW w:w="0" w:type="auto"/>
            <w:gridSpan w:val="3"/>
            <w:shd w:val="clear" w:color="auto" w:fill="auto"/>
            <w:tcMar>
              <w:left w:w="20" w:type="dxa"/>
              <w:right w:w="20" w:type="dxa"/>
            </w:tcMar>
            <w:vAlign w:val="bottom"/>
          </w:tcPr>
          <w:p w14:paraId="36CA2FE3" w14:textId="77777777" w:rsidR="00787570" w:rsidRDefault="00787570">
            <w:pPr>
              <w:rPr>
                <w:rFonts w:ascii="宋体"/>
              </w:rPr>
            </w:pPr>
          </w:p>
        </w:tc>
        <w:tc>
          <w:tcPr>
            <w:tcW w:w="0" w:type="auto"/>
            <w:gridSpan w:val="3"/>
            <w:tcBorders>
              <w:top w:val="single" w:sz="8" w:space="0" w:color="0071C5"/>
            </w:tcBorders>
            <w:shd w:val="clear" w:color="auto" w:fill="auto"/>
            <w:tcMar>
              <w:top w:w="40" w:type="dxa"/>
              <w:left w:w="20" w:type="dxa"/>
              <w:bottom w:w="40" w:type="dxa"/>
              <w:right w:w="20" w:type="dxa"/>
            </w:tcMar>
            <w:vAlign w:val="bottom"/>
          </w:tcPr>
          <w:p w14:paraId="36CA2FE4" w14:textId="77777777" w:rsidR="00787570" w:rsidRDefault="000D56E2">
            <w:pPr>
              <w:jc w:val="center"/>
              <w:textAlignment w:val="bottom"/>
            </w:pPr>
            <w:r>
              <w:rPr>
                <w:rFonts w:ascii="Arial" w:eastAsia="宋体" w:hAnsi="Arial" w:cs="Arial"/>
                <w:b/>
                <w:bCs/>
                <w:color w:val="333333"/>
                <w:sz w:val="18"/>
                <w:szCs w:val="18"/>
              </w:rPr>
              <w:t>Adjusted Cost</w:t>
            </w:r>
          </w:p>
        </w:tc>
        <w:tc>
          <w:tcPr>
            <w:tcW w:w="0" w:type="auto"/>
            <w:gridSpan w:val="3"/>
            <w:tcBorders>
              <w:top w:val="single" w:sz="8" w:space="0" w:color="0071C5"/>
            </w:tcBorders>
            <w:shd w:val="clear" w:color="auto" w:fill="auto"/>
            <w:tcMar>
              <w:left w:w="20" w:type="dxa"/>
              <w:right w:w="20" w:type="dxa"/>
            </w:tcMar>
            <w:vAlign w:val="bottom"/>
          </w:tcPr>
          <w:p w14:paraId="36CA2FE5" w14:textId="77777777" w:rsidR="00787570" w:rsidRDefault="00787570">
            <w:pPr>
              <w:rPr>
                <w:rFonts w:ascii="宋体"/>
              </w:rPr>
            </w:pPr>
          </w:p>
        </w:tc>
        <w:tc>
          <w:tcPr>
            <w:tcW w:w="0" w:type="auto"/>
            <w:gridSpan w:val="3"/>
            <w:tcBorders>
              <w:top w:val="single" w:sz="8" w:space="0" w:color="0071C5"/>
            </w:tcBorders>
            <w:shd w:val="clear" w:color="auto" w:fill="auto"/>
            <w:tcMar>
              <w:top w:w="40" w:type="dxa"/>
              <w:left w:w="20" w:type="dxa"/>
              <w:bottom w:w="40" w:type="dxa"/>
              <w:right w:w="20" w:type="dxa"/>
            </w:tcMar>
            <w:vAlign w:val="bottom"/>
          </w:tcPr>
          <w:p w14:paraId="36CA2FE6" w14:textId="77777777" w:rsidR="00787570" w:rsidRDefault="000D56E2">
            <w:pPr>
              <w:jc w:val="center"/>
              <w:textAlignment w:val="bottom"/>
            </w:pPr>
            <w:r>
              <w:rPr>
                <w:rFonts w:ascii="Arial" w:eastAsia="宋体" w:hAnsi="Arial" w:cs="Arial"/>
                <w:b/>
                <w:bCs/>
                <w:color w:val="333333"/>
                <w:sz w:val="18"/>
                <w:szCs w:val="18"/>
              </w:rPr>
              <w:t>Gross Unrealized Gains</w:t>
            </w:r>
          </w:p>
        </w:tc>
        <w:tc>
          <w:tcPr>
            <w:tcW w:w="0" w:type="auto"/>
            <w:gridSpan w:val="3"/>
            <w:tcBorders>
              <w:top w:val="single" w:sz="8" w:space="0" w:color="0071C5"/>
            </w:tcBorders>
            <w:shd w:val="clear" w:color="auto" w:fill="auto"/>
            <w:tcMar>
              <w:left w:w="20" w:type="dxa"/>
              <w:right w:w="20" w:type="dxa"/>
            </w:tcMar>
            <w:vAlign w:val="bottom"/>
          </w:tcPr>
          <w:p w14:paraId="36CA2FE7" w14:textId="77777777" w:rsidR="00787570" w:rsidRDefault="00787570">
            <w:pPr>
              <w:rPr>
                <w:rFonts w:ascii="宋体"/>
              </w:rPr>
            </w:pPr>
          </w:p>
        </w:tc>
        <w:tc>
          <w:tcPr>
            <w:tcW w:w="0" w:type="auto"/>
            <w:gridSpan w:val="3"/>
            <w:tcBorders>
              <w:top w:val="single" w:sz="8" w:space="0" w:color="0071C5"/>
            </w:tcBorders>
            <w:shd w:val="clear" w:color="auto" w:fill="auto"/>
            <w:tcMar>
              <w:top w:w="40" w:type="dxa"/>
              <w:left w:w="20" w:type="dxa"/>
              <w:bottom w:w="40" w:type="dxa"/>
              <w:right w:w="20" w:type="dxa"/>
            </w:tcMar>
            <w:vAlign w:val="bottom"/>
          </w:tcPr>
          <w:p w14:paraId="36CA2FE8" w14:textId="77777777" w:rsidR="00787570" w:rsidRDefault="000D56E2">
            <w:pPr>
              <w:jc w:val="center"/>
              <w:textAlignment w:val="bottom"/>
            </w:pPr>
            <w:r>
              <w:rPr>
                <w:rFonts w:ascii="Arial" w:eastAsia="宋体" w:hAnsi="Arial" w:cs="Arial"/>
                <w:b/>
                <w:bCs/>
                <w:color w:val="333333"/>
                <w:sz w:val="18"/>
                <w:szCs w:val="18"/>
              </w:rPr>
              <w:t>Gross Unrealized Losses</w:t>
            </w:r>
          </w:p>
        </w:tc>
        <w:tc>
          <w:tcPr>
            <w:tcW w:w="0" w:type="auto"/>
            <w:gridSpan w:val="3"/>
            <w:tcBorders>
              <w:top w:val="single" w:sz="8" w:space="0" w:color="0071C5"/>
            </w:tcBorders>
            <w:shd w:val="clear" w:color="auto" w:fill="auto"/>
            <w:tcMar>
              <w:left w:w="20" w:type="dxa"/>
              <w:right w:w="20" w:type="dxa"/>
            </w:tcMar>
            <w:vAlign w:val="bottom"/>
          </w:tcPr>
          <w:p w14:paraId="36CA2FE9" w14:textId="77777777" w:rsidR="00787570" w:rsidRDefault="00787570">
            <w:pPr>
              <w:rPr>
                <w:rFonts w:ascii="宋体"/>
              </w:rPr>
            </w:pPr>
          </w:p>
        </w:tc>
        <w:tc>
          <w:tcPr>
            <w:tcW w:w="0" w:type="auto"/>
            <w:gridSpan w:val="3"/>
            <w:tcBorders>
              <w:top w:val="single" w:sz="8" w:space="0" w:color="0071C5"/>
            </w:tcBorders>
            <w:shd w:val="clear" w:color="auto" w:fill="auto"/>
            <w:tcMar>
              <w:top w:w="40" w:type="dxa"/>
              <w:left w:w="20" w:type="dxa"/>
              <w:bottom w:w="40" w:type="dxa"/>
              <w:right w:w="20" w:type="dxa"/>
            </w:tcMar>
            <w:vAlign w:val="bottom"/>
          </w:tcPr>
          <w:p w14:paraId="36CA2FEA" w14:textId="77777777" w:rsidR="00787570" w:rsidRDefault="000D56E2">
            <w:pPr>
              <w:jc w:val="center"/>
              <w:textAlignment w:val="bottom"/>
            </w:pPr>
            <w:r>
              <w:rPr>
                <w:rFonts w:ascii="Arial" w:eastAsia="宋体" w:hAnsi="Arial" w:cs="Arial"/>
                <w:b/>
                <w:bCs/>
                <w:color w:val="333333"/>
                <w:sz w:val="18"/>
                <w:szCs w:val="18"/>
              </w:rPr>
              <w:t>Fair Value</w:t>
            </w:r>
          </w:p>
        </w:tc>
        <w:tc>
          <w:tcPr>
            <w:tcW w:w="0" w:type="auto"/>
            <w:gridSpan w:val="3"/>
            <w:shd w:val="clear" w:color="auto" w:fill="auto"/>
            <w:tcMar>
              <w:left w:w="20" w:type="dxa"/>
              <w:right w:w="20" w:type="dxa"/>
            </w:tcMar>
            <w:vAlign w:val="bottom"/>
          </w:tcPr>
          <w:p w14:paraId="36CA2FEB" w14:textId="77777777" w:rsidR="00787570" w:rsidRDefault="00787570">
            <w:pPr>
              <w:rPr>
                <w:rFonts w:ascii="宋体"/>
              </w:rPr>
            </w:pPr>
          </w:p>
        </w:tc>
        <w:tc>
          <w:tcPr>
            <w:tcW w:w="0" w:type="auto"/>
            <w:gridSpan w:val="3"/>
            <w:tcBorders>
              <w:top w:val="single" w:sz="8" w:space="0" w:color="0071C5"/>
            </w:tcBorders>
            <w:shd w:val="clear" w:color="auto" w:fill="auto"/>
            <w:tcMar>
              <w:top w:w="40" w:type="dxa"/>
              <w:left w:w="20" w:type="dxa"/>
              <w:bottom w:w="40" w:type="dxa"/>
              <w:right w:w="20" w:type="dxa"/>
            </w:tcMar>
            <w:vAlign w:val="bottom"/>
          </w:tcPr>
          <w:p w14:paraId="36CA2FEC" w14:textId="77777777" w:rsidR="00787570" w:rsidRDefault="000D56E2">
            <w:pPr>
              <w:jc w:val="center"/>
              <w:textAlignment w:val="bottom"/>
            </w:pPr>
            <w:r>
              <w:rPr>
                <w:rFonts w:ascii="Arial" w:eastAsia="宋体" w:hAnsi="Arial" w:cs="Arial"/>
                <w:b/>
                <w:bCs/>
                <w:color w:val="333333"/>
                <w:sz w:val="18"/>
                <w:szCs w:val="18"/>
              </w:rPr>
              <w:t>Adjusted Cost</w:t>
            </w:r>
          </w:p>
        </w:tc>
        <w:tc>
          <w:tcPr>
            <w:tcW w:w="0" w:type="auto"/>
            <w:gridSpan w:val="3"/>
            <w:tcBorders>
              <w:top w:val="single" w:sz="8" w:space="0" w:color="0071C5"/>
            </w:tcBorders>
            <w:shd w:val="clear" w:color="auto" w:fill="auto"/>
            <w:tcMar>
              <w:left w:w="20" w:type="dxa"/>
              <w:right w:w="20" w:type="dxa"/>
            </w:tcMar>
            <w:vAlign w:val="bottom"/>
          </w:tcPr>
          <w:p w14:paraId="36CA2FED" w14:textId="77777777" w:rsidR="00787570" w:rsidRDefault="00787570">
            <w:pPr>
              <w:rPr>
                <w:rFonts w:ascii="宋体"/>
              </w:rPr>
            </w:pPr>
          </w:p>
        </w:tc>
        <w:tc>
          <w:tcPr>
            <w:tcW w:w="0" w:type="auto"/>
            <w:gridSpan w:val="3"/>
            <w:tcBorders>
              <w:top w:val="single" w:sz="8" w:space="0" w:color="0071C5"/>
            </w:tcBorders>
            <w:shd w:val="clear" w:color="auto" w:fill="auto"/>
            <w:tcMar>
              <w:top w:w="40" w:type="dxa"/>
              <w:left w:w="20" w:type="dxa"/>
              <w:bottom w:w="40" w:type="dxa"/>
              <w:right w:w="20" w:type="dxa"/>
            </w:tcMar>
            <w:vAlign w:val="bottom"/>
          </w:tcPr>
          <w:p w14:paraId="36CA2FEE" w14:textId="77777777" w:rsidR="00787570" w:rsidRDefault="000D56E2">
            <w:pPr>
              <w:jc w:val="center"/>
              <w:textAlignment w:val="bottom"/>
            </w:pPr>
            <w:r>
              <w:rPr>
                <w:rFonts w:ascii="Arial" w:eastAsia="宋体" w:hAnsi="Arial" w:cs="Arial"/>
                <w:b/>
                <w:bCs/>
                <w:color w:val="333333"/>
                <w:sz w:val="18"/>
                <w:szCs w:val="18"/>
              </w:rPr>
              <w:t>Gross Unrealized Gains</w:t>
            </w:r>
          </w:p>
        </w:tc>
        <w:tc>
          <w:tcPr>
            <w:tcW w:w="0" w:type="auto"/>
            <w:gridSpan w:val="3"/>
            <w:tcBorders>
              <w:top w:val="single" w:sz="8" w:space="0" w:color="0071C5"/>
            </w:tcBorders>
            <w:shd w:val="clear" w:color="auto" w:fill="auto"/>
            <w:tcMar>
              <w:left w:w="20" w:type="dxa"/>
              <w:right w:w="20" w:type="dxa"/>
            </w:tcMar>
            <w:vAlign w:val="bottom"/>
          </w:tcPr>
          <w:p w14:paraId="36CA2FEF" w14:textId="77777777" w:rsidR="00787570" w:rsidRDefault="00787570">
            <w:pPr>
              <w:rPr>
                <w:rFonts w:ascii="宋体"/>
              </w:rPr>
            </w:pPr>
          </w:p>
        </w:tc>
        <w:tc>
          <w:tcPr>
            <w:tcW w:w="0" w:type="auto"/>
            <w:gridSpan w:val="3"/>
            <w:tcBorders>
              <w:top w:val="single" w:sz="8" w:space="0" w:color="0071C5"/>
            </w:tcBorders>
            <w:shd w:val="clear" w:color="auto" w:fill="auto"/>
            <w:tcMar>
              <w:top w:w="40" w:type="dxa"/>
              <w:left w:w="20" w:type="dxa"/>
              <w:bottom w:w="40" w:type="dxa"/>
              <w:right w:w="20" w:type="dxa"/>
            </w:tcMar>
            <w:vAlign w:val="bottom"/>
          </w:tcPr>
          <w:p w14:paraId="36CA2FF0" w14:textId="77777777" w:rsidR="00787570" w:rsidRDefault="000D56E2">
            <w:pPr>
              <w:jc w:val="center"/>
              <w:textAlignment w:val="bottom"/>
            </w:pPr>
            <w:r>
              <w:rPr>
                <w:rFonts w:ascii="Arial" w:eastAsia="宋体" w:hAnsi="Arial" w:cs="Arial"/>
                <w:b/>
                <w:bCs/>
                <w:color w:val="333333"/>
                <w:sz w:val="18"/>
                <w:szCs w:val="18"/>
              </w:rPr>
              <w:t>Gross Unrealized Losses</w:t>
            </w:r>
          </w:p>
        </w:tc>
        <w:tc>
          <w:tcPr>
            <w:tcW w:w="0" w:type="auto"/>
            <w:gridSpan w:val="3"/>
            <w:tcBorders>
              <w:top w:val="single" w:sz="8" w:space="0" w:color="0071C5"/>
            </w:tcBorders>
            <w:shd w:val="clear" w:color="auto" w:fill="auto"/>
            <w:tcMar>
              <w:left w:w="20" w:type="dxa"/>
              <w:right w:w="20" w:type="dxa"/>
            </w:tcMar>
            <w:vAlign w:val="bottom"/>
          </w:tcPr>
          <w:p w14:paraId="36CA2FF1" w14:textId="77777777" w:rsidR="00787570" w:rsidRDefault="00787570">
            <w:pPr>
              <w:rPr>
                <w:rFonts w:ascii="宋体"/>
              </w:rPr>
            </w:pPr>
          </w:p>
        </w:tc>
        <w:tc>
          <w:tcPr>
            <w:tcW w:w="0" w:type="auto"/>
            <w:gridSpan w:val="3"/>
            <w:tcBorders>
              <w:top w:val="single" w:sz="8" w:space="0" w:color="0071C5"/>
            </w:tcBorders>
            <w:shd w:val="clear" w:color="auto" w:fill="auto"/>
            <w:tcMar>
              <w:top w:w="40" w:type="dxa"/>
              <w:left w:w="20" w:type="dxa"/>
              <w:bottom w:w="40" w:type="dxa"/>
              <w:right w:w="20" w:type="dxa"/>
            </w:tcMar>
            <w:vAlign w:val="bottom"/>
          </w:tcPr>
          <w:p w14:paraId="36CA2FF2" w14:textId="77777777" w:rsidR="00787570" w:rsidRDefault="000D56E2">
            <w:pPr>
              <w:jc w:val="center"/>
              <w:textAlignment w:val="bottom"/>
            </w:pPr>
            <w:r>
              <w:rPr>
                <w:rFonts w:ascii="Arial" w:eastAsia="宋体" w:hAnsi="Arial" w:cs="Arial"/>
                <w:b/>
                <w:bCs/>
                <w:color w:val="333333"/>
                <w:sz w:val="18"/>
                <w:szCs w:val="18"/>
              </w:rPr>
              <w:t xml:space="preserve">Fair </w:t>
            </w:r>
            <w:r>
              <w:rPr>
                <w:rFonts w:ascii="Arial" w:eastAsia="宋体" w:hAnsi="Arial" w:cs="Arial"/>
                <w:b/>
                <w:bCs/>
                <w:color w:val="333333"/>
                <w:sz w:val="18"/>
                <w:szCs w:val="18"/>
              </w:rPr>
              <w:t>Value</w:t>
            </w:r>
          </w:p>
        </w:tc>
        <w:tc>
          <w:tcPr>
            <w:tcW w:w="0" w:type="auto"/>
            <w:shd w:val="clear" w:color="auto" w:fill="auto"/>
          </w:tcPr>
          <w:p w14:paraId="36CA2FF3" w14:textId="77777777" w:rsidR="00787570" w:rsidRDefault="00787570">
            <w:pPr>
              <w:rPr>
                <w:rFonts w:ascii="宋体"/>
              </w:rPr>
            </w:pPr>
          </w:p>
        </w:tc>
        <w:tc>
          <w:tcPr>
            <w:tcW w:w="0" w:type="auto"/>
            <w:shd w:val="clear" w:color="auto" w:fill="auto"/>
          </w:tcPr>
          <w:p w14:paraId="36CA2FF4" w14:textId="77777777" w:rsidR="00787570" w:rsidRDefault="00787570">
            <w:pPr>
              <w:rPr>
                <w:rFonts w:ascii="宋体"/>
              </w:rPr>
            </w:pPr>
          </w:p>
        </w:tc>
        <w:tc>
          <w:tcPr>
            <w:tcW w:w="0" w:type="auto"/>
            <w:shd w:val="clear" w:color="auto" w:fill="auto"/>
          </w:tcPr>
          <w:p w14:paraId="36CA2FF5" w14:textId="77777777" w:rsidR="00787570" w:rsidRDefault="00787570">
            <w:pPr>
              <w:rPr>
                <w:rFonts w:ascii="宋体"/>
              </w:rPr>
            </w:pPr>
          </w:p>
        </w:tc>
        <w:tc>
          <w:tcPr>
            <w:tcW w:w="0" w:type="auto"/>
            <w:shd w:val="clear" w:color="auto" w:fill="auto"/>
          </w:tcPr>
          <w:p w14:paraId="36CA2FF6" w14:textId="77777777" w:rsidR="00787570" w:rsidRDefault="00787570">
            <w:pPr>
              <w:rPr>
                <w:rFonts w:ascii="宋体"/>
              </w:rPr>
            </w:pPr>
          </w:p>
        </w:tc>
        <w:tc>
          <w:tcPr>
            <w:tcW w:w="0" w:type="auto"/>
            <w:shd w:val="clear" w:color="auto" w:fill="auto"/>
          </w:tcPr>
          <w:p w14:paraId="36CA2FF7" w14:textId="77777777" w:rsidR="00787570" w:rsidRDefault="00787570">
            <w:pPr>
              <w:rPr>
                <w:rFonts w:ascii="宋体"/>
              </w:rPr>
            </w:pPr>
          </w:p>
        </w:tc>
        <w:tc>
          <w:tcPr>
            <w:tcW w:w="0" w:type="auto"/>
            <w:shd w:val="clear" w:color="auto" w:fill="auto"/>
          </w:tcPr>
          <w:p w14:paraId="36CA2FF8" w14:textId="77777777" w:rsidR="00787570" w:rsidRDefault="00787570">
            <w:pPr>
              <w:rPr>
                <w:rFonts w:ascii="宋体"/>
              </w:rPr>
            </w:pPr>
          </w:p>
        </w:tc>
        <w:tc>
          <w:tcPr>
            <w:tcW w:w="0" w:type="auto"/>
            <w:shd w:val="clear" w:color="auto" w:fill="auto"/>
          </w:tcPr>
          <w:p w14:paraId="36CA2FF9" w14:textId="77777777" w:rsidR="00787570" w:rsidRDefault="00787570">
            <w:pPr>
              <w:rPr>
                <w:rFonts w:ascii="宋体"/>
              </w:rPr>
            </w:pPr>
          </w:p>
        </w:tc>
        <w:tc>
          <w:tcPr>
            <w:tcW w:w="0" w:type="auto"/>
            <w:shd w:val="clear" w:color="auto" w:fill="auto"/>
          </w:tcPr>
          <w:p w14:paraId="36CA2FFA" w14:textId="77777777" w:rsidR="00787570" w:rsidRDefault="00787570">
            <w:pPr>
              <w:rPr>
                <w:rFonts w:ascii="宋体"/>
              </w:rPr>
            </w:pPr>
          </w:p>
        </w:tc>
        <w:tc>
          <w:tcPr>
            <w:tcW w:w="0" w:type="auto"/>
            <w:shd w:val="clear" w:color="auto" w:fill="auto"/>
          </w:tcPr>
          <w:p w14:paraId="36CA2FFB" w14:textId="77777777" w:rsidR="00787570" w:rsidRDefault="00787570">
            <w:pPr>
              <w:rPr>
                <w:rFonts w:ascii="宋体"/>
              </w:rPr>
            </w:pPr>
          </w:p>
        </w:tc>
        <w:tc>
          <w:tcPr>
            <w:tcW w:w="0" w:type="auto"/>
            <w:shd w:val="clear" w:color="auto" w:fill="auto"/>
          </w:tcPr>
          <w:p w14:paraId="36CA2FFC" w14:textId="77777777" w:rsidR="00787570" w:rsidRDefault="00787570">
            <w:pPr>
              <w:rPr>
                <w:rFonts w:ascii="宋体"/>
              </w:rPr>
            </w:pPr>
          </w:p>
        </w:tc>
        <w:tc>
          <w:tcPr>
            <w:tcW w:w="0" w:type="auto"/>
            <w:shd w:val="clear" w:color="auto" w:fill="auto"/>
          </w:tcPr>
          <w:p w14:paraId="36CA2FFD" w14:textId="77777777" w:rsidR="00787570" w:rsidRDefault="00787570">
            <w:pPr>
              <w:rPr>
                <w:rFonts w:ascii="宋体"/>
              </w:rPr>
            </w:pPr>
          </w:p>
        </w:tc>
        <w:tc>
          <w:tcPr>
            <w:tcW w:w="0" w:type="auto"/>
            <w:shd w:val="clear" w:color="auto" w:fill="auto"/>
          </w:tcPr>
          <w:p w14:paraId="36CA2FFE" w14:textId="77777777" w:rsidR="00787570" w:rsidRDefault="00787570">
            <w:pPr>
              <w:rPr>
                <w:rFonts w:ascii="宋体"/>
              </w:rPr>
            </w:pPr>
          </w:p>
        </w:tc>
      </w:tr>
      <w:tr w:rsidR="00787570" w14:paraId="36CA301D" w14:textId="77777777">
        <w:trPr>
          <w:hidden/>
        </w:trPr>
        <w:tc>
          <w:tcPr>
            <w:tcW w:w="0" w:type="auto"/>
            <w:gridSpan w:val="3"/>
            <w:shd w:val="clear" w:color="auto" w:fill="auto"/>
          </w:tcPr>
          <w:p w14:paraId="36CA3000" w14:textId="77777777" w:rsidR="00787570" w:rsidRDefault="00787570">
            <w:pPr>
              <w:rPr>
                <w:rFonts w:ascii="宋体"/>
                <w:vanish/>
              </w:rPr>
            </w:pPr>
          </w:p>
        </w:tc>
        <w:tc>
          <w:tcPr>
            <w:tcW w:w="0" w:type="auto"/>
            <w:gridSpan w:val="3"/>
            <w:shd w:val="clear" w:color="auto" w:fill="auto"/>
          </w:tcPr>
          <w:p w14:paraId="36CA3001" w14:textId="77777777" w:rsidR="00787570" w:rsidRDefault="00787570">
            <w:pPr>
              <w:rPr>
                <w:rFonts w:ascii="宋体"/>
                <w:vanish/>
              </w:rPr>
            </w:pPr>
          </w:p>
        </w:tc>
        <w:tc>
          <w:tcPr>
            <w:tcW w:w="0" w:type="auto"/>
            <w:gridSpan w:val="3"/>
            <w:shd w:val="clear" w:color="auto" w:fill="auto"/>
          </w:tcPr>
          <w:p w14:paraId="36CA3002" w14:textId="77777777" w:rsidR="00787570" w:rsidRDefault="00787570">
            <w:pPr>
              <w:rPr>
                <w:rFonts w:ascii="宋体"/>
                <w:vanish/>
              </w:rPr>
            </w:pPr>
          </w:p>
        </w:tc>
        <w:tc>
          <w:tcPr>
            <w:tcW w:w="0" w:type="auto"/>
            <w:gridSpan w:val="3"/>
            <w:shd w:val="clear" w:color="auto" w:fill="auto"/>
          </w:tcPr>
          <w:p w14:paraId="36CA3003" w14:textId="77777777" w:rsidR="00787570" w:rsidRDefault="00787570">
            <w:pPr>
              <w:rPr>
                <w:rFonts w:ascii="宋体"/>
                <w:vanish/>
              </w:rPr>
            </w:pPr>
          </w:p>
        </w:tc>
        <w:tc>
          <w:tcPr>
            <w:tcW w:w="0" w:type="auto"/>
            <w:gridSpan w:val="3"/>
            <w:shd w:val="clear" w:color="auto" w:fill="auto"/>
          </w:tcPr>
          <w:p w14:paraId="36CA3004" w14:textId="77777777" w:rsidR="00787570" w:rsidRDefault="00787570">
            <w:pPr>
              <w:rPr>
                <w:rFonts w:ascii="宋体"/>
                <w:vanish/>
              </w:rPr>
            </w:pPr>
          </w:p>
        </w:tc>
        <w:tc>
          <w:tcPr>
            <w:tcW w:w="0" w:type="auto"/>
            <w:gridSpan w:val="3"/>
            <w:shd w:val="clear" w:color="auto" w:fill="auto"/>
          </w:tcPr>
          <w:p w14:paraId="36CA3005" w14:textId="77777777" w:rsidR="00787570" w:rsidRDefault="00787570">
            <w:pPr>
              <w:rPr>
                <w:rFonts w:ascii="宋体"/>
                <w:vanish/>
              </w:rPr>
            </w:pPr>
          </w:p>
        </w:tc>
        <w:tc>
          <w:tcPr>
            <w:tcW w:w="0" w:type="auto"/>
            <w:gridSpan w:val="3"/>
            <w:shd w:val="clear" w:color="auto" w:fill="auto"/>
          </w:tcPr>
          <w:p w14:paraId="36CA3006" w14:textId="77777777" w:rsidR="00787570" w:rsidRDefault="00787570">
            <w:pPr>
              <w:rPr>
                <w:rFonts w:ascii="宋体"/>
                <w:vanish/>
              </w:rPr>
            </w:pPr>
          </w:p>
        </w:tc>
        <w:tc>
          <w:tcPr>
            <w:tcW w:w="0" w:type="auto"/>
            <w:gridSpan w:val="3"/>
            <w:shd w:val="clear" w:color="auto" w:fill="auto"/>
          </w:tcPr>
          <w:p w14:paraId="36CA3007" w14:textId="77777777" w:rsidR="00787570" w:rsidRDefault="00787570">
            <w:pPr>
              <w:rPr>
                <w:rFonts w:ascii="宋体"/>
                <w:vanish/>
              </w:rPr>
            </w:pPr>
          </w:p>
        </w:tc>
        <w:tc>
          <w:tcPr>
            <w:tcW w:w="0" w:type="auto"/>
            <w:gridSpan w:val="3"/>
            <w:shd w:val="clear" w:color="auto" w:fill="auto"/>
          </w:tcPr>
          <w:p w14:paraId="36CA3008" w14:textId="77777777" w:rsidR="00787570" w:rsidRDefault="00787570">
            <w:pPr>
              <w:rPr>
                <w:rFonts w:ascii="宋体"/>
                <w:vanish/>
              </w:rPr>
            </w:pPr>
          </w:p>
        </w:tc>
        <w:tc>
          <w:tcPr>
            <w:tcW w:w="0" w:type="auto"/>
            <w:gridSpan w:val="3"/>
            <w:shd w:val="clear" w:color="auto" w:fill="auto"/>
          </w:tcPr>
          <w:p w14:paraId="36CA3009" w14:textId="77777777" w:rsidR="00787570" w:rsidRDefault="00787570">
            <w:pPr>
              <w:rPr>
                <w:rFonts w:ascii="宋体"/>
                <w:vanish/>
              </w:rPr>
            </w:pPr>
          </w:p>
        </w:tc>
        <w:tc>
          <w:tcPr>
            <w:tcW w:w="0" w:type="auto"/>
            <w:gridSpan w:val="3"/>
            <w:shd w:val="clear" w:color="auto" w:fill="auto"/>
          </w:tcPr>
          <w:p w14:paraId="36CA300A" w14:textId="77777777" w:rsidR="00787570" w:rsidRDefault="00787570">
            <w:pPr>
              <w:rPr>
                <w:rFonts w:ascii="宋体"/>
                <w:vanish/>
              </w:rPr>
            </w:pPr>
          </w:p>
        </w:tc>
        <w:tc>
          <w:tcPr>
            <w:tcW w:w="0" w:type="auto"/>
            <w:gridSpan w:val="3"/>
            <w:shd w:val="clear" w:color="auto" w:fill="auto"/>
          </w:tcPr>
          <w:p w14:paraId="36CA300B" w14:textId="77777777" w:rsidR="00787570" w:rsidRDefault="00787570">
            <w:pPr>
              <w:rPr>
                <w:rFonts w:ascii="宋体"/>
                <w:vanish/>
              </w:rPr>
            </w:pPr>
          </w:p>
        </w:tc>
        <w:tc>
          <w:tcPr>
            <w:tcW w:w="0" w:type="auto"/>
            <w:gridSpan w:val="3"/>
            <w:shd w:val="clear" w:color="auto" w:fill="auto"/>
          </w:tcPr>
          <w:p w14:paraId="36CA300C" w14:textId="77777777" w:rsidR="00787570" w:rsidRDefault="00787570">
            <w:pPr>
              <w:rPr>
                <w:rFonts w:ascii="宋体"/>
                <w:vanish/>
              </w:rPr>
            </w:pPr>
          </w:p>
        </w:tc>
        <w:tc>
          <w:tcPr>
            <w:tcW w:w="0" w:type="auto"/>
            <w:gridSpan w:val="3"/>
            <w:shd w:val="clear" w:color="auto" w:fill="auto"/>
          </w:tcPr>
          <w:p w14:paraId="36CA300D" w14:textId="77777777" w:rsidR="00787570" w:rsidRDefault="00787570">
            <w:pPr>
              <w:rPr>
                <w:rFonts w:ascii="宋体"/>
                <w:vanish/>
              </w:rPr>
            </w:pPr>
          </w:p>
        </w:tc>
        <w:tc>
          <w:tcPr>
            <w:tcW w:w="0" w:type="auto"/>
            <w:gridSpan w:val="3"/>
            <w:shd w:val="clear" w:color="auto" w:fill="auto"/>
          </w:tcPr>
          <w:p w14:paraId="36CA300E" w14:textId="77777777" w:rsidR="00787570" w:rsidRDefault="00787570">
            <w:pPr>
              <w:rPr>
                <w:rFonts w:ascii="宋体"/>
                <w:vanish/>
              </w:rPr>
            </w:pPr>
          </w:p>
        </w:tc>
        <w:tc>
          <w:tcPr>
            <w:tcW w:w="0" w:type="auto"/>
            <w:gridSpan w:val="3"/>
            <w:shd w:val="clear" w:color="auto" w:fill="auto"/>
          </w:tcPr>
          <w:p w14:paraId="36CA300F" w14:textId="77777777" w:rsidR="00787570" w:rsidRDefault="00787570">
            <w:pPr>
              <w:rPr>
                <w:rFonts w:ascii="宋体"/>
                <w:vanish/>
              </w:rPr>
            </w:pPr>
          </w:p>
        </w:tc>
        <w:tc>
          <w:tcPr>
            <w:tcW w:w="0" w:type="auto"/>
            <w:gridSpan w:val="3"/>
            <w:shd w:val="clear" w:color="auto" w:fill="auto"/>
          </w:tcPr>
          <w:p w14:paraId="36CA3010" w14:textId="77777777" w:rsidR="00787570" w:rsidRDefault="00787570">
            <w:pPr>
              <w:rPr>
                <w:rFonts w:ascii="宋体"/>
                <w:vanish/>
              </w:rPr>
            </w:pPr>
          </w:p>
        </w:tc>
        <w:tc>
          <w:tcPr>
            <w:tcW w:w="0" w:type="auto"/>
            <w:shd w:val="clear" w:color="auto" w:fill="auto"/>
          </w:tcPr>
          <w:p w14:paraId="36CA3011" w14:textId="77777777" w:rsidR="00787570" w:rsidRDefault="00787570">
            <w:pPr>
              <w:rPr>
                <w:rFonts w:ascii="宋体"/>
              </w:rPr>
            </w:pPr>
          </w:p>
        </w:tc>
        <w:tc>
          <w:tcPr>
            <w:tcW w:w="0" w:type="auto"/>
            <w:shd w:val="clear" w:color="auto" w:fill="auto"/>
          </w:tcPr>
          <w:p w14:paraId="36CA3012" w14:textId="77777777" w:rsidR="00787570" w:rsidRDefault="00787570">
            <w:pPr>
              <w:rPr>
                <w:rFonts w:ascii="宋体"/>
              </w:rPr>
            </w:pPr>
          </w:p>
        </w:tc>
        <w:tc>
          <w:tcPr>
            <w:tcW w:w="0" w:type="auto"/>
            <w:shd w:val="clear" w:color="auto" w:fill="auto"/>
          </w:tcPr>
          <w:p w14:paraId="36CA3013" w14:textId="77777777" w:rsidR="00787570" w:rsidRDefault="00787570">
            <w:pPr>
              <w:rPr>
                <w:rFonts w:ascii="宋体"/>
              </w:rPr>
            </w:pPr>
          </w:p>
        </w:tc>
        <w:tc>
          <w:tcPr>
            <w:tcW w:w="0" w:type="auto"/>
            <w:shd w:val="clear" w:color="auto" w:fill="auto"/>
          </w:tcPr>
          <w:p w14:paraId="36CA3014" w14:textId="77777777" w:rsidR="00787570" w:rsidRDefault="00787570">
            <w:pPr>
              <w:rPr>
                <w:rFonts w:ascii="宋体"/>
              </w:rPr>
            </w:pPr>
          </w:p>
        </w:tc>
        <w:tc>
          <w:tcPr>
            <w:tcW w:w="0" w:type="auto"/>
            <w:shd w:val="clear" w:color="auto" w:fill="auto"/>
          </w:tcPr>
          <w:p w14:paraId="36CA3015" w14:textId="77777777" w:rsidR="00787570" w:rsidRDefault="00787570">
            <w:pPr>
              <w:rPr>
                <w:rFonts w:ascii="宋体"/>
              </w:rPr>
            </w:pPr>
          </w:p>
        </w:tc>
        <w:tc>
          <w:tcPr>
            <w:tcW w:w="0" w:type="auto"/>
            <w:shd w:val="clear" w:color="auto" w:fill="auto"/>
          </w:tcPr>
          <w:p w14:paraId="36CA3016" w14:textId="77777777" w:rsidR="00787570" w:rsidRDefault="00787570">
            <w:pPr>
              <w:rPr>
                <w:rFonts w:ascii="宋体"/>
              </w:rPr>
            </w:pPr>
          </w:p>
        </w:tc>
        <w:tc>
          <w:tcPr>
            <w:tcW w:w="0" w:type="auto"/>
            <w:shd w:val="clear" w:color="auto" w:fill="auto"/>
          </w:tcPr>
          <w:p w14:paraId="36CA3017" w14:textId="77777777" w:rsidR="00787570" w:rsidRDefault="00787570">
            <w:pPr>
              <w:rPr>
                <w:rFonts w:ascii="宋体"/>
              </w:rPr>
            </w:pPr>
          </w:p>
        </w:tc>
        <w:tc>
          <w:tcPr>
            <w:tcW w:w="0" w:type="auto"/>
            <w:shd w:val="clear" w:color="auto" w:fill="auto"/>
          </w:tcPr>
          <w:p w14:paraId="36CA3018" w14:textId="77777777" w:rsidR="00787570" w:rsidRDefault="00787570">
            <w:pPr>
              <w:rPr>
                <w:rFonts w:ascii="宋体"/>
              </w:rPr>
            </w:pPr>
          </w:p>
        </w:tc>
        <w:tc>
          <w:tcPr>
            <w:tcW w:w="0" w:type="auto"/>
            <w:shd w:val="clear" w:color="auto" w:fill="auto"/>
          </w:tcPr>
          <w:p w14:paraId="36CA3019" w14:textId="77777777" w:rsidR="00787570" w:rsidRDefault="00787570">
            <w:pPr>
              <w:rPr>
                <w:rFonts w:ascii="宋体"/>
              </w:rPr>
            </w:pPr>
          </w:p>
        </w:tc>
        <w:tc>
          <w:tcPr>
            <w:tcW w:w="0" w:type="auto"/>
            <w:shd w:val="clear" w:color="auto" w:fill="auto"/>
          </w:tcPr>
          <w:p w14:paraId="36CA301A" w14:textId="77777777" w:rsidR="00787570" w:rsidRDefault="00787570">
            <w:pPr>
              <w:rPr>
                <w:rFonts w:ascii="宋体"/>
              </w:rPr>
            </w:pPr>
          </w:p>
        </w:tc>
        <w:tc>
          <w:tcPr>
            <w:tcW w:w="0" w:type="auto"/>
            <w:shd w:val="clear" w:color="auto" w:fill="auto"/>
          </w:tcPr>
          <w:p w14:paraId="36CA301B" w14:textId="77777777" w:rsidR="00787570" w:rsidRDefault="00787570">
            <w:pPr>
              <w:rPr>
                <w:rFonts w:ascii="宋体"/>
              </w:rPr>
            </w:pPr>
          </w:p>
        </w:tc>
        <w:tc>
          <w:tcPr>
            <w:tcW w:w="0" w:type="auto"/>
            <w:shd w:val="clear" w:color="auto" w:fill="auto"/>
          </w:tcPr>
          <w:p w14:paraId="36CA301C" w14:textId="77777777" w:rsidR="00787570" w:rsidRDefault="00787570">
            <w:pPr>
              <w:rPr>
                <w:rFonts w:ascii="宋体"/>
              </w:rPr>
            </w:pPr>
          </w:p>
        </w:tc>
      </w:tr>
      <w:tr w:rsidR="00787570" w14:paraId="36CA304B" w14:textId="77777777">
        <w:tc>
          <w:tcPr>
            <w:tcW w:w="0" w:type="auto"/>
            <w:gridSpan w:val="3"/>
            <w:tcBorders>
              <w:top w:val="single" w:sz="8" w:space="0" w:color="0071C5"/>
            </w:tcBorders>
            <w:shd w:val="clear" w:color="auto" w:fill="auto"/>
            <w:tcMar>
              <w:top w:w="40" w:type="dxa"/>
              <w:left w:w="20" w:type="dxa"/>
              <w:bottom w:w="40" w:type="dxa"/>
              <w:right w:w="20" w:type="dxa"/>
            </w:tcMar>
          </w:tcPr>
          <w:p w14:paraId="36CA301E" w14:textId="77777777" w:rsidR="00787570" w:rsidRDefault="000D56E2">
            <w:pPr>
              <w:textAlignment w:val="top"/>
            </w:pPr>
            <w:r>
              <w:rPr>
                <w:rFonts w:ascii="Arial" w:eastAsia="宋体" w:hAnsi="Arial" w:cs="Arial"/>
                <w:color w:val="333333"/>
                <w:sz w:val="18"/>
                <w:szCs w:val="18"/>
              </w:rPr>
              <w:t>Corporate debt</w:t>
            </w:r>
          </w:p>
        </w:tc>
        <w:tc>
          <w:tcPr>
            <w:tcW w:w="0" w:type="auto"/>
            <w:gridSpan w:val="3"/>
            <w:shd w:val="clear" w:color="auto" w:fill="auto"/>
            <w:tcMar>
              <w:left w:w="20" w:type="dxa"/>
              <w:right w:w="20" w:type="dxa"/>
            </w:tcMar>
            <w:vAlign w:val="bottom"/>
          </w:tcPr>
          <w:p w14:paraId="36CA301F" w14:textId="77777777" w:rsidR="00787570" w:rsidRDefault="00787570">
            <w:pPr>
              <w:rPr>
                <w:rFonts w:ascii="宋体"/>
              </w:rPr>
            </w:pPr>
          </w:p>
        </w:tc>
        <w:tc>
          <w:tcPr>
            <w:tcW w:w="0" w:type="auto"/>
            <w:tcBorders>
              <w:top w:val="single" w:sz="8" w:space="0" w:color="0071C5"/>
            </w:tcBorders>
            <w:shd w:val="clear" w:color="auto" w:fill="auto"/>
            <w:tcMar>
              <w:top w:w="40" w:type="dxa"/>
              <w:left w:w="20" w:type="dxa"/>
              <w:bottom w:w="40" w:type="dxa"/>
            </w:tcMar>
            <w:vAlign w:val="bottom"/>
          </w:tcPr>
          <w:p w14:paraId="36CA3020" w14:textId="77777777" w:rsidR="00787570" w:rsidRDefault="000D56E2">
            <w:pPr>
              <w:textAlignment w:val="bottom"/>
            </w:pPr>
            <w:r>
              <w:rPr>
                <w:rFonts w:ascii="Arial" w:eastAsia="宋体" w:hAnsi="Arial" w:cs="Arial"/>
                <w:color w:val="026DCE"/>
                <w:sz w:val="18"/>
                <w:szCs w:val="18"/>
              </w:rPr>
              <w:t>$</w:t>
            </w:r>
          </w:p>
        </w:tc>
        <w:tc>
          <w:tcPr>
            <w:tcW w:w="0" w:type="auto"/>
            <w:tcBorders>
              <w:top w:val="single" w:sz="8" w:space="0" w:color="0071C5"/>
            </w:tcBorders>
            <w:shd w:val="clear" w:color="auto" w:fill="auto"/>
            <w:tcMar>
              <w:top w:w="40" w:type="dxa"/>
              <w:bottom w:w="40" w:type="dxa"/>
              <w:right w:w="0" w:type="dxa"/>
            </w:tcMar>
            <w:vAlign w:val="bottom"/>
          </w:tcPr>
          <w:p w14:paraId="36CA3021" w14:textId="77777777" w:rsidR="00787570" w:rsidRDefault="000D56E2">
            <w:pPr>
              <w:jc w:val="right"/>
              <w:textAlignment w:val="bottom"/>
            </w:pPr>
            <w:r>
              <w:rPr>
                <w:rFonts w:ascii="Arial" w:eastAsia="宋体" w:hAnsi="Arial" w:cs="Arial"/>
                <w:color w:val="026DCE"/>
                <w:sz w:val="18"/>
                <w:szCs w:val="18"/>
              </w:rPr>
              <w:t>2,077 </w:t>
            </w:r>
          </w:p>
        </w:tc>
        <w:tc>
          <w:tcPr>
            <w:tcW w:w="0" w:type="auto"/>
            <w:tcBorders>
              <w:top w:val="single" w:sz="8" w:space="0" w:color="0071C5"/>
            </w:tcBorders>
            <w:shd w:val="clear" w:color="auto" w:fill="auto"/>
            <w:tcMar>
              <w:top w:w="40" w:type="dxa"/>
              <w:bottom w:w="40" w:type="dxa"/>
              <w:right w:w="20" w:type="dxa"/>
            </w:tcMar>
            <w:vAlign w:val="bottom"/>
          </w:tcPr>
          <w:p w14:paraId="36CA3022"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3023" w14:textId="77777777" w:rsidR="00787570" w:rsidRDefault="00787570">
            <w:pPr>
              <w:rPr>
                <w:rFonts w:ascii="宋体"/>
              </w:rPr>
            </w:pPr>
          </w:p>
        </w:tc>
        <w:tc>
          <w:tcPr>
            <w:tcW w:w="0" w:type="auto"/>
            <w:tcBorders>
              <w:top w:val="single" w:sz="8" w:space="0" w:color="0071C5"/>
            </w:tcBorders>
            <w:shd w:val="clear" w:color="auto" w:fill="auto"/>
            <w:tcMar>
              <w:top w:w="40" w:type="dxa"/>
              <w:left w:w="20" w:type="dxa"/>
              <w:bottom w:w="40" w:type="dxa"/>
            </w:tcMar>
            <w:vAlign w:val="bottom"/>
          </w:tcPr>
          <w:p w14:paraId="36CA3024" w14:textId="77777777" w:rsidR="00787570" w:rsidRDefault="000D56E2">
            <w:pPr>
              <w:textAlignment w:val="bottom"/>
            </w:pPr>
            <w:r>
              <w:rPr>
                <w:rFonts w:ascii="Arial" w:eastAsia="宋体" w:hAnsi="Arial" w:cs="Arial"/>
                <w:color w:val="026DCE"/>
                <w:sz w:val="18"/>
                <w:szCs w:val="18"/>
              </w:rPr>
              <w:t>$</w:t>
            </w:r>
          </w:p>
        </w:tc>
        <w:tc>
          <w:tcPr>
            <w:tcW w:w="0" w:type="auto"/>
            <w:tcBorders>
              <w:top w:val="single" w:sz="8" w:space="0" w:color="0071C5"/>
            </w:tcBorders>
            <w:shd w:val="clear" w:color="auto" w:fill="auto"/>
            <w:tcMar>
              <w:top w:w="40" w:type="dxa"/>
              <w:bottom w:w="40" w:type="dxa"/>
              <w:right w:w="0" w:type="dxa"/>
            </w:tcMar>
            <w:vAlign w:val="bottom"/>
          </w:tcPr>
          <w:p w14:paraId="36CA3025" w14:textId="77777777" w:rsidR="00787570" w:rsidRDefault="000D56E2">
            <w:pPr>
              <w:jc w:val="right"/>
              <w:textAlignment w:val="bottom"/>
            </w:pPr>
            <w:r>
              <w:rPr>
                <w:rFonts w:ascii="Arial" w:eastAsia="宋体" w:hAnsi="Arial" w:cs="Arial"/>
                <w:color w:val="026DCE"/>
                <w:sz w:val="18"/>
                <w:szCs w:val="18"/>
              </w:rPr>
              <w:t>92 </w:t>
            </w:r>
          </w:p>
        </w:tc>
        <w:tc>
          <w:tcPr>
            <w:tcW w:w="0" w:type="auto"/>
            <w:tcBorders>
              <w:top w:val="single" w:sz="8" w:space="0" w:color="0071C5"/>
            </w:tcBorders>
            <w:shd w:val="clear" w:color="auto" w:fill="auto"/>
            <w:tcMar>
              <w:top w:w="40" w:type="dxa"/>
              <w:bottom w:w="40" w:type="dxa"/>
              <w:right w:w="20" w:type="dxa"/>
            </w:tcMar>
            <w:vAlign w:val="bottom"/>
          </w:tcPr>
          <w:p w14:paraId="36CA3026"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3027" w14:textId="77777777" w:rsidR="00787570" w:rsidRDefault="00787570">
            <w:pPr>
              <w:rPr>
                <w:rFonts w:ascii="宋体"/>
              </w:rPr>
            </w:pPr>
          </w:p>
        </w:tc>
        <w:tc>
          <w:tcPr>
            <w:tcW w:w="0" w:type="auto"/>
            <w:tcBorders>
              <w:top w:val="single" w:sz="8" w:space="0" w:color="0071C5"/>
            </w:tcBorders>
            <w:shd w:val="clear" w:color="auto" w:fill="auto"/>
            <w:tcMar>
              <w:top w:w="40" w:type="dxa"/>
              <w:left w:w="20" w:type="dxa"/>
              <w:bottom w:w="40" w:type="dxa"/>
            </w:tcMar>
            <w:vAlign w:val="bottom"/>
          </w:tcPr>
          <w:p w14:paraId="36CA3028" w14:textId="77777777" w:rsidR="00787570" w:rsidRDefault="000D56E2">
            <w:pPr>
              <w:textAlignment w:val="bottom"/>
            </w:pPr>
            <w:r>
              <w:rPr>
                <w:rFonts w:ascii="Arial" w:eastAsia="宋体" w:hAnsi="Arial" w:cs="Arial"/>
                <w:color w:val="026DCE"/>
                <w:sz w:val="18"/>
                <w:szCs w:val="18"/>
              </w:rPr>
              <w:t>$</w:t>
            </w:r>
          </w:p>
        </w:tc>
        <w:tc>
          <w:tcPr>
            <w:tcW w:w="0" w:type="auto"/>
            <w:tcBorders>
              <w:top w:val="single" w:sz="8" w:space="0" w:color="0071C5"/>
            </w:tcBorders>
            <w:shd w:val="clear" w:color="auto" w:fill="auto"/>
            <w:tcMar>
              <w:top w:w="40" w:type="dxa"/>
              <w:bottom w:w="40" w:type="dxa"/>
              <w:right w:w="0" w:type="dxa"/>
            </w:tcMar>
            <w:vAlign w:val="bottom"/>
          </w:tcPr>
          <w:p w14:paraId="36CA3029" w14:textId="77777777" w:rsidR="00787570" w:rsidRDefault="000D56E2">
            <w:pPr>
              <w:jc w:val="right"/>
              <w:textAlignment w:val="bottom"/>
            </w:pPr>
            <w:r>
              <w:rPr>
                <w:rFonts w:ascii="Arial" w:eastAsia="宋体" w:hAnsi="Arial" w:cs="Arial"/>
                <w:color w:val="026DCE"/>
                <w:sz w:val="18"/>
                <w:szCs w:val="18"/>
              </w:rPr>
              <w:t>— </w:t>
            </w:r>
          </w:p>
        </w:tc>
        <w:tc>
          <w:tcPr>
            <w:tcW w:w="0" w:type="auto"/>
            <w:tcBorders>
              <w:top w:val="single" w:sz="8" w:space="0" w:color="0071C5"/>
            </w:tcBorders>
            <w:shd w:val="clear" w:color="auto" w:fill="auto"/>
            <w:tcMar>
              <w:top w:w="40" w:type="dxa"/>
              <w:bottom w:w="40" w:type="dxa"/>
              <w:right w:w="20" w:type="dxa"/>
            </w:tcMar>
            <w:vAlign w:val="bottom"/>
          </w:tcPr>
          <w:p w14:paraId="36CA302A"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302B" w14:textId="77777777" w:rsidR="00787570" w:rsidRDefault="00787570">
            <w:pPr>
              <w:rPr>
                <w:rFonts w:ascii="宋体"/>
              </w:rPr>
            </w:pPr>
          </w:p>
        </w:tc>
        <w:tc>
          <w:tcPr>
            <w:tcW w:w="0" w:type="auto"/>
            <w:tcBorders>
              <w:top w:val="single" w:sz="8" w:space="0" w:color="0071C5"/>
            </w:tcBorders>
            <w:shd w:val="clear" w:color="auto" w:fill="auto"/>
            <w:tcMar>
              <w:top w:w="40" w:type="dxa"/>
              <w:left w:w="20" w:type="dxa"/>
              <w:bottom w:w="40" w:type="dxa"/>
            </w:tcMar>
            <w:vAlign w:val="bottom"/>
          </w:tcPr>
          <w:p w14:paraId="36CA302C" w14:textId="77777777" w:rsidR="00787570" w:rsidRDefault="000D56E2">
            <w:pPr>
              <w:textAlignment w:val="bottom"/>
            </w:pPr>
            <w:r>
              <w:rPr>
                <w:rFonts w:ascii="Arial" w:eastAsia="宋体" w:hAnsi="Arial" w:cs="Arial"/>
                <w:color w:val="026DCE"/>
                <w:sz w:val="18"/>
                <w:szCs w:val="18"/>
              </w:rPr>
              <w:t>$</w:t>
            </w:r>
          </w:p>
        </w:tc>
        <w:tc>
          <w:tcPr>
            <w:tcW w:w="0" w:type="auto"/>
            <w:tcBorders>
              <w:top w:val="single" w:sz="8" w:space="0" w:color="0071C5"/>
            </w:tcBorders>
            <w:shd w:val="clear" w:color="auto" w:fill="auto"/>
            <w:tcMar>
              <w:top w:w="40" w:type="dxa"/>
              <w:bottom w:w="40" w:type="dxa"/>
              <w:right w:w="0" w:type="dxa"/>
            </w:tcMar>
            <w:vAlign w:val="bottom"/>
          </w:tcPr>
          <w:p w14:paraId="36CA302D" w14:textId="77777777" w:rsidR="00787570" w:rsidRDefault="000D56E2">
            <w:pPr>
              <w:jc w:val="right"/>
              <w:textAlignment w:val="bottom"/>
            </w:pPr>
            <w:r>
              <w:rPr>
                <w:rFonts w:ascii="Arial" w:eastAsia="宋体" w:hAnsi="Arial" w:cs="Arial"/>
                <w:color w:val="026DCE"/>
                <w:sz w:val="18"/>
                <w:szCs w:val="18"/>
              </w:rPr>
              <w:t>2,169 </w:t>
            </w:r>
          </w:p>
        </w:tc>
        <w:tc>
          <w:tcPr>
            <w:tcW w:w="0" w:type="auto"/>
            <w:tcBorders>
              <w:top w:val="single" w:sz="8" w:space="0" w:color="0071C5"/>
            </w:tcBorders>
            <w:shd w:val="clear" w:color="auto" w:fill="auto"/>
            <w:tcMar>
              <w:top w:w="40" w:type="dxa"/>
              <w:bottom w:w="40" w:type="dxa"/>
              <w:right w:w="20" w:type="dxa"/>
            </w:tcMar>
            <w:vAlign w:val="bottom"/>
          </w:tcPr>
          <w:p w14:paraId="36CA302E"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302F" w14:textId="77777777" w:rsidR="00787570" w:rsidRDefault="00787570">
            <w:pPr>
              <w:rPr>
                <w:rFonts w:ascii="宋体"/>
              </w:rPr>
            </w:pPr>
          </w:p>
        </w:tc>
        <w:tc>
          <w:tcPr>
            <w:tcW w:w="0" w:type="auto"/>
            <w:tcBorders>
              <w:top w:val="single" w:sz="8" w:space="0" w:color="0071C5"/>
            </w:tcBorders>
            <w:shd w:val="clear" w:color="auto" w:fill="auto"/>
            <w:tcMar>
              <w:top w:w="40" w:type="dxa"/>
              <w:left w:w="20" w:type="dxa"/>
              <w:bottom w:w="40" w:type="dxa"/>
            </w:tcMar>
            <w:vAlign w:val="bottom"/>
          </w:tcPr>
          <w:p w14:paraId="36CA3030" w14:textId="77777777" w:rsidR="00787570" w:rsidRDefault="000D56E2">
            <w:pPr>
              <w:textAlignment w:val="bottom"/>
            </w:pPr>
            <w:r>
              <w:rPr>
                <w:rFonts w:ascii="Arial" w:eastAsia="宋体" w:hAnsi="Arial" w:cs="Arial"/>
                <w:color w:val="333333"/>
                <w:sz w:val="18"/>
                <w:szCs w:val="18"/>
              </w:rPr>
              <w:t>$</w:t>
            </w:r>
          </w:p>
        </w:tc>
        <w:tc>
          <w:tcPr>
            <w:tcW w:w="0" w:type="auto"/>
            <w:tcBorders>
              <w:top w:val="single" w:sz="8" w:space="0" w:color="0071C5"/>
            </w:tcBorders>
            <w:shd w:val="clear" w:color="auto" w:fill="auto"/>
            <w:tcMar>
              <w:top w:w="40" w:type="dxa"/>
              <w:bottom w:w="40" w:type="dxa"/>
              <w:right w:w="0" w:type="dxa"/>
            </w:tcMar>
            <w:vAlign w:val="bottom"/>
          </w:tcPr>
          <w:p w14:paraId="36CA3031" w14:textId="77777777" w:rsidR="00787570" w:rsidRDefault="000D56E2">
            <w:pPr>
              <w:jc w:val="right"/>
              <w:textAlignment w:val="bottom"/>
            </w:pPr>
            <w:r>
              <w:rPr>
                <w:rFonts w:ascii="Arial" w:eastAsia="宋体" w:hAnsi="Arial" w:cs="Arial"/>
                <w:color w:val="333333"/>
                <w:sz w:val="18"/>
                <w:szCs w:val="18"/>
              </w:rPr>
              <w:t>2,914 </w:t>
            </w:r>
          </w:p>
        </w:tc>
        <w:tc>
          <w:tcPr>
            <w:tcW w:w="0" w:type="auto"/>
            <w:tcBorders>
              <w:top w:val="single" w:sz="8" w:space="0" w:color="0071C5"/>
            </w:tcBorders>
            <w:shd w:val="clear" w:color="auto" w:fill="auto"/>
            <w:tcMar>
              <w:top w:w="40" w:type="dxa"/>
              <w:bottom w:w="40" w:type="dxa"/>
              <w:right w:w="20" w:type="dxa"/>
            </w:tcMar>
            <w:vAlign w:val="bottom"/>
          </w:tcPr>
          <w:p w14:paraId="36CA3032"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3033" w14:textId="77777777" w:rsidR="00787570" w:rsidRDefault="00787570">
            <w:pPr>
              <w:rPr>
                <w:rFonts w:ascii="宋体"/>
              </w:rPr>
            </w:pPr>
          </w:p>
        </w:tc>
        <w:tc>
          <w:tcPr>
            <w:tcW w:w="0" w:type="auto"/>
            <w:tcBorders>
              <w:top w:val="single" w:sz="8" w:space="0" w:color="0071C5"/>
            </w:tcBorders>
            <w:shd w:val="clear" w:color="auto" w:fill="auto"/>
            <w:tcMar>
              <w:top w:w="40" w:type="dxa"/>
              <w:left w:w="20" w:type="dxa"/>
              <w:bottom w:w="40" w:type="dxa"/>
            </w:tcMar>
            <w:vAlign w:val="bottom"/>
          </w:tcPr>
          <w:p w14:paraId="36CA3034" w14:textId="77777777" w:rsidR="00787570" w:rsidRDefault="000D56E2">
            <w:pPr>
              <w:textAlignment w:val="bottom"/>
            </w:pPr>
            <w:r>
              <w:rPr>
                <w:rFonts w:ascii="Arial" w:eastAsia="宋体" w:hAnsi="Arial" w:cs="Arial"/>
                <w:color w:val="333333"/>
                <w:sz w:val="18"/>
                <w:szCs w:val="18"/>
              </w:rPr>
              <w:t>$</w:t>
            </w:r>
          </w:p>
        </w:tc>
        <w:tc>
          <w:tcPr>
            <w:tcW w:w="0" w:type="auto"/>
            <w:tcBorders>
              <w:top w:val="single" w:sz="8" w:space="0" w:color="0071C5"/>
            </w:tcBorders>
            <w:shd w:val="clear" w:color="auto" w:fill="auto"/>
            <w:tcMar>
              <w:top w:w="40" w:type="dxa"/>
              <w:bottom w:w="40" w:type="dxa"/>
              <w:right w:w="0" w:type="dxa"/>
            </w:tcMar>
            <w:vAlign w:val="bottom"/>
          </w:tcPr>
          <w:p w14:paraId="36CA3035" w14:textId="77777777" w:rsidR="00787570" w:rsidRDefault="000D56E2">
            <w:pPr>
              <w:jc w:val="right"/>
              <w:textAlignment w:val="bottom"/>
            </w:pPr>
            <w:r>
              <w:rPr>
                <w:rFonts w:ascii="Arial" w:eastAsia="宋体" w:hAnsi="Arial" w:cs="Arial"/>
                <w:color w:val="333333"/>
                <w:sz w:val="18"/>
                <w:szCs w:val="18"/>
              </w:rPr>
              <w:t>44 </w:t>
            </w:r>
          </w:p>
        </w:tc>
        <w:tc>
          <w:tcPr>
            <w:tcW w:w="0" w:type="auto"/>
            <w:tcBorders>
              <w:top w:val="single" w:sz="8" w:space="0" w:color="0071C5"/>
            </w:tcBorders>
            <w:shd w:val="clear" w:color="auto" w:fill="auto"/>
            <w:tcMar>
              <w:top w:w="40" w:type="dxa"/>
              <w:bottom w:w="40" w:type="dxa"/>
              <w:right w:w="20" w:type="dxa"/>
            </w:tcMar>
            <w:vAlign w:val="bottom"/>
          </w:tcPr>
          <w:p w14:paraId="36CA3036"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3037" w14:textId="77777777" w:rsidR="00787570" w:rsidRDefault="00787570">
            <w:pPr>
              <w:rPr>
                <w:rFonts w:ascii="宋体"/>
              </w:rPr>
            </w:pPr>
          </w:p>
        </w:tc>
        <w:tc>
          <w:tcPr>
            <w:tcW w:w="0" w:type="auto"/>
            <w:tcBorders>
              <w:top w:val="single" w:sz="8" w:space="0" w:color="0071C5"/>
            </w:tcBorders>
            <w:shd w:val="clear" w:color="auto" w:fill="auto"/>
            <w:tcMar>
              <w:top w:w="40" w:type="dxa"/>
              <w:left w:w="20" w:type="dxa"/>
              <w:bottom w:w="40" w:type="dxa"/>
            </w:tcMar>
            <w:vAlign w:val="bottom"/>
          </w:tcPr>
          <w:p w14:paraId="36CA3038" w14:textId="77777777" w:rsidR="00787570" w:rsidRDefault="000D56E2">
            <w:pPr>
              <w:textAlignment w:val="bottom"/>
            </w:pPr>
            <w:r>
              <w:rPr>
                <w:rFonts w:ascii="Arial" w:eastAsia="宋体" w:hAnsi="Arial" w:cs="Arial"/>
                <w:color w:val="333333"/>
                <w:sz w:val="18"/>
                <w:szCs w:val="18"/>
              </w:rPr>
              <w:t>$</w:t>
            </w:r>
          </w:p>
        </w:tc>
        <w:tc>
          <w:tcPr>
            <w:tcW w:w="0" w:type="auto"/>
            <w:tcBorders>
              <w:top w:val="single" w:sz="8" w:space="0" w:color="0071C5"/>
            </w:tcBorders>
            <w:shd w:val="clear" w:color="auto" w:fill="auto"/>
            <w:tcMar>
              <w:top w:w="40" w:type="dxa"/>
              <w:bottom w:w="40" w:type="dxa"/>
              <w:right w:w="0" w:type="dxa"/>
            </w:tcMar>
            <w:vAlign w:val="bottom"/>
          </w:tcPr>
          <w:p w14:paraId="36CA3039" w14:textId="77777777" w:rsidR="00787570" w:rsidRDefault="000D56E2">
            <w:pPr>
              <w:jc w:val="right"/>
              <w:textAlignment w:val="bottom"/>
            </w:pPr>
            <w:r>
              <w:rPr>
                <w:rFonts w:ascii="Arial" w:eastAsia="宋体" w:hAnsi="Arial" w:cs="Arial"/>
                <w:color w:val="333333"/>
                <w:sz w:val="18"/>
                <w:szCs w:val="18"/>
              </w:rPr>
              <w:t>— </w:t>
            </w:r>
          </w:p>
        </w:tc>
        <w:tc>
          <w:tcPr>
            <w:tcW w:w="0" w:type="auto"/>
            <w:tcBorders>
              <w:top w:val="single" w:sz="8" w:space="0" w:color="0071C5"/>
            </w:tcBorders>
            <w:shd w:val="clear" w:color="auto" w:fill="auto"/>
            <w:tcMar>
              <w:top w:w="40" w:type="dxa"/>
              <w:bottom w:w="40" w:type="dxa"/>
              <w:right w:w="20" w:type="dxa"/>
            </w:tcMar>
            <w:vAlign w:val="bottom"/>
          </w:tcPr>
          <w:p w14:paraId="36CA303A"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303B" w14:textId="77777777" w:rsidR="00787570" w:rsidRDefault="00787570">
            <w:pPr>
              <w:rPr>
                <w:rFonts w:ascii="宋体"/>
              </w:rPr>
            </w:pPr>
          </w:p>
        </w:tc>
        <w:tc>
          <w:tcPr>
            <w:tcW w:w="0" w:type="auto"/>
            <w:tcBorders>
              <w:top w:val="single" w:sz="8" w:space="0" w:color="0071C5"/>
            </w:tcBorders>
            <w:shd w:val="clear" w:color="auto" w:fill="auto"/>
            <w:tcMar>
              <w:top w:w="40" w:type="dxa"/>
              <w:left w:w="20" w:type="dxa"/>
              <w:bottom w:w="40" w:type="dxa"/>
            </w:tcMar>
            <w:vAlign w:val="bottom"/>
          </w:tcPr>
          <w:p w14:paraId="36CA303C" w14:textId="77777777" w:rsidR="00787570" w:rsidRDefault="000D56E2">
            <w:pPr>
              <w:textAlignment w:val="bottom"/>
            </w:pPr>
            <w:r>
              <w:rPr>
                <w:rFonts w:ascii="Arial" w:eastAsia="宋体" w:hAnsi="Arial" w:cs="Arial"/>
                <w:color w:val="333333"/>
                <w:sz w:val="18"/>
                <w:szCs w:val="18"/>
              </w:rPr>
              <w:t>$</w:t>
            </w:r>
          </w:p>
        </w:tc>
        <w:tc>
          <w:tcPr>
            <w:tcW w:w="0" w:type="auto"/>
            <w:tcBorders>
              <w:top w:val="single" w:sz="8" w:space="0" w:color="0071C5"/>
            </w:tcBorders>
            <w:shd w:val="clear" w:color="auto" w:fill="auto"/>
            <w:tcMar>
              <w:top w:w="40" w:type="dxa"/>
              <w:bottom w:w="40" w:type="dxa"/>
              <w:right w:w="0" w:type="dxa"/>
            </w:tcMar>
            <w:vAlign w:val="bottom"/>
          </w:tcPr>
          <w:p w14:paraId="36CA303D" w14:textId="77777777" w:rsidR="00787570" w:rsidRDefault="000D56E2">
            <w:pPr>
              <w:jc w:val="right"/>
              <w:textAlignment w:val="bottom"/>
            </w:pPr>
            <w:r>
              <w:rPr>
                <w:rFonts w:ascii="Arial" w:eastAsia="宋体" w:hAnsi="Arial" w:cs="Arial"/>
                <w:color w:val="333333"/>
                <w:sz w:val="18"/>
                <w:szCs w:val="18"/>
              </w:rPr>
              <w:t>2,958 </w:t>
            </w:r>
          </w:p>
        </w:tc>
        <w:tc>
          <w:tcPr>
            <w:tcW w:w="0" w:type="auto"/>
            <w:tcBorders>
              <w:top w:val="single" w:sz="8" w:space="0" w:color="0071C5"/>
            </w:tcBorders>
            <w:shd w:val="clear" w:color="auto" w:fill="auto"/>
            <w:tcMar>
              <w:top w:w="40" w:type="dxa"/>
              <w:bottom w:w="40" w:type="dxa"/>
              <w:right w:w="20" w:type="dxa"/>
            </w:tcMar>
            <w:vAlign w:val="bottom"/>
          </w:tcPr>
          <w:p w14:paraId="36CA303E" w14:textId="77777777" w:rsidR="00787570" w:rsidRDefault="00787570">
            <w:pPr>
              <w:jc w:val="right"/>
              <w:rPr>
                <w:rFonts w:ascii="宋体"/>
              </w:rPr>
            </w:pPr>
          </w:p>
        </w:tc>
        <w:tc>
          <w:tcPr>
            <w:tcW w:w="0" w:type="auto"/>
            <w:shd w:val="clear" w:color="auto" w:fill="auto"/>
          </w:tcPr>
          <w:p w14:paraId="36CA303F" w14:textId="77777777" w:rsidR="00787570" w:rsidRDefault="00787570">
            <w:pPr>
              <w:rPr>
                <w:rFonts w:ascii="宋体"/>
              </w:rPr>
            </w:pPr>
          </w:p>
        </w:tc>
        <w:tc>
          <w:tcPr>
            <w:tcW w:w="0" w:type="auto"/>
            <w:shd w:val="clear" w:color="auto" w:fill="auto"/>
          </w:tcPr>
          <w:p w14:paraId="36CA3040" w14:textId="77777777" w:rsidR="00787570" w:rsidRDefault="00787570">
            <w:pPr>
              <w:rPr>
                <w:rFonts w:ascii="宋体"/>
              </w:rPr>
            </w:pPr>
          </w:p>
        </w:tc>
        <w:tc>
          <w:tcPr>
            <w:tcW w:w="0" w:type="auto"/>
            <w:shd w:val="clear" w:color="auto" w:fill="auto"/>
          </w:tcPr>
          <w:p w14:paraId="36CA3041" w14:textId="77777777" w:rsidR="00787570" w:rsidRDefault="00787570">
            <w:pPr>
              <w:rPr>
                <w:rFonts w:ascii="宋体"/>
              </w:rPr>
            </w:pPr>
          </w:p>
        </w:tc>
        <w:tc>
          <w:tcPr>
            <w:tcW w:w="0" w:type="auto"/>
            <w:shd w:val="clear" w:color="auto" w:fill="auto"/>
          </w:tcPr>
          <w:p w14:paraId="36CA3042" w14:textId="77777777" w:rsidR="00787570" w:rsidRDefault="00787570">
            <w:pPr>
              <w:rPr>
                <w:rFonts w:ascii="宋体"/>
              </w:rPr>
            </w:pPr>
          </w:p>
        </w:tc>
        <w:tc>
          <w:tcPr>
            <w:tcW w:w="0" w:type="auto"/>
            <w:shd w:val="clear" w:color="auto" w:fill="auto"/>
          </w:tcPr>
          <w:p w14:paraId="36CA3043" w14:textId="77777777" w:rsidR="00787570" w:rsidRDefault="00787570">
            <w:pPr>
              <w:rPr>
                <w:rFonts w:ascii="宋体"/>
              </w:rPr>
            </w:pPr>
          </w:p>
        </w:tc>
        <w:tc>
          <w:tcPr>
            <w:tcW w:w="0" w:type="auto"/>
            <w:shd w:val="clear" w:color="auto" w:fill="auto"/>
          </w:tcPr>
          <w:p w14:paraId="36CA3044" w14:textId="77777777" w:rsidR="00787570" w:rsidRDefault="00787570">
            <w:pPr>
              <w:rPr>
                <w:rFonts w:ascii="宋体"/>
              </w:rPr>
            </w:pPr>
          </w:p>
        </w:tc>
        <w:tc>
          <w:tcPr>
            <w:tcW w:w="0" w:type="auto"/>
            <w:shd w:val="clear" w:color="auto" w:fill="auto"/>
          </w:tcPr>
          <w:p w14:paraId="36CA3045" w14:textId="77777777" w:rsidR="00787570" w:rsidRDefault="00787570">
            <w:pPr>
              <w:rPr>
                <w:rFonts w:ascii="宋体"/>
              </w:rPr>
            </w:pPr>
          </w:p>
        </w:tc>
        <w:tc>
          <w:tcPr>
            <w:tcW w:w="0" w:type="auto"/>
            <w:shd w:val="clear" w:color="auto" w:fill="auto"/>
          </w:tcPr>
          <w:p w14:paraId="36CA3046" w14:textId="77777777" w:rsidR="00787570" w:rsidRDefault="00787570">
            <w:pPr>
              <w:rPr>
                <w:rFonts w:ascii="宋体"/>
              </w:rPr>
            </w:pPr>
          </w:p>
        </w:tc>
        <w:tc>
          <w:tcPr>
            <w:tcW w:w="0" w:type="auto"/>
            <w:shd w:val="clear" w:color="auto" w:fill="auto"/>
          </w:tcPr>
          <w:p w14:paraId="36CA3047" w14:textId="77777777" w:rsidR="00787570" w:rsidRDefault="00787570">
            <w:pPr>
              <w:rPr>
                <w:rFonts w:ascii="宋体"/>
              </w:rPr>
            </w:pPr>
          </w:p>
        </w:tc>
        <w:tc>
          <w:tcPr>
            <w:tcW w:w="0" w:type="auto"/>
            <w:shd w:val="clear" w:color="auto" w:fill="auto"/>
          </w:tcPr>
          <w:p w14:paraId="36CA3048" w14:textId="77777777" w:rsidR="00787570" w:rsidRDefault="00787570">
            <w:pPr>
              <w:rPr>
                <w:rFonts w:ascii="宋体"/>
              </w:rPr>
            </w:pPr>
          </w:p>
        </w:tc>
        <w:tc>
          <w:tcPr>
            <w:tcW w:w="0" w:type="auto"/>
            <w:shd w:val="clear" w:color="auto" w:fill="auto"/>
          </w:tcPr>
          <w:p w14:paraId="36CA3049" w14:textId="77777777" w:rsidR="00787570" w:rsidRDefault="00787570">
            <w:pPr>
              <w:rPr>
                <w:rFonts w:ascii="宋体"/>
              </w:rPr>
            </w:pPr>
          </w:p>
        </w:tc>
        <w:tc>
          <w:tcPr>
            <w:tcW w:w="0" w:type="auto"/>
            <w:shd w:val="clear" w:color="auto" w:fill="auto"/>
          </w:tcPr>
          <w:p w14:paraId="36CA304A" w14:textId="77777777" w:rsidR="00787570" w:rsidRDefault="00787570">
            <w:pPr>
              <w:rPr>
                <w:rFonts w:ascii="宋体"/>
              </w:rPr>
            </w:pPr>
          </w:p>
        </w:tc>
      </w:tr>
      <w:tr w:rsidR="00787570" w14:paraId="36CA3071" w14:textId="77777777">
        <w:tc>
          <w:tcPr>
            <w:tcW w:w="0" w:type="auto"/>
            <w:gridSpan w:val="3"/>
            <w:shd w:val="clear" w:color="auto" w:fill="auto"/>
            <w:tcMar>
              <w:top w:w="40" w:type="dxa"/>
              <w:left w:w="20" w:type="dxa"/>
              <w:bottom w:w="40" w:type="dxa"/>
              <w:right w:w="20" w:type="dxa"/>
            </w:tcMar>
          </w:tcPr>
          <w:p w14:paraId="36CA304C" w14:textId="77777777" w:rsidR="00787570" w:rsidRDefault="000D56E2">
            <w:pPr>
              <w:textAlignment w:val="top"/>
            </w:pPr>
            <w:r>
              <w:rPr>
                <w:rFonts w:ascii="Arial" w:eastAsia="宋体" w:hAnsi="Arial" w:cs="Arial"/>
                <w:color w:val="333333"/>
                <w:sz w:val="18"/>
                <w:szCs w:val="18"/>
              </w:rPr>
              <w:t xml:space="preserve">Financial institution </w:t>
            </w:r>
            <w:r>
              <w:rPr>
                <w:rFonts w:ascii="Arial" w:eastAsia="宋体" w:hAnsi="Arial" w:cs="Arial"/>
                <w:color w:val="333333"/>
                <w:sz w:val="18"/>
                <w:szCs w:val="18"/>
              </w:rPr>
              <w:br/>
              <w:t>instruments</w:t>
            </w:r>
          </w:p>
        </w:tc>
        <w:tc>
          <w:tcPr>
            <w:tcW w:w="0" w:type="auto"/>
            <w:gridSpan w:val="3"/>
            <w:shd w:val="clear" w:color="auto" w:fill="auto"/>
            <w:tcMar>
              <w:left w:w="20" w:type="dxa"/>
              <w:right w:w="20" w:type="dxa"/>
            </w:tcMar>
            <w:vAlign w:val="bottom"/>
          </w:tcPr>
          <w:p w14:paraId="36CA304D"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304E" w14:textId="77777777" w:rsidR="00787570" w:rsidRDefault="000D56E2">
            <w:pPr>
              <w:jc w:val="right"/>
              <w:textAlignment w:val="bottom"/>
            </w:pPr>
            <w:r>
              <w:rPr>
                <w:rFonts w:ascii="Arial" w:eastAsia="宋体" w:hAnsi="Arial" w:cs="Arial"/>
                <w:color w:val="026DCE"/>
                <w:sz w:val="18"/>
                <w:szCs w:val="18"/>
              </w:rPr>
              <w:t>3,431 </w:t>
            </w:r>
          </w:p>
        </w:tc>
        <w:tc>
          <w:tcPr>
            <w:tcW w:w="0" w:type="auto"/>
            <w:shd w:val="clear" w:color="auto" w:fill="auto"/>
            <w:tcMar>
              <w:top w:w="40" w:type="dxa"/>
              <w:bottom w:w="40" w:type="dxa"/>
              <w:right w:w="20" w:type="dxa"/>
            </w:tcMar>
            <w:vAlign w:val="bottom"/>
          </w:tcPr>
          <w:p w14:paraId="36CA304F"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3050"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3051" w14:textId="77777777" w:rsidR="00787570" w:rsidRDefault="000D56E2">
            <w:pPr>
              <w:jc w:val="right"/>
              <w:textAlignment w:val="bottom"/>
            </w:pPr>
            <w:r>
              <w:rPr>
                <w:rFonts w:ascii="Arial" w:eastAsia="宋体" w:hAnsi="Arial" w:cs="Arial"/>
                <w:color w:val="026DCE"/>
                <w:sz w:val="18"/>
                <w:szCs w:val="18"/>
              </w:rPr>
              <w:t>20 </w:t>
            </w:r>
          </w:p>
        </w:tc>
        <w:tc>
          <w:tcPr>
            <w:tcW w:w="0" w:type="auto"/>
            <w:shd w:val="clear" w:color="auto" w:fill="auto"/>
            <w:tcMar>
              <w:top w:w="40" w:type="dxa"/>
              <w:bottom w:w="40" w:type="dxa"/>
              <w:right w:w="20" w:type="dxa"/>
            </w:tcMar>
            <w:vAlign w:val="bottom"/>
          </w:tcPr>
          <w:p w14:paraId="36CA3052"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3053"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3054" w14:textId="77777777" w:rsidR="00787570" w:rsidRDefault="000D56E2">
            <w:pPr>
              <w:jc w:val="right"/>
              <w:textAlignment w:val="bottom"/>
            </w:pPr>
            <w:r>
              <w:rPr>
                <w:rFonts w:ascii="Arial" w:eastAsia="宋体" w:hAnsi="Arial" w:cs="Arial"/>
                <w:color w:val="026DCE"/>
                <w:sz w:val="18"/>
                <w:szCs w:val="18"/>
              </w:rPr>
              <w:t>— </w:t>
            </w:r>
          </w:p>
        </w:tc>
        <w:tc>
          <w:tcPr>
            <w:tcW w:w="0" w:type="auto"/>
            <w:shd w:val="clear" w:color="auto" w:fill="auto"/>
            <w:tcMar>
              <w:top w:w="40" w:type="dxa"/>
              <w:bottom w:w="40" w:type="dxa"/>
              <w:right w:w="20" w:type="dxa"/>
            </w:tcMar>
            <w:vAlign w:val="bottom"/>
          </w:tcPr>
          <w:p w14:paraId="36CA3055"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3056"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3057" w14:textId="77777777" w:rsidR="00787570" w:rsidRDefault="000D56E2">
            <w:pPr>
              <w:jc w:val="right"/>
              <w:textAlignment w:val="bottom"/>
            </w:pPr>
            <w:r>
              <w:rPr>
                <w:rFonts w:ascii="Arial" w:eastAsia="宋体" w:hAnsi="Arial" w:cs="Arial"/>
                <w:color w:val="026DCE"/>
                <w:sz w:val="18"/>
                <w:szCs w:val="18"/>
              </w:rPr>
              <w:t>3,451 </w:t>
            </w:r>
          </w:p>
        </w:tc>
        <w:tc>
          <w:tcPr>
            <w:tcW w:w="0" w:type="auto"/>
            <w:shd w:val="clear" w:color="auto" w:fill="auto"/>
            <w:tcMar>
              <w:top w:w="40" w:type="dxa"/>
              <w:bottom w:w="40" w:type="dxa"/>
              <w:right w:w="20" w:type="dxa"/>
            </w:tcMar>
            <w:vAlign w:val="bottom"/>
          </w:tcPr>
          <w:p w14:paraId="36CA3058"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3059"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305A" w14:textId="77777777" w:rsidR="00787570" w:rsidRDefault="000D56E2">
            <w:pPr>
              <w:jc w:val="right"/>
              <w:textAlignment w:val="bottom"/>
            </w:pPr>
            <w:r>
              <w:rPr>
                <w:rFonts w:ascii="Arial" w:eastAsia="宋体" w:hAnsi="Arial" w:cs="Arial"/>
                <w:color w:val="333333"/>
                <w:sz w:val="18"/>
                <w:szCs w:val="18"/>
              </w:rPr>
              <w:t>3,007 </w:t>
            </w:r>
          </w:p>
        </w:tc>
        <w:tc>
          <w:tcPr>
            <w:tcW w:w="0" w:type="auto"/>
            <w:shd w:val="clear" w:color="auto" w:fill="auto"/>
            <w:tcMar>
              <w:top w:w="40" w:type="dxa"/>
              <w:bottom w:w="40" w:type="dxa"/>
              <w:right w:w="20" w:type="dxa"/>
            </w:tcMar>
            <w:vAlign w:val="bottom"/>
          </w:tcPr>
          <w:p w14:paraId="36CA305B"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305C"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305D" w14:textId="77777777" w:rsidR="00787570" w:rsidRDefault="000D56E2">
            <w:pPr>
              <w:jc w:val="right"/>
              <w:textAlignment w:val="bottom"/>
            </w:pPr>
            <w:r>
              <w:rPr>
                <w:rFonts w:ascii="Arial" w:eastAsia="宋体" w:hAnsi="Arial" w:cs="Arial"/>
                <w:color w:val="333333"/>
                <w:sz w:val="18"/>
                <w:szCs w:val="18"/>
              </w:rPr>
              <w:t>15 </w:t>
            </w:r>
          </w:p>
        </w:tc>
        <w:tc>
          <w:tcPr>
            <w:tcW w:w="0" w:type="auto"/>
            <w:shd w:val="clear" w:color="auto" w:fill="auto"/>
            <w:tcMar>
              <w:top w:w="40" w:type="dxa"/>
              <w:bottom w:w="40" w:type="dxa"/>
              <w:right w:w="20" w:type="dxa"/>
            </w:tcMar>
            <w:vAlign w:val="bottom"/>
          </w:tcPr>
          <w:p w14:paraId="36CA305E"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305F"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3060" w14:textId="77777777" w:rsidR="00787570" w:rsidRDefault="000D56E2">
            <w:pPr>
              <w:jc w:val="right"/>
              <w:textAlignment w:val="bottom"/>
            </w:pPr>
            <w:r>
              <w:rPr>
                <w:rFonts w:ascii="Arial" w:eastAsia="宋体" w:hAnsi="Arial" w:cs="Arial"/>
                <w:color w:val="333333"/>
                <w:sz w:val="18"/>
                <w:szCs w:val="18"/>
              </w:rPr>
              <w:t>(1)</w:t>
            </w:r>
          </w:p>
        </w:tc>
        <w:tc>
          <w:tcPr>
            <w:tcW w:w="0" w:type="auto"/>
            <w:shd w:val="clear" w:color="auto" w:fill="auto"/>
            <w:tcMar>
              <w:top w:w="40" w:type="dxa"/>
              <w:bottom w:w="40" w:type="dxa"/>
              <w:right w:w="20" w:type="dxa"/>
            </w:tcMar>
            <w:vAlign w:val="bottom"/>
          </w:tcPr>
          <w:p w14:paraId="36CA3061"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3062"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3063" w14:textId="77777777" w:rsidR="00787570" w:rsidRDefault="000D56E2">
            <w:pPr>
              <w:jc w:val="right"/>
              <w:textAlignment w:val="bottom"/>
            </w:pPr>
            <w:r>
              <w:rPr>
                <w:rFonts w:ascii="Arial" w:eastAsia="宋体" w:hAnsi="Arial" w:cs="Arial"/>
                <w:color w:val="333333"/>
                <w:sz w:val="18"/>
                <w:szCs w:val="18"/>
              </w:rPr>
              <w:t>3,021 </w:t>
            </w:r>
          </w:p>
        </w:tc>
        <w:tc>
          <w:tcPr>
            <w:tcW w:w="0" w:type="auto"/>
            <w:shd w:val="clear" w:color="auto" w:fill="auto"/>
            <w:tcMar>
              <w:top w:w="40" w:type="dxa"/>
              <w:bottom w:w="40" w:type="dxa"/>
              <w:right w:w="20" w:type="dxa"/>
            </w:tcMar>
            <w:vAlign w:val="bottom"/>
          </w:tcPr>
          <w:p w14:paraId="36CA3064" w14:textId="77777777" w:rsidR="00787570" w:rsidRDefault="00787570">
            <w:pPr>
              <w:jc w:val="right"/>
              <w:rPr>
                <w:rFonts w:ascii="宋体"/>
              </w:rPr>
            </w:pPr>
          </w:p>
        </w:tc>
        <w:tc>
          <w:tcPr>
            <w:tcW w:w="0" w:type="auto"/>
            <w:shd w:val="clear" w:color="auto" w:fill="auto"/>
          </w:tcPr>
          <w:p w14:paraId="36CA3065" w14:textId="77777777" w:rsidR="00787570" w:rsidRDefault="00787570">
            <w:pPr>
              <w:rPr>
                <w:rFonts w:ascii="宋体"/>
              </w:rPr>
            </w:pPr>
          </w:p>
        </w:tc>
        <w:tc>
          <w:tcPr>
            <w:tcW w:w="0" w:type="auto"/>
            <w:shd w:val="clear" w:color="auto" w:fill="auto"/>
          </w:tcPr>
          <w:p w14:paraId="36CA3066" w14:textId="77777777" w:rsidR="00787570" w:rsidRDefault="00787570">
            <w:pPr>
              <w:rPr>
                <w:rFonts w:ascii="宋体"/>
              </w:rPr>
            </w:pPr>
          </w:p>
        </w:tc>
        <w:tc>
          <w:tcPr>
            <w:tcW w:w="0" w:type="auto"/>
            <w:shd w:val="clear" w:color="auto" w:fill="auto"/>
          </w:tcPr>
          <w:p w14:paraId="36CA3067" w14:textId="77777777" w:rsidR="00787570" w:rsidRDefault="00787570">
            <w:pPr>
              <w:rPr>
                <w:rFonts w:ascii="宋体"/>
              </w:rPr>
            </w:pPr>
          </w:p>
        </w:tc>
        <w:tc>
          <w:tcPr>
            <w:tcW w:w="0" w:type="auto"/>
            <w:shd w:val="clear" w:color="auto" w:fill="auto"/>
          </w:tcPr>
          <w:p w14:paraId="36CA3068" w14:textId="77777777" w:rsidR="00787570" w:rsidRDefault="00787570">
            <w:pPr>
              <w:rPr>
                <w:rFonts w:ascii="宋体"/>
              </w:rPr>
            </w:pPr>
          </w:p>
        </w:tc>
        <w:tc>
          <w:tcPr>
            <w:tcW w:w="0" w:type="auto"/>
            <w:shd w:val="clear" w:color="auto" w:fill="auto"/>
          </w:tcPr>
          <w:p w14:paraId="36CA3069" w14:textId="77777777" w:rsidR="00787570" w:rsidRDefault="00787570">
            <w:pPr>
              <w:rPr>
                <w:rFonts w:ascii="宋体"/>
              </w:rPr>
            </w:pPr>
          </w:p>
        </w:tc>
        <w:tc>
          <w:tcPr>
            <w:tcW w:w="0" w:type="auto"/>
            <w:shd w:val="clear" w:color="auto" w:fill="auto"/>
          </w:tcPr>
          <w:p w14:paraId="36CA306A" w14:textId="77777777" w:rsidR="00787570" w:rsidRDefault="00787570">
            <w:pPr>
              <w:rPr>
                <w:rFonts w:ascii="宋体"/>
              </w:rPr>
            </w:pPr>
          </w:p>
        </w:tc>
        <w:tc>
          <w:tcPr>
            <w:tcW w:w="0" w:type="auto"/>
            <w:shd w:val="clear" w:color="auto" w:fill="auto"/>
          </w:tcPr>
          <w:p w14:paraId="36CA306B" w14:textId="77777777" w:rsidR="00787570" w:rsidRDefault="00787570">
            <w:pPr>
              <w:rPr>
                <w:rFonts w:ascii="宋体"/>
              </w:rPr>
            </w:pPr>
          </w:p>
        </w:tc>
        <w:tc>
          <w:tcPr>
            <w:tcW w:w="0" w:type="auto"/>
            <w:shd w:val="clear" w:color="auto" w:fill="auto"/>
          </w:tcPr>
          <w:p w14:paraId="36CA306C" w14:textId="77777777" w:rsidR="00787570" w:rsidRDefault="00787570">
            <w:pPr>
              <w:rPr>
                <w:rFonts w:ascii="宋体"/>
              </w:rPr>
            </w:pPr>
          </w:p>
        </w:tc>
        <w:tc>
          <w:tcPr>
            <w:tcW w:w="0" w:type="auto"/>
            <w:shd w:val="clear" w:color="auto" w:fill="auto"/>
          </w:tcPr>
          <w:p w14:paraId="36CA306D" w14:textId="77777777" w:rsidR="00787570" w:rsidRDefault="00787570">
            <w:pPr>
              <w:rPr>
                <w:rFonts w:ascii="宋体"/>
              </w:rPr>
            </w:pPr>
          </w:p>
        </w:tc>
        <w:tc>
          <w:tcPr>
            <w:tcW w:w="0" w:type="auto"/>
            <w:shd w:val="clear" w:color="auto" w:fill="auto"/>
          </w:tcPr>
          <w:p w14:paraId="36CA306E" w14:textId="77777777" w:rsidR="00787570" w:rsidRDefault="00787570">
            <w:pPr>
              <w:rPr>
                <w:rFonts w:ascii="宋体"/>
              </w:rPr>
            </w:pPr>
          </w:p>
        </w:tc>
        <w:tc>
          <w:tcPr>
            <w:tcW w:w="0" w:type="auto"/>
            <w:shd w:val="clear" w:color="auto" w:fill="auto"/>
          </w:tcPr>
          <w:p w14:paraId="36CA306F" w14:textId="77777777" w:rsidR="00787570" w:rsidRDefault="00787570">
            <w:pPr>
              <w:rPr>
                <w:rFonts w:ascii="宋体"/>
              </w:rPr>
            </w:pPr>
          </w:p>
        </w:tc>
        <w:tc>
          <w:tcPr>
            <w:tcW w:w="0" w:type="auto"/>
            <w:shd w:val="clear" w:color="auto" w:fill="auto"/>
          </w:tcPr>
          <w:p w14:paraId="36CA3070" w14:textId="77777777" w:rsidR="00787570" w:rsidRDefault="00787570">
            <w:pPr>
              <w:rPr>
                <w:rFonts w:ascii="宋体"/>
              </w:rPr>
            </w:pPr>
          </w:p>
        </w:tc>
      </w:tr>
      <w:tr w:rsidR="00787570" w14:paraId="36CA3097" w14:textId="77777777">
        <w:tc>
          <w:tcPr>
            <w:tcW w:w="0" w:type="auto"/>
            <w:gridSpan w:val="3"/>
            <w:shd w:val="clear" w:color="auto" w:fill="auto"/>
            <w:tcMar>
              <w:top w:w="40" w:type="dxa"/>
              <w:left w:w="20" w:type="dxa"/>
              <w:bottom w:w="40" w:type="dxa"/>
              <w:right w:w="20" w:type="dxa"/>
            </w:tcMar>
          </w:tcPr>
          <w:p w14:paraId="36CA3072" w14:textId="77777777" w:rsidR="00787570" w:rsidRDefault="000D56E2">
            <w:pPr>
              <w:textAlignment w:val="top"/>
            </w:pPr>
            <w:r>
              <w:rPr>
                <w:rFonts w:ascii="Arial" w:eastAsia="宋体" w:hAnsi="Arial" w:cs="Arial"/>
                <w:color w:val="333333"/>
                <w:sz w:val="18"/>
                <w:szCs w:val="18"/>
              </w:rPr>
              <w:t>Government debt</w:t>
            </w:r>
          </w:p>
        </w:tc>
        <w:tc>
          <w:tcPr>
            <w:tcW w:w="0" w:type="auto"/>
            <w:gridSpan w:val="3"/>
            <w:shd w:val="clear" w:color="auto" w:fill="auto"/>
            <w:tcMar>
              <w:left w:w="20" w:type="dxa"/>
              <w:right w:w="20" w:type="dxa"/>
            </w:tcMar>
            <w:vAlign w:val="bottom"/>
          </w:tcPr>
          <w:p w14:paraId="36CA3073"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3074" w14:textId="77777777" w:rsidR="00787570" w:rsidRDefault="000D56E2">
            <w:pPr>
              <w:jc w:val="right"/>
              <w:textAlignment w:val="bottom"/>
            </w:pPr>
            <w:r>
              <w:rPr>
                <w:rFonts w:ascii="Arial" w:eastAsia="宋体" w:hAnsi="Arial" w:cs="Arial"/>
                <w:color w:val="026DCE"/>
                <w:sz w:val="18"/>
                <w:szCs w:val="18"/>
              </w:rPr>
              <w:t>1,604 </w:t>
            </w:r>
          </w:p>
        </w:tc>
        <w:tc>
          <w:tcPr>
            <w:tcW w:w="0" w:type="auto"/>
            <w:shd w:val="clear" w:color="auto" w:fill="auto"/>
            <w:tcMar>
              <w:top w:w="40" w:type="dxa"/>
              <w:bottom w:w="40" w:type="dxa"/>
              <w:right w:w="20" w:type="dxa"/>
            </w:tcMar>
            <w:vAlign w:val="bottom"/>
          </w:tcPr>
          <w:p w14:paraId="36CA3075"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3076"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3077" w14:textId="77777777" w:rsidR="00787570" w:rsidRDefault="000D56E2">
            <w:pPr>
              <w:jc w:val="right"/>
              <w:textAlignment w:val="bottom"/>
            </w:pPr>
            <w:r>
              <w:rPr>
                <w:rFonts w:ascii="Arial" w:eastAsia="宋体" w:hAnsi="Arial" w:cs="Arial"/>
                <w:color w:val="026DCE"/>
                <w:sz w:val="18"/>
                <w:szCs w:val="18"/>
              </w:rPr>
              <w:t>12 </w:t>
            </w:r>
          </w:p>
        </w:tc>
        <w:tc>
          <w:tcPr>
            <w:tcW w:w="0" w:type="auto"/>
            <w:shd w:val="clear" w:color="auto" w:fill="auto"/>
            <w:tcMar>
              <w:top w:w="40" w:type="dxa"/>
              <w:bottom w:w="40" w:type="dxa"/>
              <w:right w:w="20" w:type="dxa"/>
            </w:tcMar>
            <w:vAlign w:val="bottom"/>
          </w:tcPr>
          <w:p w14:paraId="36CA3078"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3079"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307A" w14:textId="77777777" w:rsidR="00787570" w:rsidRDefault="000D56E2">
            <w:pPr>
              <w:jc w:val="right"/>
              <w:textAlignment w:val="bottom"/>
            </w:pPr>
            <w:r>
              <w:rPr>
                <w:rFonts w:ascii="Arial" w:eastAsia="宋体" w:hAnsi="Arial" w:cs="Arial"/>
                <w:color w:val="026DCE"/>
                <w:sz w:val="18"/>
                <w:szCs w:val="18"/>
              </w:rPr>
              <w:t>— </w:t>
            </w:r>
          </w:p>
        </w:tc>
        <w:tc>
          <w:tcPr>
            <w:tcW w:w="0" w:type="auto"/>
            <w:shd w:val="clear" w:color="auto" w:fill="auto"/>
            <w:tcMar>
              <w:top w:w="40" w:type="dxa"/>
              <w:bottom w:w="40" w:type="dxa"/>
              <w:right w:w="20" w:type="dxa"/>
            </w:tcMar>
            <w:vAlign w:val="bottom"/>
          </w:tcPr>
          <w:p w14:paraId="36CA307B"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307C"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307D" w14:textId="77777777" w:rsidR="00787570" w:rsidRDefault="000D56E2">
            <w:pPr>
              <w:jc w:val="right"/>
              <w:textAlignment w:val="bottom"/>
            </w:pPr>
            <w:r>
              <w:rPr>
                <w:rFonts w:ascii="Arial" w:eastAsia="宋体" w:hAnsi="Arial" w:cs="Arial"/>
                <w:color w:val="026DCE"/>
                <w:sz w:val="18"/>
                <w:szCs w:val="18"/>
              </w:rPr>
              <w:t>1,616 </w:t>
            </w:r>
          </w:p>
        </w:tc>
        <w:tc>
          <w:tcPr>
            <w:tcW w:w="0" w:type="auto"/>
            <w:shd w:val="clear" w:color="auto" w:fill="auto"/>
            <w:tcMar>
              <w:top w:w="40" w:type="dxa"/>
              <w:bottom w:w="40" w:type="dxa"/>
              <w:right w:w="20" w:type="dxa"/>
            </w:tcMar>
            <w:vAlign w:val="bottom"/>
          </w:tcPr>
          <w:p w14:paraId="36CA307E"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307F"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3080" w14:textId="77777777" w:rsidR="00787570" w:rsidRDefault="000D56E2">
            <w:pPr>
              <w:jc w:val="right"/>
              <w:textAlignment w:val="bottom"/>
            </w:pPr>
            <w:r>
              <w:rPr>
                <w:rFonts w:ascii="Arial" w:eastAsia="宋体" w:hAnsi="Arial" w:cs="Arial"/>
                <w:color w:val="333333"/>
                <w:sz w:val="18"/>
                <w:szCs w:val="18"/>
              </w:rPr>
              <w:t>560 </w:t>
            </w:r>
          </w:p>
        </w:tc>
        <w:tc>
          <w:tcPr>
            <w:tcW w:w="0" w:type="auto"/>
            <w:shd w:val="clear" w:color="auto" w:fill="auto"/>
            <w:tcMar>
              <w:top w:w="40" w:type="dxa"/>
              <w:bottom w:w="40" w:type="dxa"/>
              <w:right w:w="20" w:type="dxa"/>
            </w:tcMar>
            <w:vAlign w:val="bottom"/>
          </w:tcPr>
          <w:p w14:paraId="36CA3081"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3082"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3083" w14:textId="77777777" w:rsidR="00787570" w:rsidRDefault="000D56E2">
            <w:pPr>
              <w:jc w:val="right"/>
              <w:textAlignment w:val="bottom"/>
            </w:pPr>
            <w:r>
              <w:rPr>
                <w:rFonts w:ascii="Arial" w:eastAsia="宋体" w:hAnsi="Arial" w:cs="Arial"/>
                <w:color w:val="333333"/>
                <w:sz w:val="18"/>
                <w:szCs w:val="18"/>
              </w:rPr>
              <w:t>4 </w:t>
            </w:r>
          </w:p>
        </w:tc>
        <w:tc>
          <w:tcPr>
            <w:tcW w:w="0" w:type="auto"/>
            <w:shd w:val="clear" w:color="auto" w:fill="auto"/>
            <w:tcMar>
              <w:top w:w="40" w:type="dxa"/>
              <w:bottom w:w="40" w:type="dxa"/>
              <w:right w:w="20" w:type="dxa"/>
            </w:tcMar>
            <w:vAlign w:val="bottom"/>
          </w:tcPr>
          <w:p w14:paraId="36CA3084"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3085"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3086" w14:textId="77777777" w:rsidR="00787570" w:rsidRDefault="000D56E2">
            <w:pPr>
              <w:jc w:val="right"/>
              <w:textAlignment w:val="bottom"/>
            </w:pPr>
            <w:r>
              <w:rPr>
                <w:rFonts w:ascii="Arial" w:eastAsia="宋体" w:hAnsi="Arial" w:cs="Arial"/>
                <w:color w:val="333333"/>
                <w:sz w:val="18"/>
                <w:szCs w:val="18"/>
              </w:rPr>
              <w:t>— </w:t>
            </w:r>
          </w:p>
        </w:tc>
        <w:tc>
          <w:tcPr>
            <w:tcW w:w="0" w:type="auto"/>
            <w:shd w:val="clear" w:color="auto" w:fill="auto"/>
            <w:tcMar>
              <w:top w:w="40" w:type="dxa"/>
              <w:bottom w:w="40" w:type="dxa"/>
              <w:right w:w="20" w:type="dxa"/>
            </w:tcMar>
            <w:vAlign w:val="bottom"/>
          </w:tcPr>
          <w:p w14:paraId="36CA3087"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3088"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3089" w14:textId="77777777" w:rsidR="00787570" w:rsidRDefault="000D56E2">
            <w:pPr>
              <w:jc w:val="right"/>
              <w:textAlignment w:val="bottom"/>
            </w:pPr>
            <w:r>
              <w:rPr>
                <w:rFonts w:ascii="Arial" w:eastAsia="宋体" w:hAnsi="Arial" w:cs="Arial"/>
                <w:color w:val="333333"/>
                <w:sz w:val="18"/>
                <w:szCs w:val="18"/>
              </w:rPr>
              <w:t>564 </w:t>
            </w:r>
          </w:p>
        </w:tc>
        <w:tc>
          <w:tcPr>
            <w:tcW w:w="0" w:type="auto"/>
            <w:shd w:val="clear" w:color="auto" w:fill="auto"/>
            <w:tcMar>
              <w:top w:w="40" w:type="dxa"/>
              <w:bottom w:w="40" w:type="dxa"/>
              <w:right w:w="20" w:type="dxa"/>
            </w:tcMar>
            <w:vAlign w:val="bottom"/>
          </w:tcPr>
          <w:p w14:paraId="36CA308A" w14:textId="77777777" w:rsidR="00787570" w:rsidRDefault="00787570">
            <w:pPr>
              <w:jc w:val="right"/>
              <w:rPr>
                <w:rFonts w:ascii="宋体"/>
              </w:rPr>
            </w:pPr>
          </w:p>
        </w:tc>
        <w:tc>
          <w:tcPr>
            <w:tcW w:w="0" w:type="auto"/>
            <w:shd w:val="clear" w:color="auto" w:fill="auto"/>
          </w:tcPr>
          <w:p w14:paraId="36CA308B" w14:textId="77777777" w:rsidR="00787570" w:rsidRDefault="00787570">
            <w:pPr>
              <w:rPr>
                <w:rFonts w:ascii="宋体"/>
              </w:rPr>
            </w:pPr>
          </w:p>
        </w:tc>
        <w:tc>
          <w:tcPr>
            <w:tcW w:w="0" w:type="auto"/>
            <w:shd w:val="clear" w:color="auto" w:fill="auto"/>
          </w:tcPr>
          <w:p w14:paraId="36CA308C" w14:textId="77777777" w:rsidR="00787570" w:rsidRDefault="00787570">
            <w:pPr>
              <w:rPr>
                <w:rFonts w:ascii="宋体"/>
              </w:rPr>
            </w:pPr>
          </w:p>
        </w:tc>
        <w:tc>
          <w:tcPr>
            <w:tcW w:w="0" w:type="auto"/>
            <w:shd w:val="clear" w:color="auto" w:fill="auto"/>
          </w:tcPr>
          <w:p w14:paraId="36CA308D" w14:textId="77777777" w:rsidR="00787570" w:rsidRDefault="00787570">
            <w:pPr>
              <w:rPr>
                <w:rFonts w:ascii="宋体"/>
              </w:rPr>
            </w:pPr>
          </w:p>
        </w:tc>
        <w:tc>
          <w:tcPr>
            <w:tcW w:w="0" w:type="auto"/>
            <w:shd w:val="clear" w:color="auto" w:fill="auto"/>
          </w:tcPr>
          <w:p w14:paraId="36CA308E" w14:textId="77777777" w:rsidR="00787570" w:rsidRDefault="00787570">
            <w:pPr>
              <w:rPr>
                <w:rFonts w:ascii="宋体"/>
              </w:rPr>
            </w:pPr>
          </w:p>
        </w:tc>
        <w:tc>
          <w:tcPr>
            <w:tcW w:w="0" w:type="auto"/>
            <w:shd w:val="clear" w:color="auto" w:fill="auto"/>
          </w:tcPr>
          <w:p w14:paraId="36CA308F" w14:textId="77777777" w:rsidR="00787570" w:rsidRDefault="00787570">
            <w:pPr>
              <w:rPr>
                <w:rFonts w:ascii="宋体"/>
              </w:rPr>
            </w:pPr>
          </w:p>
        </w:tc>
        <w:tc>
          <w:tcPr>
            <w:tcW w:w="0" w:type="auto"/>
            <w:shd w:val="clear" w:color="auto" w:fill="auto"/>
          </w:tcPr>
          <w:p w14:paraId="36CA3090" w14:textId="77777777" w:rsidR="00787570" w:rsidRDefault="00787570">
            <w:pPr>
              <w:rPr>
                <w:rFonts w:ascii="宋体"/>
              </w:rPr>
            </w:pPr>
          </w:p>
        </w:tc>
        <w:tc>
          <w:tcPr>
            <w:tcW w:w="0" w:type="auto"/>
            <w:shd w:val="clear" w:color="auto" w:fill="auto"/>
          </w:tcPr>
          <w:p w14:paraId="36CA3091" w14:textId="77777777" w:rsidR="00787570" w:rsidRDefault="00787570">
            <w:pPr>
              <w:rPr>
                <w:rFonts w:ascii="宋体"/>
              </w:rPr>
            </w:pPr>
          </w:p>
        </w:tc>
        <w:tc>
          <w:tcPr>
            <w:tcW w:w="0" w:type="auto"/>
            <w:shd w:val="clear" w:color="auto" w:fill="auto"/>
          </w:tcPr>
          <w:p w14:paraId="36CA3092" w14:textId="77777777" w:rsidR="00787570" w:rsidRDefault="00787570">
            <w:pPr>
              <w:rPr>
                <w:rFonts w:ascii="宋体"/>
              </w:rPr>
            </w:pPr>
          </w:p>
        </w:tc>
        <w:tc>
          <w:tcPr>
            <w:tcW w:w="0" w:type="auto"/>
            <w:shd w:val="clear" w:color="auto" w:fill="auto"/>
          </w:tcPr>
          <w:p w14:paraId="36CA3093" w14:textId="77777777" w:rsidR="00787570" w:rsidRDefault="00787570">
            <w:pPr>
              <w:rPr>
                <w:rFonts w:ascii="宋体"/>
              </w:rPr>
            </w:pPr>
          </w:p>
        </w:tc>
        <w:tc>
          <w:tcPr>
            <w:tcW w:w="0" w:type="auto"/>
            <w:shd w:val="clear" w:color="auto" w:fill="auto"/>
          </w:tcPr>
          <w:p w14:paraId="36CA3094" w14:textId="77777777" w:rsidR="00787570" w:rsidRDefault="00787570">
            <w:pPr>
              <w:rPr>
                <w:rFonts w:ascii="宋体"/>
              </w:rPr>
            </w:pPr>
          </w:p>
        </w:tc>
        <w:tc>
          <w:tcPr>
            <w:tcW w:w="0" w:type="auto"/>
            <w:shd w:val="clear" w:color="auto" w:fill="auto"/>
          </w:tcPr>
          <w:p w14:paraId="36CA3095" w14:textId="77777777" w:rsidR="00787570" w:rsidRDefault="00787570">
            <w:pPr>
              <w:rPr>
                <w:rFonts w:ascii="宋体"/>
              </w:rPr>
            </w:pPr>
          </w:p>
        </w:tc>
        <w:tc>
          <w:tcPr>
            <w:tcW w:w="0" w:type="auto"/>
            <w:shd w:val="clear" w:color="auto" w:fill="auto"/>
          </w:tcPr>
          <w:p w14:paraId="36CA3096" w14:textId="77777777" w:rsidR="00787570" w:rsidRDefault="00787570">
            <w:pPr>
              <w:rPr>
                <w:rFonts w:ascii="宋体"/>
              </w:rPr>
            </w:pPr>
          </w:p>
        </w:tc>
      </w:tr>
      <w:tr w:rsidR="00787570" w14:paraId="36CA30C6" w14:textId="77777777">
        <w:tc>
          <w:tcPr>
            <w:tcW w:w="0" w:type="auto"/>
            <w:gridSpan w:val="3"/>
            <w:shd w:val="clear" w:color="auto" w:fill="auto"/>
            <w:tcMar>
              <w:top w:w="40" w:type="dxa"/>
              <w:left w:w="20" w:type="dxa"/>
              <w:bottom w:w="40" w:type="dxa"/>
              <w:right w:w="20" w:type="dxa"/>
            </w:tcMar>
          </w:tcPr>
          <w:p w14:paraId="36CA3098" w14:textId="77777777" w:rsidR="00787570" w:rsidRDefault="000D56E2">
            <w:pPr>
              <w:textAlignment w:val="top"/>
            </w:pPr>
            <w:r>
              <w:rPr>
                <w:rFonts w:ascii="Arial" w:eastAsia="宋体" w:hAnsi="Arial" w:cs="Arial"/>
                <w:b/>
                <w:bCs/>
                <w:color w:val="333333"/>
                <w:sz w:val="18"/>
                <w:szCs w:val="18"/>
              </w:rPr>
              <w:t>Total available-for-sale</w:t>
            </w:r>
          </w:p>
          <w:p w14:paraId="36CA3099" w14:textId="77777777" w:rsidR="00787570" w:rsidRDefault="000D56E2">
            <w:pPr>
              <w:textAlignment w:val="top"/>
            </w:pPr>
            <w:r>
              <w:rPr>
                <w:rFonts w:ascii="Arial" w:eastAsia="宋体" w:hAnsi="Arial" w:cs="Arial"/>
                <w:b/>
                <w:bCs/>
                <w:color w:val="333333"/>
                <w:sz w:val="18"/>
                <w:szCs w:val="18"/>
              </w:rPr>
              <w:t>     debt investments</w:t>
            </w:r>
          </w:p>
        </w:tc>
        <w:tc>
          <w:tcPr>
            <w:tcW w:w="0" w:type="auto"/>
            <w:gridSpan w:val="3"/>
            <w:shd w:val="clear" w:color="auto" w:fill="auto"/>
            <w:tcMar>
              <w:left w:w="20" w:type="dxa"/>
              <w:right w:w="20" w:type="dxa"/>
            </w:tcMar>
            <w:vAlign w:val="bottom"/>
          </w:tcPr>
          <w:p w14:paraId="36CA309A" w14:textId="77777777" w:rsidR="00787570" w:rsidRDefault="00787570">
            <w:pPr>
              <w:rPr>
                <w:rFonts w:ascii="宋体"/>
              </w:rPr>
            </w:pPr>
          </w:p>
        </w:tc>
        <w:tc>
          <w:tcPr>
            <w:tcW w:w="0" w:type="auto"/>
            <w:tcBorders>
              <w:top w:val="single" w:sz="8" w:space="0" w:color="333333"/>
              <w:bottom w:val="double" w:sz="6" w:space="0" w:color="333333"/>
            </w:tcBorders>
            <w:shd w:val="clear" w:color="auto" w:fill="auto"/>
            <w:tcMar>
              <w:top w:w="40" w:type="dxa"/>
              <w:left w:w="20" w:type="dxa"/>
              <w:bottom w:w="40" w:type="dxa"/>
            </w:tcMar>
            <w:vAlign w:val="bottom"/>
          </w:tcPr>
          <w:p w14:paraId="36CA309B" w14:textId="77777777" w:rsidR="00787570" w:rsidRDefault="000D56E2">
            <w:pPr>
              <w:textAlignment w:val="bottom"/>
            </w:pPr>
            <w:r>
              <w:rPr>
                <w:rFonts w:ascii="Arial" w:eastAsia="宋体" w:hAnsi="Arial" w:cs="Arial"/>
                <w:b/>
                <w:bCs/>
                <w:color w:val="026DCE"/>
                <w:sz w:val="18"/>
                <w:szCs w:val="18"/>
              </w:rPr>
              <w:t>$</w:t>
            </w:r>
          </w:p>
        </w:tc>
        <w:tc>
          <w:tcPr>
            <w:tcW w:w="0" w:type="auto"/>
            <w:tcBorders>
              <w:top w:val="single" w:sz="8" w:space="0" w:color="333333"/>
              <w:bottom w:val="double" w:sz="6" w:space="0" w:color="333333"/>
            </w:tcBorders>
            <w:shd w:val="clear" w:color="auto" w:fill="auto"/>
            <w:tcMar>
              <w:top w:w="40" w:type="dxa"/>
              <w:bottom w:w="40" w:type="dxa"/>
              <w:right w:w="0" w:type="dxa"/>
            </w:tcMar>
            <w:vAlign w:val="bottom"/>
          </w:tcPr>
          <w:p w14:paraId="36CA309C" w14:textId="77777777" w:rsidR="00787570" w:rsidRDefault="000D56E2">
            <w:pPr>
              <w:jc w:val="right"/>
              <w:textAlignment w:val="bottom"/>
            </w:pPr>
            <w:r>
              <w:rPr>
                <w:rFonts w:ascii="Arial" w:eastAsia="宋体" w:hAnsi="Arial" w:cs="Arial"/>
                <w:b/>
                <w:bCs/>
                <w:color w:val="026DCE"/>
                <w:sz w:val="18"/>
                <w:szCs w:val="18"/>
              </w:rPr>
              <w:t>7,112</w:t>
            </w:r>
            <w:r>
              <w:rPr>
                <w:rFonts w:ascii="Arial" w:eastAsia="宋体" w:hAnsi="Arial" w:cs="Arial"/>
                <w:color w:val="026DCE"/>
                <w:sz w:val="18"/>
                <w:szCs w:val="18"/>
              </w:rPr>
              <w:t> </w:t>
            </w:r>
          </w:p>
        </w:tc>
        <w:tc>
          <w:tcPr>
            <w:tcW w:w="0" w:type="auto"/>
            <w:tcBorders>
              <w:top w:val="single" w:sz="8" w:space="0" w:color="333333"/>
              <w:bottom w:val="double" w:sz="6" w:space="0" w:color="333333"/>
            </w:tcBorders>
            <w:shd w:val="clear" w:color="auto" w:fill="auto"/>
            <w:tcMar>
              <w:top w:w="40" w:type="dxa"/>
              <w:bottom w:w="40" w:type="dxa"/>
              <w:right w:w="20" w:type="dxa"/>
            </w:tcMar>
            <w:vAlign w:val="bottom"/>
          </w:tcPr>
          <w:p w14:paraId="36CA309D"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309E" w14:textId="77777777" w:rsidR="00787570" w:rsidRDefault="00787570">
            <w:pPr>
              <w:rPr>
                <w:rFonts w:ascii="宋体"/>
              </w:rPr>
            </w:pPr>
          </w:p>
        </w:tc>
        <w:tc>
          <w:tcPr>
            <w:tcW w:w="0" w:type="auto"/>
            <w:tcBorders>
              <w:top w:val="single" w:sz="8" w:space="0" w:color="333333"/>
              <w:bottom w:val="double" w:sz="6" w:space="0" w:color="333333"/>
            </w:tcBorders>
            <w:shd w:val="clear" w:color="auto" w:fill="auto"/>
            <w:tcMar>
              <w:top w:w="40" w:type="dxa"/>
              <w:left w:w="20" w:type="dxa"/>
              <w:bottom w:w="40" w:type="dxa"/>
            </w:tcMar>
            <w:vAlign w:val="bottom"/>
          </w:tcPr>
          <w:p w14:paraId="36CA309F" w14:textId="77777777" w:rsidR="00787570" w:rsidRDefault="000D56E2">
            <w:pPr>
              <w:textAlignment w:val="bottom"/>
            </w:pPr>
            <w:r>
              <w:rPr>
                <w:rFonts w:ascii="Arial" w:eastAsia="宋体" w:hAnsi="Arial" w:cs="Arial"/>
                <w:b/>
                <w:bCs/>
                <w:color w:val="026DCE"/>
                <w:sz w:val="18"/>
                <w:szCs w:val="18"/>
              </w:rPr>
              <w:t>$</w:t>
            </w:r>
          </w:p>
        </w:tc>
        <w:tc>
          <w:tcPr>
            <w:tcW w:w="0" w:type="auto"/>
            <w:tcBorders>
              <w:top w:val="single" w:sz="8" w:space="0" w:color="333333"/>
              <w:bottom w:val="double" w:sz="6" w:space="0" w:color="333333"/>
            </w:tcBorders>
            <w:shd w:val="clear" w:color="auto" w:fill="auto"/>
            <w:tcMar>
              <w:top w:w="40" w:type="dxa"/>
              <w:bottom w:w="40" w:type="dxa"/>
              <w:right w:w="0" w:type="dxa"/>
            </w:tcMar>
            <w:vAlign w:val="bottom"/>
          </w:tcPr>
          <w:p w14:paraId="36CA30A0" w14:textId="77777777" w:rsidR="00787570" w:rsidRDefault="000D56E2">
            <w:pPr>
              <w:jc w:val="right"/>
              <w:textAlignment w:val="bottom"/>
            </w:pPr>
            <w:r>
              <w:rPr>
                <w:rFonts w:ascii="Arial" w:eastAsia="宋体" w:hAnsi="Arial" w:cs="Arial"/>
                <w:b/>
                <w:bCs/>
                <w:color w:val="026DCE"/>
                <w:sz w:val="18"/>
                <w:szCs w:val="18"/>
              </w:rPr>
              <w:t>124</w:t>
            </w:r>
            <w:r>
              <w:rPr>
                <w:rFonts w:ascii="Arial" w:eastAsia="宋体" w:hAnsi="Arial" w:cs="Arial"/>
                <w:color w:val="026DCE"/>
                <w:sz w:val="18"/>
                <w:szCs w:val="18"/>
              </w:rPr>
              <w:t> </w:t>
            </w:r>
          </w:p>
        </w:tc>
        <w:tc>
          <w:tcPr>
            <w:tcW w:w="0" w:type="auto"/>
            <w:tcBorders>
              <w:top w:val="single" w:sz="8" w:space="0" w:color="333333"/>
              <w:bottom w:val="double" w:sz="6" w:space="0" w:color="333333"/>
            </w:tcBorders>
            <w:shd w:val="clear" w:color="auto" w:fill="auto"/>
            <w:tcMar>
              <w:top w:w="40" w:type="dxa"/>
              <w:bottom w:w="40" w:type="dxa"/>
              <w:right w:w="20" w:type="dxa"/>
            </w:tcMar>
            <w:vAlign w:val="bottom"/>
          </w:tcPr>
          <w:p w14:paraId="36CA30A1"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30A2" w14:textId="77777777" w:rsidR="00787570" w:rsidRDefault="00787570">
            <w:pPr>
              <w:rPr>
                <w:rFonts w:ascii="宋体"/>
              </w:rPr>
            </w:pPr>
          </w:p>
        </w:tc>
        <w:tc>
          <w:tcPr>
            <w:tcW w:w="0" w:type="auto"/>
            <w:tcBorders>
              <w:top w:val="single" w:sz="8" w:space="0" w:color="333333"/>
              <w:bottom w:val="double" w:sz="6" w:space="0" w:color="333333"/>
            </w:tcBorders>
            <w:shd w:val="clear" w:color="auto" w:fill="auto"/>
            <w:tcMar>
              <w:top w:w="40" w:type="dxa"/>
              <w:left w:w="20" w:type="dxa"/>
              <w:bottom w:w="40" w:type="dxa"/>
            </w:tcMar>
            <w:vAlign w:val="bottom"/>
          </w:tcPr>
          <w:p w14:paraId="36CA30A3" w14:textId="77777777" w:rsidR="00787570" w:rsidRDefault="000D56E2">
            <w:pPr>
              <w:textAlignment w:val="bottom"/>
            </w:pPr>
            <w:r>
              <w:rPr>
                <w:rFonts w:ascii="Arial" w:eastAsia="宋体" w:hAnsi="Arial" w:cs="Arial"/>
                <w:b/>
                <w:bCs/>
                <w:color w:val="026DCE"/>
                <w:sz w:val="18"/>
                <w:szCs w:val="18"/>
              </w:rPr>
              <w:t>$</w:t>
            </w:r>
          </w:p>
        </w:tc>
        <w:tc>
          <w:tcPr>
            <w:tcW w:w="0" w:type="auto"/>
            <w:tcBorders>
              <w:top w:val="single" w:sz="8" w:space="0" w:color="333333"/>
              <w:bottom w:val="double" w:sz="6" w:space="0" w:color="333333"/>
            </w:tcBorders>
            <w:shd w:val="clear" w:color="auto" w:fill="auto"/>
            <w:tcMar>
              <w:top w:w="40" w:type="dxa"/>
              <w:bottom w:w="40" w:type="dxa"/>
              <w:right w:w="0" w:type="dxa"/>
            </w:tcMar>
            <w:vAlign w:val="bottom"/>
          </w:tcPr>
          <w:p w14:paraId="36CA30A4" w14:textId="77777777" w:rsidR="00787570" w:rsidRDefault="000D56E2">
            <w:pPr>
              <w:jc w:val="right"/>
              <w:textAlignment w:val="bottom"/>
            </w:pPr>
            <w:r>
              <w:rPr>
                <w:rFonts w:ascii="Arial" w:eastAsia="宋体" w:hAnsi="Arial" w:cs="Arial"/>
                <w:b/>
                <w:bCs/>
                <w:color w:val="026DCE"/>
                <w:sz w:val="18"/>
                <w:szCs w:val="18"/>
              </w:rPr>
              <w:t>—</w:t>
            </w:r>
            <w:r>
              <w:rPr>
                <w:rFonts w:ascii="Arial" w:eastAsia="宋体" w:hAnsi="Arial" w:cs="Arial"/>
                <w:color w:val="026DCE"/>
                <w:sz w:val="18"/>
                <w:szCs w:val="18"/>
              </w:rPr>
              <w:t> </w:t>
            </w:r>
          </w:p>
        </w:tc>
        <w:tc>
          <w:tcPr>
            <w:tcW w:w="0" w:type="auto"/>
            <w:tcBorders>
              <w:top w:val="single" w:sz="8" w:space="0" w:color="333333"/>
              <w:bottom w:val="double" w:sz="6" w:space="0" w:color="333333"/>
            </w:tcBorders>
            <w:shd w:val="clear" w:color="auto" w:fill="auto"/>
            <w:tcMar>
              <w:top w:w="40" w:type="dxa"/>
              <w:bottom w:w="40" w:type="dxa"/>
              <w:right w:w="20" w:type="dxa"/>
            </w:tcMar>
            <w:vAlign w:val="bottom"/>
          </w:tcPr>
          <w:p w14:paraId="36CA30A5"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30A6" w14:textId="77777777" w:rsidR="00787570" w:rsidRDefault="00787570">
            <w:pPr>
              <w:rPr>
                <w:rFonts w:ascii="宋体"/>
              </w:rPr>
            </w:pPr>
          </w:p>
        </w:tc>
        <w:tc>
          <w:tcPr>
            <w:tcW w:w="0" w:type="auto"/>
            <w:tcBorders>
              <w:top w:val="single" w:sz="8" w:space="0" w:color="333333"/>
              <w:bottom w:val="double" w:sz="6" w:space="0" w:color="333333"/>
            </w:tcBorders>
            <w:shd w:val="clear" w:color="auto" w:fill="auto"/>
            <w:tcMar>
              <w:top w:w="40" w:type="dxa"/>
              <w:left w:w="20" w:type="dxa"/>
              <w:bottom w:w="40" w:type="dxa"/>
            </w:tcMar>
            <w:vAlign w:val="bottom"/>
          </w:tcPr>
          <w:p w14:paraId="36CA30A7" w14:textId="77777777" w:rsidR="00787570" w:rsidRDefault="000D56E2">
            <w:pPr>
              <w:textAlignment w:val="bottom"/>
            </w:pPr>
            <w:r>
              <w:rPr>
                <w:rFonts w:ascii="Arial" w:eastAsia="宋体" w:hAnsi="Arial" w:cs="Arial"/>
                <w:b/>
                <w:bCs/>
                <w:color w:val="026DCE"/>
                <w:sz w:val="18"/>
                <w:szCs w:val="18"/>
              </w:rPr>
              <w:t>$</w:t>
            </w:r>
          </w:p>
        </w:tc>
        <w:tc>
          <w:tcPr>
            <w:tcW w:w="0" w:type="auto"/>
            <w:tcBorders>
              <w:top w:val="single" w:sz="8" w:space="0" w:color="333333"/>
              <w:bottom w:val="double" w:sz="6" w:space="0" w:color="333333"/>
            </w:tcBorders>
            <w:shd w:val="clear" w:color="auto" w:fill="auto"/>
            <w:tcMar>
              <w:top w:w="40" w:type="dxa"/>
              <w:bottom w:w="40" w:type="dxa"/>
              <w:right w:w="0" w:type="dxa"/>
            </w:tcMar>
            <w:vAlign w:val="bottom"/>
          </w:tcPr>
          <w:p w14:paraId="36CA30A8" w14:textId="77777777" w:rsidR="00787570" w:rsidRDefault="000D56E2">
            <w:pPr>
              <w:jc w:val="right"/>
              <w:textAlignment w:val="bottom"/>
            </w:pPr>
            <w:r>
              <w:rPr>
                <w:rFonts w:ascii="Arial" w:eastAsia="宋体" w:hAnsi="Arial" w:cs="Arial"/>
                <w:b/>
                <w:bCs/>
                <w:color w:val="026DCE"/>
                <w:sz w:val="18"/>
                <w:szCs w:val="18"/>
              </w:rPr>
              <w:t>7,236</w:t>
            </w:r>
            <w:r>
              <w:rPr>
                <w:rFonts w:ascii="Arial" w:eastAsia="宋体" w:hAnsi="Arial" w:cs="Arial"/>
                <w:color w:val="026DCE"/>
                <w:sz w:val="18"/>
                <w:szCs w:val="18"/>
              </w:rPr>
              <w:t> </w:t>
            </w:r>
          </w:p>
        </w:tc>
        <w:tc>
          <w:tcPr>
            <w:tcW w:w="0" w:type="auto"/>
            <w:tcBorders>
              <w:top w:val="single" w:sz="8" w:space="0" w:color="333333"/>
              <w:bottom w:val="double" w:sz="6" w:space="0" w:color="333333"/>
            </w:tcBorders>
            <w:shd w:val="clear" w:color="auto" w:fill="auto"/>
            <w:tcMar>
              <w:top w:w="40" w:type="dxa"/>
              <w:bottom w:w="40" w:type="dxa"/>
              <w:right w:w="20" w:type="dxa"/>
            </w:tcMar>
            <w:vAlign w:val="bottom"/>
          </w:tcPr>
          <w:p w14:paraId="36CA30A9"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30AA" w14:textId="77777777" w:rsidR="00787570" w:rsidRDefault="00787570">
            <w:pPr>
              <w:rPr>
                <w:rFonts w:ascii="宋体"/>
              </w:rPr>
            </w:pPr>
          </w:p>
        </w:tc>
        <w:tc>
          <w:tcPr>
            <w:tcW w:w="0" w:type="auto"/>
            <w:tcBorders>
              <w:top w:val="single" w:sz="8" w:space="0" w:color="333333"/>
              <w:bottom w:val="double" w:sz="6" w:space="0" w:color="333333"/>
            </w:tcBorders>
            <w:shd w:val="clear" w:color="auto" w:fill="auto"/>
            <w:tcMar>
              <w:top w:w="40" w:type="dxa"/>
              <w:left w:w="20" w:type="dxa"/>
              <w:bottom w:w="40" w:type="dxa"/>
            </w:tcMar>
            <w:vAlign w:val="bottom"/>
          </w:tcPr>
          <w:p w14:paraId="36CA30AB" w14:textId="77777777" w:rsidR="00787570" w:rsidRDefault="000D56E2">
            <w:pPr>
              <w:textAlignment w:val="bottom"/>
            </w:pPr>
            <w:r>
              <w:rPr>
                <w:rFonts w:ascii="Arial" w:eastAsia="宋体" w:hAnsi="Arial" w:cs="Arial"/>
                <w:b/>
                <w:bCs/>
                <w:color w:val="333333"/>
                <w:sz w:val="18"/>
                <w:szCs w:val="18"/>
              </w:rPr>
              <w:t>$</w:t>
            </w:r>
          </w:p>
        </w:tc>
        <w:tc>
          <w:tcPr>
            <w:tcW w:w="0" w:type="auto"/>
            <w:tcBorders>
              <w:top w:val="single" w:sz="8" w:space="0" w:color="333333"/>
              <w:bottom w:val="double" w:sz="6" w:space="0" w:color="333333"/>
            </w:tcBorders>
            <w:shd w:val="clear" w:color="auto" w:fill="auto"/>
            <w:tcMar>
              <w:top w:w="40" w:type="dxa"/>
              <w:bottom w:w="40" w:type="dxa"/>
              <w:right w:w="0" w:type="dxa"/>
            </w:tcMar>
            <w:vAlign w:val="bottom"/>
          </w:tcPr>
          <w:p w14:paraId="36CA30AC" w14:textId="77777777" w:rsidR="00787570" w:rsidRDefault="000D56E2">
            <w:pPr>
              <w:jc w:val="right"/>
              <w:textAlignment w:val="bottom"/>
            </w:pPr>
            <w:r>
              <w:rPr>
                <w:rFonts w:ascii="Arial" w:eastAsia="宋体" w:hAnsi="Arial" w:cs="Arial"/>
                <w:b/>
                <w:bCs/>
                <w:color w:val="333333"/>
                <w:sz w:val="18"/>
                <w:szCs w:val="18"/>
              </w:rPr>
              <w:t>6,481</w:t>
            </w:r>
            <w:r>
              <w:rPr>
                <w:rFonts w:ascii="Arial" w:eastAsia="宋体" w:hAnsi="Arial" w:cs="Arial"/>
                <w:color w:val="333333"/>
                <w:sz w:val="18"/>
                <w:szCs w:val="18"/>
              </w:rPr>
              <w:t> </w:t>
            </w:r>
          </w:p>
        </w:tc>
        <w:tc>
          <w:tcPr>
            <w:tcW w:w="0" w:type="auto"/>
            <w:tcBorders>
              <w:top w:val="single" w:sz="8" w:space="0" w:color="333333"/>
              <w:bottom w:val="double" w:sz="6" w:space="0" w:color="333333"/>
            </w:tcBorders>
            <w:shd w:val="clear" w:color="auto" w:fill="auto"/>
            <w:tcMar>
              <w:top w:w="40" w:type="dxa"/>
              <w:bottom w:w="40" w:type="dxa"/>
              <w:right w:w="20" w:type="dxa"/>
            </w:tcMar>
            <w:vAlign w:val="bottom"/>
          </w:tcPr>
          <w:p w14:paraId="36CA30AD"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30AE" w14:textId="77777777" w:rsidR="00787570" w:rsidRDefault="00787570">
            <w:pPr>
              <w:rPr>
                <w:rFonts w:ascii="宋体"/>
              </w:rPr>
            </w:pPr>
          </w:p>
        </w:tc>
        <w:tc>
          <w:tcPr>
            <w:tcW w:w="0" w:type="auto"/>
            <w:tcBorders>
              <w:top w:val="single" w:sz="8" w:space="0" w:color="333333"/>
              <w:bottom w:val="double" w:sz="6" w:space="0" w:color="333333"/>
            </w:tcBorders>
            <w:shd w:val="clear" w:color="auto" w:fill="auto"/>
            <w:tcMar>
              <w:top w:w="40" w:type="dxa"/>
              <w:left w:w="20" w:type="dxa"/>
              <w:bottom w:w="40" w:type="dxa"/>
            </w:tcMar>
            <w:vAlign w:val="bottom"/>
          </w:tcPr>
          <w:p w14:paraId="36CA30AF" w14:textId="77777777" w:rsidR="00787570" w:rsidRDefault="000D56E2">
            <w:pPr>
              <w:textAlignment w:val="bottom"/>
            </w:pPr>
            <w:r>
              <w:rPr>
                <w:rFonts w:ascii="Arial" w:eastAsia="宋体" w:hAnsi="Arial" w:cs="Arial"/>
                <w:b/>
                <w:bCs/>
                <w:color w:val="333333"/>
                <w:sz w:val="18"/>
                <w:szCs w:val="18"/>
              </w:rPr>
              <w:t>$</w:t>
            </w:r>
          </w:p>
        </w:tc>
        <w:tc>
          <w:tcPr>
            <w:tcW w:w="0" w:type="auto"/>
            <w:tcBorders>
              <w:top w:val="single" w:sz="8" w:space="0" w:color="333333"/>
              <w:bottom w:val="double" w:sz="6" w:space="0" w:color="333333"/>
            </w:tcBorders>
            <w:shd w:val="clear" w:color="auto" w:fill="auto"/>
            <w:tcMar>
              <w:top w:w="40" w:type="dxa"/>
              <w:bottom w:w="40" w:type="dxa"/>
              <w:right w:w="0" w:type="dxa"/>
            </w:tcMar>
            <w:vAlign w:val="bottom"/>
          </w:tcPr>
          <w:p w14:paraId="36CA30B0" w14:textId="77777777" w:rsidR="00787570" w:rsidRDefault="000D56E2">
            <w:pPr>
              <w:jc w:val="right"/>
              <w:textAlignment w:val="bottom"/>
            </w:pPr>
            <w:r>
              <w:rPr>
                <w:rFonts w:ascii="Arial" w:eastAsia="宋体" w:hAnsi="Arial" w:cs="Arial"/>
                <w:b/>
                <w:bCs/>
                <w:color w:val="333333"/>
                <w:sz w:val="18"/>
                <w:szCs w:val="18"/>
              </w:rPr>
              <w:t>63</w:t>
            </w:r>
            <w:r>
              <w:rPr>
                <w:rFonts w:ascii="Arial" w:eastAsia="宋体" w:hAnsi="Arial" w:cs="Arial"/>
                <w:color w:val="333333"/>
                <w:sz w:val="18"/>
                <w:szCs w:val="18"/>
              </w:rPr>
              <w:t> </w:t>
            </w:r>
          </w:p>
        </w:tc>
        <w:tc>
          <w:tcPr>
            <w:tcW w:w="0" w:type="auto"/>
            <w:tcBorders>
              <w:top w:val="single" w:sz="8" w:space="0" w:color="333333"/>
              <w:bottom w:val="double" w:sz="6" w:space="0" w:color="333333"/>
            </w:tcBorders>
            <w:shd w:val="clear" w:color="auto" w:fill="auto"/>
            <w:tcMar>
              <w:top w:w="40" w:type="dxa"/>
              <w:bottom w:w="40" w:type="dxa"/>
              <w:right w:w="20" w:type="dxa"/>
            </w:tcMar>
            <w:vAlign w:val="bottom"/>
          </w:tcPr>
          <w:p w14:paraId="36CA30B1"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30B2" w14:textId="77777777" w:rsidR="00787570" w:rsidRDefault="00787570">
            <w:pPr>
              <w:rPr>
                <w:rFonts w:ascii="宋体"/>
              </w:rPr>
            </w:pPr>
          </w:p>
        </w:tc>
        <w:tc>
          <w:tcPr>
            <w:tcW w:w="0" w:type="auto"/>
            <w:tcBorders>
              <w:top w:val="single" w:sz="8" w:space="0" w:color="333333"/>
              <w:bottom w:val="double" w:sz="6" w:space="0" w:color="333333"/>
            </w:tcBorders>
            <w:shd w:val="clear" w:color="auto" w:fill="auto"/>
            <w:tcMar>
              <w:top w:w="40" w:type="dxa"/>
              <w:left w:w="20" w:type="dxa"/>
              <w:bottom w:w="40" w:type="dxa"/>
            </w:tcMar>
            <w:vAlign w:val="bottom"/>
          </w:tcPr>
          <w:p w14:paraId="36CA30B3" w14:textId="77777777" w:rsidR="00787570" w:rsidRDefault="000D56E2">
            <w:pPr>
              <w:textAlignment w:val="bottom"/>
            </w:pPr>
            <w:r>
              <w:rPr>
                <w:rFonts w:ascii="Arial" w:eastAsia="宋体" w:hAnsi="Arial" w:cs="Arial"/>
                <w:b/>
                <w:bCs/>
                <w:color w:val="333333"/>
                <w:sz w:val="18"/>
                <w:szCs w:val="18"/>
              </w:rPr>
              <w:t>$</w:t>
            </w:r>
          </w:p>
        </w:tc>
        <w:tc>
          <w:tcPr>
            <w:tcW w:w="0" w:type="auto"/>
            <w:tcBorders>
              <w:top w:val="single" w:sz="8" w:space="0" w:color="333333"/>
              <w:bottom w:val="double" w:sz="6" w:space="0" w:color="333333"/>
            </w:tcBorders>
            <w:shd w:val="clear" w:color="auto" w:fill="auto"/>
            <w:tcMar>
              <w:top w:w="40" w:type="dxa"/>
              <w:bottom w:w="40" w:type="dxa"/>
              <w:right w:w="0" w:type="dxa"/>
            </w:tcMar>
            <w:vAlign w:val="bottom"/>
          </w:tcPr>
          <w:p w14:paraId="36CA30B4" w14:textId="77777777" w:rsidR="00787570" w:rsidRDefault="000D56E2">
            <w:pPr>
              <w:jc w:val="right"/>
              <w:textAlignment w:val="bottom"/>
            </w:pPr>
            <w:r>
              <w:rPr>
                <w:rFonts w:ascii="Arial" w:eastAsia="宋体" w:hAnsi="Arial" w:cs="Arial"/>
                <w:b/>
                <w:bCs/>
                <w:color w:val="333333"/>
                <w:sz w:val="18"/>
                <w:szCs w:val="18"/>
              </w:rPr>
              <w:t>(1)</w:t>
            </w:r>
          </w:p>
        </w:tc>
        <w:tc>
          <w:tcPr>
            <w:tcW w:w="0" w:type="auto"/>
            <w:tcBorders>
              <w:top w:val="single" w:sz="8" w:space="0" w:color="333333"/>
              <w:bottom w:val="double" w:sz="6" w:space="0" w:color="333333"/>
            </w:tcBorders>
            <w:shd w:val="clear" w:color="auto" w:fill="auto"/>
            <w:tcMar>
              <w:top w:w="40" w:type="dxa"/>
              <w:bottom w:w="40" w:type="dxa"/>
              <w:right w:w="20" w:type="dxa"/>
            </w:tcMar>
            <w:vAlign w:val="bottom"/>
          </w:tcPr>
          <w:p w14:paraId="36CA30B5"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30B6" w14:textId="77777777" w:rsidR="00787570" w:rsidRDefault="00787570">
            <w:pPr>
              <w:rPr>
                <w:rFonts w:ascii="宋体"/>
              </w:rPr>
            </w:pPr>
          </w:p>
        </w:tc>
        <w:tc>
          <w:tcPr>
            <w:tcW w:w="0" w:type="auto"/>
            <w:tcBorders>
              <w:top w:val="single" w:sz="8" w:space="0" w:color="333333"/>
              <w:bottom w:val="double" w:sz="6" w:space="0" w:color="333333"/>
            </w:tcBorders>
            <w:shd w:val="clear" w:color="auto" w:fill="auto"/>
            <w:tcMar>
              <w:top w:w="40" w:type="dxa"/>
              <w:left w:w="20" w:type="dxa"/>
              <w:bottom w:w="40" w:type="dxa"/>
            </w:tcMar>
            <w:vAlign w:val="bottom"/>
          </w:tcPr>
          <w:p w14:paraId="36CA30B7" w14:textId="77777777" w:rsidR="00787570" w:rsidRDefault="000D56E2">
            <w:pPr>
              <w:textAlignment w:val="bottom"/>
            </w:pPr>
            <w:r>
              <w:rPr>
                <w:rFonts w:ascii="Arial" w:eastAsia="宋体" w:hAnsi="Arial" w:cs="Arial"/>
                <w:b/>
                <w:bCs/>
                <w:color w:val="333333"/>
                <w:sz w:val="18"/>
                <w:szCs w:val="18"/>
              </w:rPr>
              <w:t>$</w:t>
            </w:r>
          </w:p>
        </w:tc>
        <w:tc>
          <w:tcPr>
            <w:tcW w:w="0" w:type="auto"/>
            <w:tcBorders>
              <w:top w:val="single" w:sz="8" w:space="0" w:color="333333"/>
              <w:bottom w:val="double" w:sz="6" w:space="0" w:color="333333"/>
            </w:tcBorders>
            <w:shd w:val="clear" w:color="auto" w:fill="auto"/>
            <w:tcMar>
              <w:top w:w="40" w:type="dxa"/>
              <w:bottom w:w="40" w:type="dxa"/>
              <w:right w:w="0" w:type="dxa"/>
            </w:tcMar>
            <w:vAlign w:val="bottom"/>
          </w:tcPr>
          <w:p w14:paraId="36CA30B8" w14:textId="77777777" w:rsidR="00787570" w:rsidRDefault="000D56E2">
            <w:pPr>
              <w:jc w:val="right"/>
              <w:textAlignment w:val="bottom"/>
            </w:pPr>
            <w:r>
              <w:rPr>
                <w:rFonts w:ascii="Arial" w:eastAsia="宋体" w:hAnsi="Arial" w:cs="Arial"/>
                <w:b/>
                <w:bCs/>
                <w:color w:val="333333"/>
                <w:sz w:val="18"/>
                <w:szCs w:val="18"/>
              </w:rPr>
              <w:t>6,543</w:t>
            </w:r>
            <w:r>
              <w:rPr>
                <w:rFonts w:ascii="Arial" w:eastAsia="宋体" w:hAnsi="Arial" w:cs="Arial"/>
                <w:color w:val="333333"/>
                <w:sz w:val="18"/>
                <w:szCs w:val="18"/>
              </w:rPr>
              <w:t> </w:t>
            </w:r>
          </w:p>
        </w:tc>
        <w:tc>
          <w:tcPr>
            <w:tcW w:w="0" w:type="auto"/>
            <w:tcBorders>
              <w:top w:val="single" w:sz="8" w:space="0" w:color="333333"/>
              <w:bottom w:val="double" w:sz="6" w:space="0" w:color="333333"/>
            </w:tcBorders>
            <w:shd w:val="clear" w:color="auto" w:fill="auto"/>
            <w:tcMar>
              <w:top w:w="40" w:type="dxa"/>
              <w:bottom w:w="40" w:type="dxa"/>
              <w:right w:w="20" w:type="dxa"/>
            </w:tcMar>
            <w:vAlign w:val="bottom"/>
          </w:tcPr>
          <w:p w14:paraId="36CA30B9" w14:textId="77777777" w:rsidR="00787570" w:rsidRDefault="00787570">
            <w:pPr>
              <w:jc w:val="right"/>
              <w:rPr>
                <w:rFonts w:ascii="宋体"/>
              </w:rPr>
            </w:pPr>
          </w:p>
        </w:tc>
        <w:tc>
          <w:tcPr>
            <w:tcW w:w="0" w:type="auto"/>
            <w:shd w:val="clear" w:color="auto" w:fill="auto"/>
          </w:tcPr>
          <w:p w14:paraId="36CA30BA" w14:textId="77777777" w:rsidR="00787570" w:rsidRDefault="00787570">
            <w:pPr>
              <w:rPr>
                <w:rFonts w:ascii="宋体"/>
              </w:rPr>
            </w:pPr>
          </w:p>
        </w:tc>
        <w:tc>
          <w:tcPr>
            <w:tcW w:w="0" w:type="auto"/>
            <w:shd w:val="clear" w:color="auto" w:fill="auto"/>
          </w:tcPr>
          <w:p w14:paraId="36CA30BB" w14:textId="77777777" w:rsidR="00787570" w:rsidRDefault="00787570">
            <w:pPr>
              <w:rPr>
                <w:rFonts w:ascii="宋体"/>
              </w:rPr>
            </w:pPr>
          </w:p>
        </w:tc>
        <w:tc>
          <w:tcPr>
            <w:tcW w:w="0" w:type="auto"/>
            <w:shd w:val="clear" w:color="auto" w:fill="auto"/>
          </w:tcPr>
          <w:p w14:paraId="36CA30BC" w14:textId="77777777" w:rsidR="00787570" w:rsidRDefault="00787570">
            <w:pPr>
              <w:rPr>
                <w:rFonts w:ascii="宋体"/>
              </w:rPr>
            </w:pPr>
          </w:p>
        </w:tc>
        <w:tc>
          <w:tcPr>
            <w:tcW w:w="0" w:type="auto"/>
            <w:shd w:val="clear" w:color="auto" w:fill="auto"/>
          </w:tcPr>
          <w:p w14:paraId="36CA30BD" w14:textId="77777777" w:rsidR="00787570" w:rsidRDefault="00787570">
            <w:pPr>
              <w:rPr>
                <w:rFonts w:ascii="宋体"/>
              </w:rPr>
            </w:pPr>
          </w:p>
        </w:tc>
        <w:tc>
          <w:tcPr>
            <w:tcW w:w="0" w:type="auto"/>
            <w:shd w:val="clear" w:color="auto" w:fill="auto"/>
          </w:tcPr>
          <w:p w14:paraId="36CA30BE" w14:textId="77777777" w:rsidR="00787570" w:rsidRDefault="00787570">
            <w:pPr>
              <w:rPr>
                <w:rFonts w:ascii="宋体"/>
              </w:rPr>
            </w:pPr>
          </w:p>
        </w:tc>
        <w:tc>
          <w:tcPr>
            <w:tcW w:w="0" w:type="auto"/>
            <w:shd w:val="clear" w:color="auto" w:fill="auto"/>
          </w:tcPr>
          <w:p w14:paraId="36CA30BF" w14:textId="77777777" w:rsidR="00787570" w:rsidRDefault="00787570">
            <w:pPr>
              <w:rPr>
                <w:rFonts w:ascii="宋体"/>
              </w:rPr>
            </w:pPr>
          </w:p>
        </w:tc>
        <w:tc>
          <w:tcPr>
            <w:tcW w:w="0" w:type="auto"/>
            <w:shd w:val="clear" w:color="auto" w:fill="auto"/>
          </w:tcPr>
          <w:p w14:paraId="36CA30C0" w14:textId="77777777" w:rsidR="00787570" w:rsidRDefault="00787570">
            <w:pPr>
              <w:rPr>
                <w:rFonts w:ascii="宋体"/>
              </w:rPr>
            </w:pPr>
          </w:p>
        </w:tc>
        <w:tc>
          <w:tcPr>
            <w:tcW w:w="0" w:type="auto"/>
            <w:shd w:val="clear" w:color="auto" w:fill="auto"/>
          </w:tcPr>
          <w:p w14:paraId="36CA30C1" w14:textId="77777777" w:rsidR="00787570" w:rsidRDefault="00787570">
            <w:pPr>
              <w:rPr>
                <w:rFonts w:ascii="宋体"/>
              </w:rPr>
            </w:pPr>
          </w:p>
        </w:tc>
        <w:tc>
          <w:tcPr>
            <w:tcW w:w="0" w:type="auto"/>
            <w:shd w:val="clear" w:color="auto" w:fill="auto"/>
          </w:tcPr>
          <w:p w14:paraId="36CA30C2" w14:textId="77777777" w:rsidR="00787570" w:rsidRDefault="00787570">
            <w:pPr>
              <w:rPr>
                <w:rFonts w:ascii="宋体"/>
              </w:rPr>
            </w:pPr>
          </w:p>
        </w:tc>
        <w:tc>
          <w:tcPr>
            <w:tcW w:w="0" w:type="auto"/>
            <w:shd w:val="clear" w:color="auto" w:fill="auto"/>
          </w:tcPr>
          <w:p w14:paraId="36CA30C3" w14:textId="77777777" w:rsidR="00787570" w:rsidRDefault="00787570">
            <w:pPr>
              <w:rPr>
                <w:rFonts w:ascii="宋体"/>
              </w:rPr>
            </w:pPr>
          </w:p>
        </w:tc>
        <w:tc>
          <w:tcPr>
            <w:tcW w:w="0" w:type="auto"/>
            <w:shd w:val="clear" w:color="auto" w:fill="auto"/>
          </w:tcPr>
          <w:p w14:paraId="36CA30C4" w14:textId="77777777" w:rsidR="00787570" w:rsidRDefault="00787570">
            <w:pPr>
              <w:rPr>
                <w:rFonts w:ascii="宋体"/>
              </w:rPr>
            </w:pPr>
          </w:p>
        </w:tc>
        <w:tc>
          <w:tcPr>
            <w:tcW w:w="0" w:type="auto"/>
            <w:shd w:val="clear" w:color="auto" w:fill="auto"/>
          </w:tcPr>
          <w:p w14:paraId="36CA30C5" w14:textId="77777777" w:rsidR="00787570" w:rsidRDefault="00787570">
            <w:pPr>
              <w:rPr>
                <w:rFonts w:ascii="宋体"/>
              </w:rPr>
            </w:pPr>
          </w:p>
        </w:tc>
      </w:tr>
    </w:tbl>
    <w:p w14:paraId="36CA30C7" w14:textId="77777777" w:rsidR="00787570" w:rsidRDefault="000D56E2">
      <w:pPr>
        <w:spacing w:before="240" w:after="180"/>
      </w:pPr>
      <w:r>
        <w:rPr>
          <w:rFonts w:ascii="Arial" w:eastAsia="宋体" w:hAnsi="Arial" w:cs="Arial"/>
          <w:color w:val="333333"/>
          <w:sz w:val="18"/>
          <w:szCs w:val="18"/>
        </w:rPr>
        <w:t>Government debt includes ins</w:t>
      </w:r>
      <w:r>
        <w:rPr>
          <w:rFonts w:ascii="Arial" w:eastAsia="宋体" w:hAnsi="Arial" w:cs="Arial"/>
          <w:color w:val="333333"/>
          <w:sz w:val="18"/>
          <w:szCs w:val="18"/>
        </w:rPr>
        <w:t xml:space="preserve">truments such as non-U.S. government bonds and U.S. agency securities. Financial institution instruments include instruments issued or managed by financial institutions in various forms such as commercial paper, fixed and floating rate bonds, money market </w:t>
      </w:r>
      <w:r>
        <w:rPr>
          <w:rFonts w:ascii="Arial" w:eastAsia="宋体" w:hAnsi="Arial" w:cs="Arial"/>
          <w:color w:val="333333"/>
          <w:sz w:val="18"/>
          <w:szCs w:val="18"/>
        </w:rPr>
        <w:t>fund deposits, and time deposits. Substantially all time deposits were issued by institutions outside the U.S. as of September 26, 2020 and December 28, 2019.</w:t>
      </w:r>
    </w:p>
    <w:p w14:paraId="36CA30C8" w14:textId="77777777" w:rsidR="00787570" w:rsidRDefault="000D56E2">
      <w:pPr>
        <w:spacing w:after="120"/>
      </w:pPr>
      <w:r>
        <w:rPr>
          <w:rFonts w:ascii="Arial" w:eastAsia="宋体" w:hAnsi="Arial" w:cs="Arial"/>
          <w:color w:val="333333"/>
          <w:sz w:val="18"/>
          <w:szCs w:val="18"/>
        </w:rPr>
        <w:t>The fair value of available-for-sale debt investments, by contractual maturity, as of September 2</w:t>
      </w:r>
      <w:r>
        <w:rPr>
          <w:rFonts w:ascii="Arial" w:eastAsia="宋体" w:hAnsi="Arial" w:cs="Arial"/>
          <w:color w:val="333333"/>
          <w:sz w:val="18"/>
          <w:szCs w:val="18"/>
        </w:rPr>
        <w:t>6, 2020, was as follows:</w:t>
      </w:r>
    </w:p>
    <w:tbl>
      <w:tblPr>
        <w:tblW w:w="5000" w:type="pct"/>
        <w:tblCellMar>
          <w:top w:w="15" w:type="dxa"/>
          <w:left w:w="15" w:type="dxa"/>
          <w:bottom w:w="15" w:type="dxa"/>
          <w:right w:w="15" w:type="dxa"/>
        </w:tblCellMar>
        <w:tblLook w:val="04A0" w:firstRow="1" w:lastRow="0" w:firstColumn="1" w:lastColumn="0" w:noHBand="0" w:noVBand="1"/>
      </w:tblPr>
      <w:tblGrid>
        <w:gridCol w:w="40"/>
        <w:gridCol w:w="7154"/>
        <w:gridCol w:w="37"/>
        <w:gridCol w:w="36"/>
        <w:gridCol w:w="36"/>
        <w:gridCol w:w="36"/>
        <w:gridCol w:w="137"/>
        <w:gridCol w:w="819"/>
        <w:gridCol w:w="41"/>
      </w:tblGrid>
      <w:tr w:rsidR="00787570" w14:paraId="36CA30D2" w14:textId="77777777">
        <w:tc>
          <w:tcPr>
            <w:tcW w:w="50" w:type="pct"/>
            <w:shd w:val="clear" w:color="auto" w:fill="auto"/>
          </w:tcPr>
          <w:p w14:paraId="36CA30C9" w14:textId="77777777" w:rsidR="00787570" w:rsidRDefault="00787570">
            <w:pPr>
              <w:rPr>
                <w:rFonts w:ascii="宋体"/>
              </w:rPr>
            </w:pPr>
          </w:p>
        </w:tc>
        <w:tc>
          <w:tcPr>
            <w:tcW w:w="4316" w:type="pct"/>
            <w:shd w:val="clear" w:color="auto" w:fill="auto"/>
          </w:tcPr>
          <w:p w14:paraId="36CA30CA" w14:textId="77777777" w:rsidR="00787570" w:rsidRDefault="00787570">
            <w:pPr>
              <w:rPr>
                <w:rFonts w:ascii="宋体"/>
              </w:rPr>
            </w:pPr>
          </w:p>
        </w:tc>
        <w:tc>
          <w:tcPr>
            <w:tcW w:w="5" w:type="pct"/>
            <w:shd w:val="clear" w:color="auto" w:fill="auto"/>
          </w:tcPr>
          <w:p w14:paraId="36CA30CB" w14:textId="77777777" w:rsidR="00787570" w:rsidRDefault="00787570">
            <w:pPr>
              <w:rPr>
                <w:rFonts w:ascii="宋体"/>
              </w:rPr>
            </w:pPr>
          </w:p>
        </w:tc>
        <w:tc>
          <w:tcPr>
            <w:tcW w:w="5" w:type="pct"/>
            <w:shd w:val="clear" w:color="auto" w:fill="auto"/>
          </w:tcPr>
          <w:p w14:paraId="36CA30CC" w14:textId="77777777" w:rsidR="00787570" w:rsidRDefault="00787570">
            <w:pPr>
              <w:rPr>
                <w:rFonts w:ascii="宋体"/>
              </w:rPr>
            </w:pPr>
          </w:p>
        </w:tc>
        <w:tc>
          <w:tcPr>
            <w:tcW w:w="24" w:type="pct"/>
            <w:shd w:val="clear" w:color="auto" w:fill="auto"/>
          </w:tcPr>
          <w:p w14:paraId="36CA30CD" w14:textId="77777777" w:rsidR="00787570" w:rsidRDefault="00787570">
            <w:pPr>
              <w:rPr>
                <w:rFonts w:ascii="宋体"/>
              </w:rPr>
            </w:pPr>
          </w:p>
        </w:tc>
        <w:tc>
          <w:tcPr>
            <w:tcW w:w="5" w:type="pct"/>
            <w:shd w:val="clear" w:color="auto" w:fill="auto"/>
          </w:tcPr>
          <w:p w14:paraId="36CA30CE" w14:textId="77777777" w:rsidR="00787570" w:rsidRDefault="00787570">
            <w:pPr>
              <w:rPr>
                <w:rFonts w:ascii="宋体"/>
              </w:rPr>
            </w:pPr>
          </w:p>
        </w:tc>
        <w:tc>
          <w:tcPr>
            <w:tcW w:w="50" w:type="pct"/>
            <w:shd w:val="clear" w:color="auto" w:fill="auto"/>
          </w:tcPr>
          <w:p w14:paraId="36CA30CF" w14:textId="77777777" w:rsidR="00787570" w:rsidRDefault="00787570">
            <w:pPr>
              <w:rPr>
                <w:rFonts w:ascii="宋体"/>
              </w:rPr>
            </w:pPr>
          </w:p>
        </w:tc>
        <w:tc>
          <w:tcPr>
            <w:tcW w:w="539" w:type="pct"/>
            <w:shd w:val="clear" w:color="auto" w:fill="auto"/>
          </w:tcPr>
          <w:p w14:paraId="36CA30D0" w14:textId="77777777" w:rsidR="00787570" w:rsidRDefault="00787570">
            <w:pPr>
              <w:rPr>
                <w:rFonts w:ascii="宋体"/>
              </w:rPr>
            </w:pPr>
          </w:p>
        </w:tc>
        <w:tc>
          <w:tcPr>
            <w:tcW w:w="5" w:type="pct"/>
            <w:shd w:val="clear" w:color="auto" w:fill="auto"/>
          </w:tcPr>
          <w:p w14:paraId="36CA30D1" w14:textId="77777777" w:rsidR="00787570" w:rsidRDefault="00787570">
            <w:pPr>
              <w:rPr>
                <w:rFonts w:ascii="宋体"/>
              </w:rPr>
            </w:pPr>
          </w:p>
        </w:tc>
      </w:tr>
      <w:tr w:rsidR="00787570" w14:paraId="36CA30D6" w14:textId="77777777">
        <w:tc>
          <w:tcPr>
            <w:tcW w:w="0" w:type="auto"/>
            <w:gridSpan w:val="3"/>
            <w:shd w:val="clear" w:color="auto" w:fill="auto"/>
            <w:tcMar>
              <w:top w:w="40" w:type="dxa"/>
              <w:left w:w="20" w:type="dxa"/>
              <w:bottom w:w="40" w:type="dxa"/>
              <w:right w:w="20" w:type="dxa"/>
            </w:tcMar>
            <w:vAlign w:val="bottom"/>
          </w:tcPr>
          <w:p w14:paraId="36CA30D3" w14:textId="77777777" w:rsidR="00787570" w:rsidRDefault="000D56E2">
            <w:pPr>
              <w:ind w:hanging="180"/>
              <w:textAlignment w:val="bottom"/>
            </w:pPr>
            <w:r>
              <w:rPr>
                <w:rFonts w:ascii="Arial" w:eastAsia="宋体" w:hAnsi="Arial" w:cs="Arial"/>
                <w:b/>
                <w:bCs/>
                <w:color w:val="333333"/>
                <w:sz w:val="18"/>
                <w:szCs w:val="18"/>
              </w:rPr>
              <w:t>(In Millions)</w:t>
            </w:r>
          </w:p>
        </w:tc>
        <w:tc>
          <w:tcPr>
            <w:tcW w:w="0" w:type="auto"/>
            <w:gridSpan w:val="3"/>
            <w:shd w:val="clear" w:color="auto" w:fill="auto"/>
            <w:tcMar>
              <w:left w:w="20" w:type="dxa"/>
              <w:right w:w="20" w:type="dxa"/>
            </w:tcMar>
            <w:vAlign w:val="bottom"/>
          </w:tcPr>
          <w:p w14:paraId="36CA30D4" w14:textId="77777777" w:rsidR="00787570" w:rsidRDefault="00787570">
            <w:pPr>
              <w:rPr>
                <w:rFonts w:ascii="宋体"/>
              </w:rPr>
            </w:pPr>
          </w:p>
        </w:tc>
        <w:tc>
          <w:tcPr>
            <w:tcW w:w="0" w:type="auto"/>
            <w:gridSpan w:val="3"/>
            <w:shd w:val="clear" w:color="auto" w:fill="auto"/>
            <w:tcMar>
              <w:top w:w="40" w:type="dxa"/>
              <w:left w:w="20" w:type="dxa"/>
              <w:bottom w:w="40" w:type="dxa"/>
              <w:right w:w="20" w:type="dxa"/>
            </w:tcMar>
            <w:vAlign w:val="bottom"/>
          </w:tcPr>
          <w:p w14:paraId="36CA30D5" w14:textId="77777777" w:rsidR="00787570" w:rsidRDefault="000D56E2">
            <w:pPr>
              <w:jc w:val="center"/>
              <w:textAlignment w:val="bottom"/>
            </w:pPr>
            <w:r>
              <w:rPr>
                <w:rFonts w:ascii="Arial" w:eastAsia="宋体" w:hAnsi="Arial" w:cs="Arial"/>
                <w:b/>
                <w:bCs/>
                <w:color w:val="333333"/>
                <w:sz w:val="18"/>
                <w:szCs w:val="18"/>
              </w:rPr>
              <w:t>Fair Value</w:t>
            </w:r>
          </w:p>
        </w:tc>
      </w:tr>
      <w:tr w:rsidR="00787570" w14:paraId="36CA30DC" w14:textId="77777777">
        <w:tc>
          <w:tcPr>
            <w:tcW w:w="0" w:type="auto"/>
            <w:gridSpan w:val="3"/>
            <w:tcBorders>
              <w:top w:val="single" w:sz="8" w:space="0" w:color="0071C5"/>
            </w:tcBorders>
            <w:shd w:val="clear" w:color="auto" w:fill="auto"/>
            <w:tcMar>
              <w:top w:w="40" w:type="dxa"/>
              <w:left w:w="20" w:type="dxa"/>
              <w:bottom w:w="40" w:type="dxa"/>
              <w:right w:w="20" w:type="dxa"/>
            </w:tcMar>
          </w:tcPr>
          <w:p w14:paraId="36CA30D7" w14:textId="77777777" w:rsidR="00787570" w:rsidRDefault="000D56E2">
            <w:pPr>
              <w:ind w:hanging="180"/>
              <w:textAlignment w:val="top"/>
            </w:pPr>
            <w:r>
              <w:rPr>
                <w:rFonts w:ascii="Arial" w:eastAsia="宋体" w:hAnsi="Arial" w:cs="Arial"/>
                <w:color w:val="333333"/>
                <w:sz w:val="18"/>
                <w:szCs w:val="18"/>
              </w:rPr>
              <w:t>Due in 1 year or less</w:t>
            </w:r>
          </w:p>
        </w:tc>
        <w:tc>
          <w:tcPr>
            <w:tcW w:w="0" w:type="auto"/>
            <w:gridSpan w:val="3"/>
            <w:shd w:val="clear" w:color="auto" w:fill="auto"/>
            <w:tcMar>
              <w:left w:w="20" w:type="dxa"/>
              <w:right w:w="20" w:type="dxa"/>
            </w:tcMar>
            <w:vAlign w:val="bottom"/>
          </w:tcPr>
          <w:p w14:paraId="36CA30D8" w14:textId="77777777" w:rsidR="00787570" w:rsidRDefault="00787570">
            <w:pPr>
              <w:rPr>
                <w:rFonts w:ascii="宋体"/>
              </w:rPr>
            </w:pPr>
          </w:p>
        </w:tc>
        <w:tc>
          <w:tcPr>
            <w:tcW w:w="0" w:type="auto"/>
            <w:tcBorders>
              <w:top w:val="single" w:sz="8" w:space="0" w:color="0071C5"/>
            </w:tcBorders>
            <w:shd w:val="clear" w:color="auto" w:fill="auto"/>
            <w:tcMar>
              <w:top w:w="40" w:type="dxa"/>
              <w:left w:w="20" w:type="dxa"/>
              <w:bottom w:w="40" w:type="dxa"/>
            </w:tcMar>
            <w:vAlign w:val="bottom"/>
          </w:tcPr>
          <w:p w14:paraId="36CA30D9" w14:textId="77777777" w:rsidR="00787570" w:rsidRDefault="000D56E2">
            <w:pPr>
              <w:textAlignment w:val="bottom"/>
            </w:pPr>
            <w:r>
              <w:rPr>
                <w:rFonts w:ascii="Arial" w:eastAsia="宋体" w:hAnsi="Arial" w:cs="Arial"/>
                <w:color w:val="026DCE"/>
                <w:sz w:val="18"/>
                <w:szCs w:val="18"/>
              </w:rPr>
              <w:t>$</w:t>
            </w:r>
          </w:p>
        </w:tc>
        <w:tc>
          <w:tcPr>
            <w:tcW w:w="0" w:type="auto"/>
            <w:tcBorders>
              <w:top w:val="single" w:sz="8" w:space="0" w:color="0071C5"/>
            </w:tcBorders>
            <w:shd w:val="clear" w:color="auto" w:fill="auto"/>
            <w:tcMar>
              <w:top w:w="40" w:type="dxa"/>
              <w:bottom w:w="40" w:type="dxa"/>
              <w:right w:w="0" w:type="dxa"/>
            </w:tcMar>
            <w:vAlign w:val="bottom"/>
          </w:tcPr>
          <w:p w14:paraId="36CA30DA" w14:textId="77777777" w:rsidR="00787570" w:rsidRDefault="000D56E2">
            <w:pPr>
              <w:jc w:val="right"/>
              <w:textAlignment w:val="bottom"/>
            </w:pPr>
            <w:r>
              <w:rPr>
                <w:rFonts w:ascii="Arial" w:eastAsia="宋体" w:hAnsi="Arial" w:cs="Arial"/>
                <w:color w:val="026DCE"/>
                <w:sz w:val="18"/>
                <w:szCs w:val="18"/>
              </w:rPr>
              <w:t>3,504 </w:t>
            </w:r>
          </w:p>
        </w:tc>
        <w:tc>
          <w:tcPr>
            <w:tcW w:w="0" w:type="auto"/>
            <w:tcBorders>
              <w:top w:val="single" w:sz="8" w:space="0" w:color="0071C5"/>
            </w:tcBorders>
            <w:shd w:val="clear" w:color="auto" w:fill="auto"/>
            <w:tcMar>
              <w:top w:w="40" w:type="dxa"/>
              <w:bottom w:w="40" w:type="dxa"/>
              <w:right w:w="20" w:type="dxa"/>
            </w:tcMar>
            <w:vAlign w:val="bottom"/>
          </w:tcPr>
          <w:p w14:paraId="36CA30DB" w14:textId="77777777" w:rsidR="00787570" w:rsidRDefault="00787570">
            <w:pPr>
              <w:jc w:val="right"/>
              <w:rPr>
                <w:rFonts w:ascii="宋体"/>
              </w:rPr>
            </w:pPr>
          </w:p>
        </w:tc>
      </w:tr>
      <w:tr w:rsidR="00787570" w14:paraId="36CA30E1" w14:textId="77777777">
        <w:tc>
          <w:tcPr>
            <w:tcW w:w="0" w:type="auto"/>
            <w:gridSpan w:val="3"/>
            <w:shd w:val="clear" w:color="auto" w:fill="auto"/>
            <w:tcMar>
              <w:top w:w="40" w:type="dxa"/>
              <w:left w:w="20" w:type="dxa"/>
              <w:bottom w:w="40" w:type="dxa"/>
              <w:right w:w="20" w:type="dxa"/>
            </w:tcMar>
          </w:tcPr>
          <w:p w14:paraId="36CA30DD" w14:textId="77777777" w:rsidR="00787570" w:rsidRDefault="000D56E2">
            <w:pPr>
              <w:ind w:hanging="180"/>
              <w:textAlignment w:val="top"/>
            </w:pPr>
            <w:r>
              <w:rPr>
                <w:rFonts w:ascii="Arial" w:eastAsia="宋体" w:hAnsi="Arial" w:cs="Arial"/>
                <w:color w:val="333333"/>
                <w:sz w:val="18"/>
                <w:szCs w:val="18"/>
              </w:rPr>
              <w:t>Due in 1–2 years</w:t>
            </w:r>
          </w:p>
        </w:tc>
        <w:tc>
          <w:tcPr>
            <w:tcW w:w="0" w:type="auto"/>
            <w:gridSpan w:val="3"/>
            <w:shd w:val="clear" w:color="auto" w:fill="auto"/>
            <w:tcMar>
              <w:left w:w="20" w:type="dxa"/>
              <w:right w:w="20" w:type="dxa"/>
            </w:tcMar>
            <w:vAlign w:val="bottom"/>
          </w:tcPr>
          <w:p w14:paraId="36CA30DE"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30DF" w14:textId="77777777" w:rsidR="00787570" w:rsidRDefault="000D56E2">
            <w:pPr>
              <w:jc w:val="right"/>
              <w:textAlignment w:val="bottom"/>
            </w:pPr>
            <w:r>
              <w:rPr>
                <w:rFonts w:ascii="Arial" w:eastAsia="宋体" w:hAnsi="Arial" w:cs="Arial"/>
                <w:color w:val="026DCE"/>
                <w:sz w:val="18"/>
                <w:szCs w:val="18"/>
              </w:rPr>
              <w:t>1,450 </w:t>
            </w:r>
          </w:p>
        </w:tc>
        <w:tc>
          <w:tcPr>
            <w:tcW w:w="0" w:type="auto"/>
            <w:shd w:val="clear" w:color="auto" w:fill="auto"/>
            <w:tcMar>
              <w:top w:w="40" w:type="dxa"/>
              <w:bottom w:w="40" w:type="dxa"/>
              <w:right w:w="20" w:type="dxa"/>
            </w:tcMar>
            <w:vAlign w:val="bottom"/>
          </w:tcPr>
          <w:p w14:paraId="36CA30E0" w14:textId="77777777" w:rsidR="00787570" w:rsidRDefault="00787570">
            <w:pPr>
              <w:jc w:val="right"/>
              <w:rPr>
                <w:rFonts w:ascii="宋体"/>
              </w:rPr>
            </w:pPr>
          </w:p>
        </w:tc>
      </w:tr>
      <w:tr w:rsidR="00787570" w14:paraId="36CA30E6" w14:textId="77777777">
        <w:tc>
          <w:tcPr>
            <w:tcW w:w="0" w:type="auto"/>
            <w:gridSpan w:val="3"/>
            <w:shd w:val="clear" w:color="auto" w:fill="auto"/>
            <w:tcMar>
              <w:top w:w="40" w:type="dxa"/>
              <w:left w:w="20" w:type="dxa"/>
              <w:bottom w:w="40" w:type="dxa"/>
              <w:right w:w="20" w:type="dxa"/>
            </w:tcMar>
          </w:tcPr>
          <w:p w14:paraId="36CA30E2" w14:textId="77777777" w:rsidR="00787570" w:rsidRDefault="000D56E2">
            <w:pPr>
              <w:ind w:hanging="180"/>
              <w:textAlignment w:val="top"/>
            </w:pPr>
            <w:r>
              <w:rPr>
                <w:rFonts w:ascii="Arial" w:eastAsia="宋体" w:hAnsi="Arial" w:cs="Arial"/>
                <w:color w:val="333333"/>
                <w:sz w:val="18"/>
                <w:szCs w:val="18"/>
              </w:rPr>
              <w:t>Due in 2–5 years</w:t>
            </w:r>
          </w:p>
        </w:tc>
        <w:tc>
          <w:tcPr>
            <w:tcW w:w="0" w:type="auto"/>
            <w:gridSpan w:val="3"/>
            <w:shd w:val="clear" w:color="auto" w:fill="auto"/>
            <w:tcMar>
              <w:left w:w="20" w:type="dxa"/>
              <w:right w:w="20" w:type="dxa"/>
            </w:tcMar>
            <w:vAlign w:val="bottom"/>
          </w:tcPr>
          <w:p w14:paraId="36CA30E3"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30E4" w14:textId="77777777" w:rsidR="00787570" w:rsidRDefault="000D56E2">
            <w:pPr>
              <w:jc w:val="right"/>
              <w:textAlignment w:val="bottom"/>
            </w:pPr>
            <w:r>
              <w:rPr>
                <w:rFonts w:ascii="Arial" w:eastAsia="宋体" w:hAnsi="Arial" w:cs="Arial"/>
                <w:color w:val="026DCE"/>
                <w:sz w:val="18"/>
                <w:szCs w:val="18"/>
              </w:rPr>
              <w:t>1,270 </w:t>
            </w:r>
          </w:p>
        </w:tc>
        <w:tc>
          <w:tcPr>
            <w:tcW w:w="0" w:type="auto"/>
            <w:shd w:val="clear" w:color="auto" w:fill="auto"/>
            <w:tcMar>
              <w:top w:w="40" w:type="dxa"/>
              <w:bottom w:w="40" w:type="dxa"/>
              <w:right w:w="20" w:type="dxa"/>
            </w:tcMar>
            <w:vAlign w:val="bottom"/>
          </w:tcPr>
          <w:p w14:paraId="36CA30E5" w14:textId="77777777" w:rsidR="00787570" w:rsidRDefault="00787570">
            <w:pPr>
              <w:jc w:val="right"/>
              <w:rPr>
                <w:rFonts w:ascii="宋体"/>
              </w:rPr>
            </w:pPr>
          </w:p>
        </w:tc>
      </w:tr>
      <w:tr w:rsidR="00787570" w14:paraId="36CA30EB" w14:textId="77777777">
        <w:tc>
          <w:tcPr>
            <w:tcW w:w="0" w:type="auto"/>
            <w:gridSpan w:val="3"/>
            <w:shd w:val="clear" w:color="auto" w:fill="auto"/>
            <w:tcMar>
              <w:top w:w="40" w:type="dxa"/>
              <w:left w:w="20" w:type="dxa"/>
              <w:bottom w:w="40" w:type="dxa"/>
              <w:right w:w="20" w:type="dxa"/>
            </w:tcMar>
          </w:tcPr>
          <w:p w14:paraId="36CA30E7" w14:textId="77777777" w:rsidR="00787570" w:rsidRDefault="000D56E2">
            <w:pPr>
              <w:ind w:hanging="180"/>
              <w:textAlignment w:val="top"/>
            </w:pPr>
            <w:r>
              <w:rPr>
                <w:rFonts w:ascii="Arial" w:eastAsia="宋体" w:hAnsi="Arial" w:cs="Arial"/>
                <w:color w:val="333333"/>
                <w:sz w:val="18"/>
                <w:szCs w:val="18"/>
              </w:rPr>
              <w:t>Due after 5 years</w:t>
            </w:r>
          </w:p>
        </w:tc>
        <w:tc>
          <w:tcPr>
            <w:tcW w:w="0" w:type="auto"/>
            <w:gridSpan w:val="3"/>
            <w:shd w:val="clear" w:color="auto" w:fill="auto"/>
            <w:tcMar>
              <w:left w:w="20" w:type="dxa"/>
              <w:right w:w="20" w:type="dxa"/>
            </w:tcMar>
            <w:vAlign w:val="bottom"/>
          </w:tcPr>
          <w:p w14:paraId="36CA30E8"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30E9" w14:textId="77777777" w:rsidR="00787570" w:rsidRDefault="000D56E2">
            <w:pPr>
              <w:jc w:val="right"/>
              <w:textAlignment w:val="bottom"/>
            </w:pPr>
            <w:r>
              <w:rPr>
                <w:rFonts w:ascii="Arial" w:eastAsia="宋体" w:hAnsi="Arial" w:cs="Arial"/>
                <w:color w:val="026DCE"/>
                <w:sz w:val="18"/>
                <w:szCs w:val="18"/>
              </w:rPr>
              <w:t>— </w:t>
            </w:r>
          </w:p>
        </w:tc>
        <w:tc>
          <w:tcPr>
            <w:tcW w:w="0" w:type="auto"/>
            <w:shd w:val="clear" w:color="auto" w:fill="auto"/>
            <w:tcMar>
              <w:top w:w="40" w:type="dxa"/>
              <w:bottom w:w="40" w:type="dxa"/>
              <w:right w:w="20" w:type="dxa"/>
            </w:tcMar>
            <w:vAlign w:val="bottom"/>
          </w:tcPr>
          <w:p w14:paraId="36CA30EA" w14:textId="77777777" w:rsidR="00787570" w:rsidRDefault="00787570">
            <w:pPr>
              <w:jc w:val="right"/>
              <w:rPr>
                <w:rFonts w:ascii="宋体"/>
              </w:rPr>
            </w:pPr>
          </w:p>
        </w:tc>
      </w:tr>
      <w:tr w:rsidR="00787570" w14:paraId="36CA30F0" w14:textId="77777777">
        <w:tc>
          <w:tcPr>
            <w:tcW w:w="0" w:type="auto"/>
            <w:gridSpan w:val="3"/>
            <w:shd w:val="clear" w:color="auto" w:fill="auto"/>
            <w:tcMar>
              <w:top w:w="40" w:type="dxa"/>
              <w:left w:w="20" w:type="dxa"/>
              <w:bottom w:w="40" w:type="dxa"/>
              <w:right w:w="20" w:type="dxa"/>
            </w:tcMar>
          </w:tcPr>
          <w:p w14:paraId="36CA30EC" w14:textId="77777777" w:rsidR="00787570" w:rsidRDefault="000D56E2">
            <w:pPr>
              <w:ind w:hanging="180"/>
              <w:textAlignment w:val="top"/>
            </w:pPr>
            <w:r>
              <w:rPr>
                <w:rFonts w:ascii="Arial" w:eastAsia="宋体" w:hAnsi="Arial" w:cs="Arial"/>
                <w:color w:val="333333"/>
                <w:sz w:val="18"/>
                <w:szCs w:val="18"/>
              </w:rPr>
              <w:t>Instruments not due at a single maturity date</w:t>
            </w:r>
          </w:p>
        </w:tc>
        <w:tc>
          <w:tcPr>
            <w:tcW w:w="0" w:type="auto"/>
            <w:gridSpan w:val="3"/>
            <w:shd w:val="clear" w:color="auto" w:fill="auto"/>
            <w:tcMar>
              <w:left w:w="20" w:type="dxa"/>
              <w:right w:w="20" w:type="dxa"/>
            </w:tcMar>
            <w:vAlign w:val="bottom"/>
          </w:tcPr>
          <w:p w14:paraId="36CA30ED"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30EE" w14:textId="77777777" w:rsidR="00787570" w:rsidRDefault="000D56E2">
            <w:pPr>
              <w:jc w:val="right"/>
              <w:textAlignment w:val="bottom"/>
            </w:pPr>
            <w:r>
              <w:rPr>
                <w:rFonts w:ascii="Arial" w:eastAsia="宋体" w:hAnsi="Arial" w:cs="Arial"/>
                <w:color w:val="026DCE"/>
                <w:sz w:val="18"/>
                <w:szCs w:val="18"/>
              </w:rPr>
              <w:t>1,012 </w:t>
            </w:r>
          </w:p>
        </w:tc>
        <w:tc>
          <w:tcPr>
            <w:tcW w:w="0" w:type="auto"/>
            <w:shd w:val="clear" w:color="auto" w:fill="auto"/>
            <w:tcMar>
              <w:top w:w="40" w:type="dxa"/>
              <w:bottom w:w="40" w:type="dxa"/>
              <w:right w:w="20" w:type="dxa"/>
            </w:tcMar>
            <w:vAlign w:val="bottom"/>
          </w:tcPr>
          <w:p w14:paraId="36CA30EF" w14:textId="77777777" w:rsidR="00787570" w:rsidRDefault="00787570">
            <w:pPr>
              <w:jc w:val="right"/>
              <w:rPr>
                <w:rFonts w:ascii="宋体"/>
              </w:rPr>
            </w:pPr>
          </w:p>
        </w:tc>
      </w:tr>
      <w:tr w:rsidR="00787570" w14:paraId="36CA30F6" w14:textId="77777777">
        <w:tc>
          <w:tcPr>
            <w:tcW w:w="0" w:type="auto"/>
            <w:gridSpan w:val="3"/>
            <w:shd w:val="clear" w:color="auto" w:fill="auto"/>
            <w:tcMar>
              <w:top w:w="40" w:type="dxa"/>
              <w:left w:w="20" w:type="dxa"/>
              <w:bottom w:w="40" w:type="dxa"/>
              <w:right w:w="20" w:type="dxa"/>
            </w:tcMar>
          </w:tcPr>
          <w:p w14:paraId="36CA30F1" w14:textId="77777777" w:rsidR="00787570" w:rsidRDefault="000D56E2">
            <w:pPr>
              <w:ind w:hanging="180"/>
              <w:textAlignment w:val="top"/>
            </w:pPr>
            <w:r>
              <w:rPr>
                <w:rFonts w:ascii="Arial" w:eastAsia="宋体" w:hAnsi="Arial" w:cs="Arial"/>
                <w:b/>
                <w:bCs/>
                <w:color w:val="333333"/>
                <w:sz w:val="18"/>
                <w:szCs w:val="18"/>
              </w:rPr>
              <w:t>Total</w:t>
            </w:r>
          </w:p>
        </w:tc>
        <w:tc>
          <w:tcPr>
            <w:tcW w:w="0" w:type="auto"/>
            <w:gridSpan w:val="3"/>
            <w:shd w:val="clear" w:color="auto" w:fill="auto"/>
            <w:tcMar>
              <w:left w:w="20" w:type="dxa"/>
              <w:right w:w="20" w:type="dxa"/>
            </w:tcMar>
            <w:vAlign w:val="bottom"/>
          </w:tcPr>
          <w:p w14:paraId="36CA30F2" w14:textId="77777777" w:rsidR="00787570" w:rsidRDefault="00787570">
            <w:pPr>
              <w:rPr>
                <w:rFonts w:ascii="宋体"/>
              </w:rPr>
            </w:pPr>
          </w:p>
        </w:tc>
        <w:tc>
          <w:tcPr>
            <w:tcW w:w="0" w:type="auto"/>
            <w:tcBorders>
              <w:top w:val="single" w:sz="8" w:space="0" w:color="333333"/>
              <w:bottom w:val="double" w:sz="6" w:space="0" w:color="333333"/>
            </w:tcBorders>
            <w:shd w:val="clear" w:color="auto" w:fill="auto"/>
            <w:tcMar>
              <w:top w:w="40" w:type="dxa"/>
              <w:left w:w="20" w:type="dxa"/>
              <w:bottom w:w="40" w:type="dxa"/>
            </w:tcMar>
            <w:vAlign w:val="bottom"/>
          </w:tcPr>
          <w:p w14:paraId="36CA30F3" w14:textId="77777777" w:rsidR="00787570" w:rsidRDefault="000D56E2">
            <w:pPr>
              <w:textAlignment w:val="bottom"/>
            </w:pPr>
            <w:r>
              <w:rPr>
                <w:rFonts w:ascii="Arial" w:eastAsia="宋体" w:hAnsi="Arial" w:cs="Arial"/>
                <w:b/>
                <w:bCs/>
                <w:color w:val="026DCE"/>
                <w:sz w:val="18"/>
                <w:szCs w:val="18"/>
              </w:rPr>
              <w:t>$</w:t>
            </w:r>
          </w:p>
        </w:tc>
        <w:tc>
          <w:tcPr>
            <w:tcW w:w="0" w:type="auto"/>
            <w:tcBorders>
              <w:top w:val="single" w:sz="8" w:space="0" w:color="333333"/>
              <w:bottom w:val="double" w:sz="6" w:space="0" w:color="333333"/>
            </w:tcBorders>
            <w:shd w:val="clear" w:color="auto" w:fill="auto"/>
            <w:tcMar>
              <w:top w:w="40" w:type="dxa"/>
              <w:bottom w:w="40" w:type="dxa"/>
              <w:right w:w="0" w:type="dxa"/>
            </w:tcMar>
            <w:vAlign w:val="bottom"/>
          </w:tcPr>
          <w:p w14:paraId="36CA30F4" w14:textId="77777777" w:rsidR="00787570" w:rsidRDefault="000D56E2">
            <w:pPr>
              <w:jc w:val="right"/>
              <w:textAlignment w:val="bottom"/>
            </w:pPr>
            <w:r>
              <w:rPr>
                <w:rFonts w:ascii="Arial" w:eastAsia="宋体" w:hAnsi="Arial" w:cs="Arial"/>
                <w:b/>
                <w:bCs/>
                <w:color w:val="026DCE"/>
                <w:sz w:val="18"/>
                <w:szCs w:val="18"/>
              </w:rPr>
              <w:t>7,236</w:t>
            </w:r>
            <w:r>
              <w:rPr>
                <w:rFonts w:ascii="Arial" w:eastAsia="宋体" w:hAnsi="Arial" w:cs="Arial"/>
                <w:color w:val="026DCE"/>
                <w:sz w:val="18"/>
                <w:szCs w:val="18"/>
              </w:rPr>
              <w:t> </w:t>
            </w:r>
          </w:p>
        </w:tc>
        <w:tc>
          <w:tcPr>
            <w:tcW w:w="0" w:type="auto"/>
            <w:tcBorders>
              <w:top w:val="single" w:sz="8" w:space="0" w:color="333333"/>
              <w:bottom w:val="double" w:sz="6" w:space="0" w:color="333333"/>
            </w:tcBorders>
            <w:shd w:val="clear" w:color="auto" w:fill="auto"/>
            <w:tcMar>
              <w:top w:w="40" w:type="dxa"/>
              <w:bottom w:w="40" w:type="dxa"/>
              <w:right w:w="20" w:type="dxa"/>
            </w:tcMar>
            <w:vAlign w:val="bottom"/>
          </w:tcPr>
          <w:p w14:paraId="36CA30F5" w14:textId="77777777" w:rsidR="00787570" w:rsidRDefault="00787570">
            <w:pPr>
              <w:jc w:val="right"/>
              <w:rPr>
                <w:rFonts w:ascii="宋体"/>
              </w:rPr>
            </w:pPr>
          </w:p>
        </w:tc>
      </w:tr>
    </w:tbl>
    <w:p w14:paraId="36CA30F7" w14:textId="77777777" w:rsidR="00787570" w:rsidRDefault="000D56E2">
      <w:pPr>
        <w:spacing w:before="180" w:after="180"/>
      </w:pPr>
      <w:r>
        <w:rPr>
          <w:rFonts w:ascii="Arial" w:eastAsia="宋体" w:hAnsi="Arial" w:cs="Arial"/>
          <w:b/>
          <w:bCs/>
          <w:color w:val="0071C5"/>
        </w:rPr>
        <w:t>EQUITY INVESTMENTS</w:t>
      </w:r>
    </w:p>
    <w:tbl>
      <w:tblPr>
        <w:tblW w:w="5000" w:type="pct"/>
        <w:tblCellMar>
          <w:top w:w="15" w:type="dxa"/>
          <w:left w:w="15" w:type="dxa"/>
          <w:bottom w:w="15" w:type="dxa"/>
          <w:right w:w="15" w:type="dxa"/>
        </w:tblCellMar>
        <w:tblLook w:val="04A0" w:firstRow="1" w:lastRow="0" w:firstColumn="1" w:lastColumn="0" w:noHBand="0" w:noVBand="1"/>
      </w:tblPr>
      <w:tblGrid>
        <w:gridCol w:w="39"/>
        <w:gridCol w:w="6090"/>
        <w:gridCol w:w="38"/>
        <w:gridCol w:w="36"/>
        <w:gridCol w:w="36"/>
        <w:gridCol w:w="36"/>
        <w:gridCol w:w="136"/>
        <w:gridCol w:w="799"/>
        <w:gridCol w:w="41"/>
        <w:gridCol w:w="36"/>
        <w:gridCol w:w="36"/>
        <w:gridCol w:w="36"/>
        <w:gridCol w:w="136"/>
        <w:gridCol w:w="800"/>
        <w:gridCol w:w="41"/>
      </w:tblGrid>
      <w:tr w:rsidR="00787570" w14:paraId="36CA3107" w14:textId="77777777">
        <w:tc>
          <w:tcPr>
            <w:tcW w:w="50" w:type="pct"/>
            <w:shd w:val="clear" w:color="auto" w:fill="auto"/>
          </w:tcPr>
          <w:p w14:paraId="36CA30F8" w14:textId="77777777" w:rsidR="00787570" w:rsidRDefault="00787570">
            <w:pPr>
              <w:rPr>
                <w:rFonts w:ascii="宋体"/>
              </w:rPr>
            </w:pPr>
          </w:p>
        </w:tc>
        <w:tc>
          <w:tcPr>
            <w:tcW w:w="3688" w:type="pct"/>
            <w:shd w:val="clear" w:color="auto" w:fill="auto"/>
          </w:tcPr>
          <w:p w14:paraId="36CA30F9" w14:textId="77777777" w:rsidR="00787570" w:rsidRDefault="00787570">
            <w:pPr>
              <w:rPr>
                <w:rFonts w:ascii="宋体"/>
              </w:rPr>
            </w:pPr>
          </w:p>
        </w:tc>
        <w:tc>
          <w:tcPr>
            <w:tcW w:w="5" w:type="pct"/>
            <w:shd w:val="clear" w:color="auto" w:fill="auto"/>
          </w:tcPr>
          <w:p w14:paraId="36CA30FA" w14:textId="77777777" w:rsidR="00787570" w:rsidRDefault="00787570">
            <w:pPr>
              <w:rPr>
                <w:rFonts w:ascii="宋体"/>
              </w:rPr>
            </w:pPr>
          </w:p>
        </w:tc>
        <w:tc>
          <w:tcPr>
            <w:tcW w:w="5" w:type="pct"/>
            <w:shd w:val="clear" w:color="auto" w:fill="auto"/>
          </w:tcPr>
          <w:p w14:paraId="36CA30FB" w14:textId="77777777" w:rsidR="00787570" w:rsidRDefault="00787570">
            <w:pPr>
              <w:rPr>
                <w:rFonts w:ascii="宋体"/>
              </w:rPr>
            </w:pPr>
          </w:p>
        </w:tc>
        <w:tc>
          <w:tcPr>
            <w:tcW w:w="24" w:type="pct"/>
            <w:shd w:val="clear" w:color="auto" w:fill="auto"/>
          </w:tcPr>
          <w:p w14:paraId="36CA30FC" w14:textId="77777777" w:rsidR="00787570" w:rsidRDefault="00787570">
            <w:pPr>
              <w:rPr>
                <w:rFonts w:ascii="宋体"/>
              </w:rPr>
            </w:pPr>
          </w:p>
        </w:tc>
        <w:tc>
          <w:tcPr>
            <w:tcW w:w="5" w:type="pct"/>
            <w:shd w:val="clear" w:color="auto" w:fill="auto"/>
          </w:tcPr>
          <w:p w14:paraId="36CA30FD" w14:textId="77777777" w:rsidR="00787570" w:rsidRDefault="00787570">
            <w:pPr>
              <w:rPr>
                <w:rFonts w:ascii="宋体"/>
              </w:rPr>
            </w:pPr>
          </w:p>
        </w:tc>
        <w:tc>
          <w:tcPr>
            <w:tcW w:w="50" w:type="pct"/>
            <w:shd w:val="clear" w:color="auto" w:fill="auto"/>
          </w:tcPr>
          <w:p w14:paraId="36CA30FE" w14:textId="77777777" w:rsidR="00787570" w:rsidRDefault="00787570">
            <w:pPr>
              <w:rPr>
                <w:rFonts w:ascii="宋体"/>
              </w:rPr>
            </w:pPr>
          </w:p>
        </w:tc>
        <w:tc>
          <w:tcPr>
            <w:tcW w:w="539" w:type="pct"/>
            <w:shd w:val="clear" w:color="auto" w:fill="auto"/>
          </w:tcPr>
          <w:p w14:paraId="36CA30FF" w14:textId="77777777" w:rsidR="00787570" w:rsidRDefault="00787570">
            <w:pPr>
              <w:rPr>
                <w:rFonts w:ascii="宋体"/>
              </w:rPr>
            </w:pPr>
          </w:p>
        </w:tc>
        <w:tc>
          <w:tcPr>
            <w:tcW w:w="5" w:type="pct"/>
            <w:shd w:val="clear" w:color="auto" w:fill="auto"/>
          </w:tcPr>
          <w:p w14:paraId="36CA3100" w14:textId="77777777" w:rsidR="00787570" w:rsidRDefault="00787570">
            <w:pPr>
              <w:rPr>
                <w:rFonts w:ascii="宋体"/>
              </w:rPr>
            </w:pPr>
          </w:p>
        </w:tc>
        <w:tc>
          <w:tcPr>
            <w:tcW w:w="5" w:type="pct"/>
            <w:shd w:val="clear" w:color="auto" w:fill="auto"/>
          </w:tcPr>
          <w:p w14:paraId="36CA3101" w14:textId="77777777" w:rsidR="00787570" w:rsidRDefault="00787570">
            <w:pPr>
              <w:rPr>
                <w:rFonts w:ascii="宋体"/>
              </w:rPr>
            </w:pPr>
          </w:p>
        </w:tc>
        <w:tc>
          <w:tcPr>
            <w:tcW w:w="24" w:type="pct"/>
            <w:shd w:val="clear" w:color="auto" w:fill="auto"/>
          </w:tcPr>
          <w:p w14:paraId="36CA3102" w14:textId="77777777" w:rsidR="00787570" w:rsidRDefault="00787570">
            <w:pPr>
              <w:rPr>
                <w:rFonts w:ascii="宋体"/>
              </w:rPr>
            </w:pPr>
          </w:p>
        </w:tc>
        <w:tc>
          <w:tcPr>
            <w:tcW w:w="5" w:type="pct"/>
            <w:shd w:val="clear" w:color="auto" w:fill="auto"/>
          </w:tcPr>
          <w:p w14:paraId="36CA3103" w14:textId="77777777" w:rsidR="00787570" w:rsidRDefault="00787570">
            <w:pPr>
              <w:rPr>
                <w:rFonts w:ascii="宋体"/>
              </w:rPr>
            </w:pPr>
          </w:p>
        </w:tc>
        <w:tc>
          <w:tcPr>
            <w:tcW w:w="50" w:type="pct"/>
            <w:shd w:val="clear" w:color="auto" w:fill="auto"/>
          </w:tcPr>
          <w:p w14:paraId="36CA3104" w14:textId="77777777" w:rsidR="00787570" w:rsidRDefault="00787570">
            <w:pPr>
              <w:rPr>
                <w:rFonts w:ascii="宋体"/>
              </w:rPr>
            </w:pPr>
          </w:p>
        </w:tc>
        <w:tc>
          <w:tcPr>
            <w:tcW w:w="539" w:type="pct"/>
            <w:shd w:val="clear" w:color="auto" w:fill="auto"/>
          </w:tcPr>
          <w:p w14:paraId="36CA3105" w14:textId="77777777" w:rsidR="00787570" w:rsidRDefault="00787570">
            <w:pPr>
              <w:rPr>
                <w:rFonts w:ascii="宋体"/>
              </w:rPr>
            </w:pPr>
          </w:p>
        </w:tc>
        <w:tc>
          <w:tcPr>
            <w:tcW w:w="5" w:type="pct"/>
            <w:shd w:val="clear" w:color="auto" w:fill="auto"/>
          </w:tcPr>
          <w:p w14:paraId="36CA3106" w14:textId="77777777" w:rsidR="00787570" w:rsidRDefault="00787570">
            <w:pPr>
              <w:rPr>
                <w:rFonts w:ascii="宋体"/>
              </w:rPr>
            </w:pPr>
          </w:p>
        </w:tc>
      </w:tr>
      <w:tr w:rsidR="00787570" w14:paraId="36CA310D" w14:textId="77777777">
        <w:tc>
          <w:tcPr>
            <w:tcW w:w="0" w:type="auto"/>
            <w:gridSpan w:val="3"/>
            <w:shd w:val="clear" w:color="auto" w:fill="auto"/>
            <w:tcMar>
              <w:top w:w="40" w:type="dxa"/>
              <w:left w:w="20" w:type="dxa"/>
              <w:bottom w:w="40" w:type="dxa"/>
              <w:right w:w="20" w:type="dxa"/>
            </w:tcMar>
            <w:vAlign w:val="bottom"/>
          </w:tcPr>
          <w:p w14:paraId="36CA3108" w14:textId="77777777" w:rsidR="00787570" w:rsidRDefault="000D56E2">
            <w:pPr>
              <w:textAlignment w:val="bottom"/>
            </w:pPr>
            <w:r>
              <w:rPr>
                <w:rFonts w:ascii="Arial" w:eastAsia="宋体" w:hAnsi="Arial" w:cs="Arial"/>
                <w:b/>
                <w:bCs/>
                <w:color w:val="333333"/>
                <w:sz w:val="18"/>
                <w:szCs w:val="18"/>
              </w:rPr>
              <w:t>(In Millions)</w:t>
            </w:r>
          </w:p>
        </w:tc>
        <w:tc>
          <w:tcPr>
            <w:tcW w:w="0" w:type="auto"/>
            <w:gridSpan w:val="3"/>
            <w:shd w:val="clear" w:color="auto" w:fill="auto"/>
            <w:tcMar>
              <w:left w:w="20" w:type="dxa"/>
              <w:right w:w="20" w:type="dxa"/>
            </w:tcMar>
            <w:vAlign w:val="bottom"/>
          </w:tcPr>
          <w:p w14:paraId="36CA3109" w14:textId="77777777" w:rsidR="00787570" w:rsidRDefault="00787570">
            <w:pPr>
              <w:rPr>
                <w:rFonts w:ascii="宋体"/>
              </w:rPr>
            </w:pPr>
          </w:p>
        </w:tc>
        <w:tc>
          <w:tcPr>
            <w:tcW w:w="0" w:type="auto"/>
            <w:gridSpan w:val="3"/>
            <w:shd w:val="clear" w:color="auto" w:fill="auto"/>
            <w:tcMar>
              <w:top w:w="40" w:type="dxa"/>
              <w:left w:w="20" w:type="dxa"/>
              <w:bottom w:w="40" w:type="dxa"/>
              <w:right w:w="20" w:type="dxa"/>
            </w:tcMar>
            <w:vAlign w:val="bottom"/>
          </w:tcPr>
          <w:p w14:paraId="36CA310A" w14:textId="77777777" w:rsidR="00787570" w:rsidRDefault="000D56E2">
            <w:pPr>
              <w:jc w:val="center"/>
              <w:textAlignment w:val="bottom"/>
            </w:pPr>
            <w:r>
              <w:rPr>
                <w:rFonts w:ascii="Arial" w:eastAsia="宋体" w:hAnsi="Arial" w:cs="Arial"/>
                <w:b/>
                <w:bCs/>
                <w:color w:val="333333"/>
                <w:sz w:val="18"/>
                <w:szCs w:val="18"/>
              </w:rPr>
              <w:t>Sep 26, 2020</w:t>
            </w:r>
          </w:p>
        </w:tc>
        <w:tc>
          <w:tcPr>
            <w:tcW w:w="0" w:type="auto"/>
            <w:gridSpan w:val="3"/>
            <w:shd w:val="clear" w:color="auto" w:fill="auto"/>
            <w:tcMar>
              <w:left w:w="20" w:type="dxa"/>
              <w:right w:w="20" w:type="dxa"/>
            </w:tcMar>
            <w:vAlign w:val="bottom"/>
          </w:tcPr>
          <w:p w14:paraId="36CA310B" w14:textId="77777777" w:rsidR="00787570" w:rsidRDefault="00787570">
            <w:pPr>
              <w:rPr>
                <w:rFonts w:ascii="宋体"/>
              </w:rPr>
            </w:pPr>
          </w:p>
        </w:tc>
        <w:tc>
          <w:tcPr>
            <w:tcW w:w="0" w:type="auto"/>
            <w:gridSpan w:val="3"/>
            <w:shd w:val="clear" w:color="auto" w:fill="auto"/>
            <w:tcMar>
              <w:top w:w="40" w:type="dxa"/>
              <w:left w:w="20" w:type="dxa"/>
              <w:bottom w:w="40" w:type="dxa"/>
              <w:right w:w="20" w:type="dxa"/>
            </w:tcMar>
            <w:vAlign w:val="bottom"/>
          </w:tcPr>
          <w:p w14:paraId="36CA310C" w14:textId="77777777" w:rsidR="00787570" w:rsidRDefault="000D56E2">
            <w:pPr>
              <w:jc w:val="center"/>
              <w:textAlignment w:val="bottom"/>
            </w:pPr>
            <w:r>
              <w:rPr>
                <w:rFonts w:ascii="Arial" w:eastAsia="宋体" w:hAnsi="Arial" w:cs="Arial"/>
                <w:b/>
                <w:bCs/>
                <w:color w:val="333333"/>
                <w:sz w:val="18"/>
                <w:szCs w:val="18"/>
              </w:rPr>
              <w:t>Dec 28, 2019</w:t>
            </w:r>
          </w:p>
        </w:tc>
      </w:tr>
      <w:tr w:rsidR="00787570" w14:paraId="36CA3117" w14:textId="77777777">
        <w:tc>
          <w:tcPr>
            <w:tcW w:w="0" w:type="auto"/>
            <w:gridSpan w:val="3"/>
            <w:tcBorders>
              <w:top w:val="single" w:sz="8" w:space="0" w:color="0071C5"/>
            </w:tcBorders>
            <w:shd w:val="clear" w:color="auto" w:fill="auto"/>
            <w:tcMar>
              <w:top w:w="40" w:type="dxa"/>
              <w:left w:w="20" w:type="dxa"/>
              <w:bottom w:w="40" w:type="dxa"/>
              <w:right w:w="20" w:type="dxa"/>
            </w:tcMar>
          </w:tcPr>
          <w:p w14:paraId="36CA310E" w14:textId="77777777" w:rsidR="00787570" w:rsidRDefault="000D56E2">
            <w:pPr>
              <w:textAlignment w:val="top"/>
            </w:pPr>
            <w:r>
              <w:rPr>
                <w:rFonts w:ascii="Arial" w:eastAsia="宋体" w:hAnsi="Arial" w:cs="Arial"/>
                <w:color w:val="333333"/>
                <w:sz w:val="18"/>
                <w:szCs w:val="18"/>
              </w:rPr>
              <w:t>Marketable equity securities</w:t>
            </w:r>
          </w:p>
        </w:tc>
        <w:tc>
          <w:tcPr>
            <w:tcW w:w="0" w:type="auto"/>
            <w:gridSpan w:val="3"/>
            <w:shd w:val="clear" w:color="auto" w:fill="auto"/>
            <w:tcMar>
              <w:left w:w="20" w:type="dxa"/>
              <w:right w:w="20" w:type="dxa"/>
            </w:tcMar>
            <w:vAlign w:val="bottom"/>
          </w:tcPr>
          <w:p w14:paraId="36CA310F" w14:textId="77777777" w:rsidR="00787570" w:rsidRDefault="00787570">
            <w:pPr>
              <w:rPr>
                <w:rFonts w:ascii="宋体"/>
              </w:rPr>
            </w:pPr>
          </w:p>
        </w:tc>
        <w:tc>
          <w:tcPr>
            <w:tcW w:w="0" w:type="auto"/>
            <w:tcBorders>
              <w:top w:val="single" w:sz="8" w:space="0" w:color="0071C5"/>
            </w:tcBorders>
            <w:shd w:val="clear" w:color="auto" w:fill="auto"/>
            <w:tcMar>
              <w:top w:w="40" w:type="dxa"/>
              <w:left w:w="20" w:type="dxa"/>
              <w:bottom w:w="40" w:type="dxa"/>
            </w:tcMar>
            <w:vAlign w:val="bottom"/>
          </w:tcPr>
          <w:p w14:paraId="36CA3110" w14:textId="77777777" w:rsidR="00787570" w:rsidRDefault="000D56E2">
            <w:pPr>
              <w:textAlignment w:val="bottom"/>
            </w:pPr>
            <w:r>
              <w:rPr>
                <w:rFonts w:ascii="Arial" w:eastAsia="宋体" w:hAnsi="Arial" w:cs="Arial"/>
                <w:color w:val="0071C5"/>
                <w:sz w:val="18"/>
                <w:szCs w:val="18"/>
              </w:rPr>
              <w:t>$</w:t>
            </w:r>
          </w:p>
        </w:tc>
        <w:tc>
          <w:tcPr>
            <w:tcW w:w="0" w:type="auto"/>
            <w:tcBorders>
              <w:top w:val="single" w:sz="8" w:space="0" w:color="0071C5"/>
            </w:tcBorders>
            <w:shd w:val="clear" w:color="auto" w:fill="auto"/>
            <w:tcMar>
              <w:top w:w="40" w:type="dxa"/>
              <w:bottom w:w="40" w:type="dxa"/>
              <w:right w:w="0" w:type="dxa"/>
            </w:tcMar>
            <w:vAlign w:val="bottom"/>
          </w:tcPr>
          <w:p w14:paraId="36CA3111" w14:textId="77777777" w:rsidR="00787570" w:rsidRDefault="000D56E2">
            <w:pPr>
              <w:jc w:val="right"/>
              <w:textAlignment w:val="bottom"/>
            </w:pPr>
            <w:r>
              <w:rPr>
                <w:rFonts w:ascii="Arial" w:eastAsia="宋体" w:hAnsi="Arial" w:cs="Arial"/>
                <w:color w:val="0071C5"/>
                <w:sz w:val="18"/>
                <w:szCs w:val="18"/>
              </w:rPr>
              <w:t>481 </w:t>
            </w:r>
          </w:p>
        </w:tc>
        <w:tc>
          <w:tcPr>
            <w:tcW w:w="0" w:type="auto"/>
            <w:tcBorders>
              <w:top w:val="single" w:sz="8" w:space="0" w:color="0071C5"/>
            </w:tcBorders>
            <w:shd w:val="clear" w:color="auto" w:fill="auto"/>
            <w:tcMar>
              <w:top w:w="40" w:type="dxa"/>
              <w:bottom w:w="40" w:type="dxa"/>
              <w:right w:w="20" w:type="dxa"/>
            </w:tcMar>
            <w:vAlign w:val="bottom"/>
          </w:tcPr>
          <w:p w14:paraId="36CA3112"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3113" w14:textId="77777777" w:rsidR="00787570" w:rsidRDefault="00787570">
            <w:pPr>
              <w:rPr>
                <w:rFonts w:ascii="宋体"/>
              </w:rPr>
            </w:pPr>
          </w:p>
        </w:tc>
        <w:tc>
          <w:tcPr>
            <w:tcW w:w="0" w:type="auto"/>
            <w:tcBorders>
              <w:top w:val="single" w:sz="8" w:space="0" w:color="0071C5"/>
            </w:tcBorders>
            <w:shd w:val="clear" w:color="auto" w:fill="auto"/>
            <w:tcMar>
              <w:top w:w="40" w:type="dxa"/>
              <w:left w:w="20" w:type="dxa"/>
              <w:bottom w:w="40" w:type="dxa"/>
            </w:tcMar>
            <w:vAlign w:val="bottom"/>
          </w:tcPr>
          <w:p w14:paraId="36CA3114" w14:textId="77777777" w:rsidR="00787570" w:rsidRDefault="000D56E2">
            <w:pPr>
              <w:textAlignment w:val="bottom"/>
            </w:pPr>
            <w:r>
              <w:rPr>
                <w:rFonts w:ascii="Arial" w:eastAsia="宋体" w:hAnsi="Arial" w:cs="Arial"/>
                <w:color w:val="333333"/>
                <w:sz w:val="18"/>
                <w:szCs w:val="18"/>
              </w:rPr>
              <w:t>$</w:t>
            </w:r>
          </w:p>
        </w:tc>
        <w:tc>
          <w:tcPr>
            <w:tcW w:w="0" w:type="auto"/>
            <w:tcBorders>
              <w:top w:val="single" w:sz="8" w:space="0" w:color="0071C5"/>
            </w:tcBorders>
            <w:shd w:val="clear" w:color="auto" w:fill="auto"/>
            <w:tcMar>
              <w:top w:w="40" w:type="dxa"/>
              <w:bottom w:w="40" w:type="dxa"/>
              <w:right w:w="0" w:type="dxa"/>
            </w:tcMar>
            <w:vAlign w:val="bottom"/>
          </w:tcPr>
          <w:p w14:paraId="36CA3115" w14:textId="77777777" w:rsidR="00787570" w:rsidRDefault="000D56E2">
            <w:pPr>
              <w:jc w:val="right"/>
              <w:textAlignment w:val="bottom"/>
            </w:pPr>
            <w:r>
              <w:rPr>
                <w:rFonts w:ascii="Arial" w:eastAsia="宋体" w:hAnsi="Arial" w:cs="Arial"/>
                <w:color w:val="333333"/>
                <w:sz w:val="18"/>
                <w:szCs w:val="18"/>
              </w:rPr>
              <w:t>450 </w:t>
            </w:r>
          </w:p>
        </w:tc>
        <w:tc>
          <w:tcPr>
            <w:tcW w:w="0" w:type="auto"/>
            <w:tcBorders>
              <w:top w:val="single" w:sz="8" w:space="0" w:color="0071C5"/>
            </w:tcBorders>
            <w:shd w:val="clear" w:color="auto" w:fill="auto"/>
            <w:tcMar>
              <w:top w:w="40" w:type="dxa"/>
              <w:bottom w:w="40" w:type="dxa"/>
              <w:right w:w="20" w:type="dxa"/>
            </w:tcMar>
            <w:vAlign w:val="bottom"/>
          </w:tcPr>
          <w:p w14:paraId="36CA3116" w14:textId="77777777" w:rsidR="00787570" w:rsidRDefault="00787570">
            <w:pPr>
              <w:jc w:val="right"/>
              <w:rPr>
                <w:rFonts w:ascii="宋体"/>
              </w:rPr>
            </w:pPr>
          </w:p>
        </w:tc>
      </w:tr>
      <w:tr w:rsidR="00787570" w14:paraId="36CA311F" w14:textId="77777777">
        <w:tc>
          <w:tcPr>
            <w:tcW w:w="0" w:type="auto"/>
            <w:gridSpan w:val="3"/>
            <w:shd w:val="clear" w:color="auto" w:fill="auto"/>
            <w:tcMar>
              <w:top w:w="40" w:type="dxa"/>
              <w:left w:w="20" w:type="dxa"/>
              <w:bottom w:w="40" w:type="dxa"/>
              <w:right w:w="20" w:type="dxa"/>
            </w:tcMar>
          </w:tcPr>
          <w:p w14:paraId="36CA3118" w14:textId="77777777" w:rsidR="00787570" w:rsidRDefault="000D56E2">
            <w:pPr>
              <w:textAlignment w:val="top"/>
            </w:pPr>
            <w:r>
              <w:rPr>
                <w:rFonts w:ascii="Arial" w:eastAsia="宋体" w:hAnsi="Arial" w:cs="Arial"/>
                <w:color w:val="333333"/>
                <w:sz w:val="18"/>
                <w:szCs w:val="18"/>
              </w:rPr>
              <w:t xml:space="preserve">Non-marketable equity securities </w:t>
            </w:r>
          </w:p>
        </w:tc>
        <w:tc>
          <w:tcPr>
            <w:tcW w:w="0" w:type="auto"/>
            <w:gridSpan w:val="3"/>
            <w:shd w:val="clear" w:color="auto" w:fill="auto"/>
            <w:tcMar>
              <w:left w:w="20" w:type="dxa"/>
              <w:right w:w="20" w:type="dxa"/>
            </w:tcMar>
            <w:vAlign w:val="bottom"/>
          </w:tcPr>
          <w:p w14:paraId="36CA3119"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311A" w14:textId="77777777" w:rsidR="00787570" w:rsidRDefault="000D56E2">
            <w:pPr>
              <w:jc w:val="right"/>
              <w:textAlignment w:val="bottom"/>
            </w:pPr>
            <w:r>
              <w:rPr>
                <w:rFonts w:ascii="Arial" w:eastAsia="宋体" w:hAnsi="Arial" w:cs="Arial"/>
                <w:color w:val="0071C5"/>
                <w:sz w:val="18"/>
                <w:szCs w:val="18"/>
              </w:rPr>
              <w:t>3,189 </w:t>
            </w:r>
          </w:p>
        </w:tc>
        <w:tc>
          <w:tcPr>
            <w:tcW w:w="0" w:type="auto"/>
            <w:shd w:val="clear" w:color="auto" w:fill="auto"/>
            <w:tcMar>
              <w:top w:w="40" w:type="dxa"/>
              <w:bottom w:w="40" w:type="dxa"/>
              <w:right w:w="20" w:type="dxa"/>
            </w:tcMar>
            <w:vAlign w:val="bottom"/>
          </w:tcPr>
          <w:p w14:paraId="36CA311B"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311C"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311D" w14:textId="77777777" w:rsidR="00787570" w:rsidRDefault="000D56E2">
            <w:pPr>
              <w:jc w:val="right"/>
              <w:textAlignment w:val="bottom"/>
            </w:pPr>
            <w:r>
              <w:rPr>
                <w:rFonts w:ascii="Arial" w:eastAsia="宋体" w:hAnsi="Arial" w:cs="Arial"/>
                <w:color w:val="333333"/>
                <w:sz w:val="18"/>
                <w:szCs w:val="18"/>
              </w:rPr>
              <w:t>3,480 </w:t>
            </w:r>
          </w:p>
        </w:tc>
        <w:tc>
          <w:tcPr>
            <w:tcW w:w="0" w:type="auto"/>
            <w:shd w:val="clear" w:color="auto" w:fill="auto"/>
            <w:tcMar>
              <w:top w:w="40" w:type="dxa"/>
              <w:bottom w:w="40" w:type="dxa"/>
              <w:right w:w="20" w:type="dxa"/>
            </w:tcMar>
            <w:vAlign w:val="bottom"/>
          </w:tcPr>
          <w:p w14:paraId="36CA311E" w14:textId="77777777" w:rsidR="00787570" w:rsidRDefault="00787570">
            <w:pPr>
              <w:jc w:val="right"/>
              <w:rPr>
                <w:rFonts w:ascii="宋体"/>
              </w:rPr>
            </w:pPr>
          </w:p>
        </w:tc>
      </w:tr>
      <w:tr w:rsidR="00787570" w14:paraId="36CA3127" w14:textId="77777777">
        <w:tc>
          <w:tcPr>
            <w:tcW w:w="0" w:type="auto"/>
            <w:gridSpan w:val="3"/>
            <w:shd w:val="clear" w:color="auto" w:fill="auto"/>
            <w:tcMar>
              <w:top w:w="40" w:type="dxa"/>
              <w:left w:w="20" w:type="dxa"/>
              <w:bottom w:w="40" w:type="dxa"/>
              <w:right w:w="20" w:type="dxa"/>
            </w:tcMar>
          </w:tcPr>
          <w:p w14:paraId="36CA3120" w14:textId="77777777" w:rsidR="00787570" w:rsidRDefault="000D56E2">
            <w:pPr>
              <w:textAlignment w:val="top"/>
            </w:pPr>
            <w:r>
              <w:rPr>
                <w:rFonts w:ascii="Arial" w:eastAsia="宋体" w:hAnsi="Arial" w:cs="Arial"/>
                <w:color w:val="333333"/>
                <w:sz w:val="18"/>
                <w:szCs w:val="18"/>
              </w:rPr>
              <w:t>Equity method investments</w:t>
            </w:r>
          </w:p>
        </w:tc>
        <w:tc>
          <w:tcPr>
            <w:tcW w:w="0" w:type="auto"/>
            <w:gridSpan w:val="3"/>
            <w:shd w:val="clear" w:color="auto" w:fill="auto"/>
            <w:tcMar>
              <w:left w:w="20" w:type="dxa"/>
              <w:right w:w="20" w:type="dxa"/>
            </w:tcMar>
            <w:vAlign w:val="bottom"/>
          </w:tcPr>
          <w:p w14:paraId="36CA3121"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3122" w14:textId="77777777" w:rsidR="00787570" w:rsidRDefault="000D56E2">
            <w:pPr>
              <w:jc w:val="right"/>
              <w:textAlignment w:val="bottom"/>
            </w:pPr>
            <w:r>
              <w:rPr>
                <w:rFonts w:ascii="Arial" w:eastAsia="宋体" w:hAnsi="Arial" w:cs="Arial"/>
                <w:color w:val="0071C5"/>
                <w:sz w:val="18"/>
                <w:szCs w:val="18"/>
              </w:rPr>
              <w:t>9 </w:t>
            </w:r>
          </w:p>
        </w:tc>
        <w:tc>
          <w:tcPr>
            <w:tcW w:w="0" w:type="auto"/>
            <w:shd w:val="clear" w:color="auto" w:fill="auto"/>
            <w:tcMar>
              <w:top w:w="40" w:type="dxa"/>
              <w:bottom w:w="40" w:type="dxa"/>
              <w:right w:w="20" w:type="dxa"/>
            </w:tcMar>
            <w:vAlign w:val="bottom"/>
          </w:tcPr>
          <w:p w14:paraId="36CA3123"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3124"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3125" w14:textId="77777777" w:rsidR="00787570" w:rsidRDefault="000D56E2">
            <w:pPr>
              <w:jc w:val="right"/>
              <w:textAlignment w:val="bottom"/>
            </w:pPr>
            <w:r>
              <w:rPr>
                <w:rFonts w:ascii="Arial" w:eastAsia="宋体" w:hAnsi="Arial" w:cs="Arial"/>
                <w:color w:val="333333"/>
                <w:sz w:val="18"/>
                <w:szCs w:val="18"/>
              </w:rPr>
              <w:t>37 </w:t>
            </w:r>
          </w:p>
        </w:tc>
        <w:tc>
          <w:tcPr>
            <w:tcW w:w="0" w:type="auto"/>
            <w:shd w:val="clear" w:color="auto" w:fill="auto"/>
            <w:tcMar>
              <w:top w:w="40" w:type="dxa"/>
              <w:bottom w:w="40" w:type="dxa"/>
              <w:right w:w="20" w:type="dxa"/>
            </w:tcMar>
            <w:vAlign w:val="bottom"/>
          </w:tcPr>
          <w:p w14:paraId="36CA3126" w14:textId="77777777" w:rsidR="00787570" w:rsidRDefault="00787570">
            <w:pPr>
              <w:jc w:val="right"/>
              <w:rPr>
                <w:rFonts w:ascii="宋体"/>
              </w:rPr>
            </w:pPr>
          </w:p>
        </w:tc>
      </w:tr>
      <w:tr w:rsidR="00787570" w14:paraId="36CA3131" w14:textId="77777777">
        <w:tc>
          <w:tcPr>
            <w:tcW w:w="0" w:type="auto"/>
            <w:gridSpan w:val="3"/>
            <w:shd w:val="clear" w:color="auto" w:fill="auto"/>
            <w:tcMar>
              <w:top w:w="40" w:type="dxa"/>
              <w:left w:w="20" w:type="dxa"/>
              <w:bottom w:w="40" w:type="dxa"/>
              <w:right w:w="20" w:type="dxa"/>
            </w:tcMar>
          </w:tcPr>
          <w:p w14:paraId="36CA3128" w14:textId="77777777" w:rsidR="00787570" w:rsidRDefault="000D56E2">
            <w:pPr>
              <w:textAlignment w:val="top"/>
            </w:pPr>
            <w:r>
              <w:rPr>
                <w:rFonts w:ascii="Arial" w:eastAsia="宋体" w:hAnsi="Arial" w:cs="Arial"/>
                <w:b/>
                <w:bCs/>
                <w:color w:val="333333"/>
                <w:sz w:val="18"/>
                <w:szCs w:val="18"/>
              </w:rPr>
              <w:t>Total</w:t>
            </w:r>
          </w:p>
        </w:tc>
        <w:tc>
          <w:tcPr>
            <w:tcW w:w="0" w:type="auto"/>
            <w:gridSpan w:val="3"/>
            <w:shd w:val="clear" w:color="auto" w:fill="auto"/>
            <w:tcMar>
              <w:left w:w="20" w:type="dxa"/>
              <w:right w:w="20" w:type="dxa"/>
            </w:tcMar>
            <w:vAlign w:val="bottom"/>
          </w:tcPr>
          <w:p w14:paraId="36CA3129" w14:textId="77777777" w:rsidR="00787570" w:rsidRDefault="00787570">
            <w:pPr>
              <w:rPr>
                <w:rFonts w:ascii="宋体"/>
              </w:rPr>
            </w:pPr>
          </w:p>
        </w:tc>
        <w:tc>
          <w:tcPr>
            <w:tcW w:w="0" w:type="auto"/>
            <w:tcBorders>
              <w:top w:val="single" w:sz="8" w:space="0" w:color="333333"/>
              <w:bottom w:val="double" w:sz="6" w:space="0" w:color="333333"/>
            </w:tcBorders>
            <w:shd w:val="clear" w:color="auto" w:fill="auto"/>
            <w:tcMar>
              <w:top w:w="40" w:type="dxa"/>
              <w:left w:w="20" w:type="dxa"/>
              <w:bottom w:w="40" w:type="dxa"/>
            </w:tcMar>
            <w:vAlign w:val="bottom"/>
          </w:tcPr>
          <w:p w14:paraId="36CA312A" w14:textId="77777777" w:rsidR="00787570" w:rsidRDefault="000D56E2">
            <w:pPr>
              <w:textAlignment w:val="bottom"/>
            </w:pPr>
            <w:r>
              <w:rPr>
                <w:rFonts w:ascii="Arial" w:eastAsia="宋体" w:hAnsi="Arial" w:cs="Arial"/>
                <w:b/>
                <w:bCs/>
                <w:color w:val="0071C5"/>
                <w:sz w:val="18"/>
                <w:szCs w:val="18"/>
              </w:rPr>
              <w:t>$</w:t>
            </w:r>
          </w:p>
        </w:tc>
        <w:tc>
          <w:tcPr>
            <w:tcW w:w="0" w:type="auto"/>
            <w:tcBorders>
              <w:top w:val="single" w:sz="8" w:space="0" w:color="333333"/>
              <w:bottom w:val="double" w:sz="6" w:space="0" w:color="333333"/>
            </w:tcBorders>
            <w:shd w:val="clear" w:color="auto" w:fill="auto"/>
            <w:tcMar>
              <w:top w:w="40" w:type="dxa"/>
              <w:bottom w:w="40" w:type="dxa"/>
              <w:right w:w="0" w:type="dxa"/>
            </w:tcMar>
            <w:vAlign w:val="bottom"/>
          </w:tcPr>
          <w:p w14:paraId="36CA312B" w14:textId="77777777" w:rsidR="00787570" w:rsidRDefault="000D56E2">
            <w:pPr>
              <w:jc w:val="right"/>
              <w:textAlignment w:val="bottom"/>
            </w:pPr>
            <w:r>
              <w:rPr>
                <w:rFonts w:ascii="Arial" w:eastAsia="宋体" w:hAnsi="Arial" w:cs="Arial"/>
                <w:b/>
                <w:bCs/>
                <w:color w:val="0071C5"/>
                <w:sz w:val="18"/>
                <w:szCs w:val="18"/>
              </w:rPr>
              <w:t>3,679</w:t>
            </w:r>
            <w:r>
              <w:rPr>
                <w:rFonts w:ascii="Arial" w:eastAsia="宋体" w:hAnsi="Arial" w:cs="Arial"/>
                <w:color w:val="0071C5"/>
                <w:sz w:val="18"/>
                <w:szCs w:val="18"/>
              </w:rPr>
              <w:t> </w:t>
            </w:r>
          </w:p>
        </w:tc>
        <w:tc>
          <w:tcPr>
            <w:tcW w:w="0" w:type="auto"/>
            <w:tcBorders>
              <w:top w:val="single" w:sz="8" w:space="0" w:color="333333"/>
              <w:bottom w:val="double" w:sz="6" w:space="0" w:color="333333"/>
            </w:tcBorders>
            <w:shd w:val="clear" w:color="auto" w:fill="auto"/>
            <w:tcMar>
              <w:top w:w="40" w:type="dxa"/>
              <w:bottom w:w="40" w:type="dxa"/>
              <w:right w:w="20" w:type="dxa"/>
            </w:tcMar>
            <w:vAlign w:val="bottom"/>
          </w:tcPr>
          <w:p w14:paraId="36CA312C"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312D" w14:textId="77777777" w:rsidR="00787570" w:rsidRDefault="00787570">
            <w:pPr>
              <w:jc w:val="right"/>
              <w:textAlignment w:val="bottom"/>
            </w:pPr>
          </w:p>
        </w:tc>
        <w:tc>
          <w:tcPr>
            <w:tcW w:w="0" w:type="auto"/>
            <w:tcBorders>
              <w:top w:val="single" w:sz="8" w:space="0" w:color="333333"/>
              <w:bottom w:val="double" w:sz="6" w:space="0" w:color="333333"/>
            </w:tcBorders>
            <w:shd w:val="clear" w:color="auto" w:fill="auto"/>
            <w:tcMar>
              <w:top w:w="40" w:type="dxa"/>
              <w:left w:w="20" w:type="dxa"/>
              <w:bottom w:w="40" w:type="dxa"/>
            </w:tcMar>
            <w:vAlign w:val="bottom"/>
          </w:tcPr>
          <w:p w14:paraId="36CA312E" w14:textId="77777777" w:rsidR="00787570" w:rsidRDefault="000D56E2">
            <w:pPr>
              <w:textAlignment w:val="bottom"/>
            </w:pPr>
            <w:r>
              <w:rPr>
                <w:rFonts w:ascii="Arial" w:eastAsia="宋体" w:hAnsi="Arial" w:cs="Arial"/>
                <w:b/>
                <w:bCs/>
                <w:color w:val="333333"/>
                <w:sz w:val="18"/>
                <w:szCs w:val="18"/>
              </w:rPr>
              <w:t>$</w:t>
            </w:r>
          </w:p>
        </w:tc>
        <w:tc>
          <w:tcPr>
            <w:tcW w:w="0" w:type="auto"/>
            <w:tcBorders>
              <w:top w:val="single" w:sz="8" w:space="0" w:color="333333"/>
              <w:bottom w:val="double" w:sz="6" w:space="0" w:color="333333"/>
            </w:tcBorders>
            <w:shd w:val="clear" w:color="auto" w:fill="auto"/>
            <w:tcMar>
              <w:top w:w="40" w:type="dxa"/>
              <w:bottom w:w="40" w:type="dxa"/>
              <w:right w:w="0" w:type="dxa"/>
            </w:tcMar>
            <w:vAlign w:val="bottom"/>
          </w:tcPr>
          <w:p w14:paraId="36CA312F" w14:textId="77777777" w:rsidR="00787570" w:rsidRDefault="000D56E2">
            <w:pPr>
              <w:jc w:val="right"/>
              <w:textAlignment w:val="bottom"/>
            </w:pPr>
            <w:r>
              <w:rPr>
                <w:rFonts w:ascii="Arial" w:eastAsia="宋体" w:hAnsi="Arial" w:cs="Arial"/>
                <w:b/>
                <w:bCs/>
                <w:color w:val="333333"/>
                <w:sz w:val="18"/>
                <w:szCs w:val="18"/>
              </w:rPr>
              <w:t>3,967</w:t>
            </w:r>
            <w:r>
              <w:rPr>
                <w:rFonts w:ascii="Arial" w:eastAsia="宋体" w:hAnsi="Arial" w:cs="Arial"/>
                <w:color w:val="333333"/>
                <w:sz w:val="18"/>
                <w:szCs w:val="18"/>
              </w:rPr>
              <w:t> </w:t>
            </w:r>
          </w:p>
        </w:tc>
        <w:tc>
          <w:tcPr>
            <w:tcW w:w="0" w:type="auto"/>
            <w:tcBorders>
              <w:top w:val="single" w:sz="8" w:space="0" w:color="333333"/>
              <w:bottom w:val="double" w:sz="6" w:space="0" w:color="333333"/>
            </w:tcBorders>
            <w:shd w:val="clear" w:color="auto" w:fill="auto"/>
            <w:tcMar>
              <w:top w:w="40" w:type="dxa"/>
              <w:bottom w:w="40" w:type="dxa"/>
              <w:right w:w="20" w:type="dxa"/>
            </w:tcMar>
            <w:vAlign w:val="bottom"/>
          </w:tcPr>
          <w:p w14:paraId="36CA3130" w14:textId="77777777" w:rsidR="00787570" w:rsidRDefault="00787570">
            <w:pPr>
              <w:jc w:val="right"/>
              <w:rPr>
                <w:rFonts w:ascii="宋体"/>
              </w:rPr>
            </w:pPr>
          </w:p>
        </w:tc>
      </w:tr>
    </w:tbl>
    <w:p w14:paraId="36CA3132" w14:textId="77777777" w:rsidR="00787570" w:rsidRDefault="00787570">
      <w:pPr>
        <w:spacing w:after="180"/>
      </w:pPr>
    </w:p>
    <w:p w14:paraId="36CA3133" w14:textId="77777777" w:rsidR="00787570" w:rsidRDefault="00787570">
      <w:pPr>
        <w:spacing w:after="180"/>
      </w:pPr>
    </w:p>
    <w:p w14:paraId="36CA3134" w14:textId="77777777" w:rsidR="00787570" w:rsidRDefault="00787570">
      <w:pPr>
        <w:spacing w:after="180"/>
      </w:pPr>
    </w:p>
    <w:p w14:paraId="36CA3135" w14:textId="77777777" w:rsidR="00787570" w:rsidRDefault="00787570">
      <w:pPr>
        <w:spacing w:after="180"/>
      </w:pPr>
    </w:p>
    <w:p w14:paraId="36CA3136" w14:textId="77777777" w:rsidR="00787570" w:rsidRDefault="00787570">
      <w:pPr>
        <w:spacing w:after="180"/>
      </w:pPr>
    </w:p>
    <w:p w14:paraId="36CA3137" w14:textId="77777777" w:rsidR="00787570" w:rsidRDefault="00787570">
      <w:pPr>
        <w:spacing w:after="180"/>
      </w:pPr>
    </w:p>
    <w:p w14:paraId="36CA3138" w14:textId="77777777" w:rsidR="00787570" w:rsidRDefault="00787570">
      <w:pPr>
        <w:spacing w:after="180"/>
      </w:pPr>
    </w:p>
    <w:tbl>
      <w:tblPr>
        <w:tblW w:w="5000" w:type="pct"/>
        <w:tblCellMar>
          <w:top w:w="15" w:type="dxa"/>
          <w:left w:w="15" w:type="dxa"/>
          <w:bottom w:w="15" w:type="dxa"/>
          <w:right w:w="15" w:type="dxa"/>
        </w:tblCellMar>
        <w:tblLook w:val="04A0" w:firstRow="1" w:lastRow="0" w:firstColumn="1" w:lastColumn="0" w:noHBand="0" w:noVBand="1"/>
      </w:tblPr>
      <w:tblGrid>
        <w:gridCol w:w="86"/>
        <w:gridCol w:w="426"/>
        <w:gridCol w:w="36"/>
        <w:gridCol w:w="62"/>
        <w:gridCol w:w="1676"/>
        <w:gridCol w:w="36"/>
        <w:gridCol w:w="62"/>
        <w:gridCol w:w="3655"/>
        <w:gridCol w:w="36"/>
        <w:gridCol w:w="63"/>
        <w:gridCol w:w="2162"/>
        <w:gridCol w:w="36"/>
      </w:tblGrid>
      <w:tr w:rsidR="00787570" w14:paraId="36CA3145" w14:textId="77777777">
        <w:tc>
          <w:tcPr>
            <w:tcW w:w="50" w:type="pct"/>
            <w:shd w:val="clear" w:color="auto" w:fill="auto"/>
            <w:vAlign w:val="bottom"/>
          </w:tcPr>
          <w:p w14:paraId="36CA3139" w14:textId="77777777" w:rsidR="00787570" w:rsidRDefault="00787570">
            <w:pPr>
              <w:rPr>
                <w:rFonts w:ascii="宋体"/>
              </w:rPr>
            </w:pPr>
          </w:p>
        </w:tc>
        <w:tc>
          <w:tcPr>
            <w:tcW w:w="248" w:type="pct"/>
            <w:shd w:val="clear" w:color="auto" w:fill="auto"/>
            <w:vAlign w:val="bottom"/>
          </w:tcPr>
          <w:p w14:paraId="36CA313A" w14:textId="77777777" w:rsidR="00787570" w:rsidRDefault="00787570">
            <w:pPr>
              <w:rPr>
                <w:rFonts w:ascii="宋体"/>
              </w:rPr>
            </w:pPr>
          </w:p>
        </w:tc>
        <w:tc>
          <w:tcPr>
            <w:tcW w:w="5" w:type="pct"/>
            <w:shd w:val="clear" w:color="auto" w:fill="auto"/>
            <w:vAlign w:val="bottom"/>
          </w:tcPr>
          <w:p w14:paraId="36CA313B" w14:textId="77777777" w:rsidR="00787570" w:rsidRDefault="00787570">
            <w:pPr>
              <w:rPr>
                <w:rFonts w:ascii="宋体"/>
              </w:rPr>
            </w:pPr>
          </w:p>
        </w:tc>
        <w:tc>
          <w:tcPr>
            <w:tcW w:w="50" w:type="pct"/>
            <w:shd w:val="clear" w:color="auto" w:fill="auto"/>
            <w:vAlign w:val="bottom"/>
          </w:tcPr>
          <w:p w14:paraId="36CA313C" w14:textId="77777777" w:rsidR="00787570" w:rsidRDefault="00787570">
            <w:pPr>
              <w:rPr>
                <w:rFonts w:ascii="宋体"/>
              </w:rPr>
            </w:pPr>
          </w:p>
        </w:tc>
        <w:tc>
          <w:tcPr>
            <w:tcW w:w="1018" w:type="pct"/>
            <w:shd w:val="clear" w:color="auto" w:fill="auto"/>
            <w:vAlign w:val="bottom"/>
          </w:tcPr>
          <w:p w14:paraId="36CA313D" w14:textId="77777777" w:rsidR="00787570" w:rsidRDefault="00787570">
            <w:pPr>
              <w:rPr>
                <w:rFonts w:ascii="宋体"/>
              </w:rPr>
            </w:pPr>
          </w:p>
        </w:tc>
        <w:tc>
          <w:tcPr>
            <w:tcW w:w="5" w:type="pct"/>
            <w:shd w:val="clear" w:color="auto" w:fill="auto"/>
            <w:vAlign w:val="bottom"/>
          </w:tcPr>
          <w:p w14:paraId="36CA313E" w14:textId="77777777" w:rsidR="00787570" w:rsidRDefault="00787570">
            <w:pPr>
              <w:rPr>
                <w:rFonts w:ascii="宋体"/>
              </w:rPr>
            </w:pPr>
          </w:p>
        </w:tc>
        <w:tc>
          <w:tcPr>
            <w:tcW w:w="50" w:type="pct"/>
            <w:shd w:val="clear" w:color="auto" w:fill="auto"/>
            <w:vAlign w:val="bottom"/>
          </w:tcPr>
          <w:p w14:paraId="36CA313F" w14:textId="77777777" w:rsidR="00787570" w:rsidRDefault="00787570">
            <w:pPr>
              <w:rPr>
                <w:rFonts w:ascii="宋体"/>
              </w:rPr>
            </w:pPr>
          </w:p>
        </w:tc>
        <w:tc>
          <w:tcPr>
            <w:tcW w:w="2204" w:type="pct"/>
            <w:shd w:val="clear" w:color="auto" w:fill="auto"/>
            <w:vAlign w:val="bottom"/>
          </w:tcPr>
          <w:p w14:paraId="36CA3140" w14:textId="77777777" w:rsidR="00787570" w:rsidRDefault="00787570">
            <w:pPr>
              <w:rPr>
                <w:rFonts w:ascii="宋体"/>
              </w:rPr>
            </w:pPr>
          </w:p>
        </w:tc>
        <w:tc>
          <w:tcPr>
            <w:tcW w:w="5" w:type="pct"/>
            <w:shd w:val="clear" w:color="auto" w:fill="auto"/>
            <w:vAlign w:val="bottom"/>
          </w:tcPr>
          <w:p w14:paraId="36CA3141" w14:textId="77777777" w:rsidR="00787570" w:rsidRDefault="00787570">
            <w:pPr>
              <w:rPr>
                <w:rFonts w:ascii="宋体"/>
              </w:rPr>
            </w:pPr>
          </w:p>
        </w:tc>
        <w:tc>
          <w:tcPr>
            <w:tcW w:w="50" w:type="pct"/>
            <w:shd w:val="clear" w:color="auto" w:fill="auto"/>
            <w:vAlign w:val="bottom"/>
          </w:tcPr>
          <w:p w14:paraId="36CA3142" w14:textId="77777777" w:rsidR="00787570" w:rsidRDefault="00787570">
            <w:pPr>
              <w:rPr>
                <w:rFonts w:ascii="宋体"/>
              </w:rPr>
            </w:pPr>
          </w:p>
        </w:tc>
        <w:tc>
          <w:tcPr>
            <w:tcW w:w="1308" w:type="pct"/>
            <w:shd w:val="clear" w:color="auto" w:fill="auto"/>
            <w:vAlign w:val="bottom"/>
          </w:tcPr>
          <w:p w14:paraId="36CA3143" w14:textId="77777777" w:rsidR="00787570" w:rsidRDefault="00787570">
            <w:pPr>
              <w:rPr>
                <w:rFonts w:ascii="宋体"/>
              </w:rPr>
            </w:pPr>
          </w:p>
        </w:tc>
        <w:tc>
          <w:tcPr>
            <w:tcW w:w="5" w:type="pct"/>
            <w:shd w:val="clear" w:color="auto" w:fill="auto"/>
            <w:vAlign w:val="bottom"/>
          </w:tcPr>
          <w:p w14:paraId="36CA3144" w14:textId="77777777" w:rsidR="00787570" w:rsidRDefault="00787570">
            <w:pPr>
              <w:rPr>
                <w:rFonts w:ascii="宋体"/>
              </w:rPr>
            </w:pPr>
          </w:p>
        </w:tc>
      </w:tr>
      <w:tr w:rsidR="00787570" w14:paraId="36CA314A" w14:textId="77777777">
        <w:tc>
          <w:tcPr>
            <w:tcW w:w="0" w:type="auto"/>
            <w:gridSpan w:val="3"/>
            <w:tcBorders>
              <w:top w:val="single" w:sz="8" w:space="0" w:color="0071C5"/>
            </w:tcBorders>
            <w:shd w:val="clear" w:color="auto" w:fill="auto"/>
            <w:tcMar>
              <w:left w:w="20" w:type="dxa"/>
              <w:right w:w="20" w:type="dxa"/>
            </w:tcMar>
            <w:vAlign w:val="center"/>
          </w:tcPr>
          <w:p w14:paraId="36CA3146" w14:textId="77777777" w:rsidR="00787570" w:rsidRDefault="000D56E2">
            <w:pPr>
              <w:textAlignment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Viewer9_files/intc-20200926_g2.jpg"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36CA5C12" wp14:editId="36CA5C13">
                  <wp:extent cx="304800" cy="304800"/>
                  <wp:effectExtent l="0" t="0" r="0" b="0"/>
                  <wp:docPr id="23" name="图片 69" descr="IMG_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69" descr="IMG_329"/>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8" w:space="0" w:color="0071C5"/>
            </w:tcBorders>
            <w:shd w:val="clear" w:color="auto" w:fill="auto"/>
            <w:tcMar>
              <w:top w:w="40" w:type="dxa"/>
              <w:left w:w="20" w:type="dxa"/>
              <w:bottom w:w="40" w:type="dxa"/>
              <w:right w:w="20" w:type="dxa"/>
            </w:tcMar>
            <w:vAlign w:val="center"/>
          </w:tcPr>
          <w:p w14:paraId="36CA3147" w14:textId="77777777" w:rsidR="00787570" w:rsidRDefault="000D56E2">
            <w:pPr>
              <w:textAlignment w:val="center"/>
            </w:pPr>
            <w:r>
              <w:rPr>
                <w:rFonts w:ascii="Arial" w:eastAsia="宋体" w:hAnsi="Arial" w:cs="Arial"/>
                <w:color w:val="333333"/>
                <w:sz w:val="16"/>
                <w:szCs w:val="16"/>
              </w:rPr>
              <w:t> FINANCIAL STATEMENTS</w:t>
            </w:r>
          </w:p>
        </w:tc>
        <w:tc>
          <w:tcPr>
            <w:tcW w:w="0" w:type="auto"/>
            <w:gridSpan w:val="3"/>
            <w:tcBorders>
              <w:top w:val="single" w:sz="8" w:space="0" w:color="0071C5"/>
              <w:left w:val="single" w:sz="24" w:space="0" w:color="0071C5"/>
            </w:tcBorders>
            <w:shd w:val="clear" w:color="auto" w:fill="auto"/>
            <w:tcMar>
              <w:top w:w="40" w:type="dxa"/>
              <w:left w:w="20" w:type="dxa"/>
              <w:bottom w:w="40" w:type="dxa"/>
              <w:right w:w="20" w:type="dxa"/>
            </w:tcMar>
            <w:vAlign w:val="center"/>
          </w:tcPr>
          <w:p w14:paraId="36CA3148" w14:textId="77777777" w:rsidR="00787570" w:rsidRDefault="000D56E2">
            <w:pPr>
              <w:textAlignment w:val="center"/>
            </w:pPr>
            <w:r>
              <w:rPr>
                <w:rFonts w:ascii="Arial" w:eastAsia="宋体" w:hAnsi="Arial" w:cs="Arial"/>
                <w:color w:val="333333"/>
                <w:sz w:val="16"/>
                <w:szCs w:val="16"/>
              </w:rPr>
              <w:t>  Notes to Financial Statements</w:t>
            </w:r>
          </w:p>
        </w:tc>
        <w:tc>
          <w:tcPr>
            <w:tcW w:w="0" w:type="auto"/>
            <w:gridSpan w:val="3"/>
            <w:tcBorders>
              <w:top w:val="single" w:sz="8" w:space="0" w:color="0071C5"/>
            </w:tcBorders>
            <w:shd w:val="clear" w:color="auto" w:fill="auto"/>
            <w:tcMar>
              <w:top w:w="40" w:type="dxa"/>
              <w:left w:w="20" w:type="dxa"/>
              <w:bottom w:w="40" w:type="dxa"/>
              <w:right w:w="20" w:type="dxa"/>
            </w:tcMar>
            <w:vAlign w:val="center"/>
          </w:tcPr>
          <w:p w14:paraId="36CA3149" w14:textId="77777777" w:rsidR="00787570" w:rsidRDefault="000D56E2">
            <w:pPr>
              <w:jc w:val="right"/>
              <w:textAlignment w:val="center"/>
            </w:pPr>
            <w:r>
              <w:rPr>
                <w:rFonts w:ascii="Arial" w:eastAsia="宋体" w:hAnsi="Arial" w:cs="Arial"/>
                <w:color w:val="333333"/>
                <w:sz w:val="16"/>
                <w:szCs w:val="16"/>
              </w:rPr>
              <w:t>15</w:t>
            </w:r>
          </w:p>
        </w:tc>
      </w:tr>
    </w:tbl>
    <w:p w14:paraId="36CA314B" w14:textId="77777777" w:rsidR="00787570" w:rsidRDefault="000D56E2">
      <w:r>
        <w:pict w14:anchorId="36CA5C14">
          <v:rect id="_x0000_i1041" style="width:415.3pt;height:1.5pt" o:hralign="center" o:hrstd="t" o:hr="t" fillcolor="#a0a0a0" stroked="f"/>
        </w:pict>
      </w:r>
    </w:p>
    <w:p w14:paraId="36CA314C" w14:textId="77777777" w:rsidR="00787570" w:rsidRDefault="000D56E2">
      <w:pPr>
        <w:spacing w:after="180"/>
        <w:jc w:val="right"/>
      </w:pPr>
      <w:hyperlink r:id="rId43" w:anchor="i32771df14e9449d2bec5be911426bf04_7" w:history="1">
        <w:r>
          <w:rPr>
            <w:rStyle w:val="a5"/>
            <w:rFonts w:ascii="Arial" w:eastAsia="宋体" w:hAnsi="Arial" w:cs="Arial"/>
            <w:b/>
            <w:bCs/>
            <w:sz w:val="16"/>
            <w:szCs w:val="16"/>
          </w:rPr>
          <w:t>Table of Contents</w:t>
        </w:r>
      </w:hyperlink>
    </w:p>
    <w:p w14:paraId="36CA314D" w14:textId="77777777" w:rsidR="00787570" w:rsidRDefault="00787570">
      <w:pPr>
        <w:spacing w:after="180"/>
        <w:jc w:val="right"/>
      </w:pPr>
    </w:p>
    <w:p w14:paraId="36CA314E" w14:textId="77777777" w:rsidR="00787570" w:rsidRDefault="00787570"/>
    <w:p w14:paraId="36CA314F" w14:textId="77777777" w:rsidR="00787570" w:rsidRDefault="000D56E2">
      <w:pPr>
        <w:spacing w:after="120"/>
      </w:pPr>
      <w:r>
        <w:rPr>
          <w:rFonts w:ascii="Arial" w:eastAsia="宋体" w:hAnsi="Arial" w:cs="Arial"/>
          <w:color w:val="333333"/>
          <w:sz w:val="18"/>
          <w:szCs w:val="18"/>
        </w:rPr>
        <w:t>The components of gains (losses) on equity investments, net for each period were as</w:t>
      </w:r>
      <w:r>
        <w:rPr>
          <w:rFonts w:ascii="Arial" w:eastAsia="宋体" w:hAnsi="Arial" w:cs="Arial"/>
          <w:color w:val="333333"/>
          <w:sz w:val="18"/>
          <w:szCs w:val="18"/>
        </w:rPr>
        <w:t xml:space="preserve"> follows:</w:t>
      </w:r>
    </w:p>
    <w:tbl>
      <w:tblPr>
        <w:tblW w:w="5000" w:type="pct"/>
        <w:tblCellMar>
          <w:top w:w="15" w:type="dxa"/>
          <w:left w:w="15" w:type="dxa"/>
          <w:bottom w:w="15" w:type="dxa"/>
          <w:right w:w="15" w:type="dxa"/>
        </w:tblCellMar>
        <w:tblLook w:val="04A0" w:firstRow="1" w:lastRow="0" w:firstColumn="1" w:lastColumn="0" w:noHBand="0" w:noVBand="1"/>
      </w:tblPr>
      <w:tblGrid>
        <w:gridCol w:w="38"/>
        <w:gridCol w:w="3748"/>
        <w:gridCol w:w="36"/>
        <w:gridCol w:w="36"/>
        <w:gridCol w:w="36"/>
        <w:gridCol w:w="36"/>
        <w:gridCol w:w="136"/>
        <w:gridCol w:w="696"/>
        <w:gridCol w:w="41"/>
        <w:gridCol w:w="36"/>
        <w:gridCol w:w="36"/>
        <w:gridCol w:w="36"/>
        <w:gridCol w:w="136"/>
        <w:gridCol w:w="698"/>
        <w:gridCol w:w="41"/>
        <w:gridCol w:w="36"/>
        <w:gridCol w:w="36"/>
        <w:gridCol w:w="36"/>
        <w:gridCol w:w="136"/>
        <w:gridCol w:w="774"/>
        <w:gridCol w:w="41"/>
        <w:gridCol w:w="36"/>
        <w:gridCol w:w="36"/>
        <w:gridCol w:w="36"/>
        <w:gridCol w:w="136"/>
        <w:gridCol w:w="774"/>
        <w:gridCol w:w="41"/>
        <w:gridCol w:w="36"/>
        <w:gridCol w:w="36"/>
        <w:gridCol w:w="36"/>
        <w:gridCol w:w="36"/>
        <w:gridCol w:w="36"/>
        <w:gridCol w:w="36"/>
        <w:gridCol w:w="36"/>
        <w:gridCol w:w="36"/>
        <w:gridCol w:w="36"/>
        <w:gridCol w:w="36"/>
        <w:gridCol w:w="36"/>
        <w:gridCol w:w="36"/>
      </w:tblGrid>
      <w:tr w:rsidR="00787570" w14:paraId="36CA316B" w14:textId="77777777">
        <w:trPr>
          <w:gridAfter w:val="12"/>
        </w:trPr>
        <w:tc>
          <w:tcPr>
            <w:tcW w:w="50" w:type="pct"/>
            <w:shd w:val="clear" w:color="auto" w:fill="auto"/>
          </w:tcPr>
          <w:p w14:paraId="36CA3150" w14:textId="77777777" w:rsidR="00787570" w:rsidRDefault="00787570">
            <w:pPr>
              <w:rPr>
                <w:rFonts w:ascii="宋体"/>
              </w:rPr>
            </w:pPr>
          </w:p>
        </w:tc>
        <w:tc>
          <w:tcPr>
            <w:tcW w:w="2445" w:type="pct"/>
            <w:shd w:val="clear" w:color="auto" w:fill="auto"/>
          </w:tcPr>
          <w:p w14:paraId="36CA3151" w14:textId="77777777" w:rsidR="00787570" w:rsidRDefault="00787570">
            <w:pPr>
              <w:rPr>
                <w:rFonts w:ascii="宋体"/>
              </w:rPr>
            </w:pPr>
          </w:p>
        </w:tc>
        <w:tc>
          <w:tcPr>
            <w:tcW w:w="5" w:type="pct"/>
            <w:shd w:val="clear" w:color="auto" w:fill="auto"/>
          </w:tcPr>
          <w:p w14:paraId="36CA3152" w14:textId="77777777" w:rsidR="00787570" w:rsidRDefault="00787570">
            <w:pPr>
              <w:rPr>
                <w:rFonts w:ascii="宋体"/>
              </w:rPr>
            </w:pPr>
          </w:p>
        </w:tc>
        <w:tc>
          <w:tcPr>
            <w:tcW w:w="5" w:type="pct"/>
            <w:shd w:val="clear" w:color="auto" w:fill="auto"/>
          </w:tcPr>
          <w:p w14:paraId="36CA3153" w14:textId="77777777" w:rsidR="00787570" w:rsidRDefault="00787570">
            <w:pPr>
              <w:rPr>
                <w:rFonts w:ascii="宋体"/>
              </w:rPr>
            </w:pPr>
          </w:p>
        </w:tc>
        <w:tc>
          <w:tcPr>
            <w:tcW w:w="24" w:type="pct"/>
            <w:shd w:val="clear" w:color="auto" w:fill="auto"/>
          </w:tcPr>
          <w:p w14:paraId="36CA3154" w14:textId="77777777" w:rsidR="00787570" w:rsidRDefault="00787570">
            <w:pPr>
              <w:rPr>
                <w:rFonts w:ascii="宋体"/>
              </w:rPr>
            </w:pPr>
          </w:p>
        </w:tc>
        <w:tc>
          <w:tcPr>
            <w:tcW w:w="5" w:type="pct"/>
            <w:shd w:val="clear" w:color="auto" w:fill="auto"/>
          </w:tcPr>
          <w:p w14:paraId="36CA3155" w14:textId="77777777" w:rsidR="00787570" w:rsidRDefault="00787570">
            <w:pPr>
              <w:rPr>
                <w:rFonts w:ascii="宋体"/>
              </w:rPr>
            </w:pPr>
          </w:p>
        </w:tc>
        <w:tc>
          <w:tcPr>
            <w:tcW w:w="50" w:type="pct"/>
            <w:shd w:val="clear" w:color="auto" w:fill="auto"/>
          </w:tcPr>
          <w:p w14:paraId="36CA3156" w14:textId="77777777" w:rsidR="00787570" w:rsidRDefault="00787570">
            <w:pPr>
              <w:rPr>
                <w:rFonts w:ascii="宋体"/>
              </w:rPr>
            </w:pPr>
          </w:p>
        </w:tc>
        <w:tc>
          <w:tcPr>
            <w:tcW w:w="539" w:type="pct"/>
            <w:shd w:val="clear" w:color="auto" w:fill="auto"/>
          </w:tcPr>
          <w:p w14:paraId="36CA3157" w14:textId="77777777" w:rsidR="00787570" w:rsidRDefault="00787570">
            <w:pPr>
              <w:rPr>
                <w:rFonts w:ascii="宋体"/>
              </w:rPr>
            </w:pPr>
          </w:p>
        </w:tc>
        <w:tc>
          <w:tcPr>
            <w:tcW w:w="5" w:type="pct"/>
            <w:shd w:val="clear" w:color="auto" w:fill="auto"/>
          </w:tcPr>
          <w:p w14:paraId="36CA3158" w14:textId="77777777" w:rsidR="00787570" w:rsidRDefault="00787570">
            <w:pPr>
              <w:rPr>
                <w:rFonts w:ascii="宋体"/>
              </w:rPr>
            </w:pPr>
          </w:p>
        </w:tc>
        <w:tc>
          <w:tcPr>
            <w:tcW w:w="5" w:type="pct"/>
            <w:shd w:val="clear" w:color="auto" w:fill="auto"/>
          </w:tcPr>
          <w:p w14:paraId="36CA3159" w14:textId="77777777" w:rsidR="00787570" w:rsidRDefault="00787570">
            <w:pPr>
              <w:rPr>
                <w:rFonts w:ascii="宋体"/>
              </w:rPr>
            </w:pPr>
          </w:p>
        </w:tc>
        <w:tc>
          <w:tcPr>
            <w:tcW w:w="24" w:type="pct"/>
            <w:shd w:val="clear" w:color="auto" w:fill="auto"/>
          </w:tcPr>
          <w:p w14:paraId="36CA315A" w14:textId="77777777" w:rsidR="00787570" w:rsidRDefault="00787570">
            <w:pPr>
              <w:rPr>
                <w:rFonts w:ascii="宋体"/>
              </w:rPr>
            </w:pPr>
          </w:p>
        </w:tc>
        <w:tc>
          <w:tcPr>
            <w:tcW w:w="5" w:type="pct"/>
            <w:shd w:val="clear" w:color="auto" w:fill="auto"/>
          </w:tcPr>
          <w:p w14:paraId="36CA315B" w14:textId="77777777" w:rsidR="00787570" w:rsidRDefault="00787570">
            <w:pPr>
              <w:rPr>
                <w:rFonts w:ascii="宋体"/>
              </w:rPr>
            </w:pPr>
          </w:p>
        </w:tc>
        <w:tc>
          <w:tcPr>
            <w:tcW w:w="50" w:type="pct"/>
            <w:shd w:val="clear" w:color="auto" w:fill="auto"/>
          </w:tcPr>
          <w:p w14:paraId="36CA315C" w14:textId="77777777" w:rsidR="00787570" w:rsidRDefault="00787570">
            <w:pPr>
              <w:rPr>
                <w:rFonts w:ascii="宋体"/>
              </w:rPr>
            </w:pPr>
          </w:p>
        </w:tc>
        <w:tc>
          <w:tcPr>
            <w:tcW w:w="539" w:type="pct"/>
            <w:shd w:val="clear" w:color="auto" w:fill="auto"/>
          </w:tcPr>
          <w:p w14:paraId="36CA315D" w14:textId="77777777" w:rsidR="00787570" w:rsidRDefault="00787570">
            <w:pPr>
              <w:rPr>
                <w:rFonts w:ascii="宋体"/>
              </w:rPr>
            </w:pPr>
          </w:p>
        </w:tc>
        <w:tc>
          <w:tcPr>
            <w:tcW w:w="5" w:type="pct"/>
            <w:shd w:val="clear" w:color="auto" w:fill="auto"/>
          </w:tcPr>
          <w:p w14:paraId="36CA315E" w14:textId="77777777" w:rsidR="00787570" w:rsidRDefault="00787570">
            <w:pPr>
              <w:rPr>
                <w:rFonts w:ascii="宋体"/>
              </w:rPr>
            </w:pPr>
          </w:p>
        </w:tc>
        <w:tc>
          <w:tcPr>
            <w:tcW w:w="5" w:type="pct"/>
            <w:shd w:val="clear" w:color="auto" w:fill="auto"/>
          </w:tcPr>
          <w:p w14:paraId="36CA315F" w14:textId="77777777" w:rsidR="00787570" w:rsidRDefault="00787570">
            <w:pPr>
              <w:rPr>
                <w:rFonts w:ascii="宋体"/>
              </w:rPr>
            </w:pPr>
          </w:p>
        </w:tc>
        <w:tc>
          <w:tcPr>
            <w:tcW w:w="17" w:type="pct"/>
            <w:shd w:val="clear" w:color="auto" w:fill="auto"/>
          </w:tcPr>
          <w:p w14:paraId="36CA3160" w14:textId="77777777" w:rsidR="00787570" w:rsidRDefault="00787570">
            <w:pPr>
              <w:rPr>
                <w:rFonts w:ascii="宋体"/>
              </w:rPr>
            </w:pPr>
          </w:p>
        </w:tc>
        <w:tc>
          <w:tcPr>
            <w:tcW w:w="5" w:type="pct"/>
            <w:shd w:val="clear" w:color="auto" w:fill="auto"/>
          </w:tcPr>
          <w:p w14:paraId="36CA3161" w14:textId="77777777" w:rsidR="00787570" w:rsidRDefault="00787570">
            <w:pPr>
              <w:rPr>
                <w:rFonts w:ascii="宋体"/>
              </w:rPr>
            </w:pPr>
          </w:p>
        </w:tc>
        <w:tc>
          <w:tcPr>
            <w:tcW w:w="50" w:type="pct"/>
            <w:shd w:val="clear" w:color="auto" w:fill="auto"/>
          </w:tcPr>
          <w:p w14:paraId="36CA3162" w14:textId="77777777" w:rsidR="00787570" w:rsidRDefault="00787570">
            <w:pPr>
              <w:rPr>
                <w:rFonts w:ascii="宋体"/>
              </w:rPr>
            </w:pPr>
          </w:p>
        </w:tc>
        <w:tc>
          <w:tcPr>
            <w:tcW w:w="539" w:type="pct"/>
            <w:shd w:val="clear" w:color="auto" w:fill="auto"/>
          </w:tcPr>
          <w:p w14:paraId="36CA3163" w14:textId="77777777" w:rsidR="00787570" w:rsidRDefault="00787570">
            <w:pPr>
              <w:rPr>
                <w:rFonts w:ascii="宋体"/>
              </w:rPr>
            </w:pPr>
          </w:p>
        </w:tc>
        <w:tc>
          <w:tcPr>
            <w:tcW w:w="5" w:type="pct"/>
            <w:shd w:val="clear" w:color="auto" w:fill="auto"/>
          </w:tcPr>
          <w:p w14:paraId="36CA3164" w14:textId="77777777" w:rsidR="00787570" w:rsidRDefault="00787570">
            <w:pPr>
              <w:rPr>
                <w:rFonts w:ascii="宋体"/>
              </w:rPr>
            </w:pPr>
          </w:p>
        </w:tc>
        <w:tc>
          <w:tcPr>
            <w:tcW w:w="5" w:type="pct"/>
            <w:shd w:val="clear" w:color="auto" w:fill="auto"/>
          </w:tcPr>
          <w:p w14:paraId="36CA3165" w14:textId="77777777" w:rsidR="00787570" w:rsidRDefault="00787570">
            <w:pPr>
              <w:rPr>
                <w:rFonts w:ascii="宋体"/>
              </w:rPr>
            </w:pPr>
          </w:p>
        </w:tc>
        <w:tc>
          <w:tcPr>
            <w:tcW w:w="17" w:type="pct"/>
            <w:shd w:val="clear" w:color="auto" w:fill="auto"/>
          </w:tcPr>
          <w:p w14:paraId="36CA3166" w14:textId="77777777" w:rsidR="00787570" w:rsidRDefault="00787570">
            <w:pPr>
              <w:rPr>
                <w:rFonts w:ascii="宋体"/>
              </w:rPr>
            </w:pPr>
          </w:p>
        </w:tc>
        <w:tc>
          <w:tcPr>
            <w:tcW w:w="5" w:type="pct"/>
            <w:shd w:val="clear" w:color="auto" w:fill="auto"/>
          </w:tcPr>
          <w:p w14:paraId="36CA3167" w14:textId="77777777" w:rsidR="00787570" w:rsidRDefault="00787570">
            <w:pPr>
              <w:rPr>
                <w:rFonts w:ascii="宋体"/>
              </w:rPr>
            </w:pPr>
          </w:p>
        </w:tc>
        <w:tc>
          <w:tcPr>
            <w:tcW w:w="50" w:type="pct"/>
            <w:shd w:val="clear" w:color="auto" w:fill="auto"/>
          </w:tcPr>
          <w:p w14:paraId="36CA3168" w14:textId="77777777" w:rsidR="00787570" w:rsidRDefault="00787570">
            <w:pPr>
              <w:rPr>
                <w:rFonts w:ascii="宋体"/>
              </w:rPr>
            </w:pPr>
          </w:p>
        </w:tc>
        <w:tc>
          <w:tcPr>
            <w:tcW w:w="539" w:type="pct"/>
            <w:shd w:val="clear" w:color="auto" w:fill="auto"/>
          </w:tcPr>
          <w:p w14:paraId="36CA3169" w14:textId="77777777" w:rsidR="00787570" w:rsidRDefault="00787570">
            <w:pPr>
              <w:rPr>
                <w:rFonts w:ascii="宋体"/>
              </w:rPr>
            </w:pPr>
          </w:p>
        </w:tc>
        <w:tc>
          <w:tcPr>
            <w:tcW w:w="5" w:type="pct"/>
            <w:shd w:val="clear" w:color="auto" w:fill="auto"/>
          </w:tcPr>
          <w:p w14:paraId="36CA316A" w14:textId="77777777" w:rsidR="00787570" w:rsidRDefault="00787570">
            <w:pPr>
              <w:rPr>
                <w:rFonts w:ascii="宋体"/>
              </w:rPr>
            </w:pPr>
          </w:p>
        </w:tc>
      </w:tr>
      <w:tr w:rsidR="00787570" w14:paraId="36CA3175" w14:textId="77777777">
        <w:tc>
          <w:tcPr>
            <w:tcW w:w="0" w:type="auto"/>
            <w:gridSpan w:val="3"/>
            <w:shd w:val="clear" w:color="auto" w:fill="auto"/>
            <w:tcMar>
              <w:top w:w="40" w:type="dxa"/>
              <w:left w:w="20" w:type="dxa"/>
              <w:bottom w:w="40" w:type="dxa"/>
              <w:right w:w="20" w:type="dxa"/>
            </w:tcMar>
            <w:vAlign w:val="bottom"/>
          </w:tcPr>
          <w:p w14:paraId="36CA316C" w14:textId="77777777" w:rsidR="00787570" w:rsidRDefault="000D56E2">
            <w:pPr>
              <w:ind w:hanging="180"/>
              <w:textAlignment w:val="bottom"/>
            </w:pPr>
            <w:r>
              <w:rPr>
                <w:rFonts w:ascii="Arial" w:eastAsia="宋体" w:hAnsi="Arial" w:cs="Arial"/>
                <w:color w:val="333333"/>
                <w:sz w:val="16"/>
                <w:szCs w:val="16"/>
              </w:rPr>
              <w:t> </w:t>
            </w:r>
          </w:p>
        </w:tc>
        <w:tc>
          <w:tcPr>
            <w:tcW w:w="0" w:type="auto"/>
            <w:gridSpan w:val="3"/>
            <w:shd w:val="clear" w:color="auto" w:fill="auto"/>
            <w:tcMar>
              <w:left w:w="20" w:type="dxa"/>
              <w:right w:w="20" w:type="dxa"/>
            </w:tcMar>
            <w:vAlign w:val="bottom"/>
          </w:tcPr>
          <w:p w14:paraId="36CA316D" w14:textId="77777777" w:rsidR="00787570" w:rsidRDefault="00787570">
            <w:pPr>
              <w:rPr>
                <w:rFonts w:ascii="宋体"/>
              </w:rPr>
            </w:pPr>
          </w:p>
        </w:tc>
        <w:tc>
          <w:tcPr>
            <w:tcW w:w="0" w:type="auto"/>
            <w:gridSpan w:val="9"/>
            <w:shd w:val="clear" w:color="auto" w:fill="auto"/>
            <w:tcMar>
              <w:top w:w="40" w:type="dxa"/>
              <w:left w:w="20" w:type="dxa"/>
              <w:bottom w:w="40" w:type="dxa"/>
              <w:right w:w="20" w:type="dxa"/>
            </w:tcMar>
            <w:vAlign w:val="bottom"/>
          </w:tcPr>
          <w:p w14:paraId="36CA316E" w14:textId="77777777" w:rsidR="00787570" w:rsidRDefault="000D56E2">
            <w:pPr>
              <w:jc w:val="center"/>
              <w:textAlignment w:val="bottom"/>
            </w:pPr>
            <w:r>
              <w:rPr>
                <w:rFonts w:ascii="Arial" w:eastAsia="宋体" w:hAnsi="Arial" w:cs="Arial"/>
                <w:b/>
                <w:bCs/>
                <w:color w:val="333333"/>
                <w:sz w:val="18"/>
                <w:szCs w:val="18"/>
              </w:rPr>
              <w:t>Three Months Ended</w:t>
            </w:r>
          </w:p>
        </w:tc>
        <w:tc>
          <w:tcPr>
            <w:tcW w:w="0" w:type="auto"/>
            <w:gridSpan w:val="3"/>
            <w:shd w:val="clear" w:color="auto" w:fill="auto"/>
          </w:tcPr>
          <w:p w14:paraId="36CA316F" w14:textId="77777777" w:rsidR="00787570" w:rsidRDefault="00787570">
            <w:pPr>
              <w:rPr>
                <w:rFonts w:ascii="宋体"/>
                <w:vanish/>
              </w:rPr>
            </w:pPr>
          </w:p>
        </w:tc>
        <w:tc>
          <w:tcPr>
            <w:tcW w:w="0" w:type="auto"/>
            <w:gridSpan w:val="3"/>
            <w:shd w:val="clear" w:color="auto" w:fill="auto"/>
          </w:tcPr>
          <w:p w14:paraId="36CA3170" w14:textId="77777777" w:rsidR="00787570" w:rsidRDefault="00787570">
            <w:pPr>
              <w:rPr>
                <w:rFonts w:ascii="宋体"/>
                <w:vanish/>
              </w:rPr>
            </w:pPr>
          </w:p>
        </w:tc>
        <w:tc>
          <w:tcPr>
            <w:tcW w:w="0" w:type="auto"/>
            <w:gridSpan w:val="3"/>
            <w:shd w:val="clear" w:color="auto" w:fill="auto"/>
            <w:tcMar>
              <w:left w:w="20" w:type="dxa"/>
              <w:right w:w="20" w:type="dxa"/>
            </w:tcMar>
            <w:vAlign w:val="bottom"/>
          </w:tcPr>
          <w:p w14:paraId="36CA3171" w14:textId="77777777" w:rsidR="00787570" w:rsidRDefault="00787570">
            <w:pPr>
              <w:rPr>
                <w:rFonts w:ascii="宋体"/>
              </w:rPr>
            </w:pPr>
          </w:p>
        </w:tc>
        <w:tc>
          <w:tcPr>
            <w:tcW w:w="0" w:type="auto"/>
            <w:gridSpan w:val="9"/>
            <w:shd w:val="clear" w:color="auto" w:fill="auto"/>
            <w:tcMar>
              <w:top w:w="40" w:type="dxa"/>
              <w:left w:w="20" w:type="dxa"/>
              <w:bottom w:w="40" w:type="dxa"/>
              <w:right w:w="20" w:type="dxa"/>
            </w:tcMar>
            <w:vAlign w:val="bottom"/>
          </w:tcPr>
          <w:p w14:paraId="36CA3172" w14:textId="77777777" w:rsidR="00787570" w:rsidRDefault="000D56E2">
            <w:pPr>
              <w:jc w:val="center"/>
              <w:textAlignment w:val="bottom"/>
            </w:pPr>
            <w:r>
              <w:rPr>
                <w:rFonts w:ascii="Arial" w:eastAsia="宋体" w:hAnsi="Arial" w:cs="Arial"/>
                <w:b/>
                <w:bCs/>
                <w:color w:val="333333"/>
                <w:sz w:val="18"/>
                <w:szCs w:val="18"/>
              </w:rPr>
              <w:t>Nine Months Ended</w:t>
            </w:r>
          </w:p>
        </w:tc>
        <w:tc>
          <w:tcPr>
            <w:tcW w:w="0" w:type="auto"/>
            <w:gridSpan w:val="3"/>
            <w:shd w:val="clear" w:color="auto" w:fill="auto"/>
          </w:tcPr>
          <w:p w14:paraId="36CA3173" w14:textId="77777777" w:rsidR="00787570" w:rsidRDefault="00787570">
            <w:pPr>
              <w:rPr>
                <w:rFonts w:ascii="宋体"/>
                <w:vanish/>
              </w:rPr>
            </w:pPr>
          </w:p>
        </w:tc>
        <w:tc>
          <w:tcPr>
            <w:tcW w:w="0" w:type="auto"/>
            <w:gridSpan w:val="3"/>
            <w:shd w:val="clear" w:color="auto" w:fill="auto"/>
          </w:tcPr>
          <w:p w14:paraId="36CA3174" w14:textId="77777777" w:rsidR="00787570" w:rsidRDefault="00787570">
            <w:pPr>
              <w:rPr>
                <w:rFonts w:ascii="宋体"/>
                <w:vanish/>
              </w:rPr>
            </w:pPr>
          </w:p>
        </w:tc>
      </w:tr>
      <w:tr w:rsidR="00787570" w14:paraId="36CA318B" w14:textId="77777777">
        <w:tc>
          <w:tcPr>
            <w:tcW w:w="0" w:type="auto"/>
            <w:gridSpan w:val="3"/>
            <w:shd w:val="clear" w:color="auto" w:fill="auto"/>
            <w:tcMar>
              <w:top w:w="40" w:type="dxa"/>
              <w:left w:w="20" w:type="dxa"/>
              <w:bottom w:w="40" w:type="dxa"/>
              <w:right w:w="20" w:type="dxa"/>
            </w:tcMar>
            <w:vAlign w:val="bottom"/>
          </w:tcPr>
          <w:p w14:paraId="36CA3176" w14:textId="77777777" w:rsidR="00787570" w:rsidRDefault="000D56E2">
            <w:pPr>
              <w:textAlignment w:val="bottom"/>
            </w:pPr>
            <w:r>
              <w:rPr>
                <w:rFonts w:ascii="Arial" w:eastAsia="宋体" w:hAnsi="Arial" w:cs="Arial"/>
                <w:b/>
                <w:bCs/>
                <w:color w:val="333333"/>
                <w:sz w:val="18"/>
                <w:szCs w:val="18"/>
              </w:rPr>
              <w:t>(In Millions)</w:t>
            </w:r>
          </w:p>
        </w:tc>
        <w:tc>
          <w:tcPr>
            <w:tcW w:w="0" w:type="auto"/>
            <w:gridSpan w:val="3"/>
            <w:shd w:val="clear" w:color="auto" w:fill="auto"/>
            <w:tcMar>
              <w:left w:w="20" w:type="dxa"/>
              <w:right w:w="20" w:type="dxa"/>
            </w:tcMar>
            <w:vAlign w:val="bottom"/>
          </w:tcPr>
          <w:p w14:paraId="36CA3177" w14:textId="77777777" w:rsidR="00787570" w:rsidRDefault="00787570">
            <w:pPr>
              <w:rPr>
                <w:rFonts w:ascii="宋体"/>
              </w:rPr>
            </w:pPr>
          </w:p>
        </w:tc>
        <w:tc>
          <w:tcPr>
            <w:tcW w:w="0" w:type="auto"/>
            <w:gridSpan w:val="3"/>
            <w:tcBorders>
              <w:top w:val="single" w:sz="8" w:space="0" w:color="0071C5"/>
            </w:tcBorders>
            <w:shd w:val="clear" w:color="auto" w:fill="auto"/>
            <w:tcMar>
              <w:top w:w="40" w:type="dxa"/>
              <w:left w:w="20" w:type="dxa"/>
              <w:bottom w:w="40" w:type="dxa"/>
              <w:right w:w="20" w:type="dxa"/>
            </w:tcMar>
            <w:vAlign w:val="bottom"/>
          </w:tcPr>
          <w:p w14:paraId="36CA3178" w14:textId="77777777" w:rsidR="00787570" w:rsidRDefault="000D56E2">
            <w:pPr>
              <w:jc w:val="center"/>
              <w:textAlignment w:val="bottom"/>
            </w:pPr>
            <w:r>
              <w:rPr>
                <w:rFonts w:ascii="Arial" w:eastAsia="宋体" w:hAnsi="Arial" w:cs="Arial"/>
                <w:b/>
                <w:bCs/>
                <w:color w:val="333333"/>
                <w:sz w:val="18"/>
                <w:szCs w:val="18"/>
              </w:rPr>
              <w:t>Sep 26, 2020</w:t>
            </w:r>
          </w:p>
        </w:tc>
        <w:tc>
          <w:tcPr>
            <w:tcW w:w="0" w:type="auto"/>
            <w:gridSpan w:val="3"/>
            <w:tcBorders>
              <w:top w:val="single" w:sz="8" w:space="0" w:color="0071C5"/>
            </w:tcBorders>
            <w:shd w:val="clear" w:color="auto" w:fill="auto"/>
            <w:tcMar>
              <w:left w:w="20" w:type="dxa"/>
              <w:right w:w="20" w:type="dxa"/>
            </w:tcMar>
            <w:vAlign w:val="bottom"/>
          </w:tcPr>
          <w:p w14:paraId="36CA3179" w14:textId="77777777" w:rsidR="00787570" w:rsidRDefault="00787570">
            <w:pPr>
              <w:rPr>
                <w:rFonts w:ascii="宋体"/>
              </w:rPr>
            </w:pPr>
          </w:p>
        </w:tc>
        <w:tc>
          <w:tcPr>
            <w:tcW w:w="0" w:type="auto"/>
            <w:gridSpan w:val="3"/>
            <w:tcBorders>
              <w:top w:val="single" w:sz="8" w:space="0" w:color="0071C5"/>
            </w:tcBorders>
            <w:shd w:val="clear" w:color="auto" w:fill="auto"/>
            <w:tcMar>
              <w:top w:w="40" w:type="dxa"/>
              <w:left w:w="20" w:type="dxa"/>
              <w:bottom w:w="40" w:type="dxa"/>
              <w:right w:w="20" w:type="dxa"/>
            </w:tcMar>
            <w:vAlign w:val="bottom"/>
          </w:tcPr>
          <w:p w14:paraId="36CA317A" w14:textId="77777777" w:rsidR="00787570" w:rsidRDefault="000D56E2">
            <w:pPr>
              <w:jc w:val="center"/>
              <w:textAlignment w:val="bottom"/>
            </w:pPr>
            <w:r>
              <w:rPr>
                <w:rFonts w:ascii="Arial" w:eastAsia="宋体" w:hAnsi="Arial" w:cs="Arial"/>
                <w:b/>
                <w:bCs/>
                <w:color w:val="333333"/>
                <w:sz w:val="18"/>
                <w:szCs w:val="18"/>
              </w:rPr>
              <w:t>Sep 28, 2019</w:t>
            </w:r>
          </w:p>
        </w:tc>
        <w:tc>
          <w:tcPr>
            <w:tcW w:w="0" w:type="auto"/>
            <w:gridSpan w:val="3"/>
            <w:shd w:val="clear" w:color="auto" w:fill="auto"/>
            <w:tcMar>
              <w:left w:w="20" w:type="dxa"/>
              <w:right w:w="20" w:type="dxa"/>
            </w:tcMar>
            <w:vAlign w:val="bottom"/>
          </w:tcPr>
          <w:p w14:paraId="36CA317B" w14:textId="77777777" w:rsidR="00787570" w:rsidRDefault="00787570">
            <w:pPr>
              <w:rPr>
                <w:rFonts w:ascii="宋体"/>
              </w:rPr>
            </w:pPr>
          </w:p>
        </w:tc>
        <w:tc>
          <w:tcPr>
            <w:tcW w:w="0" w:type="auto"/>
            <w:gridSpan w:val="3"/>
            <w:tcBorders>
              <w:top w:val="single" w:sz="8" w:space="0" w:color="0071C5"/>
            </w:tcBorders>
            <w:shd w:val="clear" w:color="auto" w:fill="auto"/>
            <w:tcMar>
              <w:top w:w="40" w:type="dxa"/>
              <w:left w:w="20" w:type="dxa"/>
              <w:bottom w:w="40" w:type="dxa"/>
              <w:right w:w="20" w:type="dxa"/>
            </w:tcMar>
            <w:vAlign w:val="bottom"/>
          </w:tcPr>
          <w:p w14:paraId="36CA317C" w14:textId="77777777" w:rsidR="00787570" w:rsidRDefault="000D56E2">
            <w:pPr>
              <w:jc w:val="center"/>
              <w:textAlignment w:val="bottom"/>
            </w:pPr>
            <w:r>
              <w:rPr>
                <w:rFonts w:ascii="Arial" w:eastAsia="宋体" w:hAnsi="Arial" w:cs="Arial"/>
                <w:b/>
                <w:bCs/>
                <w:color w:val="333333"/>
                <w:sz w:val="18"/>
                <w:szCs w:val="18"/>
              </w:rPr>
              <w:t>Sep 26, 2020</w:t>
            </w:r>
          </w:p>
        </w:tc>
        <w:tc>
          <w:tcPr>
            <w:tcW w:w="0" w:type="auto"/>
            <w:gridSpan w:val="3"/>
            <w:tcBorders>
              <w:top w:val="single" w:sz="8" w:space="0" w:color="0071C5"/>
            </w:tcBorders>
            <w:shd w:val="clear" w:color="auto" w:fill="auto"/>
            <w:tcMar>
              <w:left w:w="20" w:type="dxa"/>
              <w:right w:w="20" w:type="dxa"/>
            </w:tcMar>
            <w:vAlign w:val="bottom"/>
          </w:tcPr>
          <w:p w14:paraId="36CA317D" w14:textId="77777777" w:rsidR="00787570" w:rsidRDefault="00787570">
            <w:pPr>
              <w:rPr>
                <w:rFonts w:ascii="宋体"/>
              </w:rPr>
            </w:pPr>
          </w:p>
        </w:tc>
        <w:tc>
          <w:tcPr>
            <w:tcW w:w="0" w:type="auto"/>
            <w:gridSpan w:val="3"/>
            <w:tcBorders>
              <w:top w:val="single" w:sz="8" w:space="0" w:color="0071C5"/>
            </w:tcBorders>
            <w:shd w:val="clear" w:color="auto" w:fill="auto"/>
            <w:tcMar>
              <w:top w:w="40" w:type="dxa"/>
              <w:left w:w="20" w:type="dxa"/>
              <w:bottom w:w="40" w:type="dxa"/>
              <w:right w:w="20" w:type="dxa"/>
            </w:tcMar>
            <w:vAlign w:val="bottom"/>
          </w:tcPr>
          <w:p w14:paraId="36CA317E" w14:textId="77777777" w:rsidR="00787570" w:rsidRDefault="000D56E2">
            <w:pPr>
              <w:jc w:val="center"/>
              <w:textAlignment w:val="bottom"/>
            </w:pPr>
            <w:r>
              <w:rPr>
                <w:rFonts w:ascii="Arial" w:eastAsia="宋体" w:hAnsi="Arial" w:cs="Arial"/>
                <w:b/>
                <w:bCs/>
                <w:color w:val="333333"/>
                <w:sz w:val="18"/>
                <w:szCs w:val="18"/>
              </w:rPr>
              <w:t>Sep 28, 2019</w:t>
            </w:r>
          </w:p>
        </w:tc>
        <w:tc>
          <w:tcPr>
            <w:tcW w:w="0" w:type="auto"/>
            <w:shd w:val="clear" w:color="auto" w:fill="auto"/>
          </w:tcPr>
          <w:p w14:paraId="36CA317F" w14:textId="77777777" w:rsidR="00787570" w:rsidRDefault="00787570">
            <w:pPr>
              <w:rPr>
                <w:rFonts w:ascii="宋体"/>
              </w:rPr>
            </w:pPr>
          </w:p>
        </w:tc>
        <w:tc>
          <w:tcPr>
            <w:tcW w:w="0" w:type="auto"/>
            <w:shd w:val="clear" w:color="auto" w:fill="auto"/>
          </w:tcPr>
          <w:p w14:paraId="36CA3180" w14:textId="77777777" w:rsidR="00787570" w:rsidRDefault="00787570">
            <w:pPr>
              <w:rPr>
                <w:rFonts w:ascii="宋体"/>
              </w:rPr>
            </w:pPr>
          </w:p>
        </w:tc>
        <w:tc>
          <w:tcPr>
            <w:tcW w:w="0" w:type="auto"/>
            <w:shd w:val="clear" w:color="auto" w:fill="auto"/>
          </w:tcPr>
          <w:p w14:paraId="36CA3181" w14:textId="77777777" w:rsidR="00787570" w:rsidRDefault="00787570">
            <w:pPr>
              <w:rPr>
                <w:rFonts w:ascii="宋体"/>
              </w:rPr>
            </w:pPr>
          </w:p>
        </w:tc>
        <w:tc>
          <w:tcPr>
            <w:tcW w:w="0" w:type="auto"/>
            <w:shd w:val="clear" w:color="auto" w:fill="auto"/>
          </w:tcPr>
          <w:p w14:paraId="36CA3182" w14:textId="77777777" w:rsidR="00787570" w:rsidRDefault="00787570">
            <w:pPr>
              <w:rPr>
                <w:rFonts w:ascii="宋体"/>
              </w:rPr>
            </w:pPr>
          </w:p>
        </w:tc>
        <w:tc>
          <w:tcPr>
            <w:tcW w:w="0" w:type="auto"/>
            <w:shd w:val="clear" w:color="auto" w:fill="auto"/>
          </w:tcPr>
          <w:p w14:paraId="36CA3183" w14:textId="77777777" w:rsidR="00787570" w:rsidRDefault="00787570">
            <w:pPr>
              <w:rPr>
                <w:rFonts w:ascii="宋体"/>
              </w:rPr>
            </w:pPr>
          </w:p>
        </w:tc>
        <w:tc>
          <w:tcPr>
            <w:tcW w:w="0" w:type="auto"/>
            <w:shd w:val="clear" w:color="auto" w:fill="auto"/>
          </w:tcPr>
          <w:p w14:paraId="36CA3184" w14:textId="77777777" w:rsidR="00787570" w:rsidRDefault="00787570">
            <w:pPr>
              <w:rPr>
                <w:rFonts w:ascii="宋体"/>
              </w:rPr>
            </w:pPr>
          </w:p>
        </w:tc>
        <w:tc>
          <w:tcPr>
            <w:tcW w:w="0" w:type="auto"/>
            <w:shd w:val="clear" w:color="auto" w:fill="auto"/>
          </w:tcPr>
          <w:p w14:paraId="36CA3185" w14:textId="77777777" w:rsidR="00787570" w:rsidRDefault="00787570">
            <w:pPr>
              <w:rPr>
                <w:rFonts w:ascii="宋体"/>
              </w:rPr>
            </w:pPr>
          </w:p>
        </w:tc>
        <w:tc>
          <w:tcPr>
            <w:tcW w:w="0" w:type="auto"/>
            <w:shd w:val="clear" w:color="auto" w:fill="auto"/>
          </w:tcPr>
          <w:p w14:paraId="36CA3186" w14:textId="77777777" w:rsidR="00787570" w:rsidRDefault="00787570">
            <w:pPr>
              <w:rPr>
                <w:rFonts w:ascii="宋体"/>
              </w:rPr>
            </w:pPr>
          </w:p>
        </w:tc>
        <w:tc>
          <w:tcPr>
            <w:tcW w:w="0" w:type="auto"/>
            <w:shd w:val="clear" w:color="auto" w:fill="auto"/>
          </w:tcPr>
          <w:p w14:paraId="36CA3187" w14:textId="77777777" w:rsidR="00787570" w:rsidRDefault="00787570">
            <w:pPr>
              <w:rPr>
                <w:rFonts w:ascii="宋体"/>
              </w:rPr>
            </w:pPr>
          </w:p>
        </w:tc>
        <w:tc>
          <w:tcPr>
            <w:tcW w:w="0" w:type="auto"/>
            <w:shd w:val="clear" w:color="auto" w:fill="auto"/>
          </w:tcPr>
          <w:p w14:paraId="36CA3188" w14:textId="77777777" w:rsidR="00787570" w:rsidRDefault="00787570">
            <w:pPr>
              <w:rPr>
                <w:rFonts w:ascii="宋体"/>
              </w:rPr>
            </w:pPr>
          </w:p>
        </w:tc>
        <w:tc>
          <w:tcPr>
            <w:tcW w:w="0" w:type="auto"/>
            <w:shd w:val="clear" w:color="auto" w:fill="auto"/>
          </w:tcPr>
          <w:p w14:paraId="36CA3189" w14:textId="77777777" w:rsidR="00787570" w:rsidRDefault="00787570">
            <w:pPr>
              <w:rPr>
                <w:rFonts w:ascii="宋体"/>
              </w:rPr>
            </w:pPr>
          </w:p>
        </w:tc>
        <w:tc>
          <w:tcPr>
            <w:tcW w:w="0" w:type="auto"/>
            <w:shd w:val="clear" w:color="auto" w:fill="auto"/>
          </w:tcPr>
          <w:p w14:paraId="36CA318A" w14:textId="77777777" w:rsidR="00787570" w:rsidRDefault="00787570">
            <w:pPr>
              <w:rPr>
                <w:rFonts w:ascii="宋体"/>
              </w:rPr>
            </w:pPr>
          </w:p>
        </w:tc>
      </w:tr>
      <w:tr w:rsidR="00787570" w14:paraId="36CA31AA" w14:textId="77777777">
        <w:tc>
          <w:tcPr>
            <w:tcW w:w="0" w:type="auto"/>
            <w:gridSpan w:val="3"/>
            <w:tcBorders>
              <w:top w:val="single" w:sz="8" w:space="0" w:color="0071C5"/>
            </w:tcBorders>
            <w:shd w:val="clear" w:color="auto" w:fill="auto"/>
            <w:tcMar>
              <w:top w:w="40" w:type="dxa"/>
              <w:left w:w="20" w:type="dxa"/>
              <w:bottom w:w="40" w:type="dxa"/>
              <w:right w:w="20" w:type="dxa"/>
            </w:tcMar>
          </w:tcPr>
          <w:p w14:paraId="36CA318C" w14:textId="77777777" w:rsidR="00787570" w:rsidRDefault="000D56E2">
            <w:pPr>
              <w:textAlignment w:val="top"/>
            </w:pPr>
            <w:r>
              <w:rPr>
                <w:rFonts w:ascii="Arial" w:eastAsia="宋体" w:hAnsi="Arial" w:cs="Arial"/>
                <w:color w:val="333333"/>
                <w:sz w:val="18"/>
                <w:szCs w:val="18"/>
              </w:rPr>
              <w:t>Ongo</w:t>
            </w:r>
            <w:r>
              <w:rPr>
                <w:rFonts w:ascii="Arial" w:eastAsia="宋体" w:hAnsi="Arial" w:cs="Arial"/>
                <w:color w:val="333333"/>
                <w:sz w:val="18"/>
                <w:szCs w:val="18"/>
              </w:rPr>
              <w:t>ing mark-to-market adjustments on marketable equity</w:t>
            </w:r>
          </w:p>
          <w:p w14:paraId="36CA318D" w14:textId="77777777" w:rsidR="00787570" w:rsidRDefault="000D56E2">
            <w:pPr>
              <w:textAlignment w:val="top"/>
            </w:pPr>
            <w:r>
              <w:rPr>
                <w:rFonts w:ascii="Arial" w:eastAsia="宋体" w:hAnsi="Arial" w:cs="Arial"/>
                <w:color w:val="333333"/>
                <w:sz w:val="18"/>
                <w:szCs w:val="18"/>
              </w:rPr>
              <w:t>     securities</w:t>
            </w:r>
          </w:p>
        </w:tc>
        <w:tc>
          <w:tcPr>
            <w:tcW w:w="0" w:type="auto"/>
            <w:gridSpan w:val="3"/>
            <w:shd w:val="clear" w:color="auto" w:fill="auto"/>
            <w:tcMar>
              <w:left w:w="20" w:type="dxa"/>
              <w:right w:w="20" w:type="dxa"/>
            </w:tcMar>
            <w:vAlign w:val="bottom"/>
          </w:tcPr>
          <w:p w14:paraId="36CA318E" w14:textId="77777777" w:rsidR="00787570" w:rsidRDefault="00787570">
            <w:pPr>
              <w:rPr>
                <w:rFonts w:ascii="宋体"/>
              </w:rPr>
            </w:pPr>
          </w:p>
        </w:tc>
        <w:tc>
          <w:tcPr>
            <w:tcW w:w="0" w:type="auto"/>
            <w:tcBorders>
              <w:top w:val="single" w:sz="8" w:space="0" w:color="0071C5"/>
            </w:tcBorders>
            <w:shd w:val="clear" w:color="auto" w:fill="auto"/>
            <w:tcMar>
              <w:top w:w="40" w:type="dxa"/>
              <w:left w:w="20" w:type="dxa"/>
              <w:bottom w:w="40" w:type="dxa"/>
            </w:tcMar>
            <w:vAlign w:val="bottom"/>
          </w:tcPr>
          <w:p w14:paraId="36CA318F" w14:textId="77777777" w:rsidR="00787570" w:rsidRDefault="000D56E2">
            <w:pPr>
              <w:textAlignment w:val="bottom"/>
            </w:pPr>
            <w:r>
              <w:rPr>
                <w:rFonts w:ascii="Arial" w:eastAsia="宋体" w:hAnsi="Arial" w:cs="Arial"/>
                <w:color w:val="026DCE"/>
                <w:sz w:val="18"/>
                <w:szCs w:val="18"/>
              </w:rPr>
              <w:t>$</w:t>
            </w:r>
          </w:p>
        </w:tc>
        <w:tc>
          <w:tcPr>
            <w:tcW w:w="0" w:type="auto"/>
            <w:tcBorders>
              <w:top w:val="single" w:sz="8" w:space="0" w:color="0071C5"/>
            </w:tcBorders>
            <w:shd w:val="clear" w:color="auto" w:fill="auto"/>
            <w:tcMar>
              <w:top w:w="40" w:type="dxa"/>
              <w:bottom w:w="40" w:type="dxa"/>
              <w:right w:w="0" w:type="dxa"/>
            </w:tcMar>
            <w:vAlign w:val="bottom"/>
          </w:tcPr>
          <w:p w14:paraId="36CA3190" w14:textId="77777777" w:rsidR="00787570" w:rsidRDefault="000D56E2">
            <w:pPr>
              <w:jc w:val="right"/>
              <w:textAlignment w:val="bottom"/>
            </w:pPr>
            <w:r>
              <w:rPr>
                <w:rFonts w:ascii="Arial" w:eastAsia="宋体" w:hAnsi="Arial" w:cs="Arial"/>
                <w:color w:val="026DCE"/>
                <w:sz w:val="18"/>
                <w:szCs w:val="18"/>
              </w:rPr>
              <w:t>(146)</w:t>
            </w:r>
          </w:p>
        </w:tc>
        <w:tc>
          <w:tcPr>
            <w:tcW w:w="0" w:type="auto"/>
            <w:tcBorders>
              <w:top w:val="single" w:sz="8" w:space="0" w:color="0071C5"/>
            </w:tcBorders>
            <w:shd w:val="clear" w:color="auto" w:fill="auto"/>
            <w:tcMar>
              <w:top w:w="40" w:type="dxa"/>
              <w:bottom w:w="40" w:type="dxa"/>
              <w:right w:w="20" w:type="dxa"/>
            </w:tcMar>
            <w:vAlign w:val="bottom"/>
          </w:tcPr>
          <w:p w14:paraId="36CA3191"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3192" w14:textId="77777777" w:rsidR="00787570" w:rsidRDefault="00787570">
            <w:pPr>
              <w:rPr>
                <w:rFonts w:ascii="宋体"/>
              </w:rPr>
            </w:pPr>
          </w:p>
        </w:tc>
        <w:tc>
          <w:tcPr>
            <w:tcW w:w="0" w:type="auto"/>
            <w:tcBorders>
              <w:top w:val="single" w:sz="8" w:space="0" w:color="0071C5"/>
            </w:tcBorders>
            <w:shd w:val="clear" w:color="auto" w:fill="auto"/>
            <w:tcMar>
              <w:top w:w="40" w:type="dxa"/>
              <w:left w:w="20" w:type="dxa"/>
              <w:bottom w:w="40" w:type="dxa"/>
            </w:tcMar>
            <w:vAlign w:val="bottom"/>
          </w:tcPr>
          <w:p w14:paraId="36CA3193" w14:textId="77777777" w:rsidR="00787570" w:rsidRDefault="000D56E2">
            <w:pPr>
              <w:textAlignment w:val="bottom"/>
            </w:pPr>
            <w:r>
              <w:rPr>
                <w:rFonts w:ascii="Arial" w:eastAsia="宋体" w:hAnsi="Arial" w:cs="Arial"/>
                <w:color w:val="333333"/>
                <w:sz w:val="18"/>
                <w:szCs w:val="18"/>
              </w:rPr>
              <w:t>$</w:t>
            </w:r>
          </w:p>
        </w:tc>
        <w:tc>
          <w:tcPr>
            <w:tcW w:w="0" w:type="auto"/>
            <w:tcBorders>
              <w:top w:val="single" w:sz="8" w:space="0" w:color="0071C5"/>
            </w:tcBorders>
            <w:shd w:val="clear" w:color="auto" w:fill="auto"/>
            <w:tcMar>
              <w:top w:w="40" w:type="dxa"/>
              <w:bottom w:w="40" w:type="dxa"/>
              <w:right w:w="0" w:type="dxa"/>
            </w:tcMar>
            <w:vAlign w:val="bottom"/>
          </w:tcPr>
          <w:p w14:paraId="36CA3194" w14:textId="77777777" w:rsidR="00787570" w:rsidRDefault="000D56E2">
            <w:pPr>
              <w:jc w:val="right"/>
              <w:textAlignment w:val="bottom"/>
            </w:pPr>
            <w:r>
              <w:rPr>
                <w:rFonts w:ascii="Arial" w:eastAsia="宋体" w:hAnsi="Arial" w:cs="Arial"/>
                <w:color w:val="333333"/>
                <w:sz w:val="18"/>
                <w:szCs w:val="18"/>
              </w:rPr>
              <w:t>114 </w:t>
            </w:r>
          </w:p>
        </w:tc>
        <w:tc>
          <w:tcPr>
            <w:tcW w:w="0" w:type="auto"/>
            <w:tcBorders>
              <w:top w:val="single" w:sz="8" w:space="0" w:color="0071C5"/>
            </w:tcBorders>
            <w:shd w:val="clear" w:color="auto" w:fill="auto"/>
            <w:tcMar>
              <w:top w:w="40" w:type="dxa"/>
              <w:bottom w:w="40" w:type="dxa"/>
              <w:right w:w="20" w:type="dxa"/>
            </w:tcMar>
            <w:vAlign w:val="bottom"/>
          </w:tcPr>
          <w:p w14:paraId="36CA3195"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3196" w14:textId="77777777" w:rsidR="00787570" w:rsidRDefault="00787570">
            <w:pPr>
              <w:jc w:val="right"/>
              <w:rPr>
                <w:rFonts w:ascii="宋体"/>
              </w:rPr>
            </w:pPr>
          </w:p>
        </w:tc>
        <w:tc>
          <w:tcPr>
            <w:tcW w:w="0" w:type="auto"/>
            <w:tcBorders>
              <w:top w:val="single" w:sz="8" w:space="0" w:color="0071C5"/>
            </w:tcBorders>
            <w:shd w:val="clear" w:color="auto" w:fill="auto"/>
            <w:tcMar>
              <w:top w:w="40" w:type="dxa"/>
              <w:left w:w="20" w:type="dxa"/>
              <w:bottom w:w="40" w:type="dxa"/>
            </w:tcMar>
            <w:vAlign w:val="bottom"/>
          </w:tcPr>
          <w:p w14:paraId="36CA3197" w14:textId="77777777" w:rsidR="00787570" w:rsidRDefault="000D56E2">
            <w:pPr>
              <w:textAlignment w:val="bottom"/>
            </w:pPr>
            <w:r>
              <w:rPr>
                <w:rFonts w:ascii="Arial" w:eastAsia="宋体" w:hAnsi="Arial" w:cs="Arial"/>
                <w:color w:val="026DCE"/>
                <w:sz w:val="18"/>
                <w:szCs w:val="18"/>
              </w:rPr>
              <w:t>$</w:t>
            </w:r>
          </w:p>
        </w:tc>
        <w:tc>
          <w:tcPr>
            <w:tcW w:w="0" w:type="auto"/>
            <w:tcBorders>
              <w:top w:val="single" w:sz="8" w:space="0" w:color="0071C5"/>
            </w:tcBorders>
            <w:shd w:val="clear" w:color="auto" w:fill="auto"/>
            <w:tcMar>
              <w:top w:w="40" w:type="dxa"/>
              <w:bottom w:w="40" w:type="dxa"/>
              <w:right w:w="0" w:type="dxa"/>
            </w:tcMar>
            <w:vAlign w:val="bottom"/>
          </w:tcPr>
          <w:p w14:paraId="36CA3198" w14:textId="77777777" w:rsidR="00787570" w:rsidRDefault="000D56E2">
            <w:pPr>
              <w:jc w:val="right"/>
              <w:textAlignment w:val="bottom"/>
            </w:pPr>
            <w:r>
              <w:rPr>
                <w:rFonts w:ascii="Arial" w:eastAsia="宋体" w:hAnsi="Arial" w:cs="Arial"/>
                <w:color w:val="026DCE"/>
                <w:sz w:val="18"/>
                <w:szCs w:val="18"/>
              </w:rPr>
              <w:t>(84)</w:t>
            </w:r>
          </w:p>
        </w:tc>
        <w:tc>
          <w:tcPr>
            <w:tcW w:w="0" w:type="auto"/>
            <w:tcBorders>
              <w:top w:val="single" w:sz="8" w:space="0" w:color="0071C5"/>
            </w:tcBorders>
            <w:shd w:val="clear" w:color="auto" w:fill="auto"/>
            <w:tcMar>
              <w:top w:w="40" w:type="dxa"/>
              <w:bottom w:w="40" w:type="dxa"/>
              <w:right w:w="20" w:type="dxa"/>
            </w:tcMar>
            <w:vAlign w:val="bottom"/>
          </w:tcPr>
          <w:p w14:paraId="36CA3199"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319A" w14:textId="77777777" w:rsidR="00787570" w:rsidRDefault="00787570">
            <w:pPr>
              <w:rPr>
                <w:rFonts w:ascii="宋体"/>
              </w:rPr>
            </w:pPr>
          </w:p>
        </w:tc>
        <w:tc>
          <w:tcPr>
            <w:tcW w:w="0" w:type="auto"/>
            <w:tcBorders>
              <w:top w:val="single" w:sz="8" w:space="0" w:color="0071C5"/>
            </w:tcBorders>
            <w:shd w:val="clear" w:color="auto" w:fill="auto"/>
            <w:tcMar>
              <w:top w:w="40" w:type="dxa"/>
              <w:left w:w="20" w:type="dxa"/>
              <w:bottom w:w="40" w:type="dxa"/>
            </w:tcMar>
            <w:vAlign w:val="bottom"/>
          </w:tcPr>
          <w:p w14:paraId="36CA319B" w14:textId="77777777" w:rsidR="00787570" w:rsidRDefault="000D56E2">
            <w:pPr>
              <w:textAlignment w:val="bottom"/>
            </w:pPr>
            <w:r>
              <w:rPr>
                <w:rFonts w:ascii="Arial" w:eastAsia="宋体" w:hAnsi="Arial" w:cs="Arial"/>
                <w:color w:val="333333"/>
                <w:sz w:val="18"/>
                <w:szCs w:val="18"/>
              </w:rPr>
              <w:t>$</w:t>
            </w:r>
          </w:p>
        </w:tc>
        <w:tc>
          <w:tcPr>
            <w:tcW w:w="0" w:type="auto"/>
            <w:tcBorders>
              <w:top w:val="single" w:sz="8" w:space="0" w:color="0071C5"/>
            </w:tcBorders>
            <w:shd w:val="clear" w:color="auto" w:fill="auto"/>
            <w:tcMar>
              <w:top w:w="40" w:type="dxa"/>
              <w:bottom w:w="40" w:type="dxa"/>
              <w:right w:w="0" w:type="dxa"/>
            </w:tcMar>
            <w:vAlign w:val="bottom"/>
          </w:tcPr>
          <w:p w14:paraId="36CA319C" w14:textId="77777777" w:rsidR="00787570" w:rsidRDefault="000D56E2">
            <w:pPr>
              <w:jc w:val="right"/>
              <w:textAlignment w:val="bottom"/>
            </w:pPr>
            <w:r>
              <w:rPr>
                <w:rFonts w:ascii="Arial" w:eastAsia="宋体" w:hAnsi="Arial" w:cs="Arial"/>
                <w:color w:val="333333"/>
                <w:sz w:val="18"/>
                <w:szCs w:val="18"/>
              </w:rPr>
              <w:t>188 </w:t>
            </w:r>
          </w:p>
        </w:tc>
        <w:tc>
          <w:tcPr>
            <w:tcW w:w="0" w:type="auto"/>
            <w:tcBorders>
              <w:top w:val="single" w:sz="8" w:space="0" w:color="0071C5"/>
            </w:tcBorders>
            <w:shd w:val="clear" w:color="auto" w:fill="auto"/>
            <w:tcMar>
              <w:top w:w="40" w:type="dxa"/>
              <w:bottom w:w="40" w:type="dxa"/>
              <w:right w:w="20" w:type="dxa"/>
            </w:tcMar>
            <w:vAlign w:val="bottom"/>
          </w:tcPr>
          <w:p w14:paraId="36CA319D" w14:textId="77777777" w:rsidR="00787570" w:rsidRDefault="00787570">
            <w:pPr>
              <w:jc w:val="right"/>
              <w:rPr>
                <w:rFonts w:ascii="宋体"/>
              </w:rPr>
            </w:pPr>
          </w:p>
        </w:tc>
        <w:tc>
          <w:tcPr>
            <w:tcW w:w="0" w:type="auto"/>
            <w:shd w:val="clear" w:color="auto" w:fill="auto"/>
          </w:tcPr>
          <w:p w14:paraId="36CA319E" w14:textId="77777777" w:rsidR="00787570" w:rsidRDefault="00787570">
            <w:pPr>
              <w:rPr>
                <w:rFonts w:ascii="宋体"/>
              </w:rPr>
            </w:pPr>
          </w:p>
        </w:tc>
        <w:tc>
          <w:tcPr>
            <w:tcW w:w="0" w:type="auto"/>
            <w:shd w:val="clear" w:color="auto" w:fill="auto"/>
          </w:tcPr>
          <w:p w14:paraId="36CA319F" w14:textId="77777777" w:rsidR="00787570" w:rsidRDefault="00787570">
            <w:pPr>
              <w:rPr>
                <w:rFonts w:ascii="宋体"/>
              </w:rPr>
            </w:pPr>
          </w:p>
        </w:tc>
        <w:tc>
          <w:tcPr>
            <w:tcW w:w="0" w:type="auto"/>
            <w:shd w:val="clear" w:color="auto" w:fill="auto"/>
          </w:tcPr>
          <w:p w14:paraId="36CA31A0" w14:textId="77777777" w:rsidR="00787570" w:rsidRDefault="00787570">
            <w:pPr>
              <w:rPr>
                <w:rFonts w:ascii="宋体"/>
              </w:rPr>
            </w:pPr>
          </w:p>
        </w:tc>
        <w:tc>
          <w:tcPr>
            <w:tcW w:w="0" w:type="auto"/>
            <w:shd w:val="clear" w:color="auto" w:fill="auto"/>
          </w:tcPr>
          <w:p w14:paraId="36CA31A1" w14:textId="77777777" w:rsidR="00787570" w:rsidRDefault="00787570">
            <w:pPr>
              <w:rPr>
                <w:rFonts w:ascii="宋体"/>
              </w:rPr>
            </w:pPr>
          </w:p>
        </w:tc>
        <w:tc>
          <w:tcPr>
            <w:tcW w:w="0" w:type="auto"/>
            <w:shd w:val="clear" w:color="auto" w:fill="auto"/>
          </w:tcPr>
          <w:p w14:paraId="36CA31A2" w14:textId="77777777" w:rsidR="00787570" w:rsidRDefault="00787570">
            <w:pPr>
              <w:rPr>
                <w:rFonts w:ascii="宋体"/>
              </w:rPr>
            </w:pPr>
          </w:p>
        </w:tc>
        <w:tc>
          <w:tcPr>
            <w:tcW w:w="0" w:type="auto"/>
            <w:shd w:val="clear" w:color="auto" w:fill="auto"/>
          </w:tcPr>
          <w:p w14:paraId="36CA31A3" w14:textId="77777777" w:rsidR="00787570" w:rsidRDefault="00787570">
            <w:pPr>
              <w:rPr>
                <w:rFonts w:ascii="宋体"/>
              </w:rPr>
            </w:pPr>
          </w:p>
        </w:tc>
        <w:tc>
          <w:tcPr>
            <w:tcW w:w="0" w:type="auto"/>
            <w:shd w:val="clear" w:color="auto" w:fill="auto"/>
          </w:tcPr>
          <w:p w14:paraId="36CA31A4" w14:textId="77777777" w:rsidR="00787570" w:rsidRDefault="00787570">
            <w:pPr>
              <w:rPr>
                <w:rFonts w:ascii="宋体"/>
              </w:rPr>
            </w:pPr>
          </w:p>
        </w:tc>
        <w:tc>
          <w:tcPr>
            <w:tcW w:w="0" w:type="auto"/>
            <w:shd w:val="clear" w:color="auto" w:fill="auto"/>
          </w:tcPr>
          <w:p w14:paraId="36CA31A5" w14:textId="77777777" w:rsidR="00787570" w:rsidRDefault="00787570">
            <w:pPr>
              <w:rPr>
                <w:rFonts w:ascii="宋体"/>
              </w:rPr>
            </w:pPr>
          </w:p>
        </w:tc>
        <w:tc>
          <w:tcPr>
            <w:tcW w:w="0" w:type="auto"/>
            <w:shd w:val="clear" w:color="auto" w:fill="auto"/>
          </w:tcPr>
          <w:p w14:paraId="36CA31A6" w14:textId="77777777" w:rsidR="00787570" w:rsidRDefault="00787570">
            <w:pPr>
              <w:rPr>
                <w:rFonts w:ascii="宋体"/>
              </w:rPr>
            </w:pPr>
          </w:p>
        </w:tc>
        <w:tc>
          <w:tcPr>
            <w:tcW w:w="0" w:type="auto"/>
            <w:shd w:val="clear" w:color="auto" w:fill="auto"/>
          </w:tcPr>
          <w:p w14:paraId="36CA31A7" w14:textId="77777777" w:rsidR="00787570" w:rsidRDefault="00787570">
            <w:pPr>
              <w:rPr>
                <w:rFonts w:ascii="宋体"/>
              </w:rPr>
            </w:pPr>
          </w:p>
        </w:tc>
        <w:tc>
          <w:tcPr>
            <w:tcW w:w="0" w:type="auto"/>
            <w:shd w:val="clear" w:color="auto" w:fill="auto"/>
          </w:tcPr>
          <w:p w14:paraId="36CA31A8" w14:textId="77777777" w:rsidR="00787570" w:rsidRDefault="00787570">
            <w:pPr>
              <w:rPr>
                <w:rFonts w:ascii="宋体"/>
              </w:rPr>
            </w:pPr>
          </w:p>
        </w:tc>
        <w:tc>
          <w:tcPr>
            <w:tcW w:w="0" w:type="auto"/>
            <w:shd w:val="clear" w:color="auto" w:fill="auto"/>
          </w:tcPr>
          <w:p w14:paraId="36CA31A9" w14:textId="77777777" w:rsidR="00787570" w:rsidRDefault="00787570">
            <w:pPr>
              <w:rPr>
                <w:rFonts w:ascii="宋体"/>
              </w:rPr>
            </w:pPr>
          </w:p>
        </w:tc>
      </w:tr>
      <w:tr w:rsidR="00787570" w14:paraId="36CA31C4" w14:textId="77777777">
        <w:tc>
          <w:tcPr>
            <w:tcW w:w="0" w:type="auto"/>
            <w:gridSpan w:val="3"/>
            <w:shd w:val="clear" w:color="auto" w:fill="auto"/>
            <w:tcMar>
              <w:top w:w="40" w:type="dxa"/>
              <w:left w:w="20" w:type="dxa"/>
              <w:bottom w:w="40" w:type="dxa"/>
              <w:right w:w="20" w:type="dxa"/>
            </w:tcMar>
            <w:vAlign w:val="bottom"/>
          </w:tcPr>
          <w:p w14:paraId="36CA31AB" w14:textId="77777777" w:rsidR="00787570" w:rsidRDefault="000D56E2">
            <w:pPr>
              <w:textAlignment w:val="bottom"/>
            </w:pPr>
            <w:r>
              <w:rPr>
                <w:rFonts w:ascii="Arial" w:eastAsia="宋体" w:hAnsi="Arial" w:cs="Arial"/>
                <w:color w:val="333333"/>
                <w:sz w:val="18"/>
                <w:szCs w:val="18"/>
              </w:rPr>
              <w:t>Observable price adjustments on non-marketable equity securities</w:t>
            </w:r>
          </w:p>
        </w:tc>
        <w:tc>
          <w:tcPr>
            <w:tcW w:w="0" w:type="auto"/>
            <w:gridSpan w:val="3"/>
            <w:shd w:val="clear" w:color="auto" w:fill="auto"/>
            <w:tcMar>
              <w:left w:w="20" w:type="dxa"/>
              <w:right w:w="20" w:type="dxa"/>
            </w:tcMar>
            <w:vAlign w:val="bottom"/>
          </w:tcPr>
          <w:p w14:paraId="36CA31AC"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31AD" w14:textId="77777777" w:rsidR="00787570" w:rsidRDefault="000D56E2">
            <w:pPr>
              <w:jc w:val="right"/>
              <w:textAlignment w:val="bottom"/>
            </w:pPr>
            <w:r>
              <w:rPr>
                <w:rFonts w:ascii="Arial" w:eastAsia="宋体" w:hAnsi="Arial" w:cs="Arial"/>
                <w:color w:val="026DCE"/>
                <w:sz w:val="18"/>
                <w:szCs w:val="18"/>
              </w:rPr>
              <w:t>5 </w:t>
            </w:r>
          </w:p>
        </w:tc>
        <w:tc>
          <w:tcPr>
            <w:tcW w:w="0" w:type="auto"/>
            <w:shd w:val="clear" w:color="auto" w:fill="auto"/>
            <w:tcMar>
              <w:top w:w="40" w:type="dxa"/>
              <w:bottom w:w="40" w:type="dxa"/>
              <w:right w:w="20" w:type="dxa"/>
            </w:tcMar>
            <w:vAlign w:val="bottom"/>
          </w:tcPr>
          <w:p w14:paraId="36CA31AE"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31AF"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31B0" w14:textId="77777777" w:rsidR="00787570" w:rsidRDefault="000D56E2">
            <w:pPr>
              <w:jc w:val="right"/>
              <w:textAlignment w:val="bottom"/>
            </w:pPr>
            <w:r>
              <w:rPr>
                <w:rFonts w:ascii="Arial" w:eastAsia="宋体" w:hAnsi="Arial" w:cs="Arial"/>
                <w:color w:val="333333"/>
                <w:sz w:val="18"/>
                <w:szCs w:val="18"/>
              </w:rPr>
              <w:t>84 </w:t>
            </w:r>
          </w:p>
        </w:tc>
        <w:tc>
          <w:tcPr>
            <w:tcW w:w="0" w:type="auto"/>
            <w:shd w:val="clear" w:color="auto" w:fill="auto"/>
            <w:tcMar>
              <w:top w:w="40" w:type="dxa"/>
              <w:bottom w:w="40" w:type="dxa"/>
              <w:right w:w="20" w:type="dxa"/>
            </w:tcMar>
            <w:vAlign w:val="bottom"/>
          </w:tcPr>
          <w:p w14:paraId="36CA31B1"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31B2" w14:textId="77777777" w:rsidR="00787570" w:rsidRDefault="00787570">
            <w:pPr>
              <w:jc w:val="right"/>
              <w:rPr>
                <w:rFonts w:ascii="宋体"/>
              </w:rPr>
            </w:pPr>
          </w:p>
        </w:tc>
        <w:tc>
          <w:tcPr>
            <w:tcW w:w="0" w:type="auto"/>
            <w:gridSpan w:val="2"/>
            <w:shd w:val="clear" w:color="auto" w:fill="auto"/>
            <w:tcMar>
              <w:top w:w="40" w:type="dxa"/>
              <w:left w:w="20" w:type="dxa"/>
              <w:bottom w:w="40" w:type="dxa"/>
              <w:right w:w="0" w:type="dxa"/>
            </w:tcMar>
            <w:vAlign w:val="bottom"/>
          </w:tcPr>
          <w:p w14:paraId="36CA31B3" w14:textId="77777777" w:rsidR="00787570" w:rsidRDefault="000D56E2">
            <w:pPr>
              <w:jc w:val="right"/>
              <w:textAlignment w:val="bottom"/>
            </w:pPr>
            <w:r>
              <w:rPr>
                <w:rFonts w:ascii="Arial" w:eastAsia="宋体" w:hAnsi="Arial" w:cs="Arial"/>
                <w:color w:val="026DCE"/>
                <w:sz w:val="18"/>
                <w:szCs w:val="18"/>
              </w:rPr>
              <w:t>142 </w:t>
            </w:r>
          </w:p>
        </w:tc>
        <w:tc>
          <w:tcPr>
            <w:tcW w:w="0" w:type="auto"/>
            <w:shd w:val="clear" w:color="auto" w:fill="auto"/>
            <w:tcMar>
              <w:top w:w="40" w:type="dxa"/>
              <w:bottom w:w="40" w:type="dxa"/>
              <w:right w:w="20" w:type="dxa"/>
            </w:tcMar>
            <w:vAlign w:val="bottom"/>
          </w:tcPr>
          <w:p w14:paraId="36CA31B4"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31B5"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31B6" w14:textId="77777777" w:rsidR="00787570" w:rsidRDefault="000D56E2">
            <w:pPr>
              <w:jc w:val="right"/>
              <w:textAlignment w:val="bottom"/>
            </w:pPr>
            <w:r>
              <w:rPr>
                <w:rFonts w:ascii="Arial" w:eastAsia="宋体" w:hAnsi="Arial" w:cs="Arial"/>
                <w:color w:val="333333"/>
                <w:sz w:val="18"/>
                <w:szCs w:val="18"/>
              </w:rPr>
              <w:t>100 </w:t>
            </w:r>
          </w:p>
        </w:tc>
        <w:tc>
          <w:tcPr>
            <w:tcW w:w="0" w:type="auto"/>
            <w:shd w:val="clear" w:color="auto" w:fill="auto"/>
            <w:tcMar>
              <w:top w:w="40" w:type="dxa"/>
              <w:bottom w:w="40" w:type="dxa"/>
              <w:right w:w="20" w:type="dxa"/>
            </w:tcMar>
            <w:vAlign w:val="bottom"/>
          </w:tcPr>
          <w:p w14:paraId="36CA31B7" w14:textId="77777777" w:rsidR="00787570" w:rsidRDefault="00787570">
            <w:pPr>
              <w:jc w:val="right"/>
              <w:rPr>
                <w:rFonts w:ascii="宋体"/>
              </w:rPr>
            </w:pPr>
          </w:p>
        </w:tc>
        <w:tc>
          <w:tcPr>
            <w:tcW w:w="0" w:type="auto"/>
            <w:shd w:val="clear" w:color="auto" w:fill="auto"/>
          </w:tcPr>
          <w:p w14:paraId="36CA31B8" w14:textId="77777777" w:rsidR="00787570" w:rsidRDefault="00787570">
            <w:pPr>
              <w:rPr>
                <w:rFonts w:ascii="宋体"/>
              </w:rPr>
            </w:pPr>
          </w:p>
        </w:tc>
        <w:tc>
          <w:tcPr>
            <w:tcW w:w="0" w:type="auto"/>
            <w:shd w:val="clear" w:color="auto" w:fill="auto"/>
          </w:tcPr>
          <w:p w14:paraId="36CA31B9" w14:textId="77777777" w:rsidR="00787570" w:rsidRDefault="00787570">
            <w:pPr>
              <w:rPr>
                <w:rFonts w:ascii="宋体"/>
              </w:rPr>
            </w:pPr>
          </w:p>
        </w:tc>
        <w:tc>
          <w:tcPr>
            <w:tcW w:w="0" w:type="auto"/>
            <w:shd w:val="clear" w:color="auto" w:fill="auto"/>
          </w:tcPr>
          <w:p w14:paraId="36CA31BA" w14:textId="77777777" w:rsidR="00787570" w:rsidRDefault="00787570">
            <w:pPr>
              <w:rPr>
                <w:rFonts w:ascii="宋体"/>
              </w:rPr>
            </w:pPr>
          </w:p>
        </w:tc>
        <w:tc>
          <w:tcPr>
            <w:tcW w:w="0" w:type="auto"/>
            <w:shd w:val="clear" w:color="auto" w:fill="auto"/>
          </w:tcPr>
          <w:p w14:paraId="36CA31BB" w14:textId="77777777" w:rsidR="00787570" w:rsidRDefault="00787570">
            <w:pPr>
              <w:rPr>
                <w:rFonts w:ascii="宋体"/>
              </w:rPr>
            </w:pPr>
          </w:p>
        </w:tc>
        <w:tc>
          <w:tcPr>
            <w:tcW w:w="0" w:type="auto"/>
            <w:shd w:val="clear" w:color="auto" w:fill="auto"/>
          </w:tcPr>
          <w:p w14:paraId="36CA31BC" w14:textId="77777777" w:rsidR="00787570" w:rsidRDefault="00787570">
            <w:pPr>
              <w:rPr>
                <w:rFonts w:ascii="宋体"/>
              </w:rPr>
            </w:pPr>
          </w:p>
        </w:tc>
        <w:tc>
          <w:tcPr>
            <w:tcW w:w="0" w:type="auto"/>
            <w:shd w:val="clear" w:color="auto" w:fill="auto"/>
          </w:tcPr>
          <w:p w14:paraId="36CA31BD" w14:textId="77777777" w:rsidR="00787570" w:rsidRDefault="00787570">
            <w:pPr>
              <w:rPr>
                <w:rFonts w:ascii="宋体"/>
              </w:rPr>
            </w:pPr>
          </w:p>
        </w:tc>
        <w:tc>
          <w:tcPr>
            <w:tcW w:w="0" w:type="auto"/>
            <w:shd w:val="clear" w:color="auto" w:fill="auto"/>
          </w:tcPr>
          <w:p w14:paraId="36CA31BE" w14:textId="77777777" w:rsidR="00787570" w:rsidRDefault="00787570">
            <w:pPr>
              <w:rPr>
                <w:rFonts w:ascii="宋体"/>
              </w:rPr>
            </w:pPr>
          </w:p>
        </w:tc>
        <w:tc>
          <w:tcPr>
            <w:tcW w:w="0" w:type="auto"/>
            <w:shd w:val="clear" w:color="auto" w:fill="auto"/>
          </w:tcPr>
          <w:p w14:paraId="36CA31BF" w14:textId="77777777" w:rsidR="00787570" w:rsidRDefault="00787570">
            <w:pPr>
              <w:rPr>
                <w:rFonts w:ascii="宋体"/>
              </w:rPr>
            </w:pPr>
          </w:p>
        </w:tc>
        <w:tc>
          <w:tcPr>
            <w:tcW w:w="0" w:type="auto"/>
            <w:shd w:val="clear" w:color="auto" w:fill="auto"/>
          </w:tcPr>
          <w:p w14:paraId="36CA31C0" w14:textId="77777777" w:rsidR="00787570" w:rsidRDefault="00787570">
            <w:pPr>
              <w:rPr>
                <w:rFonts w:ascii="宋体"/>
              </w:rPr>
            </w:pPr>
          </w:p>
        </w:tc>
        <w:tc>
          <w:tcPr>
            <w:tcW w:w="0" w:type="auto"/>
            <w:shd w:val="clear" w:color="auto" w:fill="auto"/>
          </w:tcPr>
          <w:p w14:paraId="36CA31C1" w14:textId="77777777" w:rsidR="00787570" w:rsidRDefault="00787570">
            <w:pPr>
              <w:rPr>
                <w:rFonts w:ascii="宋体"/>
              </w:rPr>
            </w:pPr>
          </w:p>
        </w:tc>
        <w:tc>
          <w:tcPr>
            <w:tcW w:w="0" w:type="auto"/>
            <w:shd w:val="clear" w:color="auto" w:fill="auto"/>
          </w:tcPr>
          <w:p w14:paraId="36CA31C2" w14:textId="77777777" w:rsidR="00787570" w:rsidRDefault="00787570">
            <w:pPr>
              <w:rPr>
                <w:rFonts w:ascii="宋体"/>
              </w:rPr>
            </w:pPr>
          </w:p>
        </w:tc>
        <w:tc>
          <w:tcPr>
            <w:tcW w:w="0" w:type="auto"/>
            <w:shd w:val="clear" w:color="auto" w:fill="auto"/>
          </w:tcPr>
          <w:p w14:paraId="36CA31C3" w14:textId="77777777" w:rsidR="00787570" w:rsidRDefault="00787570">
            <w:pPr>
              <w:rPr>
                <w:rFonts w:ascii="宋体"/>
              </w:rPr>
            </w:pPr>
          </w:p>
        </w:tc>
      </w:tr>
      <w:tr w:rsidR="00787570" w14:paraId="36CA31DE" w14:textId="77777777">
        <w:tc>
          <w:tcPr>
            <w:tcW w:w="0" w:type="auto"/>
            <w:gridSpan w:val="3"/>
            <w:shd w:val="clear" w:color="auto" w:fill="auto"/>
            <w:tcMar>
              <w:top w:w="40" w:type="dxa"/>
              <w:left w:w="20" w:type="dxa"/>
              <w:bottom w:w="40" w:type="dxa"/>
              <w:right w:w="20" w:type="dxa"/>
            </w:tcMar>
          </w:tcPr>
          <w:p w14:paraId="36CA31C5" w14:textId="77777777" w:rsidR="00787570" w:rsidRDefault="000D56E2">
            <w:pPr>
              <w:ind w:hanging="180"/>
              <w:textAlignment w:val="top"/>
            </w:pPr>
            <w:r>
              <w:rPr>
                <w:rFonts w:ascii="Arial" w:eastAsia="宋体" w:hAnsi="Arial" w:cs="Arial"/>
                <w:color w:val="333333"/>
                <w:sz w:val="18"/>
                <w:szCs w:val="18"/>
              </w:rPr>
              <w:t>Impairment charges</w:t>
            </w:r>
          </w:p>
        </w:tc>
        <w:tc>
          <w:tcPr>
            <w:tcW w:w="0" w:type="auto"/>
            <w:gridSpan w:val="3"/>
            <w:shd w:val="clear" w:color="auto" w:fill="auto"/>
            <w:tcMar>
              <w:left w:w="20" w:type="dxa"/>
              <w:right w:w="20" w:type="dxa"/>
            </w:tcMar>
            <w:vAlign w:val="bottom"/>
          </w:tcPr>
          <w:p w14:paraId="36CA31C6"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31C7" w14:textId="77777777" w:rsidR="00787570" w:rsidRDefault="000D56E2">
            <w:pPr>
              <w:jc w:val="right"/>
              <w:textAlignment w:val="bottom"/>
            </w:pPr>
            <w:r>
              <w:rPr>
                <w:rFonts w:ascii="Arial" w:eastAsia="宋体" w:hAnsi="Arial" w:cs="Arial"/>
                <w:color w:val="026DCE"/>
                <w:sz w:val="18"/>
                <w:szCs w:val="18"/>
              </w:rPr>
              <w:t>(40)</w:t>
            </w:r>
          </w:p>
        </w:tc>
        <w:tc>
          <w:tcPr>
            <w:tcW w:w="0" w:type="auto"/>
            <w:shd w:val="clear" w:color="auto" w:fill="auto"/>
            <w:tcMar>
              <w:top w:w="40" w:type="dxa"/>
              <w:bottom w:w="40" w:type="dxa"/>
              <w:right w:w="20" w:type="dxa"/>
            </w:tcMar>
            <w:vAlign w:val="bottom"/>
          </w:tcPr>
          <w:p w14:paraId="36CA31C8"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31C9"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31CA" w14:textId="77777777" w:rsidR="00787570" w:rsidRDefault="000D56E2">
            <w:pPr>
              <w:jc w:val="right"/>
              <w:textAlignment w:val="bottom"/>
            </w:pPr>
            <w:r>
              <w:rPr>
                <w:rFonts w:ascii="Arial" w:eastAsia="宋体" w:hAnsi="Arial" w:cs="Arial"/>
                <w:color w:val="333333"/>
                <w:sz w:val="18"/>
                <w:szCs w:val="18"/>
              </w:rPr>
              <w:t>(17)</w:t>
            </w:r>
          </w:p>
        </w:tc>
        <w:tc>
          <w:tcPr>
            <w:tcW w:w="0" w:type="auto"/>
            <w:shd w:val="clear" w:color="auto" w:fill="auto"/>
            <w:tcMar>
              <w:top w:w="40" w:type="dxa"/>
              <w:bottom w:w="40" w:type="dxa"/>
              <w:right w:w="20" w:type="dxa"/>
            </w:tcMar>
            <w:vAlign w:val="bottom"/>
          </w:tcPr>
          <w:p w14:paraId="36CA31CB"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31CC" w14:textId="77777777" w:rsidR="00787570" w:rsidRDefault="00787570">
            <w:pPr>
              <w:jc w:val="right"/>
              <w:rPr>
                <w:rFonts w:ascii="宋体"/>
              </w:rPr>
            </w:pPr>
          </w:p>
        </w:tc>
        <w:tc>
          <w:tcPr>
            <w:tcW w:w="0" w:type="auto"/>
            <w:gridSpan w:val="2"/>
            <w:shd w:val="clear" w:color="auto" w:fill="auto"/>
            <w:tcMar>
              <w:top w:w="40" w:type="dxa"/>
              <w:left w:w="20" w:type="dxa"/>
              <w:bottom w:w="40" w:type="dxa"/>
              <w:right w:w="0" w:type="dxa"/>
            </w:tcMar>
            <w:vAlign w:val="bottom"/>
          </w:tcPr>
          <w:p w14:paraId="36CA31CD" w14:textId="77777777" w:rsidR="00787570" w:rsidRDefault="000D56E2">
            <w:pPr>
              <w:jc w:val="right"/>
              <w:textAlignment w:val="bottom"/>
            </w:pPr>
            <w:r>
              <w:rPr>
                <w:rFonts w:ascii="Arial" w:eastAsia="宋体" w:hAnsi="Arial" w:cs="Arial"/>
                <w:color w:val="026DCE"/>
                <w:sz w:val="18"/>
                <w:szCs w:val="18"/>
              </w:rPr>
              <w:t>(233)</w:t>
            </w:r>
          </w:p>
        </w:tc>
        <w:tc>
          <w:tcPr>
            <w:tcW w:w="0" w:type="auto"/>
            <w:shd w:val="clear" w:color="auto" w:fill="auto"/>
            <w:tcMar>
              <w:top w:w="40" w:type="dxa"/>
              <w:bottom w:w="40" w:type="dxa"/>
              <w:right w:w="20" w:type="dxa"/>
            </w:tcMar>
            <w:vAlign w:val="bottom"/>
          </w:tcPr>
          <w:p w14:paraId="36CA31CE"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31CF"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31D0" w14:textId="77777777" w:rsidR="00787570" w:rsidRDefault="000D56E2">
            <w:pPr>
              <w:jc w:val="right"/>
              <w:textAlignment w:val="bottom"/>
            </w:pPr>
            <w:r>
              <w:rPr>
                <w:rFonts w:ascii="Arial" w:eastAsia="宋体" w:hAnsi="Arial" w:cs="Arial"/>
                <w:color w:val="333333"/>
                <w:sz w:val="18"/>
                <w:szCs w:val="18"/>
              </w:rPr>
              <w:t>(79)</w:t>
            </w:r>
          </w:p>
        </w:tc>
        <w:tc>
          <w:tcPr>
            <w:tcW w:w="0" w:type="auto"/>
            <w:shd w:val="clear" w:color="auto" w:fill="auto"/>
            <w:tcMar>
              <w:top w:w="40" w:type="dxa"/>
              <w:bottom w:w="40" w:type="dxa"/>
              <w:right w:w="20" w:type="dxa"/>
            </w:tcMar>
            <w:vAlign w:val="bottom"/>
          </w:tcPr>
          <w:p w14:paraId="36CA31D1" w14:textId="77777777" w:rsidR="00787570" w:rsidRDefault="00787570">
            <w:pPr>
              <w:jc w:val="right"/>
              <w:rPr>
                <w:rFonts w:ascii="宋体"/>
              </w:rPr>
            </w:pPr>
          </w:p>
        </w:tc>
        <w:tc>
          <w:tcPr>
            <w:tcW w:w="0" w:type="auto"/>
            <w:shd w:val="clear" w:color="auto" w:fill="auto"/>
          </w:tcPr>
          <w:p w14:paraId="36CA31D2" w14:textId="77777777" w:rsidR="00787570" w:rsidRDefault="00787570">
            <w:pPr>
              <w:rPr>
                <w:rFonts w:ascii="宋体"/>
              </w:rPr>
            </w:pPr>
          </w:p>
        </w:tc>
        <w:tc>
          <w:tcPr>
            <w:tcW w:w="0" w:type="auto"/>
            <w:shd w:val="clear" w:color="auto" w:fill="auto"/>
          </w:tcPr>
          <w:p w14:paraId="36CA31D3" w14:textId="77777777" w:rsidR="00787570" w:rsidRDefault="00787570">
            <w:pPr>
              <w:rPr>
                <w:rFonts w:ascii="宋体"/>
              </w:rPr>
            </w:pPr>
          </w:p>
        </w:tc>
        <w:tc>
          <w:tcPr>
            <w:tcW w:w="0" w:type="auto"/>
            <w:shd w:val="clear" w:color="auto" w:fill="auto"/>
          </w:tcPr>
          <w:p w14:paraId="36CA31D4" w14:textId="77777777" w:rsidR="00787570" w:rsidRDefault="00787570">
            <w:pPr>
              <w:rPr>
                <w:rFonts w:ascii="宋体"/>
              </w:rPr>
            </w:pPr>
          </w:p>
        </w:tc>
        <w:tc>
          <w:tcPr>
            <w:tcW w:w="0" w:type="auto"/>
            <w:shd w:val="clear" w:color="auto" w:fill="auto"/>
          </w:tcPr>
          <w:p w14:paraId="36CA31D5" w14:textId="77777777" w:rsidR="00787570" w:rsidRDefault="00787570">
            <w:pPr>
              <w:rPr>
                <w:rFonts w:ascii="宋体"/>
              </w:rPr>
            </w:pPr>
          </w:p>
        </w:tc>
        <w:tc>
          <w:tcPr>
            <w:tcW w:w="0" w:type="auto"/>
            <w:shd w:val="clear" w:color="auto" w:fill="auto"/>
          </w:tcPr>
          <w:p w14:paraId="36CA31D6" w14:textId="77777777" w:rsidR="00787570" w:rsidRDefault="00787570">
            <w:pPr>
              <w:rPr>
                <w:rFonts w:ascii="宋体"/>
              </w:rPr>
            </w:pPr>
          </w:p>
        </w:tc>
        <w:tc>
          <w:tcPr>
            <w:tcW w:w="0" w:type="auto"/>
            <w:shd w:val="clear" w:color="auto" w:fill="auto"/>
          </w:tcPr>
          <w:p w14:paraId="36CA31D7" w14:textId="77777777" w:rsidR="00787570" w:rsidRDefault="00787570">
            <w:pPr>
              <w:rPr>
                <w:rFonts w:ascii="宋体"/>
              </w:rPr>
            </w:pPr>
          </w:p>
        </w:tc>
        <w:tc>
          <w:tcPr>
            <w:tcW w:w="0" w:type="auto"/>
            <w:shd w:val="clear" w:color="auto" w:fill="auto"/>
          </w:tcPr>
          <w:p w14:paraId="36CA31D8" w14:textId="77777777" w:rsidR="00787570" w:rsidRDefault="00787570">
            <w:pPr>
              <w:rPr>
                <w:rFonts w:ascii="宋体"/>
              </w:rPr>
            </w:pPr>
          </w:p>
        </w:tc>
        <w:tc>
          <w:tcPr>
            <w:tcW w:w="0" w:type="auto"/>
            <w:shd w:val="clear" w:color="auto" w:fill="auto"/>
          </w:tcPr>
          <w:p w14:paraId="36CA31D9" w14:textId="77777777" w:rsidR="00787570" w:rsidRDefault="00787570">
            <w:pPr>
              <w:rPr>
                <w:rFonts w:ascii="宋体"/>
              </w:rPr>
            </w:pPr>
          </w:p>
        </w:tc>
        <w:tc>
          <w:tcPr>
            <w:tcW w:w="0" w:type="auto"/>
            <w:shd w:val="clear" w:color="auto" w:fill="auto"/>
          </w:tcPr>
          <w:p w14:paraId="36CA31DA" w14:textId="77777777" w:rsidR="00787570" w:rsidRDefault="00787570">
            <w:pPr>
              <w:rPr>
                <w:rFonts w:ascii="宋体"/>
              </w:rPr>
            </w:pPr>
          </w:p>
        </w:tc>
        <w:tc>
          <w:tcPr>
            <w:tcW w:w="0" w:type="auto"/>
            <w:shd w:val="clear" w:color="auto" w:fill="auto"/>
          </w:tcPr>
          <w:p w14:paraId="36CA31DB" w14:textId="77777777" w:rsidR="00787570" w:rsidRDefault="00787570">
            <w:pPr>
              <w:rPr>
                <w:rFonts w:ascii="宋体"/>
              </w:rPr>
            </w:pPr>
          </w:p>
        </w:tc>
        <w:tc>
          <w:tcPr>
            <w:tcW w:w="0" w:type="auto"/>
            <w:shd w:val="clear" w:color="auto" w:fill="auto"/>
          </w:tcPr>
          <w:p w14:paraId="36CA31DC" w14:textId="77777777" w:rsidR="00787570" w:rsidRDefault="00787570">
            <w:pPr>
              <w:rPr>
                <w:rFonts w:ascii="宋体"/>
              </w:rPr>
            </w:pPr>
          </w:p>
        </w:tc>
        <w:tc>
          <w:tcPr>
            <w:tcW w:w="0" w:type="auto"/>
            <w:shd w:val="clear" w:color="auto" w:fill="auto"/>
          </w:tcPr>
          <w:p w14:paraId="36CA31DD" w14:textId="77777777" w:rsidR="00787570" w:rsidRDefault="00787570">
            <w:pPr>
              <w:rPr>
                <w:rFonts w:ascii="宋体"/>
              </w:rPr>
            </w:pPr>
          </w:p>
        </w:tc>
      </w:tr>
      <w:tr w:rsidR="00787570" w14:paraId="36CA31F8" w14:textId="77777777">
        <w:tc>
          <w:tcPr>
            <w:tcW w:w="0" w:type="auto"/>
            <w:gridSpan w:val="3"/>
            <w:shd w:val="clear" w:color="auto" w:fill="auto"/>
            <w:tcMar>
              <w:top w:w="40" w:type="dxa"/>
              <w:left w:w="20" w:type="dxa"/>
              <w:bottom w:w="40" w:type="dxa"/>
              <w:right w:w="20" w:type="dxa"/>
            </w:tcMar>
          </w:tcPr>
          <w:p w14:paraId="36CA31DF" w14:textId="77777777" w:rsidR="00787570" w:rsidRDefault="000D56E2">
            <w:pPr>
              <w:textAlignment w:val="top"/>
            </w:pPr>
            <w:r>
              <w:rPr>
                <w:rFonts w:ascii="Arial" w:eastAsia="宋体" w:hAnsi="Arial" w:cs="Arial"/>
                <w:color w:val="333333"/>
                <w:sz w:val="18"/>
                <w:szCs w:val="18"/>
              </w:rPr>
              <w:t>Sale of equity investments and other¹</w:t>
            </w:r>
          </w:p>
        </w:tc>
        <w:tc>
          <w:tcPr>
            <w:tcW w:w="0" w:type="auto"/>
            <w:gridSpan w:val="3"/>
            <w:shd w:val="clear" w:color="auto" w:fill="auto"/>
            <w:tcMar>
              <w:left w:w="20" w:type="dxa"/>
              <w:right w:w="20" w:type="dxa"/>
            </w:tcMar>
            <w:vAlign w:val="bottom"/>
          </w:tcPr>
          <w:p w14:paraId="36CA31E0"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31E1" w14:textId="77777777" w:rsidR="00787570" w:rsidRDefault="000D56E2">
            <w:pPr>
              <w:jc w:val="right"/>
              <w:textAlignment w:val="bottom"/>
            </w:pPr>
            <w:r>
              <w:rPr>
                <w:rFonts w:ascii="Arial" w:eastAsia="宋体" w:hAnsi="Arial" w:cs="Arial"/>
                <w:color w:val="026DCE"/>
                <w:sz w:val="18"/>
                <w:szCs w:val="18"/>
              </w:rPr>
              <w:t>237 </w:t>
            </w:r>
          </w:p>
        </w:tc>
        <w:tc>
          <w:tcPr>
            <w:tcW w:w="0" w:type="auto"/>
            <w:shd w:val="clear" w:color="auto" w:fill="auto"/>
            <w:tcMar>
              <w:top w:w="40" w:type="dxa"/>
              <w:bottom w:w="40" w:type="dxa"/>
              <w:right w:w="20" w:type="dxa"/>
            </w:tcMar>
            <w:vAlign w:val="bottom"/>
          </w:tcPr>
          <w:p w14:paraId="36CA31E2"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31E3"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31E4" w14:textId="77777777" w:rsidR="00787570" w:rsidRDefault="000D56E2">
            <w:pPr>
              <w:jc w:val="right"/>
              <w:textAlignment w:val="bottom"/>
            </w:pPr>
            <w:r>
              <w:rPr>
                <w:rFonts w:ascii="Arial" w:eastAsia="宋体" w:hAnsi="Arial" w:cs="Arial"/>
                <w:color w:val="333333"/>
                <w:sz w:val="18"/>
                <w:szCs w:val="18"/>
              </w:rPr>
              <w:t>137 </w:t>
            </w:r>
          </w:p>
        </w:tc>
        <w:tc>
          <w:tcPr>
            <w:tcW w:w="0" w:type="auto"/>
            <w:shd w:val="clear" w:color="auto" w:fill="auto"/>
            <w:tcMar>
              <w:top w:w="40" w:type="dxa"/>
              <w:bottom w:w="40" w:type="dxa"/>
              <w:right w:w="20" w:type="dxa"/>
            </w:tcMar>
            <w:vAlign w:val="bottom"/>
          </w:tcPr>
          <w:p w14:paraId="36CA31E5"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31E6" w14:textId="77777777" w:rsidR="00787570" w:rsidRDefault="00787570">
            <w:pPr>
              <w:jc w:val="right"/>
              <w:rPr>
                <w:rFonts w:ascii="宋体"/>
              </w:rPr>
            </w:pPr>
          </w:p>
        </w:tc>
        <w:tc>
          <w:tcPr>
            <w:tcW w:w="0" w:type="auto"/>
            <w:gridSpan w:val="2"/>
            <w:shd w:val="clear" w:color="auto" w:fill="auto"/>
            <w:tcMar>
              <w:top w:w="40" w:type="dxa"/>
              <w:left w:w="20" w:type="dxa"/>
              <w:bottom w:w="40" w:type="dxa"/>
              <w:right w:w="0" w:type="dxa"/>
            </w:tcMar>
            <w:vAlign w:val="bottom"/>
          </w:tcPr>
          <w:p w14:paraId="36CA31E7" w14:textId="77777777" w:rsidR="00787570" w:rsidRDefault="000D56E2">
            <w:pPr>
              <w:jc w:val="right"/>
              <w:textAlignment w:val="bottom"/>
            </w:pPr>
            <w:r>
              <w:rPr>
                <w:rFonts w:ascii="Arial" w:eastAsia="宋体" w:hAnsi="Arial" w:cs="Arial"/>
                <w:color w:val="026DCE"/>
                <w:sz w:val="18"/>
                <w:szCs w:val="18"/>
              </w:rPr>
              <w:t>387 </w:t>
            </w:r>
          </w:p>
        </w:tc>
        <w:tc>
          <w:tcPr>
            <w:tcW w:w="0" w:type="auto"/>
            <w:shd w:val="clear" w:color="auto" w:fill="auto"/>
            <w:tcMar>
              <w:top w:w="40" w:type="dxa"/>
              <w:bottom w:w="40" w:type="dxa"/>
              <w:right w:w="20" w:type="dxa"/>
            </w:tcMar>
            <w:vAlign w:val="bottom"/>
          </w:tcPr>
          <w:p w14:paraId="36CA31E8"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31E9"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31EA" w14:textId="77777777" w:rsidR="00787570" w:rsidRDefault="000D56E2">
            <w:pPr>
              <w:jc w:val="right"/>
              <w:textAlignment w:val="bottom"/>
            </w:pPr>
            <w:r>
              <w:rPr>
                <w:rFonts w:ascii="Arial" w:eastAsia="宋体" w:hAnsi="Arial" w:cs="Arial"/>
                <w:color w:val="333333"/>
                <w:sz w:val="18"/>
                <w:szCs w:val="18"/>
              </w:rPr>
              <w:t>713 </w:t>
            </w:r>
          </w:p>
        </w:tc>
        <w:tc>
          <w:tcPr>
            <w:tcW w:w="0" w:type="auto"/>
            <w:shd w:val="clear" w:color="auto" w:fill="auto"/>
            <w:tcMar>
              <w:top w:w="40" w:type="dxa"/>
              <w:bottom w:w="40" w:type="dxa"/>
              <w:right w:w="20" w:type="dxa"/>
            </w:tcMar>
            <w:vAlign w:val="bottom"/>
          </w:tcPr>
          <w:p w14:paraId="36CA31EB" w14:textId="77777777" w:rsidR="00787570" w:rsidRDefault="00787570">
            <w:pPr>
              <w:jc w:val="right"/>
              <w:rPr>
                <w:rFonts w:ascii="宋体"/>
              </w:rPr>
            </w:pPr>
          </w:p>
        </w:tc>
        <w:tc>
          <w:tcPr>
            <w:tcW w:w="0" w:type="auto"/>
            <w:shd w:val="clear" w:color="auto" w:fill="auto"/>
          </w:tcPr>
          <w:p w14:paraId="36CA31EC" w14:textId="77777777" w:rsidR="00787570" w:rsidRDefault="00787570">
            <w:pPr>
              <w:rPr>
                <w:rFonts w:ascii="宋体"/>
              </w:rPr>
            </w:pPr>
          </w:p>
        </w:tc>
        <w:tc>
          <w:tcPr>
            <w:tcW w:w="0" w:type="auto"/>
            <w:shd w:val="clear" w:color="auto" w:fill="auto"/>
          </w:tcPr>
          <w:p w14:paraId="36CA31ED" w14:textId="77777777" w:rsidR="00787570" w:rsidRDefault="00787570">
            <w:pPr>
              <w:rPr>
                <w:rFonts w:ascii="宋体"/>
              </w:rPr>
            </w:pPr>
          </w:p>
        </w:tc>
        <w:tc>
          <w:tcPr>
            <w:tcW w:w="0" w:type="auto"/>
            <w:shd w:val="clear" w:color="auto" w:fill="auto"/>
          </w:tcPr>
          <w:p w14:paraId="36CA31EE" w14:textId="77777777" w:rsidR="00787570" w:rsidRDefault="00787570">
            <w:pPr>
              <w:rPr>
                <w:rFonts w:ascii="宋体"/>
              </w:rPr>
            </w:pPr>
          </w:p>
        </w:tc>
        <w:tc>
          <w:tcPr>
            <w:tcW w:w="0" w:type="auto"/>
            <w:shd w:val="clear" w:color="auto" w:fill="auto"/>
          </w:tcPr>
          <w:p w14:paraId="36CA31EF" w14:textId="77777777" w:rsidR="00787570" w:rsidRDefault="00787570">
            <w:pPr>
              <w:rPr>
                <w:rFonts w:ascii="宋体"/>
              </w:rPr>
            </w:pPr>
          </w:p>
        </w:tc>
        <w:tc>
          <w:tcPr>
            <w:tcW w:w="0" w:type="auto"/>
            <w:shd w:val="clear" w:color="auto" w:fill="auto"/>
          </w:tcPr>
          <w:p w14:paraId="36CA31F0" w14:textId="77777777" w:rsidR="00787570" w:rsidRDefault="00787570">
            <w:pPr>
              <w:rPr>
                <w:rFonts w:ascii="宋体"/>
              </w:rPr>
            </w:pPr>
          </w:p>
        </w:tc>
        <w:tc>
          <w:tcPr>
            <w:tcW w:w="0" w:type="auto"/>
            <w:shd w:val="clear" w:color="auto" w:fill="auto"/>
          </w:tcPr>
          <w:p w14:paraId="36CA31F1" w14:textId="77777777" w:rsidR="00787570" w:rsidRDefault="00787570">
            <w:pPr>
              <w:rPr>
                <w:rFonts w:ascii="宋体"/>
              </w:rPr>
            </w:pPr>
          </w:p>
        </w:tc>
        <w:tc>
          <w:tcPr>
            <w:tcW w:w="0" w:type="auto"/>
            <w:shd w:val="clear" w:color="auto" w:fill="auto"/>
          </w:tcPr>
          <w:p w14:paraId="36CA31F2" w14:textId="77777777" w:rsidR="00787570" w:rsidRDefault="00787570">
            <w:pPr>
              <w:rPr>
                <w:rFonts w:ascii="宋体"/>
              </w:rPr>
            </w:pPr>
          </w:p>
        </w:tc>
        <w:tc>
          <w:tcPr>
            <w:tcW w:w="0" w:type="auto"/>
            <w:shd w:val="clear" w:color="auto" w:fill="auto"/>
          </w:tcPr>
          <w:p w14:paraId="36CA31F3" w14:textId="77777777" w:rsidR="00787570" w:rsidRDefault="00787570">
            <w:pPr>
              <w:rPr>
                <w:rFonts w:ascii="宋体"/>
              </w:rPr>
            </w:pPr>
          </w:p>
        </w:tc>
        <w:tc>
          <w:tcPr>
            <w:tcW w:w="0" w:type="auto"/>
            <w:shd w:val="clear" w:color="auto" w:fill="auto"/>
          </w:tcPr>
          <w:p w14:paraId="36CA31F4" w14:textId="77777777" w:rsidR="00787570" w:rsidRDefault="00787570">
            <w:pPr>
              <w:rPr>
                <w:rFonts w:ascii="宋体"/>
              </w:rPr>
            </w:pPr>
          </w:p>
        </w:tc>
        <w:tc>
          <w:tcPr>
            <w:tcW w:w="0" w:type="auto"/>
            <w:shd w:val="clear" w:color="auto" w:fill="auto"/>
          </w:tcPr>
          <w:p w14:paraId="36CA31F5" w14:textId="77777777" w:rsidR="00787570" w:rsidRDefault="00787570">
            <w:pPr>
              <w:rPr>
                <w:rFonts w:ascii="宋体"/>
              </w:rPr>
            </w:pPr>
          </w:p>
        </w:tc>
        <w:tc>
          <w:tcPr>
            <w:tcW w:w="0" w:type="auto"/>
            <w:shd w:val="clear" w:color="auto" w:fill="auto"/>
          </w:tcPr>
          <w:p w14:paraId="36CA31F6" w14:textId="77777777" w:rsidR="00787570" w:rsidRDefault="00787570">
            <w:pPr>
              <w:rPr>
                <w:rFonts w:ascii="宋体"/>
              </w:rPr>
            </w:pPr>
          </w:p>
        </w:tc>
        <w:tc>
          <w:tcPr>
            <w:tcW w:w="0" w:type="auto"/>
            <w:shd w:val="clear" w:color="auto" w:fill="auto"/>
          </w:tcPr>
          <w:p w14:paraId="36CA31F7" w14:textId="77777777" w:rsidR="00787570" w:rsidRDefault="00787570">
            <w:pPr>
              <w:rPr>
                <w:rFonts w:ascii="宋体"/>
              </w:rPr>
            </w:pPr>
          </w:p>
        </w:tc>
      </w:tr>
      <w:tr w:rsidR="00787570" w14:paraId="36CA3216" w14:textId="77777777">
        <w:tc>
          <w:tcPr>
            <w:tcW w:w="0" w:type="auto"/>
            <w:gridSpan w:val="3"/>
            <w:shd w:val="clear" w:color="auto" w:fill="auto"/>
            <w:tcMar>
              <w:top w:w="40" w:type="dxa"/>
              <w:left w:w="20" w:type="dxa"/>
              <w:bottom w:w="40" w:type="dxa"/>
              <w:right w:w="20" w:type="dxa"/>
            </w:tcMar>
          </w:tcPr>
          <w:p w14:paraId="36CA31F9" w14:textId="77777777" w:rsidR="00787570" w:rsidRDefault="000D56E2">
            <w:pPr>
              <w:ind w:hanging="180"/>
              <w:textAlignment w:val="top"/>
            </w:pPr>
            <w:r>
              <w:rPr>
                <w:rFonts w:ascii="Arial" w:eastAsia="宋体" w:hAnsi="Arial" w:cs="Arial"/>
                <w:b/>
                <w:bCs/>
                <w:color w:val="333333"/>
                <w:sz w:val="18"/>
                <w:szCs w:val="18"/>
              </w:rPr>
              <w:t>Total gains (losses) on equity investments, net</w:t>
            </w:r>
          </w:p>
        </w:tc>
        <w:tc>
          <w:tcPr>
            <w:tcW w:w="0" w:type="auto"/>
            <w:gridSpan w:val="3"/>
            <w:shd w:val="clear" w:color="auto" w:fill="auto"/>
            <w:tcMar>
              <w:left w:w="20" w:type="dxa"/>
              <w:right w:w="20" w:type="dxa"/>
            </w:tcMar>
            <w:vAlign w:val="bottom"/>
          </w:tcPr>
          <w:p w14:paraId="36CA31FA" w14:textId="77777777" w:rsidR="00787570" w:rsidRDefault="00787570">
            <w:pPr>
              <w:rPr>
                <w:rFonts w:ascii="宋体"/>
              </w:rPr>
            </w:pPr>
          </w:p>
        </w:tc>
        <w:tc>
          <w:tcPr>
            <w:tcW w:w="0" w:type="auto"/>
            <w:tcBorders>
              <w:top w:val="single" w:sz="8" w:space="0" w:color="333333"/>
              <w:bottom w:val="double" w:sz="6" w:space="0" w:color="333333"/>
            </w:tcBorders>
            <w:shd w:val="clear" w:color="auto" w:fill="auto"/>
            <w:tcMar>
              <w:top w:w="40" w:type="dxa"/>
              <w:left w:w="20" w:type="dxa"/>
              <w:bottom w:w="40" w:type="dxa"/>
            </w:tcMar>
            <w:vAlign w:val="bottom"/>
          </w:tcPr>
          <w:p w14:paraId="36CA31FB" w14:textId="77777777" w:rsidR="00787570" w:rsidRDefault="000D56E2">
            <w:pPr>
              <w:textAlignment w:val="bottom"/>
            </w:pPr>
            <w:r>
              <w:rPr>
                <w:rFonts w:ascii="Arial" w:eastAsia="宋体" w:hAnsi="Arial" w:cs="Arial"/>
                <w:b/>
                <w:bCs/>
                <w:color w:val="026DCE"/>
                <w:sz w:val="18"/>
                <w:szCs w:val="18"/>
              </w:rPr>
              <w:t>$</w:t>
            </w:r>
          </w:p>
        </w:tc>
        <w:tc>
          <w:tcPr>
            <w:tcW w:w="0" w:type="auto"/>
            <w:tcBorders>
              <w:top w:val="single" w:sz="8" w:space="0" w:color="333333"/>
              <w:bottom w:val="double" w:sz="6" w:space="0" w:color="333333"/>
            </w:tcBorders>
            <w:shd w:val="clear" w:color="auto" w:fill="auto"/>
            <w:tcMar>
              <w:top w:w="40" w:type="dxa"/>
              <w:bottom w:w="40" w:type="dxa"/>
              <w:right w:w="0" w:type="dxa"/>
            </w:tcMar>
            <w:vAlign w:val="bottom"/>
          </w:tcPr>
          <w:p w14:paraId="36CA31FC" w14:textId="77777777" w:rsidR="00787570" w:rsidRDefault="000D56E2">
            <w:pPr>
              <w:jc w:val="right"/>
              <w:textAlignment w:val="bottom"/>
            </w:pPr>
            <w:r>
              <w:rPr>
                <w:rFonts w:ascii="Arial" w:eastAsia="宋体" w:hAnsi="Arial" w:cs="Arial"/>
                <w:b/>
                <w:bCs/>
                <w:color w:val="026DCE"/>
                <w:sz w:val="18"/>
                <w:szCs w:val="18"/>
              </w:rPr>
              <w:t>56</w:t>
            </w:r>
            <w:r>
              <w:rPr>
                <w:rFonts w:ascii="Arial" w:eastAsia="宋体" w:hAnsi="Arial" w:cs="Arial"/>
                <w:color w:val="026DCE"/>
                <w:sz w:val="18"/>
                <w:szCs w:val="18"/>
              </w:rPr>
              <w:t> </w:t>
            </w:r>
          </w:p>
        </w:tc>
        <w:tc>
          <w:tcPr>
            <w:tcW w:w="0" w:type="auto"/>
            <w:tcBorders>
              <w:top w:val="single" w:sz="8" w:space="0" w:color="333333"/>
              <w:bottom w:val="double" w:sz="6" w:space="0" w:color="333333"/>
            </w:tcBorders>
            <w:shd w:val="clear" w:color="auto" w:fill="auto"/>
            <w:tcMar>
              <w:top w:w="40" w:type="dxa"/>
              <w:bottom w:w="40" w:type="dxa"/>
              <w:right w:w="20" w:type="dxa"/>
            </w:tcMar>
            <w:vAlign w:val="bottom"/>
          </w:tcPr>
          <w:p w14:paraId="36CA31FD"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31FE" w14:textId="77777777" w:rsidR="00787570" w:rsidRDefault="00787570">
            <w:pPr>
              <w:rPr>
                <w:rFonts w:ascii="宋体"/>
              </w:rPr>
            </w:pPr>
          </w:p>
        </w:tc>
        <w:tc>
          <w:tcPr>
            <w:tcW w:w="0" w:type="auto"/>
            <w:tcBorders>
              <w:top w:val="single" w:sz="8" w:space="0" w:color="333333"/>
              <w:bottom w:val="double" w:sz="6" w:space="0" w:color="333333"/>
            </w:tcBorders>
            <w:shd w:val="clear" w:color="auto" w:fill="auto"/>
            <w:tcMar>
              <w:top w:w="40" w:type="dxa"/>
              <w:left w:w="20" w:type="dxa"/>
              <w:bottom w:w="40" w:type="dxa"/>
            </w:tcMar>
            <w:vAlign w:val="bottom"/>
          </w:tcPr>
          <w:p w14:paraId="36CA31FF" w14:textId="77777777" w:rsidR="00787570" w:rsidRDefault="000D56E2">
            <w:pPr>
              <w:textAlignment w:val="bottom"/>
            </w:pPr>
            <w:r>
              <w:rPr>
                <w:rFonts w:ascii="Arial" w:eastAsia="宋体" w:hAnsi="Arial" w:cs="Arial"/>
                <w:b/>
                <w:bCs/>
                <w:color w:val="333333"/>
                <w:sz w:val="18"/>
                <w:szCs w:val="18"/>
              </w:rPr>
              <w:t>$</w:t>
            </w:r>
          </w:p>
        </w:tc>
        <w:tc>
          <w:tcPr>
            <w:tcW w:w="0" w:type="auto"/>
            <w:tcBorders>
              <w:top w:val="single" w:sz="8" w:space="0" w:color="333333"/>
              <w:bottom w:val="double" w:sz="6" w:space="0" w:color="333333"/>
            </w:tcBorders>
            <w:shd w:val="clear" w:color="auto" w:fill="auto"/>
            <w:tcMar>
              <w:top w:w="40" w:type="dxa"/>
              <w:bottom w:w="40" w:type="dxa"/>
              <w:right w:w="0" w:type="dxa"/>
            </w:tcMar>
            <w:vAlign w:val="bottom"/>
          </w:tcPr>
          <w:p w14:paraId="36CA3200" w14:textId="77777777" w:rsidR="00787570" w:rsidRDefault="000D56E2">
            <w:pPr>
              <w:jc w:val="right"/>
              <w:textAlignment w:val="bottom"/>
            </w:pPr>
            <w:r>
              <w:rPr>
                <w:rFonts w:ascii="Arial" w:eastAsia="宋体" w:hAnsi="Arial" w:cs="Arial"/>
                <w:b/>
                <w:bCs/>
                <w:color w:val="333333"/>
                <w:sz w:val="18"/>
                <w:szCs w:val="18"/>
              </w:rPr>
              <w:t>318</w:t>
            </w:r>
            <w:r>
              <w:rPr>
                <w:rFonts w:ascii="Arial" w:eastAsia="宋体" w:hAnsi="Arial" w:cs="Arial"/>
                <w:color w:val="333333"/>
                <w:sz w:val="18"/>
                <w:szCs w:val="18"/>
              </w:rPr>
              <w:t> </w:t>
            </w:r>
          </w:p>
        </w:tc>
        <w:tc>
          <w:tcPr>
            <w:tcW w:w="0" w:type="auto"/>
            <w:tcBorders>
              <w:top w:val="single" w:sz="8" w:space="0" w:color="333333"/>
              <w:bottom w:val="double" w:sz="6" w:space="0" w:color="333333"/>
            </w:tcBorders>
            <w:shd w:val="clear" w:color="auto" w:fill="auto"/>
            <w:tcMar>
              <w:top w:w="40" w:type="dxa"/>
              <w:bottom w:w="40" w:type="dxa"/>
              <w:right w:w="20" w:type="dxa"/>
            </w:tcMar>
            <w:vAlign w:val="bottom"/>
          </w:tcPr>
          <w:p w14:paraId="36CA3201"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3202" w14:textId="77777777" w:rsidR="00787570" w:rsidRDefault="00787570">
            <w:pPr>
              <w:jc w:val="right"/>
              <w:rPr>
                <w:rFonts w:ascii="宋体"/>
              </w:rPr>
            </w:pPr>
          </w:p>
        </w:tc>
        <w:tc>
          <w:tcPr>
            <w:tcW w:w="0" w:type="auto"/>
            <w:tcBorders>
              <w:top w:val="single" w:sz="8" w:space="0" w:color="333333"/>
              <w:bottom w:val="double" w:sz="6" w:space="0" w:color="333333"/>
            </w:tcBorders>
            <w:shd w:val="clear" w:color="auto" w:fill="auto"/>
            <w:tcMar>
              <w:top w:w="40" w:type="dxa"/>
              <w:left w:w="20" w:type="dxa"/>
              <w:bottom w:w="40" w:type="dxa"/>
            </w:tcMar>
            <w:vAlign w:val="bottom"/>
          </w:tcPr>
          <w:p w14:paraId="36CA3203" w14:textId="77777777" w:rsidR="00787570" w:rsidRDefault="000D56E2">
            <w:pPr>
              <w:textAlignment w:val="bottom"/>
            </w:pPr>
            <w:r>
              <w:rPr>
                <w:rFonts w:ascii="Arial" w:eastAsia="宋体" w:hAnsi="Arial" w:cs="Arial"/>
                <w:b/>
                <w:bCs/>
                <w:color w:val="026DCE"/>
                <w:sz w:val="18"/>
                <w:szCs w:val="18"/>
              </w:rPr>
              <w:t>$</w:t>
            </w:r>
          </w:p>
        </w:tc>
        <w:tc>
          <w:tcPr>
            <w:tcW w:w="0" w:type="auto"/>
            <w:tcBorders>
              <w:top w:val="single" w:sz="8" w:space="0" w:color="333333"/>
              <w:bottom w:val="double" w:sz="6" w:space="0" w:color="333333"/>
            </w:tcBorders>
            <w:shd w:val="clear" w:color="auto" w:fill="auto"/>
            <w:tcMar>
              <w:top w:w="40" w:type="dxa"/>
              <w:bottom w:w="40" w:type="dxa"/>
              <w:right w:w="0" w:type="dxa"/>
            </w:tcMar>
            <w:vAlign w:val="bottom"/>
          </w:tcPr>
          <w:p w14:paraId="36CA3204" w14:textId="77777777" w:rsidR="00787570" w:rsidRDefault="000D56E2">
            <w:pPr>
              <w:jc w:val="right"/>
              <w:textAlignment w:val="bottom"/>
            </w:pPr>
            <w:r>
              <w:rPr>
                <w:rFonts w:ascii="Arial" w:eastAsia="宋体" w:hAnsi="Arial" w:cs="Arial"/>
                <w:b/>
                <w:bCs/>
                <w:color w:val="026DCE"/>
                <w:sz w:val="18"/>
                <w:szCs w:val="18"/>
              </w:rPr>
              <w:t>212</w:t>
            </w:r>
            <w:r>
              <w:rPr>
                <w:rFonts w:ascii="Arial" w:eastAsia="宋体" w:hAnsi="Arial" w:cs="Arial"/>
                <w:color w:val="026DCE"/>
                <w:sz w:val="18"/>
                <w:szCs w:val="18"/>
              </w:rPr>
              <w:t> </w:t>
            </w:r>
          </w:p>
        </w:tc>
        <w:tc>
          <w:tcPr>
            <w:tcW w:w="0" w:type="auto"/>
            <w:tcBorders>
              <w:top w:val="single" w:sz="8" w:space="0" w:color="333333"/>
              <w:bottom w:val="double" w:sz="6" w:space="0" w:color="333333"/>
            </w:tcBorders>
            <w:shd w:val="clear" w:color="auto" w:fill="auto"/>
            <w:tcMar>
              <w:top w:w="40" w:type="dxa"/>
              <w:bottom w:w="40" w:type="dxa"/>
              <w:right w:w="20" w:type="dxa"/>
            </w:tcMar>
            <w:vAlign w:val="bottom"/>
          </w:tcPr>
          <w:p w14:paraId="36CA3205"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3206" w14:textId="77777777" w:rsidR="00787570" w:rsidRDefault="00787570">
            <w:pPr>
              <w:rPr>
                <w:rFonts w:ascii="宋体"/>
              </w:rPr>
            </w:pPr>
          </w:p>
        </w:tc>
        <w:tc>
          <w:tcPr>
            <w:tcW w:w="0" w:type="auto"/>
            <w:tcBorders>
              <w:top w:val="single" w:sz="8" w:space="0" w:color="333333"/>
              <w:bottom w:val="double" w:sz="6" w:space="0" w:color="333333"/>
            </w:tcBorders>
            <w:shd w:val="clear" w:color="auto" w:fill="auto"/>
            <w:tcMar>
              <w:top w:w="40" w:type="dxa"/>
              <w:left w:w="20" w:type="dxa"/>
              <w:bottom w:w="40" w:type="dxa"/>
            </w:tcMar>
            <w:vAlign w:val="bottom"/>
          </w:tcPr>
          <w:p w14:paraId="36CA3207" w14:textId="77777777" w:rsidR="00787570" w:rsidRDefault="000D56E2">
            <w:pPr>
              <w:textAlignment w:val="bottom"/>
            </w:pPr>
            <w:r>
              <w:rPr>
                <w:rFonts w:ascii="Arial" w:eastAsia="宋体" w:hAnsi="Arial" w:cs="Arial"/>
                <w:b/>
                <w:bCs/>
                <w:color w:val="333333"/>
                <w:sz w:val="18"/>
                <w:szCs w:val="18"/>
              </w:rPr>
              <w:t>$</w:t>
            </w:r>
          </w:p>
        </w:tc>
        <w:tc>
          <w:tcPr>
            <w:tcW w:w="0" w:type="auto"/>
            <w:tcBorders>
              <w:top w:val="single" w:sz="8" w:space="0" w:color="333333"/>
              <w:bottom w:val="double" w:sz="6" w:space="0" w:color="333333"/>
            </w:tcBorders>
            <w:shd w:val="clear" w:color="auto" w:fill="auto"/>
            <w:tcMar>
              <w:top w:w="40" w:type="dxa"/>
              <w:bottom w:w="40" w:type="dxa"/>
              <w:right w:w="0" w:type="dxa"/>
            </w:tcMar>
            <w:vAlign w:val="bottom"/>
          </w:tcPr>
          <w:p w14:paraId="36CA3208" w14:textId="77777777" w:rsidR="00787570" w:rsidRDefault="000D56E2">
            <w:pPr>
              <w:jc w:val="right"/>
              <w:textAlignment w:val="bottom"/>
            </w:pPr>
            <w:r>
              <w:rPr>
                <w:rFonts w:ascii="Arial" w:eastAsia="宋体" w:hAnsi="Arial" w:cs="Arial"/>
                <w:b/>
                <w:bCs/>
                <w:color w:val="333333"/>
                <w:sz w:val="18"/>
                <w:szCs w:val="18"/>
              </w:rPr>
              <w:t>922</w:t>
            </w:r>
            <w:r>
              <w:rPr>
                <w:rFonts w:ascii="Arial" w:eastAsia="宋体" w:hAnsi="Arial" w:cs="Arial"/>
                <w:color w:val="333333"/>
                <w:sz w:val="18"/>
                <w:szCs w:val="18"/>
              </w:rPr>
              <w:t> </w:t>
            </w:r>
          </w:p>
        </w:tc>
        <w:tc>
          <w:tcPr>
            <w:tcW w:w="0" w:type="auto"/>
            <w:tcBorders>
              <w:top w:val="single" w:sz="8" w:space="0" w:color="333333"/>
              <w:bottom w:val="double" w:sz="6" w:space="0" w:color="333333"/>
            </w:tcBorders>
            <w:shd w:val="clear" w:color="auto" w:fill="auto"/>
            <w:tcMar>
              <w:top w:w="40" w:type="dxa"/>
              <w:bottom w:w="40" w:type="dxa"/>
              <w:right w:w="20" w:type="dxa"/>
            </w:tcMar>
            <w:vAlign w:val="bottom"/>
          </w:tcPr>
          <w:p w14:paraId="36CA3209" w14:textId="77777777" w:rsidR="00787570" w:rsidRDefault="00787570">
            <w:pPr>
              <w:jc w:val="right"/>
              <w:rPr>
                <w:rFonts w:ascii="宋体"/>
              </w:rPr>
            </w:pPr>
          </w:p>
        </w:tc>
        <w:tc>
          <w:tcPr>
            <w:tcW w:w="0" w:type="auto"/>
            <w:shd w:val="clear" w:color="auto" w:fill="auto"/>
          </w:tcPr>
          <w:p w14:paraId="36CA320A" w14:textId="77777777" w:rsidR="00787570" w:rsidRDefault="00787570">
            <w:pPr>
              <w:rPr>
                <w:rFonts w:ascii="宋体"/>
              </w:rPr>
            </w:pPr>
          </w:p>
        </w:tc>
        <w:tc>
          <w:tcPr>
            <w:tcW w:w="0" w:type="auto"/>
            <w:shd w:val="clear" w:color="auto" w:fill="auto"/>
          </w:tcPr>
          <w:p w14:paraId="36CA320B" w14:textId="77777777" w:rsidR="00787570" w:rsidRDefault="00787570">
            <w:pPr>
              <w:rPr>
                <w:rFonts w:ascii="宋体"/>
              </w:rPr>
            </w:pPr>
          </w:p>
        </w:tc>
        <w:tc>
          <w:tcPr>
            <w:tcW w:w="0" w:type="auto"/>
            <w:shd w:val="clear" w:color="auto" w:fill="auto"/>
          </w:tcPr>
          <w:p w14:paraId="36CA320C" w14:textId="77777777" w:rsidR="00787570" w:rsidRDefault="00787570">
            <w:pPr>
              <w:rPr>
                <w:rFonts w:ascii="宋体"/>
              </w:rPr>
            </w:pPr>
          </w:p>
        </w:tc>
        <w:tc>
          <w:tcPr>
            <w:tcW w:w="0" w:type="auto"/>
            <w:shd w:val="clear" w:color="auto" w:fill="auto"/>
          </w:tcPr>
          <w:p w14:paraId="36CA320D" w14:textId="77777777" w:rsidR="00787570" w:rsidRDefault="00787570">
            <w:pPr>
              <w:rPr>
                <w:rFonts w:ascii="宋体"/>
              </w:rPr>
            </w:pPr>
          </w:p>
        </w:tc>
        <w:tc>
          <w:tcPr>
            <w:tcW w:w="0" w:type="auto"/>
            <w:shd w:val="clear" w:color="auto" w:fill="auto"/>
          </w:tcPr>
          <w:p w14:paraId="36CA320E" w14:textId="77777777" w:rsidR="00787570" w:rsidRDefault="00787570">
            <w:pPr>
              <w:rPr>
                <w:rFonts w:ascii="宋体"/>
              </w:rPr>
            </w:pPr>
          </w:p>
        </w:tc>
        <w:tc>
          <w:tcPr>
            <w:tcW w:w="0" w:type="auto"/>
            <w:shd w:val="clear" w:color="auto" w:fill="auto"/>
          </w:tcPr>
          <w:p w14:paraId="36CA320F" w14:textId="77777777" w:rsidR="00787570" w:rsidRDefault="00787570">
            <w:pPr>
              <w:rPr>
                <w:rFonts w:ascii="宋体"/>
              </w:rPr>
            </w:pPr>
          </w:p>
        </w:tc>
        <w:tc>
          <w:tcPr>
            <w:tcW w:w="0" w:type="auto"/>
            <w:shd w:val="clear" w:color="auto" w:fill="auto"/>
          </w:tcPr>
          <w:p w14:paraId="36CA3210" w14:textId="77777777" w:rsidR="00787570" w:rsidRDefault="00787570">
            <w:pPr>
              <w:rPr>
                <w:rFonts w:ascii="宋体"/>
              </w:rPr>
            </w:pPr>
          </w:p>
        </w:tc>
        <w:tc>
          <w:tcPr>
            <w:tcW w:w="0" w:type="auto"/>
            <w:shd w:val="clear" w:color="auto" w:fill="auto"/>
          </w:tcPr>
          <w:p w14:paraId="36CA3211" w14:textId="77777777" w:rsidR="00787570" w:rsidRDefault="00787570">
            <w:pPr>
              <w:rPr>
                <w:rFonts w:ascii="宋体"/>
              </w:rPr>
            </w:pPr>
          </w:p>
        </w:tc>
        <w:tc>
          <w:tcPr>
            <w:tcW w:w="0" w:type="auto"/>
            <w:shd w:val="clear" w:color="auto" w:fill="auto"/>
          </w:tcPr>
          <w:p w14:paraId="36CA3212" w14:textId="77777777" w:rsidR="00787570" w:rsidRDefault="00787570">
            <w:pPr>
              <w:rPr>
                <w:rFonts w:ascii="宋体"/>
              </w:rPr>
            </w:pPr>
          </w:p>
        </w:tc>
        <w:tc>
          <w:tcPr>
            <w:tcW w:w="0" w:type="auto"/>
            <w:shd w:val="clear" w:color="auto" w:fill="auto"/>
          </w:tcPr>
          <w:p w14:paraId="36CA3213" w14:textId="77777777" w:rsidR="00787570" w:rsidRDefault="00787570">
            <w:pPr>
              <w:rPr>
                <w:rFonts w:ascii="宋体"/>
              </w:rPr>
            </w:pPr>
          </w:p>
        </w:tc>
        <w:tc>
          <w:tcPr>
            <w:tcW w:w="0" w:type="auto"/>
            <w:shd w:val="clear" w:color="auto" w:fill="auto"/>
          </w:tcPr>
          <w:p w14:paraId="36CA3214" w14:textId="77777777" w:rsidR="00787570" w:rsidRDefault="00787570">
            <w:pPr>
              <w:rPr>
                <w:rFonts w:ascii="宋体"/>
              </w:rPr>
            </w:pPr>
          </w:p>
        </w:tc>
        <w:tc>
          <w:tcPr>
            <w:tcW w:w="0" w:type="auto"/>
            <w:shd w:val="clear" w:color="auto" w:fill="auto"/>
          </w:tcPr>
          <w:p w14:paraId="36CA3215" w14:textId="77777777" w:rsidR="00787570" w:rsidRDefault="00787570">
            <w:pPr>
              <w:rPr>
                <w:rFonts w:ascii="宋体"/>
              </w:rPr>
            </w:pPr>
          </w:p>
        </w:tc>
      </w:tr>
    </w:tbl>
    <w:p w14:paraId="36CA3217" w14:textId="77777777" w:rsidR="00787570" w:rsidRDefault="000D56E2">
      <w:pPr>
        <w:spacing w:before="120" w:after="180"/>
        <w:ind w:hanging="180"/>
      </w:pPr>
      <w:r>
        <w:rPr>
          <w:rFonts w:ascii="Arial" w:eastAsia="宋体" w:hAnsi="Arial" w:cs="Arial"/>
          <w:i/>
          <w:iCs/>
          <w:color w:val="333333"/>
          <w:sz w:val="10"/>
          <w:szCs w:val="10"/>
        </w:rPr>
        <w:t>1</w:t>
      </w:r>
      <w:r>
        <w:rPr>
          <w:rFonts w:ascii="Arial" w:eastAsia="宋体" w:hAnsi="Arial" w:cs="Arial"/>
          <w:i/>
          <w:iCs/>
          <w:color w:val="333333"/>
          <w:sz w:val="16"/>
          <w:szCs w:val="16"/>
        </w:rPr>
        <w:t xml:space="preserve"> Sale of equity investments and other includes realized gains (losses) on sales</w:t>
      </w:r>
      <w:r>
        <w:rPr>
          <w:rFonts w:ascii="Arial" w:eastAsia="宋体" w:hAnsi="Arial" w:cs="Arial"/>
          <w:i/>
          <w:iCs/>
          <w:color w:val="333333"/>
          <w:sz w:val="16"/>
          <w:szCs w:val="16"/>
        </w:rPr>
        <w:t xml:space="preserve"> of non-marketable equity investments, our share of equity method investee gains (losses) and distributions, and initial fair value adjustments recorded upon a security becoming marketable. </w:t>
      </w:r>
    </w:p>
    <w:p w14:paraId="36CA3218" w14:textId="77777777" w:rsidR="00787570" w:rsidRDefault="000D56E2">
      <w:pPr>
        <w:spacing w:after="180"/>
      </w:pPr>
      <w:r>
        <w:rPr>
          <w:rFonts w:ascii="Arial" w:eastAsia="宋体" w:hAnsi="Arial" w:cs="Arial"/>
          <w:color w:val="333333"/>
          <w:sz w:val="18"/>
          <w:szCs w:val="18"/>
        </w:rPr>
        <w:t>We recognized higher than historically experienced impairment cha</w:t>
      </w:r>
      <w:r>
        <w:rPr>
          <w:rFonts w:ascii="Arial" w:eastAsia="宋体" w:hAnsi="Arial" w:cs="Arial"/>
          <w:color w:val="333333"/>
          <w:sz w:val="18"/>
          <w:szCs w:val="18"/>
        </w:rPr>
        <w:t>rges on our non-marketable portfolio in the first nine months of 2020 based on our assessment of the impact of recent public and private market volatility and tightening of liquidity.</w:t>
      </w:r>
    </w:p>
    <w:p w14:paraId="36CA3219" w14:textId="77777777" w:rsidR="00787570" w:rsidRDefault="000D56E2">
      <w:pPr>
        <w:spacing w:after="120"/>
      </w:pPr>
      <w:r>
        <w:rPr>
          <w:rFonts w:ascii="Arial" w:eastAsia="宋体" w:hAnsi="Arial" w:cs="Arial"/>
          <w:color w:val="333333"/>
          <w:sz w:val="18"/>
          <w:szCs w:val="18"/>
        </w:rPr>
        <w:t>Gains and losses for our marketable and non-marketable equity securities</w:t>
      </w:r>
      <w:r>
        <w:rPr>
          <w:rFonts w:ascii="Arial" w:eastAsia="宋体" w:hAnsi="Arial" w:cs="Arial"/>
          <w:color w:val="333333"/>
          <w:sz w:val="18"/>
          <w:szCs w:val="18"/>
        </w:rPr>
        <w:t xml:space="preserve"> during the period were as follows:</w:t>
      </w:r>
    </w:p>
    <w:tbl>
      <w:tblPr>
        <w:tblW w:w="5000" w:type="pct"/>
        <w:tblCellMar>
          <w:top w:w="15" w:type="dxa"/>
          <w:left w:w="15" w:type="dxa"/>
          <w:bottom w:w="15" w:type="dxa"/>
          <w:right w:w="15" w:type="dxa"/>
        </w:tblCellMar>
        <w:tblLook w:val="04A0" w:firstRow="1" w:lastRow="0" w:firstColumn="1" w:lastColumn="0" w:noHBand="0" w:noVBand="1"/>
      </w:tblPr>
      <w:tblGrid>
        <w:gridCol w:w="39"/>
        <w:gridCol w:w="3747"/>
        <w:gridCol w:w="38"/>
        <w:gridCol w:w="36"/>
        <w:gridCol w:w="36"/>
        <w:gridCol w:w="36"/>
        <w:gridCol w:w="136"/>
        <w:gridCol w:w="696"/>
        <w:gridCol w:w="41"/>
        <w:gridCol w:w="36"/>
        <w:gridCol w:w="36"/>
        <w:gridCol w:w="36"/>
        <w:gridCol w:w="136"/>
        <w:gridCol w:w="696"/>
        <w:gridCol w:w="41"/>
        <w:gridCol w:w="36"/>
        <w:gridCol w:w="36"/>
        <w:gridCol w:w="36"/>
        <w:gridCol w:w="136"/>
        <w:gridCol w:w="774"/>
        <w:gridCol w:w="41"/>
        <w:gridCol w:w="36"/>
        <w:gridCol w:w="36"/>
        <w:gridCol w:w="36"/>
        <w:gridCol w:w="136"/>
        <w:gridCol w:w="774"/>
        <w:gridCol w:w="41"/>
        <w:gridCol w:w="36"/>
        <w:gridCol w:w="36"/>
        <w:gridCol w:w="36"/>
        <w:gridCol w:w="36"/>
        <w:gridCol w:w="36"/>
        <w:gridCol w:w="36"/>
        <w:gridCol w:w="36"/>
        <w:gridCol w:w="36"/>
        <w:gridCol w:w="36"/>
        <w:gridCol w:w="36"/>
        <w:gridCol w:w="36"/>
        <w:gridCol w:w="36"/>
      </w:tblGrid>
      <w:tr w:rsidR="00787570" w14:paraId="36CA3235" w14:textId="77777777">
        <w:trPr>
          <w:gridAfter w:val="12"/>
        </w:trPr>
        <w:tc>
          <w:tcPr>
            <w:tcW w:w="50" w:type="pct"/>
            <w:shd w:val="clear" w:color="auto" w:fill="auto"/>
          </w:tcPr>
          <w:p w14:paraId="36CA321A" w14:textId="77777777" w:rsidR="00787570" w:rsidRDefault="00787570">
            <w:pPr>
              <w:rPr>
                <w:rFonts w:ascii="宋体"/>
              </w:rPr>
            </w:pPr>
          </w:p>
        </w:tc>
        <w:tc>
          <w:tcPr>
            <w:tcW w:w="2445" w:type="pct"/>
            <w:shd w:val="clear" w:color="auto" w:fill="auto"/>
          </w:tcPr>
          <w:p w14:paraId="36CA321B" w14:textId="77777777" w:rsidR="00787570" w:rsidRDefault="00787570">
            <w:pPr>
              <w:rPr>
                <w:rFonts w:ascii="宋体"/>
              </w:rPr>
            </w:pPr>
          </w:p>
        </w:tc>
        <w:tc>
          <w:tcPr>
            <w:tcW w:w="5" w:type="pct"/>
            <w:shd w:val="clear" w:color="auto" w:fill="auto"/>
          </w:tcPr>
          <w:p w14:paraId="36CA321C" w14:textId="77777777" w:rsidR="00787570" w:rsidRDefault="00787570">
            <w:pPr>
              <w:rPr>
                <w:rFonts w:ascii="宋体"/>
              </w:rPr>
            </w:pPr>
          </w:p>
        </w:tc>
        <w:tc>
          <w:tcPr>
            <w:tcW w:w="5" w:type="pct"/>
            <w:shd w:val="clear" w:color="auto" w:fill="auto"/>
          </w:tcPr>
          <w:p w14:paraId="36CA321D" w14:textId="77777777" w:rsidR="00787570" w:rsidRDefault="00787570">
            <w:pPr>
              <w:rPr>
                <w:rFonts w:ascii="宋体"/>
              </w:rPr>
            </w:pPr>
          </w:p>
        </w:tc>
        <w:tc>
          <w:tcPr>
            <w:tcW w:w="24" w:type="pct"/>
            <w:shd w:val="clear" w:color="auto" w:fill="auto"/>
          </w:tcPr>
          <w:p w14:paraId="36CA321E" w14:textId="77777777" w:rsidR="00787570" w:rsidRDefault="00787570">
            <w:pPr>
              <w:rPr>
                <w:rFonts w:ascii="宋体"/>
              </w:rPr>
            </w:pPr>
          </w:p>
        </w:tc>
        <w:tc>
          <w:tcPr>
            <w:tcW w:w="5" w:type="pct"/>
            <w:shd w:val="clear" w:color="auto" w:fill="auto"/>
          </w:tcPr>
          <w:p w14:paraId="36CA321F" w14:textId="77777777" w:rsidR="00787570" w:rsidRDefault="00787570">
            <w:pPr>
              <w:rPr>
                <w:rFonts w:ascii="宋体"/>
              </w:rPr>
            </w:pPr>
          </w:p>
        </w:tc>
        <w:tc>
          <w:tcPr>
            <w:tcW w:w="50" w:type="pct"/>
            <w:shd w:val="clear" w:color="auto" w:fill="auto"/>
          </w:tcPr>
          <w:p w14:paraId="36CA3220" w14:textId="77777777" w:rsidR="00787570" w:rsidRDefault="00787570">
            <w:pPr>
              <w:rPr>
                <w:rFonts w:ascii="宋体"/>
              </w:rPr>
            </w:pPr>
          </w:p>
        </w:tc>
        <w:tc>
          <w:tcPr>
            <w:tcW w:w="539" w:type="pct"/>
            <w:shd w:val="clear" w:color="auto" w:fill="auto"/>
          </w:tcPr>
          <w:p w14:paraId="36CA3221" w14:textId="77777777" w:rsidR="00787570" w:rsidRDefault="00787570">
            <w:pPr>
              <w:rPr>
                <w:rFonts w:ascii="宋体"/>
              </w:rPr>
            </w:pPr>
          </w:p>
        </w:tc>
        <w:tc>
          <w:tcPr>
            <w:tcW w:w="5" w:type="pct"/>
            <w:shd w:val="clear" w:color="auto" w:fill="auto"/>
          </w:tcPr>
          <w:p w14:paraId="36CA3222" w14:textId="77777777" w:rsidR="00787570" w:rsidRDefault="00787570">
            <w:pPr>
              <w:rPr>
                <w:rFonts w:ascii="宋体"/>
              </w:rPr>
            </w:pPr>
          </w:p>
        </w:tc>
        <w:tc>
          <w:tcPr>
            <w:tcW w:w="5" w:type="pct"/>
            <w:shd w:val="clear" w:color="auto" w:fill="auto"/>
          </w:tcPr>
          <w:p w14:paraId="36CA3223" w14:textId="77777777" w:rsidR="00787570" w:rsidRDefault="00787570">
            <w:pPr>
              <w:rPr>
                <w:rFonts w:ascii="宋体"/>
              </w:rPr>
            </w:pPr>
          </w:p>
        </w:tc>
        <w:tc>
          <w:tcPr>
            <w:tcW w:w="24" w:type="pct"/>
            <w:shd w:val="clear" w:color="auto" w:fill="auto"/>
          </w:tcPr>
          <w:p w14:paraId="36CA3224" w14:textId="77777777" w:rsidR="00787570" w:rsidRDefault="00787570">
            <w:pPr>
              <w:rPr>
                <w:rFonts w:ascii="宋体"/>
              </w:rPr>
            </w:pPr>
          </w:p>
        </w:tc>
        <w:tc>
          <w:tcPr>
            <w:tcW w:w="5" w:type="pct"/>
            <w:shd w:val="clear" w:color="auto" w:fill="auto"/>
          </w:tcPr>
          <w:p w14:paraId="36CA3225" w14:textId="77777777" w:rsidR="00787570" w:rsidRDefault="00787570">
            <w:pPr>
              <w:rPr>
                <w:rFonts w:ascii="宋体"/>
              </w:rPr>
            </w:pPr>
          </w:p>
        </w:tc>
        <w:tc>
          <w:tcPr>
            <w:tcW w:w="50" w:type="pct"/>
            <w:shd w:val="clear" w:color="auto" w:fill="auto"/>
          </w:tcPr>
          <w:p w14:paraId="36CA3226" w14:textId="77777777" w:rsidR="00787570" w:rsidRDefault="00787570">
            <w:pPr>
              <w:rPr>
                <w:rFonts w:ascii="宋体"/>
              </w:rPr>
            </w:pPr>
          </w:p>
        </w:tc>
        <w:tc>
          <w:tcPr>
            <w:tcW w:w="539" w:type="pct"/>
            <w:shd w:val="clear" w:color="auto" w:fill="auto"/>
          </w:tcPr>
          <w:p w14:paraId="36CA3227" w14:textId="77777777" w:rsidR="00787570" w:rsidRDefault="00787570">
            <w:pPr>
              <w:rPr>
                <w:rFonts w:ascii="宋体"/>
              </w:rPr>
            </w:pPr>
          </w:p>
        </w:tc>
        <w:tc>
          <w:tcPr>
            <w:tcW w:w="5" w:type="pct"/>
            <w:shd w:val="clear" w:color="auto" w:fill="auto"/>
          </w:tcPr>
          <w:p w14:paraId="36CA3228" w14:textId="77777777" w:rsidR="00787570" w:rsidRDefault="00787570">
            <w:pPr>
              <w:rPr>
                <w:rFonts w:ascii="宋体"/>
              </w:rPr>
            </w:pPr>
          </w:p>
        </w:tc>
        <w:tc>
          <w:tcPr>
            <w:tcW w:w="5" w:type="pct"/>
            <w:shd w:val="clear" w:color="auto" w:fill="auto"/>
          </w:tcPr>
          <w:p w14:paraId="36CA3229" w14:textId="77777777" w:rsidR="00787570" w:rsidRDefault="00787570">
            <w:pPr>
              <w:rPr>
                <w:rFonts w:ascii="宋体"/>
              </w:rPr>
            </w:pPr>
          </w:p>
        </w:tc>
        <w:tc>
          <w:tcPr>
            <w:tcW w:w="17" w:type="pct"/>
            <w:shd w:val="clear" w:color="auto" w:fill="auto"/>
          </w:tcPr>
          <w:p w14:paraId="36CA322A" w14:textId="77777777" w:rsidR="00787570" w:rsidRDefault="00787570">
            <w:pPr>
              <w:rPr>
                <w:rFonts w:ascii="宋体"/>
              </w:rPr>
            </w:pPr>
          </w:p>
        </w:tc>
        <w:tc>
          <w:tcPr>
            <w:tcW w:w="5" w:type="pct"/>
            <w:shd w:val="clear" w:color="auto" w:fill="auto"/>
          </w:tcPr>
          <w:p w14:paraId="36CA322B" w14:textId="77777777" w:rsidR="00787570" w:rsidRDefault="00787570">
            <w:pPr>
              <w:rPr>
                <w:rFonts w:ascii="宋体"/>
              </w:rPr>
            </w:pPr>
          </w:p>
        </w:tc>
        <w:tc>
          <w:tcPr>
            <w:tcW w:w="50" w:type="pct"/>
            <w:shd w:val="clear" w:color="auto" w:fill="auto"/>
          </w:tcPr>
          <w:p w14:paraId="36CA322C" w14:textId="77777777" w:rsidR="00787570" w:rsidRDefault="00787570">
            <w:pPr>
              <w:rPr>
                <w:rFonts w:ascii="宋体"/>
              </w:rPr>
            </w:pPr>
          </w:p>
        </w:tc>
        <w:tc>
          <w:tcPr>
            <w:tcW w:w="539" w:type="pct"/>
            <w:shd w:val="clear" w:color="auto" w:fill="auto"/>
          </w:tcPr>
          <w:p w14:paraId="36CA322D" w14:textId="77777777" w:rsidR="00787570" w:rsidRDefault="00787570">
            <w:pPr>
              <w:rPr>
                <w:rFonts w:ascii="宋体"/>
              </w:rPr>
            </w:pPr>
          </w:p>
        </w:tc>
        <w:tc>
          <w:tcPr>
            <w:tcW w:w="5" w:type="pct"/>
            <w:shd w:val="clear" w:color="auto" w:fill="auto"/>
          </w:tcPr>
          <w:p w14:paraId="36CA322E" w14:textId="77777777" w:rsidR="00787570" w:rsidRDefault="00787570">
            <w:pPr>
              <w:rPr>
                <w:rFonts w:ascii="宋体"/>
              </w:rPr>
            </w:pPr>
          </w:p>
        </w:tc>
        <w:tc>
          <w:tcPr>
            <w:tcW w:w="5" w:type="pct"/>
            <w:shd w:val="clear" w:color="auto" w:fill="auto"/>
          </w:tcPr>
          <w:p w14:paraId="36CA322F" w14:textId="77777777" w:rsidR="00787570" w:rsidRDefault="00787570">
            <w:pPr>
              <w:rPr>
                <w:rFonts w:ascii="宋体"/>
              </w:rPr>
            </w:pPr>
          </w:p>
        </w:tc>
        <w:tc>
          <w:tcPr>
            <w:tcW w:w="17" w:type="pct"/>
            <w:shd w:val="clear" w:color="auto" w:fill="auto"/>
          </w:tcPr>
          <w:p w14:paraId="36CA3230" w14:textId="77777777" w:rsidR="00787570" w:rsidRDefault="00787570">
            <w:pPr>
              <w:rPr>
                <w:rFonts w:ascii="宋体"/>
              </w:rPr>
            </w:pPr>
          </w:p>
        </w:tc>
        <w:tc>
          <w:tcPr>
            <w:tcW w:w="5" w:type="pct"/>
            <w:shd w:val="clear" w:color="auto" w:fill="auto"/>
          </w:tcPr>
          <w:p w14:paraId="36CA3231" w14:textId="77777777" w:rsidR="00787570" w:rsidRDefault="00787570">
            <w:pPr>
              <w:rPr>
                <w:rFonts w:ascii="宋体"/>
              </w:rPr>
            </w:pPr>
          </w:p>
        </w:tc>
        <w:tc>
          <w:tcPr>
            <w:tcW w:w="50" w:type="pct"/>
            <w:shd w:val="clear" w:color="auto" w:fill="auto"/>
          </w:tcPr>
          <w:p w14:paraId="36CA3232" w14:textId="77777777" w:rsidR="00787570" w:rsidRDefault="00787570">
            <w:pPr>
              <w:rPr>
                <w:rFonts w:ascii="宋体"/>
              </w:rPr>
            </w:pPr>
          </w:p>
        </w:tc>
        <w:tc>
          <w:tcPr>
            <w:tcW w:w="539" w:type="pct"/>
            <w:shd w:val="clear" w:color="auto" w:fill="auto"/>
          </w:tcPr>
          <w:p w14:paraId="36CA3233" w14:textId="77777777" w:rsidR="00787570" w:rsidRDefault="00787570">
            <w:pPr>
              <w:rPr>
                <w:rFonts w:ascii="宋体"/>
              </w:rPr>
            </w:pPr>
          </w:p>
        </w:tc>
        <w:tc>
          <w:tcPr>
            <w:tcW w:w="5" w:type="pct"/>
            <w:shd w:val="clear" w:color="auto" w:fill="auto"/>
          </w:tcPr>
          <w:p w14:paraId="36CA3234" w14:textId="77777777" w:rsidR="00787570" w:rsidRDefault="00787570">
            <w:pPr>
              <w:rPr>
                <w:rFonts w:ascii="宋体"/>
              </w:rPr>
            </w:pPr>
          </w:p>
        </w:tc>
      </w:tr>
      <w:tr w:rsidR="00787570" w14:paraId="36CA323F" w14:textId="77777777">
        <w:tc>
          <w:tcPr>
            <w:tcW w:w="0" w:type="auto"/>
            <w:gridSpan w:val="3"/>
            <w:shd w:val="clear" w:color="auto" w:fill="auto"/>
            <w:tcMar>
              <w:left w:w="20" w:type="dxa"/>
              <w:right w:w="20" w:type="dxa"/>
            </w:tcMar>
            <w:vAlign w:val="bottom"/>
          </w:tcPr>
          <w:p w14:paraId="36CA3236"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3237" w14:textId="77777777" w:rsidR="00787570" w:rsidRDefault="00787570">
            <w:pPr>
              <w:rPr>
                <w:rFonts w:ascii="宋体"/>
              </w:rPr>
            </w:pPr>
          </w:p>
        </w:tc>
        <w:tc>
          <w:tcPr>
            <w:tcW w:w="0" w:type="auto"/>
            <w:gridSpan w:val="9"/>
            <w:shd w:val="clear" w:color="auto" w:fill="auto"/>
            <w:tcMar>
              <w:top w:w="40" w:type="dxa"/>
              <w:left w:w="20" w:type="dxa"/>
              <w:bottom w:w="40" w:type="dxa"/>
              <w:right w:w="20" w:type="dxa"/>
            </w:tcMar>
            <w:vAlign w:val="bottom"/>
          </w:tcPr>
          <w:p w14:paraId="36CA3238" w14:textId="77777777" w:rsidR="00787570" w:rsidRDefault="000D56E2">
            <w:pPr>
              <w:jc w:val="center"/>
              <w:textAlignment w:val="bottom"/>
            </w:pPr>
            <w:r>
              <w:rPr>
                <w:rFonts w:ascii="Arial" w:eastAsia="宋体" w:hAnsi="Arial" w:cs="Arial"/>
                <w:b/>
                <w:bCs/>
                <w:color w:val="333333"/>
                <w:sz w:val="18"/>
                <w:szCs w:val="18"/>
              </w:rPr>
              <w:t>Three Months Ended</w:t>
            </w:r>
          </w:p>
        </w:tc>
        <w:tc>
          <w:tcPr>
            <w:tcW w:w="0" w:type="auto"/>
            <w:gridSpan w:val="3"/>
            <w:shd w:val="clear" w:color="auto" w:fill="auto"/>
          </w:tcPr>
          <w:p w14:paraId="36CA3239" w14:textId="77777777" w:rsidR="00787570" w:rsidRDefault="00787570">
            <w:pPr>
              <w:rPr>
                <w:rFonts w:ascii="宋体"/>
                <w:vanish/>
              </w:rPr>
            </w:pPr>
          </w:p>
        </w:tc>
        <w:tc>
          <w:tcPr>
            <w:tcW w:w="0" w:type="auto"/>
            <w:gridSpan w:val="3"/>
            <w:shd w:val="clear" w:color="auto" w:fill="auto"/>
          </w:tcPr>
          <w:p w14:paraId="36CA323A" w14:textId="77777777" w:rsidR="00787570" w:rsidRDefault="00787570">
            <w:pPr>
              <w:rPr>
                <w:rFonts w:ascii="宋体"/>
                <w:vanish/>
              </w:rPr>
            </w:pPr>
          </w:p>
        </w:tc>
        <w:tc>
          <w:tcPr>
            <w:tcW w:w="0" w:type="auto"/>
            <w:gridSpan w:val="3"/>
            <w:shd w:val="clear" w:color="auto" w:fill="auto"/>
            <w:tcMar>
              <w:left w:w="20" w:type="dxa"/>
              <w:right w:w="20" w:type="dxa"/>
            </w:tcMar>
            <w:vAlign w:val="bottom"/>
          </w:tcPr>
          <w:p w14:paraId="36CA323B" w14:textId="77777777" w:rsidR="00787570" w:rsidRDefault="00787570">
            <w:pPr>
              <w:rPr>
                <w:rFonts w:ascii="宋体"/>
              </w:rPr>
            </w:pPr>
          </w:p>
        </w:tc>
        <w:tc>
          <w:tcPr>
            <w:tcW w:w="0" w:type="auto"/>
            <w:gridSpan w:val="9"/>
            <w:shd w:val="clear" w:color="auto" w:fill="auto"/>
            <w:tcMar>
              <w:top w:w="40" w:type="dxa"/>
              <w:left w:w="20" w:type="dxa"/>
              <w:bottom w:w="40" w:type="dxa"/>
              <w:right w:w="20" w:type="dxa"/>
            </w:tcMar>
            <w:vAlign w:val="bottom"/>
          </w:tcPr>
          <w:p w14:paraId="36CA323C" w14:textId="77777777" w:rsidR="00787570" w:rsidRDefault="000D56E2">
            <w:pPr>
              <w:jc w:val="center"/>
              <w:textAlignment w:val="bottom"/>
            </w:pPr>
            <w:r>
              <w:rPr>
                <w:rFonts w:ascii="Arial" w:eastAsia="宋体" w:hAnsi="Arial" w:cs="Arial"/>
                <w:b/>
                <w:bCs/>
                <w:color w:val="333333"/>
                <w:sz w:val="18"/>
                <w:szCs w:val="18"/>
              </w:rPr>
              <w:t>Nine Months Ended</w:t>
            </w:r>
          </w:p>
        </w:tc>
        <w:tc>
          <w:tcPr>
            <w:tcW w:w="0" w:type="auto"/>
            <w:gridSpan w:val="3"/>
            <w:shd w:val="clear" w:color="auto" w:fill="auto"/>
          </w:tcPr>
          <w:p w14:paraId="36CA323D" w14:textId="77777777" w:rsidR="00787570" w:rsidRDefault="00787570">
            <w:pPr>
              <w:rPr>
                <w:rFonts w:ascii="宋体"/>
                <w:vanish/>
              </w:rPr>
            </w:pPr>
          </w:p>
        </w:tc>
        <w:tc>
          <w:tcPr>
            <w:tcW w:w="0" w:type="auto"/>
            <w:gridSpan w:val="3"/>
            <w:shd w:val="clear" w:color="auto" w:fill="auto"/>
          </w:tcPr>
          <w:p w14:paraId="36CA323E" w14:textId="77777777" w:rsidR="00787570" w:rsidRDefault="00787570">
            <w:pPr>
              <w:rPr>
                <w:rFonts w:ascii="宋体"/>
                <w:vanish/>
              </w:rPr>
            </w:pPr>
          </w:p>
        </w:tc>
      </w:tr>
      <w:tr w:rsidR="00787570" w14:paraId="36CA3255" w14:textId="77777777">
        <w:tc>
          <w:tcPr>
            <w:tcW w:w="0" w:type="auto"/>
            <w:gridSpan w:val="3"/>
            <w:shd w:val="clear" w:color="auto" w:fill="auto"/>
            <w:tcMar>
              <w:top w:w="40" w:type="dxa"/>
              <w:left w:w="20" w:type="dxa"/>
              <w:bottom w:w="40" w:type="dxa"/>
              <w:right w:w="20" w:type="dxa"/>
            </w:tcMar>
            <w:vAlign w:val="bottom"/>
          </w:tcPr>
          <w:p w14:paraId="36CA3240" w14:textId="77777777" w:rsidR="00787570" w:rsidRDefault="000D56E2">
            <w:pPr>
              <w:textAlignment w:val="bottom"/>
            </w:pPr>
            <w:r>
              <w:rPr>
                <w:rFonts w:ascii="Arial" w:eastAsia="宋体" w:hAnsi="Arial" w:cs="Arial"/>
                <w:b/>
                <w:bCs/>
                <w:color w:val="333333"/>
                <w:sz w:val="18"/>
                <w:szCs w:val="18"/>
              </w:rPr>
              <w:t>(In Millions)</w:t>
            </w:r>
          </w:p>
        </w:tc>
        <w:tc>
          <w:tcPr>
            <w:tcW w:w="0" w:type="auto"/>
            <w:gridSpan w:val="3"/>
            <w:shd w:val="clear" w:color="auto" w:fill="auto"/>
            <w:tcMar>
              <w:left w:w="20" w:type="dxa"/>
              <w:right w:w="20" w:type="dxa"/>
            </w:tcMar>
            <w:vAlign w:val="bottom"/>
          </w:tcPr>
          <w:p w14:paraId="36CA3241" w14:textId="77777777" w:rsidR="00787570" w:rsidRDefault="00787570">
            <w:pPr>
              <w:rPr>
                <w:rFonts w:ascii="宋体"/>
              </w:rPr>
            </w:pPr>
          </w:p>
        </w:tc>
        <w:tc>
          <w:tcPr>
            <w:tcW w:w="0" w:type="auto"/>
            <w:gridSpan w:val="3"/>
            <w:tcBorders>
              <w:top w:val="single" w:sz="8" w:space="0" w:color="0071C5"/>
            </w:tcBorders>
            <w:shd w:val="clear" w:color="auto" w:fill="auto"/>
            <w:tcMar>
              <w:top w:w="40" w:type="dxa"/>
              <w:left w:w="20" w:type="dxa"/>
              <w:bottom w:w="40" w:type="dxa"/>
              <w:right w:w="20" w:type="dxa"/>
            </w:tcMar>
            <w:vAlign w:val="bottom"/>
          </w:tcPr>
          <w:p w14:paraId="36CA3242" w14:textId="77777777" w:rsidR="00787570" w:rsidRDefault="000D56E2">
            <w:pPr>
              <w:jc w:val="center"/>
              <w:textAlignment w:val="bottom"/>
            </w:pPr>
            <w:r>
              <w:rPr>
                <w:rFonts w:ascii="Arial" w:eastAsia="宋体" w:hAnsi="Arial" w:cs="Arial"/>
                <w:b/>
                <w:bCs/>
                <w:color w:val="333333"/>
                <w:sz w:val="18"/>
                <w:szCs w:val="18"/>
              </w:rPr>
              <w:t>Sep 26, 2020</w:t>
            </w:r>
          </w:p>
        </w:tc>
        <w:tc>
          <w:tcPr>
            <w:tcW w:w="0" w:type="auto"/>
            <w:gridSpan w:val="3"/>
            <w:tcBorders>
              <w:top w:val="single" w:sz="8" w:space="0" w:color="0071C5"/>
            </w:tcBorders>
            <w:shd w:val="clear" w:color="auto" w:fill="auto"/>
            <w:tcMar>
              <w:left w:w="20" w:type="dxa"/>
              <w:right w:w="20" w:type="dxa"/>
            </w:tcMar>
            <w:vAlign w:val="bottom"/>
          </w:tcPr>
          <w:p w14:paraId="36CA3243" w14:textId="77777777" w:rsidR="00787570" w:rsidRDefault="00787570">
            <w:pPr>
              <w:rPr>
                <w:rFonts w:ascii="宋体"/>
              </w:rPr>
            </w:pPr>
          </w:p>
        </w:tc>
        <w:tc>
          <w:tcPr>
            <w:tcW w:w="0" w:type="auto"/>
            <w:gridSpan w:val="3"/>
            <w:tcBorders>
              <w:top w:val="single" w:sz="8" w:space="0" w:color="0071C5"/>
            </w:tcBorders>
            <w:shd w:val="clear" w:color="auto" w:fill="auto"/>
            <w:tcMar>
              <w:top w:w="40" w:type="dxa"/>
              <w:left w:w="20" w:type="dxa"/>
              <w:bottom w:w="40" w:type="dxa"/>
              <w:right w:w="20" w:type="dxa"/>
            </w:tcMar>
            <w:vAlign w:val="bottom"/>
          </w:tcPr>
          <w:p w14:paraId="36CA3244" w14:textId="77777777" w:rsidR="00787570" w:rsidRDefault="000D56E2">
            <w:pPr>
              <w:jc w:val="center"/>
              <w:textAlignment w:val="bottom"/>
            </w:pPr>
            <w:r>
              <w:rPr>
                <w:rFonts w:ascii="Arial" w:eastAsia="宋体" w:hAnsi="Arial" w:cs="Arial"/>
                <w:b/>
                <w:bCs/>
                <w:color w:val="333333"/>
                <w:sz w:val="18"/>
                <w:szCs w:val="18"/>
              </w:rPr>
              <w:t>Sep 28, 2019</w:t>
            </w:r>
          </w:p>
        </w:tc>
        <w:tc>
          <w:tcPr>
            <w:tcW w:w="0" w:type="auto"/>
            <w:gridSpan w:val="3"/>
            <w:shd w:val="clear" w:color="auto" w:fill="auto"/>
            <w:tcMar>
              <w:left w:w="20" w:type="dxa"/>
              <w:right w:w="20" w:type="dxa"/>
            </w:tcMar>
            <w:vAlign w:val="bottom"/>
          </w:tcPr>
          <w:p w14:paraId="36CA3245" w14:textId="77777777" w:rsidR="00787570" w:rsidRDefault="00787570">
            <w:pPr>
              <w:rPr>
                <w:rFonts w:ascii="宋体"/>
              </w:rPr>
            </w:pPr>
          </w:p>
        </w:tc>
        <w:tc>
          <w:tcPr>
            <w:tcW w:w="0" w:type="auto"/>
            <w:gridSpan w:val="3"/>
            <w:tcBorders>
              <w:top w:val="single" w:sz="8" w:space="0" w:color="0071C5"/>
            </w:tcBorders>
            <w:shd w:val="clear" w:color="auto" w:fill="auto"/>
            <w:tcMar>
              <w:top w:w="40" w:type="dxa"/>
              <w:left w:w="20" w:type="dxa"/>
              <w:bottom w:w="40" w:type="dxa"/>
              <w:right w:w="20" w:type="dxa"/>
            </w:tcMar>
            <w:vAlign w:val="bottom"/>
          </w:tcPr>
          <w:p w14:paraId="36CA3246" w14:textId="77777777" w:rsidR="00787570" w:rsidRDefault="000D56E2">
            <w:pPr>
              <w:jc w:val="center"/>
              <w:textAlignment w:val="bottom"/>
            </w:pPr>
            <w:r>
              <w:rPr>
                <w:rFonts w:ascii="Arial" w:eastAsia="宋体" w:hAnsi="Arial" w:cs="Arial"/>
                <w:b/>
                <w:bCs/>
                <w:color w:val="333333"/>
                <w:sz w:val="18"/>
                <w:szCs w:val="18"/>
              </w:rPr>
              <w:t>Sep 26, 2020</w:t>
            </w:r>
          </w:p>
        </w:tc>
        <w:tc>
          <w:tcPr>
            <w:tcW w:w="0" w:type="auto"/>
            <w:gridSpan w:val="3"/>
            <w:tcBorders>
              <w:top w:val="single" w:sz="8" w:space="0" w:color="0071C5"/>
            </w:tcBorders>
            <w:shd w:val="clear" w:color="auto" w:fill="auto"/>
            <w:tcMar>
              <w:left w:w="20" w:type="dxa"/>
              <w:right w:w="20" w:type="dxa"/>
            </w:tcMar>
            <w:vAlign w:val="bottom"/>
          </w:tcPr>
          <w:p w14:paraId="36CA3247" w14:textId="77777777" w:rsidR="00787570" w:rsidRDefault="00787570">
            <w:pPr>
              <w:rPr>
                <w:rFonts w:ascii="宋体"/>
              </w:rPr>
            </w:pPr>
          </w:p>
        </w:tc>
        <w:tc>
          <w:tcPr>
            <w:tcW w:w="0" w:type="auto"/>
            <w:gridSpan w:val="3"/>
            <w:tcBorders>
              <w:top w:val="single" w:sz="8" w:space="0" w:color="0071C5"/>
            </w:tcBorders>
            <w:shd w:val="clear" w:color="auto" w:fill="auto"/>
            <w:tcMar>
              <w:top w:w="40" w:type="dxa"/>
              <w:left w:w="20" w:type="dxa"/>
              <w:bottom w:w="40" w:type="dxa"/>
              <w:right w:w="20" w:type="dxa"/>
            </w:tcMar>
            <w:vAlign w:val="bottom"/>
          </w:tcPr>
          <w:p w14:paraId="36CA3248" w14:textId="77777777" w:rsidR="00787570" w:rsidRDefault="000D56E2">
            <w:pPr>
              <w:jc w:val="center"/>
              <w:textAlignment w:val="bottom"/>
            </w:pPr>
            <w:r>
              <w:rPr>
                <w:rFonts w:ascii="Arial" w:eastAsia="宋体" w:hAnsi="Arial" w:cs="Arial"/>
                <w:b/>
                <w:bCs/>
                <w:color w:val="333333"/>
                <w:sz w:val="18"/>
                <w:szCs w:val="18"/>
              </w:rPr>
              <w:t>Sep 28, 2019</w:t>
            </w:r>
          </w:p>
        </w:tc>
        <w:tc>
          <w:tcPr>
            <w:tcW w:w="0" w:type="auto"/>
            <w:shd w:val="clear" w:color="auto" w:fill="auto"/>
          </w:tcPr>
          <w:p w14:paraId="36CA3249" w14:textId="77777777" w:rsidR="00787570" w:rsidRDefault="00787570">
            <w:pPr>
              <w:rPr>
                <w:rFonts w:ascii="宋体"/>
              </w:rPr>
            </w:pPr>
          </w:p>
        </w:tc>
        <w:tc>
          <w:tcPr>
            <w:tcW w:w="0" w:type="auto"/>
            <w:shd w:val="clear" w:color="auto" w:fill="auto"/>
          </w:tcPr>
          <w:p w14:paraId="36CA324A" w14:textId="77777777" w:rsidR="00787570" w:rsidRDefault="00787570">
            <w:pPr>
              <w:rPr>
                <w:rFonts w:ascii="宋体"/>
              </w:rPr>
            </w:pPr>
          </w:p>
        </w:tc>
        <w:tc>
          <w:tcPr>
            <w:tcW w:w="0" w:type="auto"/>
            <w:shd w:val="clear" w:color="auto" w:fill="auto"/>
          </w:tcPr>
          <w:p w14:paraId="36CA324B" w14:textId="77777777" w:rsidR="00787570" w:rsidRDefault="00787570">
            <w:pPr>
              <w:rPr>
                <w:rFonts w:ascii="宋体"/>
              </w:rPr>
            </w:pPr>
          </w:p>
        </w:tc>
        <w:tc>
          <w:tcPr>
            <w:tcW w:w="0" w:type="auto"/>
            <w:shd w:val="clear" w:color="auto" w:fill="auto"/>
          </w:tcPr>
          <w:p w14:paraId="36CA324C" w14:textId="77777777" w:rsidR="00787570" w:rsidRDefault="00787570">
            <w:pPr>
              <w:rPr>
                <w:rFonts w:ascii="宋体"/>
              </w:rPr>
            </w:pPr>
          </w:p>
        </w:tc>
        <w:tc>
          <w:tcPr>
            <w:tcW w:w="0" w:type="auto"/>
            <w:shd w:val="clear" w:color="auto" w:fill="auto"/>
          </w:tcPr>
          <w:p w14:paraId="36CA324D" w14:textId="77777777" w:rsidR="00787570" w:rsidRDefault="00787570">
            <w:pPr>
              <w:rPr>
                <w:rFonts w:ascii="宋体"/>
              </w:rPr>
            </w:pPr>
          </w:p>
        </w:tc>
        <w:tc>
          <w:tcPr>
            <w:tcW w:w="0" w:type="auto"/>
            <w:shd w:val="clear" w:color="auto" w:fill="auto"/>
          </w:tcPr>
          <w:p w14:paraId="36CA324E" w14:textId="77777777" w:rsidR="00787570" w:rsidRDefault="00787570">
            <w:pPr>
              <w:rPr>
                <w:rFonts w:ascii="宋体"/>
              </w:rPr>
            </w:pPr>
          </w:p>
        </w:tc>
        <w:tc>
          <w:tcPr>
            <w:tcW w:w="0" w:type="auto"/>
            <w:shd w:val="clear" w:color="auto" w:fill="auto"/>
          </w:tcPr>
          <w:p w14:paraId="36CA324F" w14:textId="77777777" w:rsidR="00787570" w:rsidRDefault="00787570">
            <w:pPr>
              <w:rPr>
                <w:rFonts w:ascii="宋体"/>
              </w:rPr>
            </w:pPr>
          </w:p>
        </w:tc>
        <w:tc>
          <w:tcPr>
            <w:tcW w:w="0" w:type="auto"/>
            <w:shd w:val="clear" w:color="auto" w:fill="auto"/>
          </w:tcPr>
          <w:p w14:paraId="36CA3250" w14:textId="77777777" w:rsidR="00787570" w:rsidRDefault="00787570">
            <w:pPr>
              <w:rPr>
                <w:rFonts w:ascii="宋体"/>
              </w:rPr>
            </w:pPr>
          </w:p>
        </w:tc>
        <w:tc>
          <w:tcPr>
            <w:tcW w:w="0" w:type="auto"/>
            <w:shd w:val="clear" w:color="auto" w:fill="auto"/>
          </w:tcPr>
          <w:p w14:paraId="36CA3251" w14:textId="77777777" w:rsidR="00787570" w:rsidRDefault="00787570">
            <w:pPr>
              <w:rPr>
                <w:rFonts w:ascii="宋体"/>
              </w:rPr>
            </w:pPr>
          </w:p>
        </w:tc>
        <w:tc>
          <w:tcPr>
            <w:tcW w:w="0" w:type="auto"/>
            <w:shd w:val="clear" w:color="auto" w:fill="auto"/>
          </w:tcPr>
          <w:p w14:paraId="36CA3252" w14:textId="77777777" w:rsidR="00787570" w:rsidRDefault="00787570">
            <w:pPr>
              <w:rPr>
                <w:rFonts w:ascii="宋体"/>
              </w:rPr>
            </w:pPr>
          </w:p>
        </w:tc>
        <w:tc>
          <w:tcPr>
            <w:tcW w:w="0" w:type="auto"/>
            <w:shd w:val="clear" w:color="auto" w:fill="auto"/>
          </w:tcPr>
          <w:p w14:paraId="36CA3253" w14:textId="77777777" w:rsidR="00787570" w:rsidRDefault="00787570">
            <w:pPr>
              <w:rPr>
                <w:rFonts w:ascii="宋体"/>
              </w:rPr>
            </w:pPr>
          </w:p>
        </w:tc>
        <w:tc>
          <w:tcPr>
            <w:tcW w:w="0" w:type="auto"/>
            <w:shd w:val="clear" w:color="auto" w:fill="auto"/>
          </w:tcPr>
          <w:p w14:paraId="36CA3254" w14:textId="77777777" w:rsidR="00787570" w:rsidRDefault="00787570">
            <w:pPr>
              <w:rPr>
                <w:rFonts w:ascii="宋体"/>
              </w:rPr>
            </w:pPr>
          </w:p>
        </w:tc>
      </w:tr>
      <w:tr w:rsidR="00787570" w14:paraId="36CA3273" w14:textId="77777777">
        <w:tc>
          <w:tcPr>
            <w:tcW w:w="0" w:type="auto"/>
            <w:gridSpan w:val="3"/>
            <w:tcBorders>
              <w:top w:val="single" w:sz="8" w:space="0" w:color="0071C5"/>
            </w:tcBorders>
            <w:shd w:val="clear" w:color="auto" w:fill="auto"/>
            <w:tcMar>
              <w:top w:w="40" w:type="dxa"/>
              <w:left w:w="20" w:type="dxa"/>
              <w:bottom w:w="40" w:type="dxa"/>
              <w:right w:w="20" w:type="dxa"/>
            </w:tcMar>
          </w:tcPr>
          <w:p w14:paraId="36CA3256" w14:textId="77777777" w:rsidR="00787570" w:rsidRDefault="000D56E2">
            <w:pPr>
              <w:textAlignment w:val="top"/>
            </w:pPr>
            <w:r>
              <w:rPr>
                <w:rFonts w:ascii="Arial" w:eastAsia="宋体" w:hAnsi="Arial" w:cs="Arial"/>
                <w:color w:val="333333"/>
                <w:sz w:val="18"/>
                <w:szCs w:val="18"/>
              </w:rPr>
              <w:t xml:space="preserve">Net </w:t>
            </w:r>
            <w:r>
              <w:rPr>
                <w:rFonts w:ascii="Arial" w:eastAsia="宋体" w:hAnsi="Arial" w:cs="Arial"/>
                <w:color w:val="333333"/>
                <w:sz w:val="18"/>
                <w:szCs w:val="18"/>
              </w:rPr>
              <w:t>gains (losses) recognized during the period on equity securities</w:t>
            </w:r>
          </w:p>
        </w:tc>
        <w:tc>
          <w:tcPr>
            <w:tcW w:w="0" w:type="auto"/>
            <w:gridSpan w:val="3"/>
            <w:shd w:val="clear" w:color="auto" w:fill="auto"/>
            <w:tcMar>
              <w:left w:w="20" w:type="dxa"/>
              <w:right w:w="20" w:type="dxa"/>
            </w:tcMar>
            <w:vAlign w:val="bottom"/>
          </w:tcPr>
          <w:p w14:paraId="36CA3257" w14:textId="77777777" w:rsidR="00787570" w:rsidRDefault="00787570">
            <w:pPr>
              <w:rPr>
                <w:rFonts w:ascii="宋体"/>
              </w:rPr>
            </w:pPr>
          </w:p>
        </w:tc>
        <w:tc>
          <w:tcPr>
            <w:tcW w:w="0" w:type="auto"/>
            <w:tcBorders>
              <w:top w:val="single" w:sz="8" w:space="0" w:color="0071C5"/>
            </w:tcBorders>
            <w:shd w:val="clear" w:color="auto" w:fill="auto"/>
            <w:tcMar>
              <w:top w:w="40" w:type="dxa"/>
              <w:left w:w="20" w:type="dxa"/>
              <w:bottom w:w="40" w:type="dxa"/>
            </w:tcMar>
            <w:vAlign w:val="bottom"/>
          </w:tcPr>
          <w:p w14:paraId="36CA3258" w14:textId="77777777" w:rsidR="00787570" w:rsidRDefault="000D56E2">
            <w:pPr>
              <w:textAlignment w:val="bottom"/>
            </w:pPr>
            <w:r>
              <w:rPr>
                <w:rFonts w:ascii="Arial" w:eastAsia="宋体" w:hAnsi="Arial" w:cs="Arial"/>
                <w:color w:val="026DCE"/>
                <w:sz w:val="18"/>
                <w:szCs w:val="18"/>
              </w:rPr>
              <w:t>$</w:t>
            </w:r>
          </w:p>
        </w:tc>
        <w:tc>
          <w:tcPr>
            <w:tcW w:w="0" w:type="auto"/>
            <w:tcBorders>
              <w:top w:val="single" w:sz="8" w:space="0" w:color="0071C5"/>
            </w:tcBorders>
            <w:shd w:val="clear" w:color="auto" w:fill="auto"/>
            <w:tcMar>
              <w:top w:w="40" w:type="dxa"/>
              <w:bottom w:w="40" w:type="dxa"/>
              <w:right w:w="0" w:type="dxa"/>
            </w:tcMar>
            <w:vAlign w:val="bottom"/>
          </w:tcPr>
          <w:p w14:paraId="36CA3259" w14:textId="77777777" w:rsidR="00787570" w:rsidRDefault="000D56E2">
            <w:pPr>
              <w:jc w:val="right"/>
              <w:textAlignment w:val="bottom"/>
            </w:pPr>
            <w:r>
              <w:rPr>
                <w:rFonts w:ascii="Arial" w:eastAsia="宋体" w:hAnsi="Arial" w:cs="Arial"/>
                <w:color w:val="026DCE"/>
                <w:sz w:val="18"/>
                <w:szCs w:val="18"/>
              </w:rPr>
              <w:t>19 </w:t>
            </w:r>
          </w:p>
        </w:tc>
        <w:tc>
          <w:tcPr>
            <w:tcW w:w="0" w:type="auto"/>
            <w:tcBorders>
              <w:top w:val="single" w:sz="8" w:space="0" w:color="0071C5"/>
            </w:tcBorders>
            <w:shd w:val="clear" w:color="auto" w:fill="auto"/>
            <w:tcMar>
              <w:top w:w="40" w:type="dxa"/>
              <w:bottom w:w="40" w:type="dxa"/>
              <w:right w:w="20" w:type="dxa"/>
            </w:tcMar>
            <w:vAlign w:val="bottom"/>
          </w:tcPr>
          <w:p w14:paraId="36CA325A"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325B" w14:textId="77777777" w:rsidR="00787570" w:rsidRDefault="00787570">
            <w:pPr>
              <w:rPr>
                <w:rFonts w:ascii="宋体"/>
              </w:rPr>
            </w:pPr>
          </w:p>
        </w:tc>
        <w:tc>
          <w:tcPr>
            <w:tcW w:w="0" w:type="auto"/>
            <w:tcBorders>
              <w:top w:val="single" w:sz="8" w:space="0" w:color="0071C5"/>
            </w:tcBorders>
            <w:shd w:val="clear" w:color="auto" w:fill="auto"/>
            <w:tcMar>
              <w:top w:w="40" w:type="dxa"/>
              <w:left w:w="20" w:type="dxa"/>
              <w:bottom w:w="40" w:type="dxa"/>
            </w:tcMar>
            <w:vAlign w:val="bottom"/>
          </w:tcPr>
          <w:p w14:paraId="36CA325C" w14:textId="77777777" w:rsidR="00787570" w:rsidRDefault="000D56E2">
            <w:pPr>
              <w:textAlignment w:val="bottom"/>
            </w:pPr>
            <w:r>
              <w:rPr>
                <w:rFonts w:ascii="Arial" w:eastAsia="宋体" w:hAnsi="Arial" w:cs="Arial"/>
                <w:color w:val="333333"/>
                <w:sz w:val="18"/>
                <w:szCs w:val="18"/>
              </w:rPr>
              <w:t>$</w:t>
            </w:r>
          </w:p>
        </w:tc>
        <w:tc>
          <w:tcPr>
            <w:tcW w:w="0" w:type="auto"/>
            <w:tcBorders>
              <w:top w:val="single" w:sz="8" w:space="0" w:color="0071C5"/>
            </w:tcBorders>
            <w:shd w:val="clear" w:color="auto" w:fill="auto"/>
            <w:tcMar>
              <w:top w:w="40" w:type="dxa"/>
              <w:bottom w:w="40" w:type="dxa"/>
              <w:right w:w="0" w:type="dxa"/>
            </w:tcMar>
            <w:vAlign w:val="bottom"/>
          </w:tcPr>
          <w:p w14:paraId="36CA325D" w14:textId="77777777" w:rsidR="00787570" w:rsidRDefault="000D56E2">
            <w:pPr>
              <w:jc w:val="right"/>
              <w:textAlignment w:val="bottom"/>
            </w:pPr>
            <w:r>
              <w:rPr>
                <w:rFonts w:ascii="Arial" w:eastAsia="宋体" w:hAnsi="Arial" w:cs="Arial"/>
                <w:color w:val="333333"/>
                <w:sz w:val="18"/>
                <w:szCs w:val="18"/>
              </w:rPr>
              <w:t>281 </w:t>
            </w:r>
          </w:p>
        </w:tc>
        <w:tc>
          <w:tcPr>
            <w:tcW w:w="0" w:type="auto"/>
            <w:tcBorders>
              <w:top w:val="single" w:sz="8" w:space="0" w:color="0071C5"/>
            </w:tcBorders>
            <w:shd w:val="clear" w:color="auto" w:fill="auto"/>
            <w:tcMar>
              <w:top w:w="40" w:type="dxa"/>
              <w:bottom w:w="40" w:type="dxa"/>
              <w:right w:w="20" w:type="dxa"/>
            </w:tcMar>
            <w:vAlign w:val="bottom"/>
          </w:tcPr>
          <w:p w14:paraId="36CA325E"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325F" w14:textId="77777777" w:rsidR="00787570" w:rsidRDefault="00787570">
            <w:pPr>
              <w:rPr>
                <w:rFonts w:ascii="宋体"/>
              </w:rPr>
            </w:pPr>
          </w:p>
        </w:tc>
        <w:tc>
          <w:tcPr>
            <w:tcW w:w="0" w:type="auto"/>
            <w:tcBorders>
              <w:top w:val="single" w:sz="8" w:space="0" w:color="0071C5"/>
            </w:tcBorders>
            <w:shd w:val="clear" w:color="auto" w:fill="auto"/>
            <w:tcMar>
              <w:top w:w="40" w:type="dxa"/>
              <w:left w:w="20" w:type="dxa"/>
              <w:bottom w:w="40" w:type="dxa"/>
            </w:tcMar>
            <w:vAlign w:val="bottom"/>
          </w:tcPr>
          <w:p w14:paraId="36CA3260" w14:textId="77777777" w:rsidR="00787570" w:rsidRDefault="000D56E2">
            <w:pPr>
              <w:textAlignment w:val="bottom"/>
            </w:pPr>
            <w:r>
              <w:rPr>
                <w:rFonts w:ascii="Arial" w:eastAsia="宋体" w:hAnsi="Arial" w:cs="Arial"/>
                <w:color w:val="026DCE"/>
                <w:sz w:val="18"/>
                <w:szCs w:val="18"/>
              </w:rPr>
              <w:t>$</w:t>
            </w:r>
          </w:p>
        </w:tc>
        <w:tc>
          <w:tcPr>
            <w:tcW w:w="0" w:type="auto"/>
            <w:tcBorders>
              <w:top w:val="single" w:sz="8" w:space="0" w:color="0071C5"/>
            </w:tcBorders>
            <w:shd w:val="clear" w:color="auto" w:fill="auto"/>
            <w:tcMar>
              <w:top w:w="40" w:type="dxa"/>
              <w:bottom w:w="40" w:type="dxa"/>
              <w:right w:w="0" w:type="dxa"/>
            </w:tcMar>
            <w:vAlign w:val="bottom"/>
          </w:tcPr>
          <w:p w14:paraId="36CA3261" w14:textId="77777777" w:rsidR="00787570" w:rsidRDefault="000D56E2">
            <w:pPr>
              <w:jc w:val="right"/>
              <w:textAlignment w:val="bottom"/>
            </w:pPr>
            <w:r>
              <w:rPr>
                <w:rFonts w:ascii="Arial" w:eastAsia="宋体" w:hAnsi="Arial" w:cs="Arial"/>
                <w:color w:val="026DCE"/>
                <w:sz w:val="18"/>
                <w:szCs w:val="18"/>
              </w:rPr>
              <w:t>102 </w:t>
            </w:r>
          </w:p>
        </w:tc>
        <w:tc>
          <w:tcPr>
            <w:tcW w:w="0" w:type="auto"/>
            <w:tcBorders>
              <w:top w:val="single" w:sz="8" w:space="0" w:color="0071C5"/>
            </w:tcBorders>
            <w:shd w:val="clear" w:color="auto" w:fill="auto"/>
            <w:tcMar>
              <w:top w:w="40" w:type="dxa"/>
              <w:bottom w:w="40" w:type="dxa"/>
              <w:right w:w="20" w:type="dxa"/>
            </w:tcMar>
            <w:vAlign w:val="bottom"/>
          </w:tcPr>
          <w:p w14:paraId="36CA3262"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3263" w14:textId="77777777" w:rsidR="00787570" w:rsidRDefault="00787570">
            <w:pPr>
              <w:rPr>
                <w:rFonts w:ascii="宋体"/>
              </w:rPr>
            </w:pPr>
          </w:p>
        </w:tc>
        <w:tc>
          <w:tcPr>
            <w:tcW w:w="0" w:type="auto"/>
            <w:tcBorders>
              <w:top w:val="single" w:sz="8" w:space="0" w:color="0071C5"/>
            </w:tcBorders>
            <w:shd w:val="clear" w:color="auto" w:fill="auto"/>
            <w:tcMar>
              <w:top w:w="40" w:type="dxa"/>
              <w:left w:w="20" w:type="dxa"/>
              <w:bottom w:w="40" w:type="dxa"/>
            </w:tcMar>
            <w:vAlign w:val="bottom"/>
          </w:tcPr>
          <w:p w14:paraId="36CA3264" w14:textId="77777777" w:rsidR="00787570" w:rsidRDefault="000D56E2">
            <w:pPr>
              <w:textAlignment w:val="bottom"/>
            </w:pPr>
            <w:r>
              <w:rPr>
                <w:rFonts w:ascii="Arial" w:eastAsia="宋体" w:hAnsi="Arial" w:cs="Arial"/>
                <w:color w:val="333333"/>
                <w:sz w:val="18"/>
                <w:szCs w:val="18"/>
              </w:rPr>
              <w:t>$</w:t>
            </w:r>
          </w:p>
        </w:tc>
        <w:tc>
          <w:tcPr>
            <w:tcW w:w="0" w:type="auto"/>
            <w:tcBorders>
              <w:top w:val="single" w:sz="8" w:space="0" w:color="0071C5"/>
            </w:tcBorders>
            <w:shd w:val="clear" w:color="auto" w:fill="auto"/>
            <w:tcMar>
              <w:top w:w="40" w:type="dxa"/>
              <w:bottom w:w="40" w:type="dxa"/>
              <w:right w:w="0" w:type="dxa"/>
            </w:tcMar>
            <w:vAlign w:val="bottom"/>
          </w:tcPr>
          <w:p w14:paraId="36CA3265" w14:textId="77777777" w:rsidR="00787570" w:rsidRDefault="000D56E2">
            <w:pPr>
              <w:jc w:val="right"/>
              <w:textAlignment w:val="bottom"/>
            </w:pPr>
            <w:r>
              <w:rPr>
                <w:rFonts w:ascii="Arial" w:eastAsia="宋体" w:hAnsi="Arial" w:cs="Arial"/>
                <w:color w:val="333333"/>
                <w:sz w:val="18"/>
                <w:szCs w:val="18"/>
              </w:rPr>
              <w:t>366 </w:t>
            </w:r>
          </w:p>
        </w:tc>
        <w:tc>
          <w:tcPr>
            <w:tcW w:w="0" w:type="auto"/>
            <w:tcBorders>
              <w:top w:val="single" w:sz="8" w:space="0" w:color="0071C5"/>
            </w:tcBorders>
            <w:shd w:val="clear" w:color="auto" w:fill="auto"/>
            <w:tcMar>
              <w:top w:w="40" w:type="dxa"/>
              <w:bottom w:w="40" w:type="dxa"/>
              <w:right w:w="20" w:type="dxa"/>
            </w:tcMar>
            <w:vAlign w:val="bottom"/>
          </w:tcPr>
          <w:p w14:paraId="36CA3266" w14:textId="77777777" w:rsidR="00787570" w:rsidRDefault="00787570">
            <w:pPr>
              <w:jc w:val="right"/>
              <w:rPr>
                <w:rFonts w:ascii="宋体"/>
              </w:rPr>
            </w:pPr>
          </w:p>
        </w:tc>
        <w:tc>
          <w:tcPr>
            <w:tcW w:w="0" w:type="auto"/>
            <w:shd w:val="clear" w:color="auto" w:fill="auto"/>
          </w:tcPr>
          <w:p w14:paraId="36CA3267" w14:textId="77777777" w:rsidR="00787570" w:rsidRDefault="00787570">
            <w:pPr>
              <w:rPr>
                <w:rFonts w:ascii="宋体"/>
              </w:rPr>
            </w:pPr>
          </w:p>
        </w:tc>
        <w:tc>
          <w:tcPr>
            <w:tcW w:w="0" w:type="auto"/>
            <w:shd w:val="clear" w:color="auto" w:fill="auto"/>
          </w:tcPr>
          <w:p w14:paraId="36CA3268" w14:textId="77777777" w:rsidR="00787570" w:rsidRDefault="00787570">
            <w:pPr>
              <w:rPr>
                <w:rFonts w:ascii="宋体"/>
              </w:rPr>
            </w:pPr>
          </w:p>
        </w:tc>
        <w:tc>
          <w:tcPr>
            <w:tcW w:w="0" w:type="auto"/>
            <w:shd w:val="clear" w:color="auto" w:fill="auto"/>
          </w:tcPr>
          <w:p w14:paraId="36CA3269" w14:textId="77777777" w:rsidR="00787570" w:rsidRDefault="00787570">
            <w:pPr>
              <w:rPr>
                <w:rFonts w:ascii="宋体"/>
              </w:rPr>
            </w:pPr>
          </w:p>
        </w:tc>
        <w:tc>
          <w:tcPr>
            <w:tcW w:w="0" w:type="auto"/>
            <w:shd w:val="clear" w:color="auto" w:fill="auto"/>
          </w:tcPr>
          <w:p w14:paraId="36CA326A" w14:textId="77777777" w:rsidR="00787570" w:rsidRDefault="00787570">
            <w:pPr>
              <w:rPr>
                <w:rFonts w:ascii="宋体"/>
              </w:rPr>
            </w:pPr>
          </w:p>
        </w:tc>
        <w:tc>
          <w:tcPr>
            <w:tcW w:w="0" w:type="auto"/>
            <w:shd w:val="clear" w:color="auto" w:fill="auto"/>
          </w:tcPr>
          <w:p w14:paraId="36CA326B" w14:textId="77777777" w:rsidR="00787570" w:rsidRDefault="00787570">
            <w:pPr>
              <w:rPr>
                <w:rFonts w:ascii="宋体"/>
              </w:rPr>
            </w:pPr>
          </w:p>
        </w:tc>
        <w:tc>
          <w:tcPr>
            <w:tcW w:w="0" w:type="auto"/>
            <w:shd w:val="clear" w:color="auto" w:fill="auto"/>
          </w:tcPr>
          <w:p w14:paraId="36CA326C" w14:textId="77777777" w:rsidR="00787570" w:rsidRDefault="00787570">
            <w:pPr>
              <w:rPr>
                <w:rFonts w:ascii="宋体"/>
              </w:rPr>
            </w:pPr>
          </w:p>
        </w:tc>
        <w:tc>
          <w:tcPr>
            <w:tcW w:w="0" w:type="auto"/>
            <w:shd w:val="clear" w:color="auto" w:fill="auto"/>
          </w:tcPr>
          <w:p w14:paraId="36CA326D" w14:textId="77777777" w:rsidR="00787570" w:rsidRDefault="00787570">
            <w:pPr>
              <w:rPr>
                <w:rFonts w:ascii="宋体"/>
              </w:rPr>
            </w:pPr>
          </w:p>
        </w:tc>
        <w:tc>
          <w:tcPr>
            <w:tcW w:w="0" w:type="auto"/>
            <w:shd w:val="clear" w:color="auto" w:fill="auto"/>
          </w:tcPr>
          <w:p w14:paraId="36CA326E" w14:textId="77777777" w:rsidR="00787570" w:rsidRDefault="00787570">
            <w:pPr>
              <w:rPr>
                <w:rFonts w:ascii="宋体"/>
              </w:rPr>
            </w:pPr>
          </w:p>
        </w:tc>
        <w:tc>
          <w:tcPr>
            <w:tcW w:w="0" w:type="auto"/>
            <w:shd w:val="clear" w:color="auto" w:fill="auto"/>
          </w:tcPr>
          <w:p w14:paraId="36CA326F" w14:textId="77777777" w:rsidR="00787570" w:rsidRDefault="00787570">
            <w:pPr>
              <w:rPr>
                <w:rFonts w:ascii="宋体"/>
              </w:rPr>
            </w:pPr>
          </w:p>
        </w:tc>
        <w:tc>
          <w:tcPr>
            <w:tcW w:w="0" w:type="auto"/>
            <w:shd w:val="clear" w:color="auto" w:fill="auto"/>
          </w:tcPr>
          <w:p w14:paraId="36CA3270" w14:textId="77777777" w:rsidR="00787570" w:rsidRDefault="00787570">
            <w:pPr>
              <w:rPr>
                <w:rFonts w:ascii="宋体"/>
              </w:rPr>
            </w:pPr>
          </w:p>
        </w:tc>
        <w:tc>
          <w:tcPr>
            <w:tcW w:w="0" w:type="auto"/>
            <w:shd w:val="clear" w:color="auto" w:fill="auto"/>
          </w:tcPr>
          <w:p w14:paraId="36CA3271" w14:textId="77777777" w:rsidR="00787570" w:rsidRDefault="00787570">
            <w:pPr>
              <w:rPr>
                <w:rFonts w:ascii="宋体"/>
              </w:rPr>
            </w:pPr>
          </w:p>
        </w:tc>
        <w:tc>
          <w:tcPr>
            <w:tcW w:w="0" w:type="auto"/>
            <w:shd w:val="clear" w:color="auto" w:fill="auto"/>
          </w:tcPr>
          <w:p w14:paraId="36CA3272" w14:textId="77777777" w:rsidR="00787570" w:rsidRDefault="00787570">
            <w:pPr>
              <w:rPr>
                <w:rFonts w:ascii="宋体"/>
              </w:rPr>
            </w:pPr>
          </w:p>
        </w:tc>
      </w:tr>
      <w:tr w:rsidR="00787570" w14:paraId="36CA328E" w14:textId="77777777">
        <w:tc>
          <w:tcPr>
            <w:tcW w:w="0" w:type="auto"/>
            <w:gridSpan w:val="3"/>
            <w:shd w:val="clear" w:color="auto" w:fill="auto"/>
            <w:tcMar>
              <w:top w:w="40" w:type="dxa"/>
              <w:left w:w="20" w:type="dxa"/>
              <w:bottom w:w="40" w:type="dxa"/>
              <w:right w:w="20" w:type="dxa"/>
            </w:tcMar>
          </w:tcPr>
          <w:p w14:paraId="36CA3274" w14:textId="77777777" w:rsidR="00787570" w:rsidRDefault="000D56E2">
            <w:pPr>
              <w:textAlignment w:val="top"/>
            </w:pPr>
            <w:r>
              <w:rPr>
                <w:rFonts w:ascii="Arial" w:eastAsia="宋体" w:hAnsi="Arial" w:cs="Arial"/>
                <w:color w:val="333333"/>
                <w:sz w:val="18"/>
                <w:szCs w:val="18"/>
              </w:rPr>
              <w:t>Less: Net (gains) losses recognized during the period on equity</w:t>
            </w:r>
          </w:p>
          <w:p w14:paraId="36CA3275" w14:textId="77777777" w:rsidR="00787570" w:rsidRDefault="000D56E2">
            <w:pPr>
              <w:textAlignment w:val="top"/>
            </w:pPr>
            <w:r>
              <w:rPr>
                <w:rFonts w:ascii="Arial" w:eastAsia="宋体" w:hAnsi="Arial" w:cs="Arial"/>
                <w:color w:val="333333"/>
                <w:sz w:val="18"/>
                <w:szCs w:val="18"/>
              </w:rPr>
              <w:t>     securities sold during the perio</w:t>
            </w:r>
            <w:r>
              <w:rPr>
                <w:rFonts w:ascii="Arial" w:eastAsia="宋体" w:hAnsi="Arial" w:cs="Arial"/>
                <w:color w:val="333333"/>
                <w:sz w:val="18"/>
                <w:szCs w:val="18"/>
              </w:rPr>
              <w:t>d</w:t>
            </w:r>
          </w:p>
        </w:tc>
        <w:tc>
          <w:tcPr>
            <w:tcW w:w="0" w:type="auto"/>
            <w:gridSpan w:val="3"/>
            <w:shd w:val="clear" w:color="auto" w:fill="auto"/>
            <w:tcMar>
              <w:left w:w="20" w:type="dxa"/>
              <w:right w:w="20" w:type="dxa"/>
            </w:tcMar>
            <w:vAlign w:val="bottom"/>
          </w:tcPr>
          <w:p w14:paraId="36CA3276"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3277" w14:textId="77777777" w:rsidR="00787570" w:rsidRDefault="000D56E2">
            <w:pPr>
              <w:jc w:val="right"/>
              <w:textAlignment w:val="bottom"/>
            </w:pPr>
            <w:r>
              <w:rPr>
                <w:rFonts w:ascii="Arial" w:eastAsia="宋体" w:hAnsi="Arial" w:cs="Arial"/>
                <w:color w:val="026DCE"/>
                <w:sz w:val="18"/>
                <w:szCs w:val="18"/>
              </w:rPr>
              <w:t>(12)</w:t>
            </w:r>
          </w:p>
        </w:tc>
        <w:tc>
          <w:tcPr>
            <w:tcW w:w="0" w:type="auto"/>
            <w:shd w:val="clear" w:color="auto" w:fill="auto"/>
            <w:tcMar>
              <w:top w:w="40" w:type="dxa"/>
              <w:bottom w:w="40" w:type="dxa"/>
              <w:right w:w="20" w:type="dxa"/>
            </w:tcMar>
            <w:vAlign w:val="bottom"/>
          </w:tcPr>
          <w:p w14:paraId="36CA3278"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3279"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327A" w14:textId="77777777" w:rsidR="00787570" w:rsidRDefault="000D56E2">
            <w:pPr>
              <w:jc w:val="right"/>
              <w:textAlignment w:val="bottom"/>
            </w:pPr>
            <w:r>
              <w:rPr>
                <w:rFonts w:ascii="Arial" w:eastAsia="宋体" w:hAnsi="Arial" w:cs="Arial"/>
                <w:color w:val="333333"/>
                <w:sz w:val="18"/>
                <w:szCs w:val="18"/>
              </w:rPr>
              <w:t>(54)</w:t>
            </w:r>
          </w:p>
        </w:tc>
        <w:tc>
          <w:tcPr>
            <w:tcW w:w="0" w:type="auto"/>
            <w:shd w:val="clear" w:color="auto" w:fill="auto"/>
            <w:tcMar>
              <w:top w:w="40" w:type="dxa"/>
              <w:bottom w:w="40" w:type="dxa"/>
              <w:right w:w="20" w:type="dxa"/>
            </w:tcMar>
            <w:vAlign w:val="bottom"/>
          </w:tcPr>
          <w:p w14:paraId="36CA327B"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327C"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327D" w14:textId="77777777" w:rsidR="00787570" w:rsidRDefault="000D56E2">
            <w:pPr>
              <w:jc w:val="right"/>
              <w:textAlignment w:val="bottom"/>
            </w:pPr>
            <w:r>
              <w:rPr>
                <w:rFonts w:ascii="Arial" w:eastAsia="宋体" w:hAnsi="Arial" w:cs="Arial"/>
                <w:color w:val="026DCE"/>
                <w:sz w:val="18"/>
                <w:szCs w:val="18"/>
              </w:rPr>
              <w:t>(87)</w:t>
            </w:r>
          </w:p>
        </w:tc>
        <w:tc>
          <w:tcPr>
            <w:tcW w:w="0" w:type="auto"/>
            <w:shd w:val="clear" w:color="auto" w:fill="auto"/>
            <w:tcMar>
              <w:top w:w="40" w:type="dxa"/>
              <w:bottom w:w="40" w:type="dxa"/>
              <w:right w:w="20" w:type="dxa"/>
            </w:tcMar>
            <w:vAlign w:val="bottom"/>
          </w:tcPr>
          <w:p w14:paraId="36CA327E"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327F"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3280" w14:textId="77777777" w:rsidR="00787570" w:rsidRDefault="000D56E2">
            <w:pPr>
              <w:jc w:val="right"/>
              <w:textAlignment w:val="bottom"/>
            </w:pPr>
            <w:r>
              <w:rPr>
                <w:rFonts w:ascii="Arial" w:eastAsia="宋体" w:hAnsi="Arial" w:cs="Arial"/>
                <w:color w:val="333333"/>
                <w:sz w:val="18"/>
                <w:szCs w:val="18"/>
              </w:rPr>
              <w:t>(321)</w:t>
            </w:r>
          </w:p>
        </w:tc>
        <w:tc>
          <w:tcPr>
            <w:tcW w:w="0" w:type="auto"/>
            <w:shd w:val="clear" w:color="auto" w:fill="auto"/>
            <w:tcMar>
              <w:top w:w="40" w:type="dxa"/>
              <w:bottom w:w="40" w:type="dxa"/>
              <w:right w:w="20" w:type="dxa"/>
            </w:tcMar>
            <w:vAlign w:val="bottom"/>
          </w:tcPr>
          <w:p w14:paraId="36CA3281" w14:textId="77777777" w:rsidR="00787570" w:rsidRDefault="00787570">
            <w:pPr>
              <w:jc w:val="right"/>
              <w:rPr>
                <w:rFonts w:ascii="宋体"/>
              </w:rPr>
            </w:pPr>
          </w:p>
        </w:tc>
        <w:tc>
          <w:tcPr>
            <w:tcW w:w="0" w:type="auto"/>
            <w:shd w:val="clear" w:color="auto" w:fill="auto"/>
          </w:tcPr>
          <w:p w14:paraId="36CA3282" w14:textId="77777777" w:rsidR="00787570" w:rsidRDefault="00787570">
            <w:pPr>
              <w:rPr>
                <w:rFonts w:ascii="宋体"/>
              </w:rPr>
            </w:pPr>
          </w:p>
        </w:tc>
        <w:tc>
          <w:tcPr>
            <w:tcW w:w="0" w:type="auto"/>
            <w:shd w:val="clear" w:color="auto" w:fill="auto"/>
          </w:tcPr>
          <w:p w14:paraId="36CA3283" w14:textId="77777777" w:rsidR="00787570" w:rsidRDefault="00787570">
            <w:pPr>
              <w:rPr>
                <w:rFonts w:ascii="宋体"/>
              </w:rPr>
            </w:pPr>
          </w:p>
        </w:tc>
        <w:tc>
          <w:tcPr>
            <w:tcW w:w="0" w:type="auto"/>
            <w:shd w:val="clear" w:color="auto" w:fill="auto"/>
          </w:tcPr>
          <w:p w14:paraId="36CA3284" w14:textId="77777777" w:rsidR="00787570" w:rsidRDefault="00787570">
            <w:pPr>
              <w:rPr>
                <w:rFonts w:ascii="宋体"/>
              </w:rPr>
            </w:pPr>
          </w:p>
        </w:tc>
        <w:tc>
          <w:tcPr>
            <w:tcW w:w="0" w:type="auto"/>
            <w:shd w:val="clear" w:color="auto" w:fill="auto"/>
          </w:tcPr>
          <w:p w14:paraId="36CA3285" w14:textId="77777777" w:rsidR="00787570" w:rsidRDefault="00787570">
            <w:pPr>
              <w:rPr>
                <w:rFonts w:ascii="宋体"/>
              </w:rPr>
            </w:pPr>
          </w:p>
        </w:tc>
        <w:tc>
          <w:tcPr>
            <w:tcW w:w="0" w:type="auto"/>
            <w:shd w:val="clear" w:color="auto" w:fill="auto"/>
          </w:tcPr>
          <w:p w14:paraId="36CA3286" w14:textId="77777777" w:rsidR="00787570" w:rsidRDefault="00787570">
            <w:pPr>
              <w:rPr>
                <w:rFonts w:ascii="宋体"/>
              </w:rPr>
            </w:pPr>
          </w:p>
        </w:tc>
        <w:tc>
          <w:tcPr>
            <w:tcW w:w="0" w:type="auto"/>
            <w:shd w:val="clear" w:color="auto" w:fill="auto"/>
          </w:tcPr>
          <w:p w14:paraId="36CA3287" w14:textId="77777777" w:rsidR="00787570" w:rsidRDefault="00787570">
            <w:pPr>
              <w:rPr>
                <w:rFonts w:ascii="宋体"/>
              </w:rPr>
            </w:pPr>
          </w:p>
        </w:tc>
        <w:tc>
          <w:tcPr>
            <w:tcW w:w="0" w:type="auto"/>
            <w:shd w:val="clear" w:color="auto" w:fill="auto"/>
          </w:tcPr>
          <w:p w14:paraId="36CA3288" w14:textId="77777777" w:rsidR="00787570" w:rsidRDefault="00787570">
            <w:pPr>
              <w:rPr>
                <w:rFonts w:ascii="宋体"/>
              </w:rPr>
            </w:pPr>
          </w:p>
        </w:tc>
        <w:tc>
          <w:tcPr>
            <w:tcW w:w="0" w:type="auto"/>
            <w:shd w:val="clear" w:color="auto" w:fill="auto"/>
          </w:tcPr>
          <w:p w14:paraId="36CA3289" w14:textId="77777777" w:rsidR="00787570" w:rsidRDefault="00787570">
            <w:pPr>
              <w:rPr>
                <w:rFonts w:ascii="宋体"/>
              </w:rPr>
            </w:pPr>
          </w:p>
        </w:tc>
        <w:tc>
          <w:tcPr>
            <w:tcW w:w="0" w:type="auto"/>
            <w:shd w:val="clear" w:color="auto" w:fill="auto"/>
          </w:tcPr>
          <w:p w14:paraId="36CA328A" w14:textId="77777777" w:rsidR="00787570" w:rsidRDefault="00787570">
            <w:pPr>
              <w:rPr>
                <w:rFonts w:ascii="宋体"/>
              </w:rPr>
            </w:pPr>
          </w:p>
        </w:tc>
        <w:tc>
          <w:tcPr>
            <w:tcW w:w="0" w:type="auto"/>
            <w:shd w:val="clear" w:color="auto" w:fill="auto"/>
          </w:tcPr>
          <w:p w14:paraId="36CA328B" w14:textId="77777777" w:rsidR="00787570" w:rsidRDefault="00787570">
            <w:pPr>
              <w:rPr>
                <w:rFonts w:ascii="宋体"/>
              </w:rPr>
            </w:pPr>
          </w:p>
        </w:tc>
        <w:tc>
          <w:tcPr>
            <w:tcW w:w="0" w:type="auto"/>
            <w:shd w:val="clear" w:color="auto" w:fill="auto"/>
          </w:tcPr>
          <w:p w14:paraId="36CA328C" w14:textId="77777777" w:rsidR="00787570" w:rsidRDefault="00787570">
            <w:pPr>
              <w:rPr>
                <w:rFonts w:ascii="宋体"/>
              </w:rPr>
            </w:pPr>
          </w:p>
        </w:tc>
        <w:tc>
          <w:tcPr>
            <w:tcW w:w="0" w:type="auto"/>
            <w:shd w:val="clear" w:color="auto" w:fill="auto"/>
          </w:tcPr>
          <w:p w14:paraId="36CA328D" w14:textId="77777777" w:rsidR="00787570" w:rsidRDefault="00787570">
            <w:pPr>
              <w:rPr>
                <w:rFonts w:ascii="宋体"/>
              </w:rPr>
            </w:pPr>
          </w:p>
        </w:tc>
      </w:tr>
      <w:tr w:rsidR="00787570" w14:paraId="36CA32AD" w14:textId="77777777">
        <w:tc>
          <w:tcPr>
            <w:tcW w:w="0" w:type="auto"/>
            <w:gridSpan w:val="3"/>
            <w:shd w:val="clear" w:color="auto" w:fill="auto"/>
            <w:tcMar>
              <w:top w:w="40" w:type="dxa"/>
              <w:left w:w="20" w:type="dxa"/>
              <w:bottom w:w="40" w:type="dxa"/>
              <w:right w:w="20" w:type="dxa"/>
            </w:tcMar>
          </w:tcPr>
          <w:p w14:paraId="36CA328F" w14:textId="77777777" w:rsidR="00787570" w:rsidRDefault="000D56E2">
            <w:pPr>
              <w:textAlignment w:val="top"/>
            </w:pPr>
            <w:r>
              <w:rPr>
                <w:rFonts w:ascii="Arial" w:eastAsia="宋体" w:hAnsi="Arial" w:cs="Arial"/>
                <w:b/>
                <w:bCs/>
                <w:color w:val="333333"/>
                <w:sz w:val="18"/>
                <w:szCs w:val="18"/>
              </w:rPr>
              <w:t>Unrealized gains (losses) recognized during the reporting</w:t>
            </w:r>
          </w:p>
          <w:p w14:paraId="36CA3290" w14:textId="77777777" w:rsidR="00787570" w:rsidRDefault="000D56E2">
            <w:pPr>
              <w:textAlignment w:val="top"/>
            </w:pPr>
            <w:r>
              <w:rPr>
                <w:rFonts w:ascii="Arial" w:eastAsia="宋体" w:hAnsi="Arial" w:cs="Arial"/>
                <w:b/>
                <w:bCs/>
                <w:color w:val="333333"/>
                <w:sz w:val="18"/>
                <w:szCs w:val="18"/>
              </w:rPr>
              <w:t>     period on equity securities still held at the reporting date</w:t>
            </w:r>
          </w:p>
        </w:tc>
        <w:tc>
          <w:tcPr>
            <w:tcW w:w="0" w:type="auto"/>
            <w:gridSpan w:val="3"/>
            <w:shd w:val="clear" w:color="auto" w:fill="auto"/>
            <w:tcMar>
              <w:left w:w="20" w:type="dxa"/>
              <w:right w:w="20" w:type="dxa"/>
            </w:tcMar>
            <w:vAlign w:val="bottom"/>
          </w:tcPr>
          <w:p w14:paraId="36CA3291" w14:textId="77777777" w:rsidR="00787570" w:rsidRDefault="00787570">
            <w:pPr>
              <w:rPr>
                <w:rFonts w:ascii="宋体"/>
              </w:rPr>
            </w:pPr>
          </w:p>
        </w:tc>
        <w:tc>
          <w:tcPr>
            <w:tcW w:w="0" w:type="auto"/>
            <w:tcBorders>
              <w:top w:val="single" w:sz="8" w:space="0" w:color="333333"/>
              <w:bottom w:val="double" w:sz="6" w:space="0" w:color="333333"/>
            </w:tcBorders>
            <w:shd w:val="clear" w:color="auto" w:fill="auto"/>
            <w:tcMar>
              <w:top w:w="40" w:type="dxa"/>
              <w:left w:w="20" w:type="dxa"/>
              <w:bottom w:w="40" w:type="dxa"/>
            </w:tcMar>
            <w:vAlign w:val="bottom"/>
          </w:tcPr>
          <w:p w14:paraId="36CA3292" w14:textId="77777777" w:rsidR="00787570" w:rsidRDefault="000D56E2">
            <w:pPr>
              <w:textAlignment w:val="bottom"/>
            </w:pPr>
            <w:r>
              <w:rPr>
                <w:rFonts w:ascii="Arial" w:eastAsia="宋体" w:hAnsi="Arial" w:cs="Arial"/>
                <w:b/>
                <w:bCs/>
                <w:color w:val="026DCE"/>
                <w:sz w:val="18"/>
                <w:szCs w:val="18"/>
              </w:rPr>
              <w:t>$</w:t>
            </w:r>
          </w:p>
        </w:tc>
        <w:tc>
          <w:tcPr>
            <w:tcW w:w="0" w:type="auto"/>
            <w:tcBorders>
              <w:top w:val="single" w:sz="8" w:space="0" w:color="333333"/>
              <w:bottom w:val="double" w:sz="6" w:space="0" w:color="333333"/>
            </w:tcBorders>
            <w:shd w:val="clear" w:color="auto" w:fill="auto"/>
            <w:tcMar>
              <w:top w:w="40" w:type="dxa"/>
              <w:bottom w:w="40" w:type="dxa"/>
              <w:right w:w="0" w:type="dxa"/>
            </w:tcMar>
            <w:vAlign w:val="bottom"/>
          </w:tcPr>
          <w:p w14:paraId="36CA3293" w14:textId="77777777" w:rsidR="00787570" w:rsidRDefault="000D56E2">
            <w:pPr>
              <w:jc w:val="right"/>
              <w:textAlignment w:val="bottom"/>
            </w:pPr>
            <w:r>
              <w:rPr>
                <w:rFonts w:ascii="Arial" w:eastAsia="宋体" w:hAnsi="Arial" w:cs="Arial"/>
                <w:b/>
                <w:bCs/>
                <w:color w:val="026DCE"/>
                <w:sz w:val="18"/>
                <w:szCs w:val="18"/>
              </w:rPr>
              <w:t>7</w:t>
            </w:r>
            <w:r>
              <w:rPr>
                <w:rFonts w:ascii="Arial" w:eastAsia="宋体" w:hAnsi="Arial" w:cs="Arial"/>
                <w:color w:val="026DCE"/>
                <w:sz w:val="18"/>
                <w:szCs w:val="18"/>
              </w:rPr>
              <w:t> </w:t>
            </w:r>
          </w:p>
        </w:tc>
        <w:tc>
          <w:tcPr>
            <w:tcW w:w="0" w:type="auto"/>
            <w:tcBorders>
              <w:top w:val="single" w:sz="8" w:space="0" w:color="333333"/>
              <w:bottom w:val="double" w:sz="6" w:space="0" w:color="333333"/>
            </w:tcBorders>
            <w:shd w:val="clear" w:color="auto" w:fill="auto"/>
            <w:tcMar>
              <w:top w:w="40" w:type="dxa"/>
              <w:bottom w:w="40" w:type="dxa"/>
              <w:right w:w="20" w:type="dxa"/>
            </w:tcMar>
            <w:vAlign w:val="bottom"/>
          </w:tcPr>
          <w:p w14:paraId="36CA3294"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3295" w14:textId="77777777" w:rsidR="00787570" w:rsidRDefault="00787570">
            <w:pPr>
              <w:rPr>
                <w:rFonts w:ascii="宋体"/>
              </w:rPr>
            </w:pPr>
          </w:p>
        </w:tc>
        <w:tc>
          <w:tcPr>
            <w:tcW w:w="0" w:type="auto"/>
            <w:tcBorders>
              <w:top w:val="single" w:sz="8" w:space="0" w:color="333333"/>
              <w:bottom w:val="double" w:sz="6" w:space="0" w:color="333333"/>
            </w:tcBorders>
            <w:shd w:val="clear" w:color="auto" w:fill="auto"/>
            <w:tcMar>
              <w:top w:w="40" w:type="dxa"/>
              <w:left w:w="20" w:type="dxa"/>
              <w:bottom w:w="40" w:type="dxa"/>
            </w:tcMar>
            <w:vAlign w:val="bottom"/>
          </w:tcPr>
          <w:p w14:paraId="36CA3296" w14:textId="77777777" w:rsidR="00787570" w:rsidRDefault="000D56E2">
            <w:pPr>
              <w:textAlignment w:val="bottom"/>
            </w:pPr>
            <w:r>
              <w:rPr>
                <w:rFonts w:ascii="Arial" w:eastAsia="宋体" w:hAnsi="Arial" w:cs="Arial"/>
                <w:b/>
                <w:bCs/>
                <w:color w:val="333333"/>
                <w:sz w:val="18"/>
                <w:szCs w:val="18"/>
              </w:rPr>
              <w:t>$</w:t>
            </w:r>
          </w:p>
        </w:tc>
        <w:tc>
          <w:tcPr>
            <w:tcW w:w="0" w:type="auto"/>
            <w:tcBorders>
              <w:top w:val="single" w:sz="8" w:space="0" w:color="333333"/>
              <w:bottom w:val="double" w:sz="6" w:space="0" w:color="333333"/>
            </w:tcBorders>
            <w:shd w:val="clear" w:color="auto" w:fill="auto"/>
            <w:tcMar>
              <w:top w:w="40" w:type="dxa"/>
              <w:bottom w:w="40" w:type="dxa"/>
              <w:right w:w="0" w:type="dxa"/>
            </w:tcMar>
            <w:vAlign w:val="bottom"/>
          </w:tcPr>
          <w:p w14:paraId="36CA3297" w14:textId="77777777" w:rsidR="00787570" w:rsidRDefault="000D56E2">
            <w:pPr>
              <w:jc w:val="right"/>
              <w:textAlignment w:val="bottom"/>
            </w:pPr>
            <w:r>
              <w:rPr>
                <w:rFonts w:ascii="Arial" w:eastAsia="宋体" w:hAnsi="Arial" w:cs="Arial"/>
                <w:b/>
                <w:bCs/>
                <w:color w:val="333333"/>
                <w:sz w:val="18"/>
                <w:szCs w:val="18"/>
              </w:rPr>
              <w:t>227</w:t>
            </w:r>
            <w:r>
              <w:rPr>
                <w:rFonts w:ascii="Arial" w:eastAsia="宋体" w:hAnsi="Arial" w:cs="Arial"/>
                <w:color w:val="333333"/>
                <w:sz w:val="18"/>
                <w:szCs w:val="18"/>
              </w:rPr>
              <w:t> </w:t>
            </w:r>
          </w:p>
        </w:tc>
        <w:tc>
          <w:tcPr>
            <w:tcW w:w="0" w:type="auto"/>
            <w:tcBorders>
              <w:top w:val="single" w:sz="8" w:space="0" w:color="333333"/>
              <w:bottom w:val="double" w:sz="6" w:space="0" w:color="333333"/>
            </w:tcBorders>
            <w:shd w:val="clear" w:color="auto" w:fill="auto"/>
            <w:tcMar>
              <w:top w:w="40" w:type="dxa"/>
              <w:bottom w:w="40" w:type="dxa"/>
              <w:right w:w="20" w:type="dxa"/>
            </w:tcMar>
            <w:vAlign w:val="bottom"/>
          </w:tcPr>
          <w:p w14:paraId="36CA3298"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3299" w14:textId="77777777" w:rsidR="00787570" w:rsidRDefault="00787570">
            <w:pPr>
              <w:rPr>
                <w:rFonts w:ascii="宋体"/>
              </w:rPr>
            </w:pPr>
          </w:p>
        </w:tc>
        <w:tc>
          <w:tcPr>
            <w:tcW w:w="0" w:type="auto"/>
            <w:tcBorders>
              <w:top w:val="single" w:sz="8" w:space="0" w:color="333333"/>
              <w:bottom w:val="double" w:sz="6" w:space="0" w:color="333333"/>
            </w:tcBorders>
            <w:shd w:val="clear" w:color="auto" w:fill="auto"/>
            <w:tcMar>
              <w:top w:w="40" w:type="dxa"/>
              <w:left w:w="20" w:type="dxa"/>
              <w:bottom w:w="40" w:type="dxa"/>
            </w:tcMar>
            <w:vAlign w:val="bottom"/>
          </w:tcPr>
          <w:p w14:paraId="36CA329A" w14:textId="77777777" w:rsidR="00787570" w:rsidRDefault="000D56E2">
            <w:pPr>
              <w:textAlignment w:val="bottom"/>
            </w:pPr>
            <w:r>
              <w:rPr>
                <w:rFonts w:ascii="Arial" w:eastAsia="宋体" w:hAnsi="Arial" w:cs="Arial"/>
                <w:b/>
                <w:bCs/>
                <w:color w:val="026DCE"/>
                <w:sz w:val="18"/>
                <w:szCs w:val="18"/>
              </w:rPr>
              <w:t>$</w:t>
            </w:r>
          </w:p>
        </w:tc>
        <w:tc>
          <w:tcPr>
            <w:tcW w:w="0" w:type="auto"/>
            <w:tcBorders>
              <w:top w:val="single" w:sz="8" w:space="0" w:color="333333"/>
              <w:bottom w:val="double" w:sz="6" w:space="0" w:color="333333"/>
            </w:tcBorders>
            <w:shd w:val="clear" w:color="auto" w:fill="auto"/>
            <w:tcMar>
              <w:top w:w="40" w:type="dxa"/>
              <w:bottom w:w="40" w:type="dxa"/>
              <w:right w:w="0" w:type="dxa"/>
            </w:tcMar>
            <w:vAlign w:val="bottom"/>
          </w:tcPr>
          <w:p w14:paraId="36CA329B" w14:textId="77777777" w:rsidR="00787570" w:rsidRDefault="000D56E2">
            <w:pPr>
              <w:jc w:val="right"/>
              <w:textAlignment w:val="bottom"/>
            </w:pPr>
            <w:r>
              <w:rPr>
                <w:rFonts w:ascii="Arial" w:eastAsia="宋体" w:hAnsi="Arial" w:cs="Arial"/>
                <w:b/>
                <w:bCs/>
                <w:color w:val="026DCE"/>
                <w:sz w:val="18"/>
                <w:szCs w:val="18"/>
              </w:rPr>
              <w:t>15</w:t>
            </w:r>
            <w:r>
              <w:rPr>
                <w:rFonts w:ascii="Arial" w:eastAsia="宋体" w:hAnsi="Arial" w:cs="Arial"/>
                <w:color w:val="026DCE"/>
                <w:sz w:val="18"/>
                <w:szCs w:val="18"/>
              </w:rPr>
              <w:t> </w:t>
            </w:r>
          </w:p>
        </w:tc>
        <w:tc>
          <w:tcPr>
            <w:tcW w:w="0" w:type="auto"/>
            <w:tcBorders>
              <w:top w:val="single" w:sz="8" w:space="0" w:color="333333"/>
              <w:bottom w:val="double" w:sz="6" w:space="0" w:color="333333"/>
            </w:tcBorders>
            <w:shd w:val="clear" w:color="auto" w:fill="auto"/>
            <w:tcMar>
              <w:top w:w="40" w:type="dxa"/>
              <w:bottom w:w="40" w:type="dxa"/>
              <w:right w:w="20" w:type="dxa"/>
            </w:tcMar>
            <w:vAlign w:val="bottom"/>
          </w:tcPr>
          <w:p w14:paraId="36CA329C"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329D" w14:textId="77777777" w:rsidR="00787570" w:rsidRDefault="00787570">
            <w:pPr>
              <w:rPr>
                <w:rFonts w:ascii="宋体"/>
              </w:rPr>
            </w:pPr>
          </w:p>
        </w:tc>
        <w:tc>
          <w:tcPr>
            <w:tcW w:w="0" w:type="auto"/>
            <w:tcBorders>
              <w:top w:val="single" w:sz="8" w:space="0" w:color="333333"/>
              <w:bottom w:val="double" w:sz="6" w:space="0" w:color="333333"/>
            </w:tcBorders>
            <w:shd w:val="clear" w:color="auto" w:fill="auto"/>
            <w:tcMar>
              <w:top w:w="40" w:type="dxa"/>
              <w:left w:w="20" w:type="dxa"/>
              <w:bottom w:w="40" w:type="dxa"/>
            </w:tcMar>
            <w:vAlign w:val="bottom"/>
          </w:tcPr>
          <w:p w14:paraId="36CA329E" w14:textId="77777777" w:rsidR="00787570" w:rsidRDefault="000D56E2">
            <w:pPr>
              <w:textAlignment w:val="bottom"/>
            </w:pPr>
            <w:r>
              <w:rPr>
                <w:rFonts w:ascii="Arial" w:eastAsia="宋体" w:hAnsi="Arial" w:cs="Arial"/>
                <w:b/>
                <w:bCs/>
                <w:color w:val="333333"/>
                <w:sz w:val="18"/>
                <w:szCs w:val="18"/>
              </w:rPr>
              <w:t>$</w:t>
            </w:r>
          </w:p>
        </w:tc>
        <w:tc>
          <w:tcPr>
            <w:tcW w:w="0" w:type="auto"/>
            <w:tcBorders>
              <w:top w:val="single" w:sz="8" w:space="0" w:color="333333"/>
              <w:bottom w:val="double" w:sz="6" w:space="0" w:color="333333"/>
            </w:tcBorders>
            <w:shd w:val="clear" w:color="auto" w:fill="auto"/>
            <w:tcMar>
              <w:top w:w="40" w:type="dxa"/>
              <w:bottom w:w="40" w:type="dxa"/>
              <w:right w:w="0" w:type="dxa"/>
            </w:tcMar>
            <w:vAlign w:val="bottom"/>
          </w:tcPr>
          <w:p w14:paraId="36CA329F" w14:textId="77777777" w:rsidR="00787570" w:rsidRDefault="000D56E2">
            <w:pPr>
              <w:jc w:val="right"/>
              <w:textAlignment w:val="bottom"/>
            </w:pPr>
            <w:r>
              <w:rPr>
                <w:rFonts w:ascii="Arial" w:eastAsia="宋体" w:hAnsi="Arial" w:cs="Arial"/>
                <w:b/>
                <w:bCs/>
                <w:color w:val="333333"/>
                <w:sz w:val="18"/>
                <w:szCs w:val="18"/>
              </w:rPr>
              <w:t>45</w:t>
            </w:r>
            <w:r>
              <w:rPr>
                <w:rFonts w:ascii="Arial" w:eastAsia="宋体" w:hAnsi="Arial" w:cs="Arial"/>
                <w:color w:val="333333"/>
                <w:sz w:val="18"/>
                <w:szCs w:val="18"/>
              </w:rPr>
              <w:t> </w:t>
            </w:r>
          </w:p>
        </w:tc>
        <w:tc>
          <w:tcPr>
            <w:tcW w:w="0" w:type="auto"/>
            <w:tcBorders>
              <w:top w:val="single" w:sz="8" w:space="0" w:color="333333"/>
              <w:bottom w:val="double" w:sz="6" w:space="0" w:color="333333"/>
            </w:tcBorders>
            <w:shd w:val="clear" w:color="auto" w:fill="auto"/>
            <w:tcMar>
              <w:top w:w="40" w:type="dxa"/>
              <w:bottom w:w="40" w:type="dxa"/>
              <w:right w:w="20" w:type="dxa"/>
            </w:tcMar>
            <w:vAlign w:val="bottom"/>
          </w:tcPr>
          <w:p w14:paraId="36CA32A0" w14:textId="77777777" w:rsidR="00787570" w:rsidRDefault="00787570">
            <w:pPr>
              <w:jc w:val="right"/>
              <w:rPr>
                <w:rFonts w:ascii="宋体"/>
              </w:rPr>
            </w:pPr>
          </w:p>
        </w:tc>
        <w:tc>
          <w:tcPr>
            <w:tcW w:w="0" w:type="auto"/>
            <w:shd w:val="clear" w:color="auto" w:fill="auto"/>
          </w:tcPr>
          <w:p w14:paraId="36CA32A1" w14:textId="77777777" w:rsidR="00787570" w:rsidRDefault="00787570">
            <w:pPr>
              <w:rPr>
                <w:rFonts w:ascii="宋体"/>
              </w:rPr>
            </w:pPr>
          </w:p>
        </w:tc>
        <w:tc>
          <w:tcPr>
            <w:tcW w:w="0" w:type="auto"/>
            <w:shd w:val="clear" w:color="auto" w:fill="auto"/>
          </w:tcPr>
          <w:p w14:paraId="36CA32A2" w14:textId="77777777" w:rsidR="00787570" w:rsidRDefault="00787570">
            <w:pPr>
              <w:rPr>
                <w:rFonts w:ascii="宋体"/>
              </w:rPr>
            </w:pPr>
          </w:p>
        </w:tc>
        <w:tc>
          <w:tcPr>
            <w:tcW w:w="0" w:type="auto"/>
            <w:shd w:val="clear" w:color="auto" w:fill="auto"/>
          </w:tcPr>
          <w:p w14:paraId="36CA32A3" w14:textId="77777777" w:rsidR="00787570" w:rsidRDefault="00787570">
            <w:pPr>
              <w:rPr>
                <w:rFonts w:ascii="宋体"/>
              </w:rPr>
            </w:pPr>
          </w:p>
        </w:tc>
        <w:tc>
          <w:tcPr>
            <w:tcW w:w="0" w:type="auto"/>
            <w:shd w:val="clear" w:color="auto" w:fill="auto"/>
          </w:tcPr>
          <w:p w14:paraId="36CA32A4" w14:textId="77777777" w:rsidR="00787570" w:rsidRDefault="00787570">
            <w:pPr>
              <w:rPr>
                <w:rFonts w:ascii="宋体"/>
              </w:rPr>
            </w:pPr>
          </w:p>
        </w:tc>
        <w:tc>
          <w:tcPr>
            <w:tcW w:w="0" w:type="auto"/>
            <w:shd w:val="clear" w:color="auto" w:fill="auto"/>
          </w:tcPr>
          <w:p w14:paraId="36CA32A5" w14:textId="77777777" w:rsidR="00787570" w:rsidRDefault="00787570">
            <w:pPr>
              <w:rPr>
                <w:rFonts w:ascii="宋体"/>
              </w:rPr>
            </w:pPr>
          </w:p>
        </w:tc>
        <w:tc>
          <w:tcPr>
            <w:tcW w:w="0" w:type="auto"/>
            <w:shd w:val="clear" w:color="auto" w:fill="auto"/>
          </w:tcPr>
          <w:p w14:paraId="36CA32A6" w14:textId="77777777" w:rsidR="00787570" w:rsidRDefault="00787570">
            <w:pPr>
              <w:rPr>
                <w:rFonts w:ascii="宋体"/>
              </w:rPr>
            </w:pPr>
          </w:p>
        </w:tc>
        <w:tc>
          <w:tcPr>
            <w:tcW w:w="0" w:type="auto"/>
            <w:shd w:val="clear" w:color="auto" w:fill="auto"/>
          </w:tcPr>
          <w:p w14:paraId="36CA32A7" w14:textId="77777777" w:rsidR="00787570" w:rsidRDefault="00787570">
            <w:pPr>
              <w:rPr>
                <w:rFonts w:ascii="宋体"/>
              </w:rPr>
            </w:pPr>
          </w:p>
        </w:tc>
        <w:tc>
          <w:tcPr>
            <w:tcW w:w="0" w:type="auto"/>
            <w:shd w:val="clear" w:color="auto" w:fill="auto"/>
          </w:tcPr>
          <w:p w14:paraId="36CA32A8" w14:textId="77777777" w:rsidR="00787570" w:rsidRDefault="00787570">
            <w:pPr>
              <w:rPr>
                <w:rFonts w:ascii="宋体"/>
              </w:rPr>
            </w:pPr>
          </w:p>
        </w:tc>
        <w:tc>
          <w:tcPr>
            <w:tcW w:w="0" w:type="auto"/>
            <w:shd w:val="clear" w:color="auto" w:fill="auto"/>
          </w:tcPr>
          <w:p w14:paraId="36CA32A9" w14:textId="77777777" w:rsidR="00787570" w:rsidRDefault="00787570">
            <w:pPr>
              <w:rPr>
                <w:rFonts w:ascii="宋体"/>
              </w:rPr>
            </w:pPr>
          </w:p>
        </w:tc>
        <w:tc>
          <w:tcPr>
            <w:tcW w:w="0" w:type="auto"/>
            <w:shd w:val="clear" w:color="auto" w:fill="auto"/>
          </w:tcPr>
          <w:p w14:paraId="36CA32AA" w14:textId="77777777" w:rsidR="00787570" w:rsidRDefault="00787570">
            <w:pPr>
              <w:rPr>
                <w:rFonts w:ascii="宋体"/>
              </w:rPr>
            </w:pPr>
          </w:p>
        </w:tc>
        <w:tc>
          <w:tcPr>
            <w:tcW w:w="0" w:type="auto"/>
            <w:shd w:val="clear" w:color="auto" w:fill="auto"/>
          </w:tcPr>
          <w:p w14:paraId="36CA32AB" w14:textId="77777777" w:rsidR="00787570" w:rsidRDefault="00787570">
            <w:pPr>
              <w:rPr>
                <w:rFonts w:ascii="宋体"/>
              </w:rPr>
            </w:pPr>
          </w:p>
        </w:tc>
        <w:tc>
          <w:tcPr>
            <w:tcW w:w="0" w:type="auto"/>
            <w:shd w:val="clear" w:color="auto" w:fill="auto"/>
          </w:tcPr>
          <w:p w14:paraId="36CA32AC" w14:textId="77777777" w:rsidR="00787570" w:rsidRDefault="00787570">
            <w:pPr>
              <w:rPr>
                <w:rFonts w:ascii="宋体"/>
              </w:rPr>
            </w:pPr>
          </w:p>
        </w:tc>
      </w:tr>
    </w:tbl>
    <w:p w14:paraId="36CA32AE" w14:textId="77777777" w:rsidR="00787570" w:rsidRDefault="000D56E2">
      <w:pPr>
        <w:spacing w:before="300" w:after="120"/>
      </w:pPr>
      <w:r>
        <w:rPr>
          <w:rFonts w:ascii="Arial" w:eastAsia="宋体" w:hAnsi="Arial" w:cs="Arial"/>
          <w:b/>
          <w:bCs/>
          <w:color w:val="333333"/>
          <w:sz w:val="20"/>
          <w:szCs w:val="20"/>
        </w:rPr>
        <w:t>IMFT</w:t>
      </w:r>
    </w:p>
    <w:p w14:paraId="36CA32AF" w14:textId="77777777" w:rsidR="00787570" w:rsidRDefault="000D56E2">
      <w:pPr>
        <w:spacing w:after="180"/>
      </w:pPr>
      <w:r>
        <w:rPr>
          <w:rFonts w:ascii="Arial" w:eastAsia="宋体" w:hAnsi="Arial" w:cs="Arial"/>
          <w:color w:val="333333"/>
          <w:sz w:val="18"/>
          <w:szCs w:val="18"/>
        </w:rPr>
        <w:t>IMFT was formed in 2006 by Micron Technology, Inc. (Micron) and Intel to jo</w:t>
      </w:r>
      <w:r>
        <w:rPr>
          <w:rFonts w:ascii="Arial" w:eastAsia="宋体" w:hAnsi="Arial" w:cs="Arial"/>
          <w:color w:val="333333"/>
          <w:sz w:val="18"/>
          <w:szCs w:val="18"/>
        </w:rPr>
        <w:t>intly develop NAND flash memory and 3D XPoint™ technology products. As of September 28, 2019, we had a carrying value of $1.1 billion in IMFT and owned a 49% interest in the unconsolidated variable interest entity. We sold our non-controlling interest in I</w:t>
      </w:r>
      <w:r>
        <w:rPr>
          <w:rFonts w:ascii="Arial" w:eastAsia="宋体" w:hAnsi="Arial" w:cs="Arial"/>
          <w:color w:val="333333"/>
          <w:sz w:val="18"/>
          <w:szCs w:val="18"/>
        </w:rPr>
        <w:t>MFT to Micron in October 2019. We will continue to purchase product manufactured by Micron under our supply agreement, which includes the next generation of 3D XPoint™ technology.</w:t>
      </w:r>
    </w:p>
    <w:tbl>
      <w:tblPr>
        <w:tblW w:w="5000" w:type="pct"/>
        <w:tblCellMar>
          <w:top w:w="15" w:type="dxa"/>
          <w:left w:w="15" w:type="dxa"/>
          <w:bottom w:w="15" w:type="dxa"/>
          <w:right w:w="15" w:type="dxa"/>
        </w:tblCellMar>
        <w:tblLook w:val="04A0" w:firstRow="1" w:lastRow="0" w:firstColumn="1" w:lastColumn="0" w:noHBand="0" w:noVBand="1"/>
      </w:tblPr>
      <w:tblGrid>
        <w:gridCol w:w="69"/>
        <w:gridCol w:w="998"/>
        <w:gridCol w:w="36"/>
        <w:gridCol w:w="69"/>
        <w:gridCol w:w="7128"/>
        <w:gridCol w:w="36"/>
      </w:tblGrid>
      <w:tr w:rsidR="00787570" w14:paraId="36CA32B6" w14:textId="77777777">
        <w:tc>
          <w:tcPr>
            <w:tcW w:w="50" w:type="pct"/>
            <w:shd w:val="clear" w:color="auto" w:fill="auto"/>
          </w:tcPr>
          <w:p w14:paraId="36CA32B0" w14:textId="77777777" w:rsidR="00787570" w:rsidRDefault="00787570">
            <w:pPr>
              <w:rPr>
                <w:rFonts w:ascii="宋体"/>
              </w:rPr>
            </w:pPr>
          </w:p>
        </w:tc>
        <w:tc>
          <w:tcPr>
            <w:tcW w:w="607" w:type="pct"/>
            <w:shd w:val="clear" w:color="auto" w:fill="auto"/>
          </w:tcPr>
          <w:p w14:paraId="36CA32B1" w14:textId="77777777" w:rsidR="00787570" w:rsidRDefault="00787570">
            <w:pPr>
              <w:rPr>
                <w:rFonts w:ascii="宋体"/>
              </w:rPr>
            </w:pPr>
          </w:p>
        </w:tc>
        <w:tc>
          <w:tcPr>
            <w:tcW w:w="5" w:type="pct"/>
            <w:shd w:val="clear" w:color="auto" w:fill="auto"/>
          </w:tcPr>
          <w:p w14:paraId="36CA32B2" w14:textId="77777777" w:rsidR="00787570" w:rsidRDefault="00787570">
            <w:pPr>
              <w:rPr>
                <w:rFonts w:ascii="宋体"/>
              </w:rPr>
            </w:pPr>
          </w:p>
        </w:tc>
        <w:tc>
          <w:tcPr>
            <w:tcW w:w="50" w:type="pct"/>
            <w:shd w:val="clear" w:color="auto" w:fill="auto"/>
          </w:tcPr>
          <w:p w14:paraId="36CA32B3" w14:textId="77777777" w:rsidR="00787570" w:rsidRDefault="00787570">
            <w:pPr>
              <w:rPr>
                <w:rFonts w:ascii="宋体"/>
              </w:rPr>
            </w:pPr>
          </w:p>
        </w:tc>
        <w:tc>
          <w:tcPr>
            <w:tcW w:w="4282" w:type="pct"/>
            <w:shd w:val="clear" w:color="auto" w:fill="auto"/>
          </w:tcPr>
          <w:p w14:paraId="36CA32B4" w14:textId="77777777" w:rsidR="00787570" w:rsidRDefault="00787570">
            <w:pPr>
              <w:rPr>
                <w:rFonts w:ascii="宋体"/>
              </w:rPr>
            </w:pPr>
          </w:p>
        </w:tc>
        <w:tc>
          <w:tcPr>
            <w:tcW w:w="5" w:type="pct"/>
            <w:shd w:val="clear" w:color="auto" w:fill="auto"/>
          </w:tcPr>
          <w:p w14:paraId="36CA32B5" w14:textId="77777777" w:rsidR="00787570" w:rsidRDefault="00787570">
            <w:pPr>
              <w:rPr>
                <w:rFonts w:ascii="宋体"/>
              </w:rPr>
            </w:pPr>
          </w:p>
        </w:tc>
      </w:tr>
      <w:tr w:rsidR="00787570" w14:paraId="36CA32B9" w14:textId="77777777">
        <w:tc>
          <w:tcPr>
            <w:tcW w:w="0" w:type="auto"/>
            <w:gridSpan w:val="3"/>
            <w:tcBorders>
              <w:bottom w:val="single" w:sz="8" w:space="0" w:color="0071C5"/>
            </w:tcBorders>
            <w:shd w:val="clear" w:color="auto" w:fill="0071C5"/>
            <w:tcMar>
              <w:top w:w="40" w:type="dxa"/>
              <w:left w:w="20" w:type="dxa"/>
              <w:bottom w:w="40" w:type="dxa"/>
              <w:right w:w="20" w:type="dxa"/>
            </w:tcMar>
            <w:vAlign w:val="bottom"/>
          </w:tcPr>
          <w:p w14:paraId="36CA32B7" w14:textId="77777777" w:rsidR="00787570" w:rsidRDefault="000D56E2">
            <w:pPr>
              <w:textAlignment w:val="bottom"/>
            </w:pPr>
            <w:r>
              <w:rPr>
                <w:rFonts w:ascii="Arial" w:eastAsia="宋体" w:hAnsi="Arial" w:cs="Arial"/>
                <w:b/>
                <w:bCs/>
                <w:color w:val="FFFFFF"/>
                <w:sz w:val="28"/>
                <w:szCs w:val="28"/>
              </w:rPr>
              <w:t xml:space="preserve">NOTE 8 : </w:t>
            </w:r>
          </w:p>
        </w:tc>
        <w:tc>
          <w:tcPr>
            <w:tcW w:w="0" w:type="auto"/>
            <w:gridSpan w:val="3"/>
            <w:tcBorders>
              <w:bottom w:val="single" w:sz="8" w:space="0" w:color="0071C5"/>
            </w:tcBorders>
            <w:shd w:val="clear" w:color="auto" w:fill="auto"/>
            <w:tcMar>
              <w:top w:w="40" w:type="dxa"/>
              <w:left w:w="20" w:type="dxa"/>
              <w:bottom w:w="40" w:type="dxa"/>
              <w:right w:w="20" w:type="dxa"/>
            </w:tcMar>
            <w:vAlign w:val="bottom"/>
          </w:tcPr>
          <w:p w14:paraId="36CA32B8" w14:textId="77777777" w:rsidR="00787570" w:rsidRDefault="000D56E2">
            <w:pPr>
              <w:textAlignment w:val="bottom"/>
            </w:pPr>
            <w:r>
              <w:rPr>
                <w:rFonts w:ascii="Arial" w:eastAsia="宋体" w:hAnsi="Arial" w:cs="Arial"/>
                <w:b/>
                <w:bCs/>
                <w:color w:val="0071C5"/>
                <w:sz w:val="28"/>
                <w:szCs w:val="28"/>
              </w:rPr>
              <w:t>ACQUISITIONS AND DIVESTITURES</w:t>
            </w:r>
          </w:p>
        </w:tc>
      </w:tr>
    </w:tbl>
    <w:p w14:paraId="36CA32BA" w14:textId="77777777" w:rsidR="00787570" w:rsidRDefault="000D56E2">
      <w:pPr>
        <w:spacing w:before="180" w:after="180"/>
      </w:pPr>
      <w:r>
        <w:rPr>
          <w:rFonts w:ascii="Arial" w:eastAsia="宋体" w:hAnsi="Arial" w:cs="Arial"/>
          <w:b/>
          <w:bCs/>
          <w:color w:val="0071C5"/>
        </w:rPr>
        <w:t>ACQUISITIONS</w:t>
      </w:r>
    </w:p>
    <w:p w14:paraId="36CA32BB" w14:textId="77777777" w:rsidR="00787570" w:rsidRDefault="000D56E2">
      <w:pPr>
        <w:spacing w:after="120"/>
      </w:pPr>
      <w:r>
        <w:rPr>
          <w:rFonts w:ascii="Arial" w:eastAsia="宋体" w:hAnsi="Arial" w:cs="Arial"/>
          <w:b/>
          <w:bCs/>
          <w:color w:val="333333"/>
          <w:sz w:val="20"/>
          <w:szCs w:val="20"/>
        </w:rPr>
        <w:t>Acquisition of Moovit</w:t>
      </w:r>
    </w:p>
    <w:p w14:paraId="36CA32BC" w14:textId="77777777" w:rsidR="00787570" w:rsidRDefault="000D56E2">
      <w:pPr>
        <w:spacing w:after="180"/>
      </w:pPr>
      <w:r>
        <w:rPr>
          <w:rFonts w:ascii="Arial" w:eastAsia="宋体" w:hAnsi="Arial" w:cs="Arial"/>
          <w:color w:val="333333"/>
          <w:sz w:val="18"/>
          <w:szCs w:val="18"/>
        </w:rPr>
        <w:t>On May 4, 2020, we acquired Moovit, a MaaS solutions company, for total consideration of $915 million. The fair values of the assets acquired relate to goodwill of $638 million and intangible assets of $331 million. The goodwill arisi</w:t>
      </w:r>
      <w:r>
        <w:rPr>
          <w:rFonts w:ascii="Arial" w:eastAsia="宋体" w:hAnsi="Arial" w:cs="Arial"/>
          <w:color w:val="333333"/>
          <w:sz w:val="18"/>
          <w:szCs w:val="18"/>
        </w:rPr>
        <w:t>ng from the acquisition is attributed to the expected synergies and other benefits that will be generated from the combination of Intel and Moovit. We expect substantially all of the goodwill will not be deductible for local tax purposes. The acquisition-r</w:t>
      </w:r>
      <w:r>
        <w:rPr>
          <w:rFonts w:ascii="Arial" w:eastAsia="宋体" w:hAnsi="Arial" w:cs="Arial"/>
          <w:color w:val="333333"/>
          <w:sz w:val="18"/>
          <w:szCs w:val="18"/>
        </w:rPr>
        <w:t>elated intangible assets are primarily related to Moovit's monthly active user base and application platform. The goodwill and operating results of Moovit are included in our Mobileye operating segment.</w:t>
      </w:r>
    </w:p>
    <w:p w14:paraId="36CA32BD" w14:textId="77777777" w:rsidR="00787570" w:rsidRDefault="000D56E2">
      <w:pPr>
        <w:spacing w:after="180"/>
      </w:pPr>
      <w:r>
        <w:rPr>
          <w:rFonts w:ascii="Arial" w:eastAsia="宋体" w:hAnsi="Arial" w:cs="Arial"/>
          <w:b/>
          <w:bCs/>
          <w:color w:val="0071C5"/>
        </w:rPr>
        <w:t>DIVESTITURES</w:t>
      </w:r>
    </w:p>
    <w:p w14:paraId="36CA32BE" w14:textId="77777777" w:rsidR="00787570" w:rsidRDefault="000D56E2">
      <w:pPr>
        <w:spacing w:after="120"/>
      </w:pPr>
      <w:r>
        <w:rPr>
          <w:rFonts w:ascii="Arial" w:eastAsia="宋体" w:hAnsi="Arial" w:cs="Arial"/>
          <w:b/>
          <w:bCs/>
          <w:color w:val="333333"/>
          <w:sz w:val="20"/>
          <w:szCs w:val="20"/>
        </w:rPr>
        <w:t>Home Gateway Platform Division</w:t>
      </w:r>
    </w:p>
    <w:p w14:paraId="36CA32BF" w14:textId="77777777" w:rsidR="00787570" w:rsidRDefault="000D56E2">
      <w:pPr>
        <w:spacing w:after="180"/>
      </w:pPr>
      <w:r>
        <w:rPr>
          <w:rFonts w:ascii="Arial" w:eastAsia="宋体" w:hAnsi="Arial" w:cs="Arial"/>
          <w:color w:val="333333"/>
          <w:sz w:val="18"/>
          <w:szCs w:val="18"/>
        </w:rPr>
        <w:t>On July 3</w:t>
      </w:r>
      <w:r>
        <w:rPr>
          <w:rFonts w:ascii="Arial" w:eastAsia="宋体" w:hAnsi="Arial" w:cs="Arial"/>
          <w:color w:val="333333"/>
          <w:sz w:val="18"/>
          <w:szCs w:val="18"/>
        </w:rPr>
        <w:t xml:space="preserve">1, 2020, we completed the divestiture of the majority of Home Gateway Platform, a division of CCG, for proceeds of $150 million. The divestiture included the transfer of certain employees, equipment, and an on-going supply agreement for future units. </w:t>
      </w:r>
    </w:p>
    <w:p w14:paraId="36CA32C0" w14:textId="77777777" w:rsidR="00787570" w:rsidRDefault="00787570">
      <w:pPr>
        <w:spacing w:after="180"/>
      </w:pPr>
    </w:p>
    <w:p w14:paraId="36CA32C1" w14:textId="77777777" w:rsidR="00787570" w:rsidRDefault="00787570">
      <w:pPr>
        <w:spacing w:after="180"/>
      </w:pPr>
    </w:p>
    <w:p w14:paraId="36CA32C2" w14:textId="77777777" w:rsidR="00787570" w:rsidRDefault="00787570">
      <w:pPr>
        <w:spacing w:after="180"/>
      </w:pPr>
    </w:p>
    <w:p w14:paraId="36CA32C3" w14:textId="77777777" w:rsidR="00787570" w:rsidRDefault="00787570">
      <w:pPr>
        <w:spacing w:after="180"/>
      </w:pPr>
    </w:p>
    <w:p w14:paraId="36CA32C4" w14:textId="77777777" w:rsidR="00787570" w:rsidRDefault="00787570">
      <w:pPr>
        <w:spacing w:after="180"/>
      </w:pPr>
    </w:p>
    <w:p w14:paraId="36CA32C5" w14:textId="77777777" w:rsidR="00787570" w:rsidRDefault="00787570">
      <w:pPr>
        <w:spacing w:after="180"/>
      </w:pPr>
    </w:p>
    <w:p w14:paraId="36CA32C6" w14:textId="77777777" w:rsidR="00787570" w:rsidRDefault="00787570">
      <w:pPr>
        <w:spacing w:after="180"/>
      </w:pPr>
    </w:p>
    <w:tbl>
      <w:tblPr>
        <w:tblW w:w="5000" w:type="pct"/>
        <w:tblCellMar>
          <w:top w:w="15" w:type="dxa"/>
          <w:left w:w="15" w:type="dxa"/>
          <w:bottom w:w="15" w:type="dxa"/>
          <w:right w:w="15" w:type="dxa"/>
        </w:tblCellMar>
        <w:tblLook w:val="04A0" w:firstRow="1" w:lastRow="0" w:firstColumn="1" w:lastColumn="0" w:noHBand="0" w:noVBand="1"/>
      </w:tblPr>
      <w:tblGrid>
        <w:gridCol w:w="86"/>
        <w:gridCol w:w="426"/>
        <w:gridCol w:w="36"/>
        <w:gridCol w:w="62"/>
        <w:gridCol w:w="1676"/>
        <w:gridCol w:w="36"/>
        <w:gridCol w:w="62"/>
        <w:gridCol w:w="3655"/>
        <w:gridCol w:w="36"/>
        <w:gridCol w:w="63"/>
        <w:gridCol w:w="2162"/>
        <w:gridCol w:w="36"/>
      </w:tblGrid>
      <w:tr w:rsidR="00787570" w14:paraId="36CA32D3" w14:textId="77777777">
        <w:tc>
          <w:tcPr>
            <w:tcW w:w="50" w:type="pct"/>
            <w:shd w:val="clear" w:color="auto" w:fill="auto"/>
            <w:vAlign w:val="bottom"/>
          </w:tcPr>
          <w:p w14:paraId="36CA32C7" w14:textId="77777777" w:rsidR="00787570" w:rsidRDefault="00787570">
            <w:pPr>
              <w:rPr>
                <w:rFonts w:ascii="宋体"/>
              </w:rPr>
            </w:pPr>
          </w:p>
        </w:tc>
        <w:tc>
          <w:tcPr>
            <w:tcW w:w="248" w:type="pct"/>
            <w:shd w:val="clear" w:color="auto" w:fill="auto"/>
            <w:vAlign w:val="bottom"/>
          </w:tcPr>
          <w:p w14:paraId="36CA32C8" w14:textId="77777777" w:rsidR="00787570" w:rsidRDefault="00787570">
            <w:pPr>
              <w:rPr>
                <w:rFonts w:ascii="宋体"/>
              </w:rPr>
            </w:pPr>
          </w:p>
        </w:tc>
        <w:tc>
          <w:tcPr>
            <w:tcW w:w="5" w:type="pct"/>
            <w:shd w:val="clear" w:color="auto" w:fill="auto"/>
            <w:vAlign w:val="bottom"/>
          </w:tcPr>
          <w:p w14:paraId="36CA32C9" w14:textId="77777777" w:rsidR="00787570" w:rsidRDefault="00787570">
            <w:pPr>
              <w:rPr>
                <w:rFonts w:ascii="宋体"/>
              </w:rPr>
            </w:pPr>
          </w:p>
        </w:tc>
        <w:tc>
          <w:tcPr>
            <w:tcW w:w="50" w:type="pct"/>
            <w:shd w:val="clear" w:color="auto" w:fill="auto"/>
            <w:vAlign w:val="bottom"/>
          </w:tcPr>
          <w:p w14:paraId="36CA32CA" w14:textId="77777777" w:rsidR="00787570" w:rsidRDefault="00787570">
            <w:pPr>
              <w:rPr>
                <w:rFonts w:ascii="宋体"/>
              </w:rPr>
            </w:pPr>
          </w:p>
        </w:tc>
        <w:tc>
          <w:tcPr>
            <w:tcW w:w="1018" w:type="pct"/>
            <w:shd w:val="clear" w:color="auto" w:fill="auto"/>
            <w:vAlign w:val="bottom"/>
          </w:tcPr>
          <w:p w14:paraId="36CA32CB" w14:textId="77777777" w:rsidR="00787570" w:rsidRDefault="00787570">
            <w:pPr>
              <w:rPr>
                <w:rFonts w:ascii="宋体"/>
              </w:rPr>
            </w:pPr>
          </w:p>
        </w:tc>
        <w:tc>
          <w:tcPr>
            <w:tcW w:w="5" w:type="pct"/>
            <w:shd w:val="clear" w:color="auto" w:fill="auto"/>
            <w:vAlign w:val="bottom"/>
          </w:tcPr>
          <w:p w14:paraId="36CA32CC" w14:textId="77777777" w:rsidR="00787570" w:rsidRDefault="00787570">
            <w:pPr>
              <w:rPr>
                <w:rFonts w:ascii="宋体"/>
              </w:rPr>
            </w:pPr>
          </w:p>
        </w:tc>
        <w:tc>
          <w:tcPr>
            <w:tcW w:w="50" w:type="pct"/>
            <w:shd w:val="clear" w:color="auto" w:fill="auto"/>
            <w:vAlign w:val="bottom"/>
          </w:tcPr>
          <w:p w14:paraId="36CA32CD" w14:textId="77777777" w:rsidR="00787570" w:rsidRDefault="00787570">
            <w:pPr>
              <w:rPr>
                <w:rFonts w:ascii="宋体"/>
              </w:rPr>
            </w:pPr>
          </w:p>
        </w:tc>
        <w:tc>
          <w:tcPr>
            <w:tcW w:w="2204" w:type="pct"/>
            <w:shd w:val="clear" w:color="auto" w:fill="auto"/>
            <w:vAlign w:val="bottom"/>
          </w:tcPr>
          <w:p w14:paraId="36CA32CE" w14:textId="77777777" w:rsidR="00787570" w:rsidRDefault="00787570">
            <w:pPr>
              <w:rPr>
                <w:rFonts w:ascii="宋体"/>
              </w:rPr>
            </w:pPr>
          </w:p>
        </w:tc>
        <w:tc>
          <w:tcPr>
            <w:tcW w:w="5" w:type="pct"/>
            <w:shd w:val="clear" w:color="auto" w:fill="auto"/>
            <w:vAlign w:val="bottom"/>
          </w:tcPr>
          <w:p w14:paraId="36CA32CF" w14:textId="77777777" w:rsidR="00787570" w:rsidRDefault="00787570">
            <w:pPr>
              <w:rPr>
                <w:rFonts w:ascii="宋体"/>
              </w:rPr>
            </w:pPr>
          </w:p>
        </w:tc>
        <w:tc>
          <w:tcPr>
            <w:tcW w:w="50" w:type="pct"/>
            <w:shd w:val="clear" w:color="auto" w:fill="auto"/>
            <w:vAlign w:val="bottom"/>
          </w:tcPr>
          <w:p w14:paraId="36CA32D0" w14:textId="77777777" w:rsidR="00787570" w:rsidRDefault="00787570">
            <w:pPr>
              <w:rPr>
                <w:rFonts w:ascii="宋体"/>
              </w:rPr>
            </w:pPr>
          </w:p>
        </w:tc>
        <w:tc>
          <w:tcPr>
            <w:tcW w:w="1308" w:type="pct"/>
            <w:shd w:val="clear" w:color="auto" w:fill="auto"/>
            <w:vAlign w:val="bottom"/>
          </w:tcPr>
          <w:p w14:paraId="36CA32D1" w14:textId="77777777" w:rsidR="00787570" w:rsidRDefault="00787570">
            <w:pPr>
              <w:rPr>
                <w:rFonts w:ascii="宋体"/>
              </w:rPr>
            </w:pPr>
          </w:p>
        </w:tc>
        <w:tc>
          <w:tcPr>
            <w:tcW w:w="5" w:type="pct"/>
            <w:shd w:val="clear" w:color="auto" w:fill="auto"/>
            <w:vAlign w:val="bottom"/>
          </w:tcPr>
          <w:p w14:paraId="36CA32D2" w14:textId="77777777" w:rsidR="00787570" w:rsidRDefault="00787570">
            <w:pPr>
              <w:rPr>
                <w:rFonts w:ascii="宋体"/>
              </w:rPr>
            </w:pPr>
          </w:p>
        </w:tc>
      </w:tr>
      <w:tr w:rsidR="00787570" w14:paraId="36CA32D8" w14:textId="77777777">
        <w:tc>
          <w:tcPr>
            <w:tcW w:w="0" w:type="auto"/>
            <w:gridSpan w:val="3"/>
            <w:tcBorders>
              <w:top w:val="single" w:sz="8" w:space="0" w:color="0071C5"/>
            </w:tcBorders>
            <w:shd w:val="clear" w:color="auto" w:fill="auto"/>
            <w:tcMar>
              <w:left w:w="20" w:type="dxa"/>
              <w:right w:w="20" w:type="dxa"/>
            </w:tcMar>
            <w:vAlign w:val="center"/>
          </w:tcPr>
          <w:p w14:paraId="36CA32D4" w14:textId="77777777" w:rsidR="00787570" w:rsidRDefault="000D56E2">
            <w:pPr>
              <w:textAlignment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Viewer9_files/intc-20200926_g2.jpg"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36CA5C15" wp14:editId="36CA5C16">
                  <wp:extent cx="304800" cy="304800"/>
                  <wp:effectExtent l="0" t="0" r="0" b="0"/>
                  <wp:docPr id="25" name="图片 71" descr="IMG_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71" descr="IMG_329"/>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8" w:space="0" w:color="0071C5"/>
            </w:tcBorders>
            <w:shd w:val="clear" w:color="auto" w:fill="auto"/>
            <w:tcMar>
              <w:top w:w="40" w:type="dxa"/>
              <w:left w:w="20" w:type="dxa"/>
              <w:bottom w:w="40" w:type="dxa"/>
              <w:right w:w="20" w:type="dxa"/>
            </w:tcMar>
            <w:vAlign w:val="center"/>
          </w:tcPr>
          <w:p w14:paraId="36CA32D5" w14:textId="77777777" w:rsidR="00787570" w:rsidRDefault="000D56E2">
            <w:pPr>
              <w:textAlignment w:val="center"/>
            </w:pPr>
            <w:r>
              <w:rPr>
                <w:rFonts w:ascii="Arial" w:eastAsia="宋体" w:hAnsi="Arial" w:cs="Arial"/>
                <w:color w:val="333333"/>
                <w:sz w:val="16"/>
                <w:szCs w:val="16"/>
              </w:rPr>
              <w:t> FINANCIAL STATEMENTS</w:t>
            </w:r>
          </w:p>
        </w:tc>
        <w:tc>
          <w:tcPr>
            <w:tcW w:w="0" w:type="auto"/>
            <w:gridSpan w:val="3"/>
            <w:tcBorders>
              <w:top w:val="single" w:sz="8" w:space="0" w:color="0071C5"/>
              <w:left w:val="single" w:sz="24" w:space="0" w:color="0071C5"/>
            </w:tcBorders>
            <w:shd w:val="clear" w:color="auto" w:fill="auto"/>
            <w:tcMar>
              <w:top w:w="40" w:type="dxa"/>
              <w:left w:w="20" w:type="dxa"/>
              <w:bottom w:w="40" w:type="dxa"/>
              <w:right w:w="20" w:type="dxa"/>
            </w:tcMar>
            <w:vAlign w:val="center"/>
          </w:tcPr>
          <w:p w14:paraId="36CA32D6" w14:textId="77777777" w:rsidR="00787570" w:rsidRDefault="000D56E2">
            <w:pPr>
              <w:textAlignment w:val="center"/>
            </w:pPr>
            <w:r>
              <w:rPr>
                <w:rFonts w:ascii="Arial" w:eastAsia="宋体" w:hAnsi="Arial" w:cs="Arial"/>
                <w:color w:val="333333"/>
                <w:sz w:val="16"/>
                <w:szCs w:val="16"/>
              </w:rPr>
              <w:t>  Notes to Financial Statements</w:t>
            </w:r>
          </w:p>
        </w:tc>
        <w:tc>
          <w:tcPr>
            <w:tcW w:w="0" w:type="auto"/>
            <w:gridSpan w:val="3"/>
            <w:tcBorders>
              <w:top w:val="single" w:sz="8" w:space="0" w:color="0071C5"/>
            </w:tcBorders>
            <w:shd w:val="clear" w:color="auto" w:fill="auto"/>
            <w:tcMar>
              <w:top w:w="40" w:type="dxa"/>
              <w:left w:w="20" w:type="dxa"/>
              <w:bottom w:w="40" w:type="dxa"/>
              <w:right w:w="20" w:type="dxa"/>
            </w:tcMar>
            <w:vAlign w:val="center"/>
          </w:tcPr>
          <w:p w14:paraId="36CA32D7" w14:textId="77777777" w:rsidR="00787570" w:rsidRDefault="000D56E2">
            <w:pPr>
              <w:jc w:val="right"/>
              <w:textAlignment w:val="center"/>
            </w:pPr>
            <w:r>
              <w:rPr>
                <w:rFonts w:ascii="Arial" w:eastAsia="宋体" w:hAnsi="Arial" w:cs="Arial"/>
                <w:color w:val="333333"/>
                <w:sz w:val="16"/>
                <w:szCs w:val="16"/>
              </w:rPr>
              <w:t>16</w:t>
            </w:r>
          </w:p>
        </w:tc>
      </w:tr>
    </w:tbl>
    <w:p w14:paraId="36CA32D9" w14:textId="77777777" w:rsidR="00787570" w:rsidRDefault="000D56E2">
      <w:r>
        <w:pict w14:anchorId="36CA5C17">
          <v:rect id="_x0000_i1042" style="width:415.3pt;height:1.5pt" o:hralign="center" o:hrstd="t" o:hr="t" fillcolor="#a0a0a0" stroked="f"/>
        </w:pict>
      </w:r>
    </w:p>
    <w:p w14:paraId="36CA32DA" w14:textId="77777777" w:rsidR="00787570" w:rsidRDefault="000D56E2">
      <w:pPr>
        <w:spacing w:after="180"/>
        <w:jc w:val="right"/>
      </w:pPr>
      <w:hyperlink r:id="rId44" w:anchor="i32771df14e9449d2bec5be911426bf04_7" w:history="1">
        <w:r>
          <w:rPr>
            <w:rStyle w:val="a5"/>
            <w:rFonts w:ascii="Arial" w:eastAsia="宋体" w:hAnsi="Arial" w:cs="Arial"/>
            <w:b/>
            <w:bCs/>
            <w:sz w:val="16"/>
            <w:szCs w:val="16"/>
          </w:rPr>
          <w:t>Table of Contents</w:t>
        </w:r>
      </w:hyperlink>
    </w:p>
    <w:p w14:paraId="36CA32DB" w14:textId="77777777" w:rsidR="00787570" w:rsidRDefault="00787570">
      <w:pPr>
        <w:spacing w:after="180"/>
        <w:jc w:val="right"/>
      </w:pPr>
    </w:p>
    <w:tbl>
      <w:tblPr>
        <w:tblW w:w="5000" w:type="pct"/>
        <w:tblCellMar>
          <w:top w:w="15" w:type="dxa"/>
          <w:left w:w="15" w:type="dxa"/>
          <w:bottom w:w="15" w:type="dxa"/>
          <w:right w:w="15" w:type="dxa"/>
        </w:tblCellMar>
        <w:tblLook w:val="04A0" w:firstRow="1" w:lastRow="0" w:firstColumn="1" w:lastColumn="0" w:noHBand="0" w:noVBand="1"/>
      </w:tblPr>
      <w:tblGrid>
        <w:gridCol w:w="69"/>
        <w:gridCol w:w="998"/>
        <w:gridCol w:w="36"/>
        <w:gridCol w:w="69"/>
        <w:gridCol w:w="7128"/>
        <w:gridCol w:w="36"/>
      </w:tblGrid>
      <w:tr w:rsidR="00787570" w14:paraId="36CA32E2" w14:textId="77777777">
        <w:tc>
          <w:tcPr>
            <w:tcW w:w="50" w:type="pct"/>
            <w:shd w:val="clear" w:color="auto" w:fill="auto"/>
          </w:tcPr>
          <w:p w14:paraId="36CA32DC" w14:textId="77777777" w:rsidR="00787570" w:rsidRDefault="00787570">
            <w:pPr>
              <w:rPr>
                <w:rFonts w:ascii="宋体"/>
              </w:rPr>
            </w:pPr>
          </w:p>
        </w:tc>
        <w:tc>
          <w:tcPr>
            <w:tcW w:w="607" w:type="pct"/>
            <w:shd w:val="clear" w:color="auto" w:fill="auto"/>
          </w:tcPr>
          <w:p w14:paraId="36CA32DD" w14:textId="77777777" w:rsidR="00787570" w:rsidRDefault="00787570">
            <w:pPr>
              <w:rPr>
                <w:rFonts w:ascii="宋体"/>
              </w:rPr>
            </w:pPr>
          </w:p>
        </w:tc>
        <w:tc>
          <w:tcPr>
            <w:tcW w:w="5" w:type="pct"/>
            <w:shd w:val="clear" w:color="auto" w:fill="auto"/>
          </w:tcPr>
          <w:p w14:paraId="36CA32DE" w14:textId="77777777" w:rsidR="00787570" w:rsidRDefault="00787570">
            <w:pPr>
              <w:rPr>
                <w:rFonts w:ascii="宋体"/>
              </w:rPr>
            </w:pPr>
          </w:p>
        </w:tc>
        <w:tc>
          <w:tcPr>
            <w:tcW w:w="50" w:type="pct"/>
            <w:shd w:val="clear" w:color="auto" w:fill="auto"/>
          </w:tcPr>
          <w:p w14:paraId="36CA32DF" w14:textId="77777777" w:rsidR="00787570" w:rsidRDefault="00787570">
            <w:pPr>
              <w:rPr>
                <w:rFonts w:ascii="宋体"/>
              </w:rPr>
            </w:pPr>
          </w:p>
        </w:tc>
        <w:tc>
          <w:tcPr>
            <w:tcW w:w="4282" w:type="pct"/>
            <w:shd w:val="clear" w:color="auto" w:fill="auto"/>
          </w:tcPr>
          <w:p w14:paraId="36CA32E0" w14:textId="77777777" w:rsidR="00787570" w:rsidRDefault="00787570">
            <w:pPr>
              <w:rPr>
                <w:rFonts w:ascii="宋体"/>
              </w:rPr>
            </w:pPr>
          </w:p>
        </w:tc>
        <w:tc>
          <w:tcPr>
            <w:tcW w:w="5" w:type="pct"/>
            <w:shd w:val="clear" w:color="auto" w:fill="auto"/>
          </w:tcPr>
          <w:p w14:paraId="36CA32E1" w14:textId="77777777" w:rsidR="00787570" w:rsidRDefault="00787570">
            <w:pPr>
              <w:rPr>
                <w:rFonts w:ascii="宋体"/>
              </w:rPr>
            </w:pPr>
          </w:p>
        </w:tc>
      </w:tr>
      <w:tr w:rsidR="00787570" w14:paraId="36CA32E5" w14:textId="77777777">
        <w:tc>
          <w:tcPr>
            <w:tcW w:w="0" w:type="auto"/>
            <w:gridSpan w:val="3"/>
            <w:tcBorders>
              <w:bottom w:val="single" w:sz="8" w:space="0" w:color="0071C5"/>
            </w:tcBorders>
            <w:shd w:val="clear" w:color="auto" w:fill="0071C5"/>
            <w:tcMar>
              <w:top w:w="40" w:type="dxa"/>
              <w:left w:w="20" w:type="dxa"/>
              <w:bottom w:w="40" w:type="dxa"/>
              <w:right w:w="20" w:type="dxa"/>
            </w:tcMar>
            <w:vAlign w:val="bottom"/>
          </w:tcPr>
          <w:p w14:paraId="36CA32E3" w14:textId="77777777" w:rsidR="00787570" w:rsidRDefault="000D56E2">
            <w:pPr>
              <w:textAlignment w:val="bottom"/>
            </w:pPr>
            <w:r>
              <w:rPr>
                <w:rFonts w:ascii="Arial" w:eastAsia="宋体" w:hAnsi="Arial" w:cs="Arial"/>
                <w:b/>
                <w:bCs/>
                <w:color w:val="FFFFFF"/>
                <w:sz w:val="28"/>
                <w:szCs w:val="28"/>
              </w:rPr>
              <w:t xml:space="preserve">NOTE 9 : </w:t>
            </w:r>
          </w:p>
        </w:tc>
        <w:tc>
          <w:tcPr>
            <w:tcW w:w="0" w:type="auto"/>
            <w:gridSpan w:val="3"/>
            <w:tcBorders>
              <w:bottom w:val="single" w:sz="8" w:space="0" w:color="0071C5"/>
            </w:tcBorders>
            <w:shd w:val="clear" w:color="auto" w:fill="auto"/>
            <w:tcMar>
              <w:top w:w="40" w:type="dxa"/>
              <w:left w:w="20" w:type="dxa"/>
              <w:bottom w:w="40" w:type="dxa"/>
              <w:right w:w="20" w:type="dxa"/>
            </w:tcMar>
            <w:vAlign w:val="bottom"/>
          </w:tcPr>
          <w:p w14:paraId="36CA32E4" w14:textId="77777777" w:rsidR="00787570" w:rsidRDefault="000D56E2">
            <w:pPr>
              <w:textAlignment w:val="bottom"/>
            </w:pPr>
            <w:r>
              <w:rPr>
                <w:rFonts w:ascii="Arial" w:eastAsia="宋体" w:hAnsi="Arial" w:cs="Arial"/>
                <w:b/>
                <w:bCs/>
                <w:color w:val="0071C5"/>
                <w:sz w:val="28"/>
                <w:szCs w:val="28"/>
              </w:rPr>
              <w:t>BORROWINGS</w:t>
            </w:r>
          </w:p>
        </w:tc>
      </w:tr>
    </w:tbl>
    <w:p w14:paraId="36CA32E6" w14:textId="77777777" w:rsidR="00787570" w:rsidRDefault="000D56E2">
      <w:pPr>
        <w:spacing w:before="180" w:after="180"/>
      </w:pPr>
      <w:r>
        <w:rPr>
          <w:rFonts w:ascii="Arial" w:eastAsia="宋体" w:hAnsi="Arial" w:cs="Arial"/>
          <w:color w:val="333333"/>
          <w:sz w:val="18"/>
          <w:szCs w:val="18"/>
        </w:rPr>
        <w:t xml:space="preserve">As of September 26, 2020, our short-term debt was $504 million, primarily comprised of the current portion of our long-term debt ($3.7 billion as of December 28, 2019). </w:t>
      </w:r>
    </w:p>
    <w:p w14:paraId="36CA32E7" w14:textId="77777777" w:rsidR="00787570" w:rsidRDefault="000D56E2">
      <w:pPr>
        <w:spacing w:after="180"/>
      </w:pPr>
      <w:r>
        <w:rPr>
          <w:rFonts w:ascii="Arial" w:eastAsia="宋体" w:hAnsi="Arial" w:cs="Arial"/>
          <w:color w:val="333333"/>
          <w:sz w:val="18"/>
          <w:szCs w:val="18"/>
        </w:rPr>
        <w:t>We have an ongoing authorization from our Board of Directors to borrow up to $10.0 bil</w:t>
      </w:r>
      <w:r>
        <w:rPr>
          <w:rFonts w:ascii="Arial" w:eastAsia="宋体" w:hAnsi="Arial" w:cs="Arial"/>
          <w:color w:val="333333"/>
          <w:sz w:val="18"/>
          <w:szCs w:val="18"/>
        </w:rPr>
        <w:t>lion under our commercial paper program.</w:t>
      </w:r>
    </w:p>
    <w:p w14:paraId="36CA32E8" w14:textId="77777777" w:rsidR="00787570" w:rsidRDefault="000D56E2">
      <w:pPr>
        <w:spacing w:after="120"/>
      </w:pPr>
      <w:r>
        <w:rPr>
          <w:rFonts w:ascii="Arial" w:eastAsia="宋体" w:hAnsi="Arial" w:cs="Arial"/>
          <w:b/>
          <w:bCs/>
          <w:color w:val="0071C5"/>
        </w:rPr>
        <w:t>LONG-TERM DEBT</w:t>
      </w:r>
    </w:p>
    <w:tbl>
      <w:tblPr>
        <w:tblW w:w="4986" w:type="pct"/>
        <w:tblCellMar>
          <w:top w:w="15" w:type="dxa"/>
          <w:left w:w="15" w:type="dxa"/>
          <w:bottom w:w="15" w:type="dxa"/>
          <w:right w:w="15" w:type="dxa"/>
        </w:tblCellMar>
        <w:tblLook w:val="04A0" w:firstRow="1" w:lastRow="0" w:firstColumn="1" w:lastColumn="0" w:noHBand="0" w:noVBand="1"/>
      </w:tblPr>
      <w:tblGrid>
        <w:gridCol w:w="40"/>
        <w:gridCol w:w="4080"/>
        <w:gridCol w:w="38"/>
        <w:gridCol w:w="36"/>
        <w:gridCol w:w="36"/>
        <w:gridCol w:w="36"/>
        <w:gridCol w:w="56"/>
        <w:gridCol w:w="864"/>
        <w:gridCol w:w="196"/>
        <w:gridCol w:w="36"/>
        <w:gridCol w:w="36"/>
        <w:gridCol w:w="36"/>
        <w:gridCol w:w="136"/>
        <w:gridCol w:w="906"/>
        <w:gridCol w:w="41"/>
        <w:gridCol w:w="36"/>
        <w:gridCol w:w="36"/>
        <w:gridCol w:w="36"/>
        <w:gridCol w:w="136"/>
        <w:gridCol w:w="906"/>
        <w:gridCol w:w="41"/>
        <w:gridCol w:w="36"/>
        <w:gridCol w:w="36"/>
        <w:gridCol w:w="36"/>
        <w:gridCol w:w="147"/>
        <w:gridCol w:w="147"/>
        <w:gridCol w:w="147"/>
      </w:tblGrid>
      <w:tr w:rsidR="00787570" w14:paraId="36CA32FE" w14:textId="77777777">
        <w:trPr>
          <w:gridAfter w:val="6"/>
        </w:trPr>
        <w:tc>
          <w:tcPr>
            <w:tcW w:w="50" w:type="pct"/>
            <w:shd w:val="clear" w:color="auto" w:fill="auto"/>
          </w:tcPr>
          <w:p w14:paraId="36CA32E9" w14:textId="77777777" w:rsidR="00787570" w:rsidRDefault="00787570">
            <w:pPr>
              <w:rPr>
                <w:rFonts w:ascii="宋体"/>
              </w:rPr>
            </w:pPr>
          </w:p>
        </w:tc>
        <w:tc>
          <w:tcPr>
            <w:tcW w:w="2684" w:type="pct"/>
            <w:shd w:val="clear" w:color="auto" w:fill="auto"/>
          </w:tcPr>
          <w:p w14:paraId="36CA32EA" w14:textId="77777777" w:rsidR="00787570" w:rsidRDefault="00787570">
            <w:pPr>
              <w:rPr>
                <w:rFonts w:ascii="宋体"/>
              </w:rPr>
            </w:pPr>
          </w:p>
        </w:tc>
        <w:tc>
          <w:tcPr>
            <w:tcW w:w="5" w:type="pct"/>
            <w:shd w:val="clear" w:color="auto" w:fill="auto"/>
          </w:tcPr>
          <w:p w14:paraId="36CA32EB" w14:textId="77777777" w:rsidR="00787570" w:rsidRDefault="00787570">
            <w:pPr>
              <w:rPr>
                <w:rFonts w:ascii="宋体"/>
              </w:rPr>
            </w:pPr>
          </w:p>
        </w:tc>
        <w:tc>
          <w:tcPr>
            <w:tcW w:w="5" w:type="pct"/>
            <w:shd w:val="clear" w:color="auto" w:fill="auto"/>
          </w:tcPr>
          <w:p w14:paraId="36CA32EC" w14:textId="77777777" w:rsidR="00787570" w:rsidRDefault="00787570">
            <w:pPr>
              <w:rPr>
                <w:rFonts w:ascii="宋体"/>
              </w:rPr>
            </w:pPr>
          </w:p>
        </w:tc>
        <w:tc>
          <w:tcPr>
            <w:tcW w:w="24" w:type="pct"/>
            <w:shd w:val="clear" w:color="auto" w:fill="auto"/>
          </w:tcPr>
          <w:p w14:paraId="36CA32ED" w14:textId="77777777" w:rsidR="00787570" w:rsidRDefault="00787570">
            <w:pPr>
              <w:rPr>
                <w:rFonts w:ascii="宋体"/>
              </w:rPr>
            </w:pPr>
          </w:p>
        </w:tc>
        <w:tc>
          <w:tcPr>
            <w:tcW w:w="5" w:type="pct"/>
            <w:shd w:val="clear" w:color="auto" w:fill="auto"/>
          </w:tcPr>
          <w:p w14:paraId="36CA32EE" w14:textId="77777777" w:rsidR="00787570" w:rsidRDefault="00787570">
            <w:pPr>
              <w:rPr>
                <w:rFonts w:ascii="宋体"/>
              </w:rPr>
            </w:pPr>
          </w:p>
        </w:tc>
        <w:tc>
          <w:tcPr>
            <w:tcW w:w="50" w:type="pct"/>
            <w:shd w:val="clear" w:color="auto" w:fill="auto"/>
          </w:tcPr>
          <w:p w14:paraId="36CA32EF" w14:textId="77777777" w:rsidR="00787570" w:rsidRDefault="00787570">
            <w:pPr>
              <w:rPr>
                <w:rFonts w:ascii="宋体"/>
              </w:rPr>
            </w:pPr>
          </w:p>
        </w:tc>
        <w:tc>
          <w:tcPr>
            <w:tcW w:w="664" w:type="pct"/>
            <w:shd w:val="clear" w:color="auto" w:fill="auto"/>
          </w:tcPr>
          <w:p w14:paraId="36CA32F0" w14:textId="77777777" w:rsidR="00787570" w:rsidRDefault="00787570">
            <w:pPr>
              <w:rPr>
                <w:rFonts w:ascii="宋体"/>
              </w:rPr>
            </w:pPr>
          </w:p>
        </w:tc>
        <w:tc>
          <w:tcPr>
            <w:tcW w:w="5" w:type="pct"/>
            <w:shd w:val="clear" w:color="auto" w:fill="auto"/>
          </w:tcPr>
          <w:p w14:paraId="36CA32F1" w14:textId="77777777" w:rsidR="00787570" w:rsidRDefault="00787570">
            <w:pPr>
              <w:rPr>
                <w:rFonts w:ascii="宋体"/>
              </w:rPr>
            </w:pPr>
          </w:p>
        </w:tc>
        <w:tc>
          <w:tcPr>
            <w:tcW w:w="5" w:type="pct"/>
            <w:shd w:val="clear" w:color="auto" w:fill="auto"/>
          </w:tcPr>
          <w:p w14:paraId="36CA32F2" w14:textId="77777777" w:rsidR="00787570" w:rsidRDefault="00787570">
            <w:pPr>
              <w:rPr>
                <w:rFonts w:ascii="宋体"/>
              </w:rPr>
            </w:pPr>
          </w:p>
        </w:tc>
        <w:tc>
          <w:tcPr>
            <w:tcW w:w="24" w:type="pct"/>
            <w:shd w:val="clear" w:color="auto" w:fill="auto"/>
          </w:tcPr>
          <w:p w14:paraId="36CA32F3" w14:textId="77777777" w:rsidR="00787570" w:rsidRDefault="00787570">
            <w:pPr>
              <w:rPr>
                <w:rFonts w:ascii="宋体"/>
              </w:rPr>
            </w:pPr>
          </w:p>
        </w:tc>
        <w:tc>
          <w:tcPr>
            <w:tcW w:w="5" w:type="pct"/>
            <w:shd w:val="clear" w:color="auto" w:fill="auto"/>
          </w:tcPr>
          <w:p w14:paraId="36CA32F4" w14:textId="77777777" w:rsidR="00787570" w:rsidRDefault="00787570">
            <w:pPr>
              <w:rPr>
                <w:rFonts w:ascii="宋体"/>
              </w:rPr>
            </w:pPr>
          </w:p>
        </w:tc>
        <w:tc>
          <w:tcPr>
            <w:tcW w:w="50" w:type="pct"/>
            <w:shd w:val="clear" w:color="auto" w:fill="auto"/>
          </w:tcPr>
          <w:p w14:paraId="36CA32F5" w14:textId="77777777" w:rsidR="00787570" w:rsidRDefault="00787570">
            <w:pPr>
              <w:rPr>
                <w:rFonts w:ascii="宋体"/>
              </w:rPr>
            </w:pPr>
          </w:p>
        </w:tc>
        <w:tc>
          <w:tcPr>
            <w:tcW w:w="664" w:type="pct"/>
            <w:shd w:val="clear" w:color="auto" w:fill="auto"/>
          </w:tcPr>
          <w:p w14:paraId="36CA32F6" w14:textId="77777777" w:rsidR="00787570" w:rsidRDefault="00787570">
            <w:pPr>
              <w:rPr>
                <w:rFonts w:ascii="宋体"/>
              </w:rPr>
            </w:pPr>
          </w:p>
        </w:tc>
        <w:tc>
          <w:tcPr>
            <w:tcW w:w="5" w:type="pct"/>
            <w:shd w:val="clear" w:color="auto" w:fill="auto"/>
          </w:tcPr>
          <w:p w14:paraId="36CA32F7" w14:textId="77777777" w:rsidR="00787570" w:rsidRDefault="00787570">
            <w:pPr>
              <w:rPr>
                <w:rFonts w:ascii="宋体"/>
              </w:rPr>
            </w:pPr>
          </w:p>
        </w:tc>
        <w:tc>
          <w:tcPr>
            <w:tcW w:w="5" w:type="pct"/>
            <w:shd w:val="clear" w:color="auto" w:fill="auto"/>
          </w:tcPr>
          <w:p w14:paraId="36CA32F8" w14:textId="77777777" w:rsidR="00787570" w:rsidRDefault="00787570">
            <w:pPr>
              <w:rPr>
                <w:rFonts w:ascii="宋体"/>
              </w:rPr>
            </w:pPr>
          </w:p>
        </w:tc>
        <w:tc>
          <w:tcPr>
            <w:tcW w:w="24" w:type="pct"/>
            <w:shd w:val="clear" w:color="auto" w:fill="auto"/>
          </w:tcPr>
          <w:p w14:paraId="36CA32F9" w14:textId="77777777" w:rsidR="00787570" w:rsidRDefault="00787570">
            <w:pPr>
              <w:rPr>
                <w:rFonts w:ascii="宋体"/>
              </w:rPr>
            </w:pPr>
          </w:p>
        </w:tc>
        <w:tc>
          <w:tcPr>
            <w:tcW w:w="5" w:type="pct"/>
            <w:shd w:val="clear" w:color="auto" w:fill="auto"/>
          </w:tcPr>
          <w:p w14:paraId="36CA32FA" w14:textId="77777777" w:rsidR="00787570" w:rsidRDefault="00787570">
            <w:pPr>
              <w:rPr>
                <w:rFonts w:ascii="宋体"/>
              </w:rPr>
            </w:pPr>
          </w:p>
        </w:tc>
        <w:tc>
          <w:tcPr>
            <w:tcW w:w="50" w:type="pct"/>
            <w:shd w:val="clear" w:color="auto" w:fill="auto"/>
          </w:tcPr>
          <w:p w14:paraId="36CA32FB" w14:textId="77777777" w:rsidR="00787570" w:rsidRDefault="00787570">
            <w:pPr>
              <w:rPr>
                <w:rFonts w:ascii="宋体"/>
              </w:rPr>
            </w:pPr>
          </w:p>
        </w:tc>
        <w:tc>
          <w:tcPr>
            <w:tcW w:w="664" w:type="pct"/>
            <w:shd w:val="clear" w:color="auto" w:fill="auto"/>
          </w:tcPr>
          <w:p w14:paraId="36CA32FC" w14:textId="77777777" w:rsidR="00787570" w:rsidRDefault="00787570">
            <w:pPr>
              <w:rPr>
                <w:rFonts w:ascii="宋体"/>
              </w:rPr>
            </w:pPr>
          </w:p>
        </w:tc>
        <w:tc>
          <w:tcPr>
            <w:tcW w:w="5" w:type="pct"/>
            <w:shd w:val="clear" w:color="auto" w:fill="auto"/>
          </w:tcPr>
          <w:p w14:paraId="36CA32FD" w14:textId="77777777" w:rsidR="00787570" w:rsidRDefault="00787570">
            <w:pPr>
              <w:rPr>
                <w:rFonts w:ascii="宋体"/>
              </w:rPr>
            </w:pPr>
          </w:p>
        </w:tc>
      </w:tr>
      <w:tr w:rsidR="00787570" w14:paraId="36CA3306" w14:textId="77777777">
        <w:tc>
          <w:tcPr>
            <w:tcW w:w="0" w:type="auto"/>
            <w:gridSpan w:val="3"/>
            <w:shd w:val="clear" w:color="auto" w:fill="auto"/>
            <w:tcMar>
              <w:left w:w="20" w:type="dxa"/>
              <w:right w:w="20" w:type="dxa"/>
            </w:tcMar>
            <w:vAlign w:val="bottom"/>
          </w:tcPr>
          <w:p w14:paraId="36CA32FF"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3300" w14:textId="77777777" w:rsidR="00787570" w:rsidRDefault="00787570">
            <w:pPr>
              <w:rPr>
                <w:rFonts w:ascii="宋体"/>
              </w:rPr>
            </w:pPr>
          </w:p>
        </w:tc>
        <w:tc>
          <w:tcPr>
            <w:tcW w:w="0" w:type="auto"/>
            <w:gridSpan w:val="9"/>
            <w:shd w:val="clear" w:color="auto" w:fill="auto"/>
            <w:tcMar>
              <w:top w:w="40" w:type="dxa"/>
              <w:left w:w="20" w:type="dxa"/>
              <w:bottom w:w="40" w:type="dxa"/>
              <w:right w:w="20" w:type="dxa"/>
            </w:tcMar>
            <w:vAlign w:val="bottom"/>
          </w:tcPr>
          <w:p w14:paraId="36CA3301" w14:textId="77777777" w:rsidR="00787570" w:rsidRDefault="000D56E2">
            <w:pPr>
              <w:jc w:val="center"/>
              <w:textAlignment w:val="bottom"/>
            </w:pPr>
            <w:r>
              <w:rPr>
                <w:rFonts w:ascii="Arial" w:eastAsia="宋体" w:hAnsi="Arial" w:cs="Arial"/>
                <w:b/>
                <w:bCs/>
                <w:color w:val="333333"/>
                <w:sz w:val="18"/>
                <w:szCs w:val="18"/>
              </w:rPr>
              <w:t>Sep 26, 2020</w:t>
            </w:r>
          </w:p>
        </w:tc>
        <w:tc>
          <w:tcPr>
            <w:tcW w:w="0" w:type="auto"/>
            <w:gridSpan w:val="3"/>
            <w:shd w:val="clear" w:color="auto" w:fill="auto"/>
          </w:tcPr>
          <w:p w14:paraId="36CA3302" w14:textId="77777777" w:rsidR="00787570" w:rsidRDefault="00787570">
            <w:pPr>
              <w:rPr>
                <w:rFonts w:ascii="宋体"/>
                <w:vanish/>
              </w:rPr>
            </w:pPr>
          </w:p>
        </w:tc>
        <w:tc>
          <w:tcPr>
            <w:tcW w:w="0" w:type="auto"/>
            <w:gridSpan w:val="3"/>
            <w:shd w:val="clear" w:color="auto" w:fill="auto"/>
          </w:tcPr>
          <w:p w14:paraId="36CA3303" w14:textId="77777777" w:rsidR="00787570" w:rsidRDefault="00787570">
            <w:pPr>
              <w:rPr>
                <w:rFonts w:ascii="宋体"/>
                <w:vanish/>
              </w:rPr>
            </w:pPr>
          </w:p>
        </w:tc>
        <w:tc>
          <w:tcPr>
            <w:tcW w:w="0" w:type="auto"/>
            <w:gridSpan w:val="3"/>
            <w:shd w:val="clear" w:color="auto" w:fill="auto"/>
            <w:tcMar>
              <w:left w:w="20" w:type="dxa"/>
              <w:right w:w="20" w:type="dxa"/>
            </w:tcMar>
            <w:vAlign w:val="bottom"/>
          </w:tcPr>
          <w:p w14:paraId="36CA3304" w14:textId="77777777" w:rsidR="00787570" w:rsidRDefault="00787570">
            <w:pPr>
              <w:rPr>
                <w:rFonts w:ascii="宋体"/>
              </w:rPr>
            </w:pPr>
          </w:p>
        </w:tc>
        <w:tc>
          <w:tcPr>
            <w:tcW w:w="0" w:type="auto"/>
            <w:gridSpan w:val="3"/>
            <w:shd w:val="clear" w:color="auto" w:fill="auto"/>
            <w:tcMar>
              <w:top w:w="40" w:type="dxa"/>
              <w:left w:w="20" w:type="dxa"/>
              <w:bottom w:w="40" w:type="dxa"/>
              <w:right w:w="20" w:type="dxa"/>
            </w:tcMar>
            <w:vAlign w:val="bottom"/>
          </w:tcPr>
          <w:p w14:paraId="36CA3305" w14:textId="77777777" w:rsidR="00787570" w:rsidRDefault="000D56E2">
            <w:pPr>
              <w:jc w:val="center"/>
              <w:textAlignment w:val="bottom"/>
            </w:pPr>
            <w:r>
              <w:rPr>
                <w:rFonts w:ascii="Arial" w:eastAsia="宋体" w:hAnsi="Arial" w:cs="Arial"/>
                <w:b/>
                <w:bCs/>
                <w:color w:val="333333"/>
                <w:sz w:val="18"/>
                <w:szCs w:val="18"/>
              </w:rPr>
              <w:t>Dec 28, 2019</w:t>
            </w:r>
          </w:p>
        </w:tc>
      </w:tr>
      <w:tr w:rsidR="00787570" w14:paraId="36CA3314" w14:textId="77777777">
        <w:tc>
          <w:tcPr>
            <w:tcW w:w="0" w:type="auto"/>
            <w:gridSpan w:val="3"/>
            <w:shd w:val="clear" w:color="auto" w:fill="auto"/>
            <w:tcMar>
              <w:top w:w="40" w:type="dxa"/>
              <w:left w:w="20" w:type="dxa"/>
              <w:bottom w:w="40" w:type="dxa"/>
              <w:right w:w="20" w:type="dxa"/>
            </w:tcMar>
            <w:vAlign w:val="bottom"/>
          </w:tcPr>
          <w:p w14:paraId="36CA3307" w14:textId="77777777" w:rsidR="00787570" w:rsidRDefault="000D56E2">
            <w:pPr>
              <w:textAlignment w:val="bottom"/>
            </w:pPr>
            <w:r>
              <w:rPr>
                <w:rFonts w:ascii="Arial" w:eastAsia="宋体" w:hAnsi="Arial" w:cs="Arial"/>
                <w:b/>
                <w:bCs/>
                <w:color w:val="333333"/>
                <w:sz w:val="18"/>
                <w:szCs w:val="18"/>
              </w:rPr>
              <w:t>(In Millions)</w:t>
            </w:r>
          </w:p>
        </w:tc>
        <w:tc>
          <w:tcPr>
            <w:tcW w:w="0" w:type="auto"/>
            <w:gridSpan w:val="3"/>
            <w:shd w:val="clear" w:color="auto" w:fill="auto"/>
            <w:tcMar>
              <w:left w:w="20" w:type="dxa"/>
              <w:right w:w="20" w:type="dxa"/>
            </w:tcMar>
            <w:vAlign w:val="bottom"/>
          </w:tcPr>
          <w:p w14:paraId="36CA3308" w14:textId="77777777" w:rsidR="00787570" w:rsidRDefault="00787570">
            <w:pPr>
              <w:rPr>
                <w:rFonts w:ascii="宋体"/>
              </w:rPr>
            </w:pPr>
          </w:p>
        </w:tc>
        <w:tc>
          <w:tcPr>
            <w:tcW w:w="0" w:type="auto"/>
            <w:gridSpan w:val="3"/>
            <w:tcBorders>
              <w:top w:val="single" w:sz="8" w:space="0" w:color="0071C5"/>
            </w:tcBorders>
            <w:shd w:val="clear" w:color="auto" w:fill="auto"/>
            <w:tcMar>
              <w:top w:w="40" w:type="dxa"/>
              <w:left w:w="20" w:type="dxa"/>
              <w:bottom w:w="40" w:type="dxa"/>
              <w:right w:w="20" w:type="dxa"/>
            </w:tcMar>
            <w:vAlign w:val="bottom"/>
          </w:tcPr>
          <w:p w14:paraId="36CA3309" w14:textId="77777777" w:rsidR="00787570" w:rsidRDefault="000D56E2">
            <w:pPr>
              <w:jc w:val="center"/>
              <w:textAlignment w:val="bottom"/>
            </w:pPr>
            <w:r>
              <w:rPr>
                <w:rFonts w:ascii="Arial" w:eastAsia="宋体" w:hAnsi="Arial" w:cs="Arial"/>
                <w:b/>
                <w:bCs/>
                <w:color w:val="333333"/>
                <w:sz w:val="18"/>
                <w:szCs w:val="18"/>
              </w:rPr>
              <w:t>Effective Interest Rate</w:t>
            </w:r>
          </w:p>
        </w:tc>
        <w:tc>
          <w:tcPr>
            <w:tcW w:w="0" w:type="auto"/>
            <w:gridSpan w:val="3"/>
            <w:tcBorders>
              <w:top w:val="single" w:sz="8" w:space="0" w:color="0071C5"/>
            </w:tcBorders>
            <w:shd w:val="clear" w:color="auto" w:fill="auto"/>
            <w:tcMar>
              <w:left w:w="20" w:type="dxa"/>
              <w:right w:w="20" w:type="dxa"/>
            </w:tcMar>
            <w:vAlign w:val="bottom"/>
          </w:tcPr>
          <w:p w14:paraId="36CA330A" w14:textId="77777777" w:rsidR="00787570" w:rsidRDefault="00787570">
            <w:pPr>
              <w:rPr>
                <w:rFonts w:ascii="宋体"/>
              </w:rPr>
            </w:pPr>
          </w:p>
        </w:tc>
        <w:tc>
          <w:tcPr>
            <w:tcW w:w="0" w:type="auto"/>
            <w:gridSpan w:val="3"/>
            <w:tcBorders>
              <w:top w:val="single" w:sz="8" w:space="0" w:color="0071C5"/>
            </w:tcBorders>
            <w:shd w:val="clear" w:color="auto" w:fill="auto"/>
            <w:tcMar>
              <w:top w:w="40" w:type="dxa"/>
              <w:left w:w="20" w:type="dxa"/>
              <w:bottom w:w="40" w:type="dxa"/>
              <w:right w:w="20" w:type="dxa"/>
            </w:tcMar>
            <w:vAlign w:val="bottom"/>
          </w:tcPr>
          <w:p w14:paraId="36CA330B" w14:textId="77777777" w:rsidR="00787570" w:rsidRDefault="000D56E2">
            <w:pPr>
              <w:jc w:val="center"/>
              <w:textAlignment w:val="bottom"/>
            </w:pPr>
            <w:r>
              <w:rPr>
                <w:rFonts w:ascii="Arial" w:eastAsia="宋体" w:hAnsi="Arial" w:cs="Arial"/>
                <w:b/>
                <w:bCs/>
                <w:color w:val="333333"/>
                <w:sz w:val="18"/>
                <w:szCs w:val="18"/>
              </w:rPr>
              <w:t>Amount</w:t>
            </w:r>
          </w:p>
        </w:tc>
        <w:tc>
          <w:tcPr>
            <w:tcW w:w="0" w:type="auto"/>
            <w:gridSpan w:val="3"/>
            <w:shd w:val="clear" w:color="auto" w:fill="auto"/>
            <w:tcMar>
              <w:left w:w="20" w:type="dxa"/>
              <w:right w:w="20" w:type="dxa"/>
            </w:tcMar>
            <w:vAlign w:val="bottom"/>
          </w:tcPr>
          <w:p w14:paraId="36CA330C" w14:textId="77777777" w:rsidR="00787570" w:rsidRDefault="00787570">
            <w:pPr>
              <w:rPr>
                <w:rFonts w:ascii="宋体"/>
              </w:rPr>
            </w:pPr>
          </w:p>
        </w:tc>
        <w:tc>
          <w:tcPr>
            <w:tcW w:w="0" w:type="auto"/>
            <w:gridSpan w:val="3"/>
            <w:tcBorders>
              <w:top w:val="single" w:sz="8" w:space="0" w:color="0071C5"/>
            </w:tcBorders>
            <w:shd w:val="clear" w:color="auto" w:fill="auto"/>
            <w:tcMar>
              <w:top w:w="40" w:type="dxa"/>
              <w:left w:w="20" w:type="dxa"/>
              <w:bottom w:w="40" w:type="dxa"/>
              <w:right w:w="20" w:type="dxa"/>
            </w:tcMar>
            <w:vAlign w:val="bottom"/>
          </w:tcPr>
          <w:p w14:paraId="36CA330D" w14:textId="77777777" w:rsidR="00787570" w:rsidRDefault="000D56E2">
            <w:pPr>
              <w:jc w:val="center"/>
              <w:textAlignment w:val="bottom"/>
            </w:pPr>
            <w:r>
              <w:rPr>
                <w:rFonts w:ascii="Arial" w:eastAsia="宋体" w:hAnsi="Arial" w:cs="Arial"/>
                <w:b/>
                <w:bCs/>
                <w:color w:val="333333"/>
                <w:sz w:val="18"/>
                <w:szCs w:val="18"/>
              </w:rPr>
              <w:t>Amount</w:t>
            </w:r>
          </w:p>
        </w:tc>
        <w:tc>
          <w:tcPr>
            <w:tcW w:w="0" w:type="auto"/>
            <w:shd w:val="clear" w:color="auto" w:fill="auto"/>
          </w:tcPr>
          <w:p w14:paraId="36CA330E" w14:textId="77777777" w:rsidR="00787570" w:rsidRDefault="00787570">
            <w:pPr>
              <w:rPr>
                <w:rFonts w:ascii="宋体"/>
              </w:rPr>
            </w:pPr>
          </w:p>
        </w:tc>
        <w:tc>
          <w:tcPr>
            <w:tcW w:w="0" w:type="auto"/>
            <w:shd w:val="clear" w:color="auto" w:fill="auto"/>
          </w:tcPr>
          <w:p w14:paraId="36CA330F" w14:textId="77777777" w:rsidR="00787570" w:rsidRDefault="00787570">
            <w:pPr>
              <w:rPr>
                <w:rFonts w:ascii="宋体"/>
              </w:rPr>
            </w:pPr>
          </w:p>
        </w:tc>
        <w:tc>
          <w:tcPr>
            <w:tcW w:w="0" w:type="auto"/>
            <w:shd w:val="clear" w:color="auto" w:fill="auto"/>
          </w:tcPr>
          <w:p w14:paraId="36CA3310" w14:textId="77777777" w:rsidR="00787570" w:rsidRDefault="00787570">
            <w:pPr>
              <w:rPr>
                <w:rFonts w:ascii="宋体"/>
              </w:rPr>
            </w:pPr>
          </w:p>
        </w:tc>
        <w:tc>
          <w:tcPr>
            <w:tcW w:w="0" w:type="auto"/>
            <w:shd w:val="clear" w:color="auto" w:fill="auto"/>
          </w:tcPr>
          <w:p w14:paraId="36CA3311" w14:textId="77777777" w:rsidR="00787570" w:rsidRDefault="00787570">
            <w:pPr>
              <w:rPr>
                <w:rFonts w:ascii="宋体"/>
              </w:rPr>
            </w:pPr>
          </w:p>
        </w:tc>
        <w:tc>
          <w:tcPr>
            <w:tcW w:w="0" w:type="auto"/>
            <w:shd w:val="clear" w:color="auto" w:fill="auto"/>
          </w:tcPr>
          <w:p w14:paraId="36CA3312" w14:textId="77777777" w:rsidR="00787570" w:rsidRDefault="00787570">
            <w:pPr>
              <w:rPr>
                <w:rFonts w:ascii="宋体"/>
              </w:rPr>
            </w:pPr>
          </w:p>
        </w:tc>
        <w:tc>
          <w:tcPr>
            <w:tcW w:w="0" w:type="auto"/>
            <w:shd w:val="clear" w:color="auto" w:fill="auto"/>
          </w:tcPr>
          <w:p w14:paraId="36CA3313" w14:textId="77777777" w:rsidR="00787570" w:rsidRDefault="00787570">
            <w:pPr>
              <w:rPr>
                <w:rFonts w:ascii="宋体"/>
              </w:rPr>
            </w:pPr>
          </w:p>
        </w:tc>
      </w:tr>
      <w:tr w:rsidR="00787570" w14:paraId="36CA3322" w14:textId="77777777">
        <w:tc>
          <w:tcPr>
            <w:tcW w:w="0" w:type="auto"/>
            <w:gridSpan w:val="3"/>
            <w:tcBorders>
              <w:top w:val="single" w:sz="8" w:space="0" w:color="0071C5"/>
            </w:tcBorders>
            <w:shd w:val="clear" w:color="auto" w:fill="auto"/>
            <w:tcMar>
              <w:top w:w="40" w:type="dxa"/>
              <w:left w:w="20" w:type="dxa"/>
              <w:bottom w:w="40" w:type="dxa"/>
              <w:right w:w="20" w:type="dxa"/>
            </w:tcMar>
            <w:vAlign w:val="center"/>
          </w:tcPr>
          <w:p w14:paraId="36CA3315" w14:textId="77777777" w:rsidR="00787570" w:rsidRDefault="000D56E2">
            <w:pPr>
              <w:textAlignment w:val="center"/>
            </w:pPr>
            <w:r>
              <w:rPr>
                <w:rFonts w:ascii="Arial" w:eastAsia="宋体" w:hAnsi="Arial" w:cs="Arial"/>
                <w:color w:val="333333"/>
                <w:sz w:val="18"/>
                <w:szCs w:val="18"/>
              </w:rPr>
              <w:t>Floating-rate senior notes:</w:t>
            </w:r>
          </w:p>
        </w:tc>
        <w:tc>
          <w:tcPr>
            <w:tcW w:w="0" w:type="auto"/>
            <w:gridSpan w:val="3"/>
            <w:shd w:val="clear" w:color="auto" w:fill="auto"/>
            <w:tcMar>
              <w:left w:w="20" w:type="dxa"/>
              <w:right w:w="20" w:type="dxa"/>
            </w:tcMar>
            <w:vAlign w:val="bottom"/>
          </w:tcPr>
          <w:p w14:paraId="36CA3316" w14:textId="77777777" w:rsidR="00787570" w:rsidRDefault="00787570">
            <w:pPr>
              <w:rPr>
                <w:rFonts w:ascii="宋体"/>
              </w:rPr>
            </w:pPr>
          </w:p>
        </w:tc>
        <w:tc>
          <w:tcPr>
            <w:tcW w:w="0" w:type="auto"/>
            <w:gridSpan w:val="3"/>
            <w:tcBorders>
              <w:top w:val="single" w:sz="8" w:space="0" w:color="0071C5"/>
            </w:tcBorders>
            <w:shd w:val="clear" w:color="auto" w:fill="auto"/>
            <w:tcMar>
              <w:left w:w="20" w:type="dxa"/>
              <w:right w:w="20" w:type="dxa"/>
            </w:tcMar>
            <w:vAlign w:val="bottom"/>
          </w:tcPr>
          <w:p w14:paraId="36CA3317"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3318" w14:textId="77777777" w:rsidR="00787570" w:rsidRDefault="00787570">
            <w:pPr>
              <w:rPr>
                <w:rFonts w:ascii="宋体"/>
              </w:rPr>
            </w:pPr>
          </w:p>
        </w:tc>
        <w:tc>
          <w:tcPr>
            <w:tcW w:w="0" w:type="auto"/>
            <w:gridSpan w:val="3"/>
            <w:tcBorders>
              <w:top w:val="single" w:sz="8" w:space="0" w:color="0071C5"/>
            </w:tcBorders>
            <w:shd w:val="clear" w:color="auto" w:fill="auto"/>
            <w:tcMar>
              <w:left w:w="20" w:type="dxa"/>
              <w:right w:w="20" w:type="dxa"/>
            </w:tcMar>
            <w:vAlign w:val="bottom"/>
          </w:tcPr>
          <w:p w14:paraId="36CA3319"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331A" w14:textId="77777777" w:rsidR="00787570" w:rsidRDefault="00787570">
            <w:pPr>
              <w:rPr>
                <w:rFonts w:ascii="宋体"/>
              </w:rPr>
            </w:pPr>
          </w:p>
        </w:tc>
        <w:tc>
          <w:tcPr>
            <w:tcW w:w="0" w:type="auto"/>
            <w:gridSpan w:val="3"/>
            <w:tcBorders>
              <w:top w:val="single" w:sz="8" w:space="0" w:color="0071C5"/>
            </w:tcBorders>
            <w:shd w:val="clear" w:color="auto" w:fill="auto"/>
            <w:tcMar>
              <w:left w:w="20" w:type="dxa"/>
              <w:right w:w="20" w:type="dxa"/>
            </w:tcMar>
            <w:vAlign w:val="bottom"/>
          </w:tcPr>
          <w:p w14:paraId="36CA331B" w14:textId="77777777" w:rsidR="00787570" w:rsidRDefault="00787570">
            <w:pPr>
              <w:rPr>
                <w:rFonts w:ascii="宋体"/>
              </w:rPr>
            </w:pPr>
          </w:p>
        </w:tc>
        <w:tc>
          <w:tcPr>
            <w:tcW w:w="0" w:type="auto"/>
            <w:shd w:val="clear" w:color="auto" w:fill="auto"/>
          </w:tcPr>
          <w:p w14:paraId="36CA331C" w14:textId="77777777" w:rsidR="00787570" w:rsidRDefault="00787570">
            <w:pPr>
              <w:rPr>
                <w:rFonts w:ascii="宋体"/>
              </w:rPr>
            </w:pPr>
          </w:p>
        </w:tc>
        <w:tc>
          <w:tcPr>
            <w:tcW w:w="0" w:type="auto"/>
            <w:shd w:val="clear" w:color="auto" w:fill="auto"/>
          </w:tcPr>
          <w:p w14:paraId="36CA331D" w14:textId="77777777" w:rsidR="00787570" w:rsidRDefault="00787570">
            <w:pPr>
              <w:rPr>
                <w:rFonts w:ascii="宋体"/>
              </w:rPr>
            </w:pPr>
          </w:p>
        </w:tc>
        <w:tc>
          <w:tcPr>
            <w:tcW w:w="0" w:type="auto"/>
            <w:shd w:val="clear" w:color="auto" w:fill="auto"/>
          </w:tcPr>
          <w:p w14:paraId="36CA331E" w14:textId="77777777" w:rsidR="00787570" w:rsidRDefault="00787570">
            <w:pPr>
              <w:rPr>
                <w:rFonts w:ascii="宋体"/>
              </w:rPr>
            </w:pPr>
          </w:p>
        </w:tc>
        <w:tc>
          <w:tcPr>
            <w:tcW w:w="0" w:type="auto"/>
            <w:shd w:val="clear" w:color="auto" w:fill="auto"/>
          </w:tcPr>
          <w:p w14:paraId="36CA331F" w14:textId="77777777" w:rsidR="00787570" w:rsidRDefault="00787570">
            <w:pPr>
              <w:rPr>
                <w:rFonts w:ascii="宋体"/>
              </w:rPr>
            </w:pPr>
          </w:p>
        </w:tc>
        <w:tc>
          <w:tcPr>
            <w:tcW w:w="0" w:type="auto"/>
            <w:shd w:val="clear" w:color="auto" w:fill="auto"/>
          </w:tcPr>
          <w:p w14:paraId="36CA3320" w14:textId="77777777" w:rsidR="00787570" w:rsidRDefault="00787570">
            <w:pPr>
              <w:rPr>
                <w:rFonts w:ascii="宋体"/>
              </w:rPr>
            </w:pPr>
          </w:p>
        </w:tc>
        <w:tc>
          <w:tcPr>
            <w:tcW w:w="0" w:type="auto"/>
            <w:shd w:val="clear" w:color="auto" w:fill="auto"/>
          </w:tcPr>
          <w:p w14:paraId="36CA3321" w14:textId="77777777" w:rsidR="00787570" w:rsidRDefault="00787570">
            <w:pPr>
              <w:rPr>
                <w:rFonts w:ascii="宋体"/>
              </w:rPr>
            </w:pPr>
          </w:p>
        </w:tc>
      </w:tr>
      <w:tr w:rsidR="00787570" w14:paraId="36CA3335" w14:textId="77777777">
        <w:tc>
          <w:tcPr>
            <w:tcW w:w="0" w:type="auto"/>
            <w:gridSpan w:val="3"/>
            <w:shd w:val="clear" w:color="auto" w:fill="auto"/>
            <w:tcMar>
              <w:top w:w="40" w:type="dxa"/>
              <w:left w:w="135" w:type="dxa"/>
              <w:bottom w:w="40" w:type="dxa"/>
              <w:right w:w="20" w:type="dxa"/>
            </w:tcMar>
            <w:vAlign w:val="center"/>
          </w:tcPr>
          <w:p w14:paraId="36CA3323" w14:textId="77777777" w:rsidR="00787570" w:rsidRDefault="000D56E2">
            <w:pPr>
              <w:textAlignment w:val="center"/>
            </w:pPr>
            <w:r>
              <w:rPr>
                <w:rFonts w:ascii="Arial" w:eastAsia="宋体" w:hAnsi="Arial" w:cs="Arial"/>
                <w:color w:val="333333"/>
                <w:sz w:val="18"/>
                <w:szCs w:val="18"/>
              </w:rPr>
              <w:t>Three-month LIBOR plus 0.08%, due May 2020</w:t>
            </w:r>
          </w:p>
        </w:tc>
        <w:tc>
          <w:tcPr>
            <w:tcW w:w="0" w:type="auto"/>
            <w:gridSpan w:val="3"/>
            <w:shd w:val="clear" w:color="auto" w:fill="auto"/>
            <w:tcMar>
              <w:left w:w="20" w:type="dxa"/>
              <w:right w:w="20" w:type="dxa"/>
            </w:tcMar>
            <w:vAlign w:val="bottom"/>
          </w:tcPr>
          <w:p w14:paraId="36CA3324"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3325" w14:textId="77777777" w:rsidR="00787570" w:rsidRDefault="000D56E2">
            <w:pPr>
              <w:jc w:val="right"/>
              <w:textAlignment w:val="bottom"/>
            </w:pPr>
            <w:r>
              <w:rPr>
                <w:rFonts w:ascii="Arial" w:eastAsia="宋体" w:hAnsi="Arial" w:cs="Arial"/>
                <w:color w:val="026DCE"/>
                <w:sz w:val="18"/>
                <w:szCs w:val="18"/>
              </w:rPr>
              <w:t>— </w:t>
            </w:r>
          </w:p>
        </w:tc>
        <w:tc>
          <w:tcPr>
            <w:tcW w:w="0" w:type="auto"/>
            <w:shd w:val="clear" w:color="auto" w:fill="auto"/>
            <w:tcMar>
              <w:top w:w="40" w:type="dxa"/>
              <w:bottom w:w="40" w:type="dxa"/>
              <w:right w:w="20" w:type="dxa"/>
            </w:tcMar>
            <w:vAlign w:val="bottom"/>
          </w:tcPr>
          <w:p w14:paraId="36CA3326" w14:textId="77777777" w:rsidR="00787570" w:rsidRDefault="000D56E2">
            <w:pPr>
              <w:jc w:val="right"/>
              <w:textAlignment w:val="bottom"/>
            </w:pPr>
            <w:r>
              <w:rPr>
                <w:rFonts w:ascii="Arial" w:eastAsia="宋体" w:hAnsi="Arial" w:cs="Arial"/>
                <w:color w:val="026DCE"/>
                <w:sz w:val="18"/>
                <w:szCs w:val="18"/>
              </w:rPr>
              <w:t>%</w:t>
            </w:r>
          </w:p>
        </w:tc>
        <w:tc>
          <w:tcPr>
            <w:tcW w:w="0" w:type="auto"/>
            <w:gridSpan w:val="3"/>
            <w:shd w:val="clear" w:color="auto" w:fill="auto"/>
            <w:tcMar>
              <w:left w:w="20" w:type="dxa"/>
              <w:right w:w="20" w:type="dxa"/>
            </w:tcMar>
            <w:vAlign w:val="bottom"/>
          </w:tcPr>
          <w:p w14:paraId="36CA3327" w14:textId="77777777" w:rsidR="00787570" w:rsidRDefault="00787570">
            <w:pPr>
              <w:rPr>
                <w:rFonts w:ascii="宋体"/>
              </w:rPr>
            </w:pPr>
          </w:p>
        </w:tc>
        <w:tc>
          <w:tcPr>
            <w:tcW w:w="0" w:type="auto"/>
            <w:shd w:val="clear" w:color="auto" w:fill="auto"/>
            <w:tcMar>
              <w:top w:w="40" w:type="dxa"/>
              <w:left w:w="20" w:type="dxa"/>
              <w:bottom w:w="40" w:type="dxa"/>
            </w:tcMar>
            <w:vAlign w:val="bottom"/>
          </w:tcPr>
          <w:p w14:paraId="36CA3328" w14:textId="77777777" w:rsidR="00787570" w:rsidRDefault="000D56E2">
            <w:pPr>
              <w:textAlignment w:val="bottom"/>
            </w:pPr>
            <w:r>
              <w:rPr>
                <w:rFonts w:ascii="Arial" w:eastAsia="宋体" w:hAnsi="Arial" w:cs="Arial"/>
                <w:color w:val="026DCE"/>
                <w:sz w:val="18"/>
                <w:szCs w:val="18"/>
              </w:rPr>
              <w:t>$</w:t>
            </w:r>
          </w:p>
        </w:tc>
        <w:tc>
          <w:tcPr>
            <w:tcW w:w="0" w:type="auto"/>
            <w:shd w:val="clear" w:color="auto" w:fill="auto"/>
            <w:tcMar>
              <w:top w:w="40" w:type="dxa"/>
              <w:bottom w:w="40" w:type="dxa"/>
              <w:right w:w="0" w:type="dxa"/>
            </w:tcMar>
            <w:vAlign w:val="bottom"/>
          </w:tcPr>
          <w:p w14:paraId="36CA3329" w14:textId="77777777" w:rsidR="00787570" w:rsidRDefault="000D56E2">
            <w:pPr>
              <w:jc w:val="right"/>
              <w:textAlignment w:val="bottom"/>
            </w:pPr>
            <w:r>
              <w:rPr>
                <w:rFonts w:ascii="Arial" w:eastAsia="宋体" w:hAnsi="Arial" w:cs="Arial"/>
                <w:color w:val="026DCE"/>
                <w:sz w:val="18"/>
                <w:szCs w:val="18"/>
              </w:rPr>
              <w:t>— </w:t>
            </w:r>
          </w:p>
        </w:tc>
        <w:tc>
          <w:tcPr>
            <w:tcW w:w="0" w:type="auto"/>
            <w:shd w:val="clear" w:color="auto" w:fill="auto"/>
            <w:tcMar>
              <w:top w:w="40" w:type="dxa"/>
              <w:bottom w:w="40" w:type="dxa"/>
              <w:right w:w="20" w:type="dxa"/>
            </w:tcMar>
            <w:vAlign w:val="bottom"/>
          </w:tcPr>
          <w:p w14:paraId="36CA332A"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332B" w14:textId="77777777" w:rsidR="00787570" w:rsidRDefault="00787570">
            <w:pPr>
              <w:rPr>
                <w:rFonts w:ascii="宋体"/>
              </w:rPr>
            </w:pPr>
          </w:p>
        </w:tc>
        <w:tc>
          <w:tcPr>
            <w:tcW w:w="0" w:type="auto"/>
            <w:shd w:val="clear" w:color="auto" w:fill="auto"/>
            <w:tcMar>
              <w:top w:w="40" w:type="dxa"/>
              <w:left w:w="20" w:type="dxa"/>
              <w:bottom w:w="40" w:type="dxa"/>
            </w:tcMar>
            <w:vAlign w:val="bottom"/>
          </w:tcPr>
          <w:p w14:paraId="36CA332C" w14:textId="77777777" w:rsidR="00787570" w:rsidRDefault="000D56E2">
            <w:pPr>
              <w:textAlignment w:val="bottom"/>
            </w:pPr>
            <w:r>
              <w:rPr>
                <w:rFonts w:ascii="Arial" w:eastAsia="宋体" w:hAnsi="Arial" w:cs="Arial"/>
                <w:color w:val="333333"/>
                <w:sz w:val="18"/>
                <w:szCs w:val="18"/>
              </w:rPr>
              <w:t>$</w:t>
            </w:r>
          </w:p>
        </w:tc>
        <w:tc>
          <w:tcPr>
            <w:tcW w:w="0" w:type="auto"/>
            <w:shd w:val="clear" w:color="auto" w:fill="auto"/>
            <w:tcMar>
              <w:top w:w="40" w:type="dxa"/>
              <w:bottom w:w="40" w:type="dxa"/>
              <w:right w:w="0" w:type="dxa"/>
            </w:tcMar>
            <w:vAlign w:val="bottom"/>
          </w:tcPr>
          <w:p w14:paraId="36CA332D" w14:textId="77777777" w:rsidR="00787570" w:rsidRDefault="000D56E2">
            <w:pPr>
              <w:jc w:val="right"/>
              <w:textAlignment w:val="bottom"/>
            </w:pPr>
            <w:r>
              <w:rPr>
                <w:rFonts w:ascii="Arial" w:eastAsia="宋体" w:hAnsi="Arial" w:cs="Arial"/>
                <w:color w:val="333333"/>
                <w:sz w:val="18"/>
                <w:szCs w:val="18"/>
              </w:rPr>
              <w:t>700 </w:t>
            </w:r>
          </w:p>
        </w:tc>
        <w:tc>
          <w:tcPr>
            <w:tcW w:w="0" w:type="auto"/>
            <w:shd w:val="clear" w:color="auto" w:fill="auto"/>
            <w:tcMar>
              <w:top w:w="40" w:type="dxa"/>
              <w:bottom w:w="40" w:type="dxa"/>
              <w:right w:w="20" w:type="dxa"/>
            </w:tcMar>
            <w:vAlign w:val="bottom"/>
          </w:tcPr>
          <w:p w14:paraId="36CA332E" w14:textId="77777777" w:rsidR="00787570" w:rsidRDefault="00787570">
            <w:pPr>
              <w:jc w:val="right"/>
              <w:rPr>
                <w:rFonts w:ascii="宋体"/>
              </w:rPr>
            </w:pPr>
          </w:p>
        </w:tc>
        <w:tc>
          <w:tcPr>
            <w:tcW w:w="0" w:type="auto"/>
            <w:shd w:val="clear" w:color="auto" w:fill="auto"/>
          </w:tcPr>
          <w:p w14:paraId="36CA332F" w14:textId="77777777" w:rsidR="00787570" w:rsidRDefault="00787570">
            <w:pPr>
              <w:rPr>
                <w:rFonts w:ascii="宋体"/>
              </w:rPr>
            </w:pPr>
          </w:p>
        </w:tc>
        <w:tc>
          <w:tcPr>
            <w:tcW w:w="0" w:type="auto"/>
            <w:shd w:val="clear" w:color="auto" w:fill="auto"/>
          </w:tcPr>
          <w:p w14:paraId="36CA3330" w14:textId="77777777" w:rsidR="00787570" w:rsidRDefault="00787570">
            <w:pPr>
              <w:rPr>
                <w:rFonts w:ascii="宋体"/>
              </w:rPr>
            </w:pPr>
          </w:p>
        </w:tc>
        <w:tc>
          <w:tcPr>
            <w:tcW w:w="0" w:type="auto"/>
            <w:shd w:val="clear" w:color="auto" w:fill="auto"/>
          </w:tcPr>
          <w:p w14:paraId="36CA3331" w14:textId="77777777" w:rsidR="00787570" w:rsidRDefault="00787570">
            <w:pPr>
              <w:rPr>
                <w:rFonts w:ascii="宋体"/>
              </w:rPr>
            </w:pPr>
          </w:p>
        </w:tc>
        <w:tc>
          <w:tcPr>
            <w:tcW w:w="0" w:type="auto"/>
            <w:shd w:val="clear" w:color="auto" w:fill="auto"/>
          </w:tcPr>
          <w:p w14:paraId="36CA3332" w14:textId="77777777" w:rsidR="00787570" w:rsidRDefault="00787570">
            <w:pPr>
              <w:rPr>
                <w:rFonts w:ascii="宋体"/>
              </w:rPr>
            </w:pPr>
          </w:p>
        </w:tc>
        <w:tc>
          <w:tcPr>
            <w:tcW w:w="0" w:type="auto"/>
            <w:shd w:val="clear" w:color="auto" w:fill="auto"/>
          </w:tcPr>
          <w:p w14:paraId="36CA3333" w14:textId="77777777" w:rsidR="00787570" w:rsidRDefault="00787570">
            <w:pPr>
              <w:rPr>
                <w:rFonts w:ascii="宋体"/>
              </w:rPr>
            </w:pPr>
          </w:p>
        </w:tc>
        <w:tc>
          <w:tcPr>
            <w:tcW w:w="0" w:type="auto"/>
            <w:shd w:val="clear" w:color="auto" w:fill="auto"/>
          </w:tcPr>
          <w:p w14:paraId="36CA3334" w14:textId="77777777" w:rsidR="00787570" w:rsidRDefault="00787570">
            <w:pPr>
              <w:rPr>
                <w:rFonts w:ascii="宋体"/>
              </w:rPr>
            </w:pPr>
          </w:p>
        </w:tc>
      </w:tr>
      <w:tr w:rsidR="00787570" w14:paraId="36CA3346" w14:textId="77777777">
        <w:tc>
          <w:tcPr>
            <w:tcW w:w="0" w:type="auto"/>
            <w:gridSpan w:val="3"/>
            <w:shd w:val="clear" w:color="auto" w:fill="auto"/>
            <w:tcMar>
              <w:top w:w="40" w:type="dxa"/>
              <w:left w:w="135" w:type="dxa"/>
              <w:bottom w:w="40" w:type="dxa"/>
              <w:right w:w="20" w:type="dxa"/>
            </w:tcMar>
            <w:vAlign w:val="center"/>
          </w:tcPr>
          <w:p w14:paraId="36CA3336" w14:textId="77777777" w:rsidR="00787570" w:rsidRDefault="000D56E2">
            <w:pPr>
              <w:textAlignment w:val="center"/>
            </w:pPr>
            <w:r>
              <w:rPr>
                <w:rFonts w:ascii="Arial" w:eastAsia="宋体" w:hAnsi="Arial" w:cs="Arial"/>
                <w:color w:val="333333"/>
                <w:sz w:val="18"/>
                <w:szCs w:val="18"/>
              </w:rPr>
              <w:t>Three-month LIBOR plus 0.35%, due May 2022</w:t>
            </w:r>
          </w:p>
        </w:tc>
        <w:tc>
          <w:tcPr>
            <w:tcW w:w="0" w:type="auto"/>
            <w:gridSpan w:val="3"/>
            <w:shd w:val="clear" w:color="auto" w:fill="auto"/>
            <w:tcMar>
              <w:left w:w="20" w:type="dxa"/>
              <w:right w:w="20" w:type="dxa"/>
            </w:tcMar>
            <w:vAlign w:val="bottom"/>
          </w:tcPr>
          <w:p w14:paraId="36CA3337"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3338" w14:textId="77777777" w:rsidR="00787570" w:rsidRDefault="000D56E2">
            <w:pPr>
              <w:jc w:val="right"/>
              <w:textAlignment w:val="bottom"/>
            </w:pPr>
            <w:r>
              <w:rPr>
                <w:rFonts w:ascii="Arial" w:eastAsia="宋体" w:hAnsi="Arial" w:cs="Arial"/>
                <w:color w:val="026DCE"/>
                <w:sz w:val="18"/>
                <w:szCs w:val="18"/>
              </w:rPr>
              <w:t>1.47 </w:t>
            </w:r>
          </w:p>
        </w:tc>
        <w:tc>
          <w:tcPr>
            <w:tcW w:w="0" w:type="auto"/>
            <w:shd w:val="clear" w:color="auto" w:fill="auto"/>
            <w:tcMar>
              <w:top w:w="40" w:type="dxa"/>
              <w:bottom w:w="40" w:type="dxa"/>
              <w:right w:w="20" w:type="dxa"/>
            </w:tcMar>
            <w:vAlign w:val="bottom"/>
          </w:tcPr>
          <w:p w14:paraId="36CA3339" w14:textId="77777777" w:rsidR="00787570" w:rsidRDefault="000D56E2">
            <w:pPr>
              <w:jc w:val="right"/>
              <w:textAlignment w:val="bottom"/>
            </w:pPr>
            <w:r>
              <w:rPr>
                <w:rFonts w:ascii="Arial" w:eastAsia="宋体" w:hAnsi="Arial" w:cs="Arial"/>
                <w:color w:val="026DCE"/>
                <w:sz w:val="18"/>
                <w:szCs w:val="18"/>
              </w:rPr>
              <w:t>%</w:t>
            </w:r>
          </w:p>
        </w:tc>
        <w:tc>
          <w:tcPr>
            <w:tcW w:w="0" w:type="auto"/>
            <w:gridSpan w:val="3"/>
            <w:shd w:val="clear" w:color="auto" w:fill="auto"/>
            <w:tcMar>
              <w:left w:w="20" w:type="dxa"/>
              <w:right w:w="20" w:type="dxa"/>
            </w:tcMar>
            <w:vAlign w:val="bottom"/>
          </w:tcPr>
          <w:p w14:paraId="36CA333A"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333B" w14:textId="77777777" w:rsidR="00787570" w:rsidRDefault="000D56E2">
            <w:pPr>
              <w:jc w:val="right"/>
              <w:textAlignment w:val="bottom"/>
            </w:pPr>
            <w:r>
              <w:rPr>
                <w:rFonts w:ascii="Arial" w:eastAsia="宋体" w:hAnsi="Arial" w:cs="Arial"/>
                <w:color w:val="026DCE"/>
                <w:sz w:val="18"/>
                <w:szCs w:val="18"/>
              </w:rPr>
              <w:t>800 </w:t>
            </w:r>
          </w:p>
        </w:tc>
        <w:tc>
          <w:tcPr>
            <w:tcW w:w="0" w:type="auto"/>
            <w:shd w:val="clear" w:color="auto" w:fill="auto"/>
            <w:tcMar>
              <w:top w:w="40" w:type="dxa"/>
              <w:bottom w:w="40" w:type="dxa"/>
              <w:right w:w="20" w:type="dxa"/>
            </w:tcMar>
            <w:vAlign w:val="bottom"/>
          </w:tcPr>
          <w:p w14:paraId="36CA333C"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333D"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333E" w14:textId="77777777" w:rsidR="00787570" w:rsidRDefault="000D56E2">
            <w:pPr>
              <w:jc w:val="right"/>
              <w:textAlignment w:val="bottom"/>
            </w:pPr>
            <w:r>
              <w:rPr>
                <w:rFonts w:ascii="Arial" w:eastAsia="宋体" w:hAnsi="Arial" w:cs="Arial"/>
                <w:color w:val="333333"/>
                <w:sz w:val="18"/>
                <w:szCs w:val="18"/>
              </w:rPr>
              <w:t>800 </w:t>
            </w:r>
          </w:p>
        </w:tc>
        <w:tc>
          <w:tcPr>
            <w:tcW w:w="0" w:type="auto"/>
            <w:shd w:val="clear" w:color="auto" w:fill="auto"/>
            <w:tcMar>
              <w:top w:w="40" w:type="dxa"/>
              <w:bottom w:w="40" w:type="dxa"/>
              <w:right w:w="20" w:type="dxa"/>
            </w:tcMar>
            <w:vAlign w:val="bottom"/>
          </w:tcPr>
          <w:p w14:paraId="36CA333F" w14:textId="77777777" w:rsidR="00787570" w:rsidRDefault="00787570">
            <w:pPr>
              <w:jc w:val="right"/>
              <w:rPr>
                <w:rFonts w:ascii="宋体"/>
              </w:rPr>
            </w:pPr>
          </w:p>
        </w:tc>
        <w:tc>
          <w:tcPr>
            <w:tcW w:w="0" w:type="auto"/>
            <w:shd w:val="clear" w:color="auto" w:fill="auto"/>
          </w:tcPr>
          <w:p w14:paraId="36CA3340" w14:textId="77777777" w:rsidR="00787570" w:rsidRDefault="00787570">
            <w:pPr>
              <w:rPr>
                <w:rFonts w:ascii="宋体"/>
              </w:rPr>
            </w:pPr>
          </w:p>
        </w:tc>
        <w:tc>
          <w:tcPr>
            <w:tcW w:w="0" w:type="auto"/>
            <w:shd w:val="clear" w:color="auto" w:fill="auto"/>
          </w:tcPr>
          <w:p w14:paraId="36CA3341" w14:textId="77777777" w:rsidR="00787570" w:rsidRDefault="00787570">
            <w:pPr>
              <w:rPr>
                <w:rFonts w:ascii="宋体"/>
              </w:rPr>
            </w:pPr>
          </w:p>
        </w:tc>
        <w:tc>
          <w:tcPr>
            <w:tcW w:w="0" w:type="auto"/>
            <w:shd w:val="clear" w:color="auto" w:fill="auto"/>
          </w:tcPr>
          <w:p w14:paraId="36CA3342" w14:textId="77777777" w:rsidR="00787570" w:rsidRDefault="00787570">
            <w:pPr>
              <w:rPr>
                <w:rFonts w:ascii="宋体"/>
              </w:rPr>
            </w:pPr>
          </w:p>
        </w:tc>
        <w:tc>
          <w:tcPr>
            <w:tcW w:w="0" w:type="auto"/>
            <w:shd w:val="clear" w:color="auto" w:fill="auto"/>
          </w:tcPr>
          <w:p w14:paraId="36CA3343" w14:textId="77777777" w:rsidR="00787570" w:rsidRDefault="00787570">
            <w:pPr>
              <w:rPr>
                <w:rFonts w:ascii="宋体"/>
              </w:rPr>
            </w:pPr>
          </w:p>
        </w:tc>
        <w:tc>
          <w:tcPr>
            <w:tcW w:w="0" w:type="auto"/>
            <w:shd w:val="clear" w:color="auto" w:fill="auto"/>
          </w:tcPr>
          <w:p w14:paraId="36CA3344" w14:textId="77777777" w:rsidR="00787570" w:rsidRDefault="00787570">
            <w:pPr>
              <w:rPr>
                <w:rFonts w:ascii="宋体"/>
              </w:rPr>
            </w:pPr>
          </w:p>
        </w:tc>
        <w:tc>
          <w:tcPr>
            <w:tcW w:w="0" w:type="auto"/>
            <w:shd w:val="clear" w:color="auto" w:fill="auto"/>
          </w:tcPr>
          <w:p w14:paraId="36CA3345" w14:textId="77777777" w:rsidR="00787570" w:rsidRDefault="00787570">
            <w:pPr>
              <w:rPr>
                <w:rFonts w:ascii="宋体"/>
              </w:rPr>
            </w:pPr>
          </w:p>
        </w:tc>
      </w:tr>
      <w:tr w:rsidR="00787570" w14:paraId="36CA3354" w14:textId="77777777">
        <w:tc>
          <w:tcPr>
            <w:tcW w:w="0" w:type="auto"/>
            <w:gridSpan w:val="3"/>
            <w:shd w:val="clear" w:color="auto" w:fill="auto"/>
            <w:tcMar>
              <w:top w:w="40" w:type="dxa"/>
              <w:left w:w="20" w:type="dxa"/>
              <w:bottom w:w="40" w:type="dxa"/>
              <w:right w:w="20" w:type="dxa"/>
            </w:tcMar>
            <w:vAlign w:val="center"/>
          </w:tcPr>
          <w:p w14:paraId="36CA3347" w14:textId="77777777" w:rsidR="00787570" w:rsidRDefault="000D56E2">
            <w:pPr>
              <w:textAlignment w:val="center"/>
            </w:pPr>
            <w:r>
              <w:rPr>
                <w:rFonts w:ascii="Arial" w:eastAsia="宋体" w:hAnsi="Arial" w:cs="Arial"/>
                <w:color w:val="333333"/>
                <w:sz w:val="18"/>
                <w:szCs w:val="18"/>
              </w:rPr>
              <w:t>Fixed</w:t>
            </w:r>
            <w:r>
              <w:rPr>
                <w:rFonts w:ascii="Arial" w:eastAsia="宋体" w:hAnsi="Arial" w:cs="Arial"/>
                <w:color w:val="333333"/>
                <w:sz w:val="18"/>
                <w:szCs w:val="18"/>
              </w:rPr>
              <w:t>-rate senior notes:</w:t>
            </w:r>
          </w:p>
        </w:tc>
        <w:tc>
          <w:tcPr>
            <w:tcW w:w="0" w:type="auto"/>
            <w:gridSpan w:val="3"/>
            <w:shd w:val="clear" w:color="auto" w:fill="auto"/>
            <w:tcMar>
              <w:left w:w="20" w:type="dxa"/>
              <w:right w:w="20" w:type="dxa"/>
            </w:tcMar>
            <w:vAlign w:val="bottom"/>
          </w:tcPr>
          <w:p w14:paraId="36CA3348"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3349"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334A"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334B"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334C"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334D" w14:textId="77777777" w:rsidR="00787570" w:rsidRDefault="00787570">
            <w:pPr>
              <w:rPr>
                <w:rFonts w:ascii="宋体"/>
              </w:rPr>
            </w:pPr>
          </w:p>
        </w:tc>
        <w:tc>
          <w:tcPr>
            <w:tcW w:w="0" w:type="auto"/>
            <w:shd w:val="clear" w:color="auto" w:fill="auto"/>
          </w:tcPr>
          <w:p w14:paraId="36CA334E" w14:textId="77777777" w:rsidR="00787570" w:rsidRDefault="00787570">
            <w:pPr>
              <w:rPr>
                <w:rFonts w:ascii="宋体"/>
              </w:rPr>
            </w:pPr>
          </w:p>
        </w:tc>
        <w:tc>
          <w:tcPr>
            <w:tcW w:w="0" w:type="auto"/>
            <w:shd w:val="clear" w:color="auto" w:fill="auto"/>
          </w:tcPr>
          <w:p w14:paraId="36CA334F" w14:textId="77777777" w:rsidR="00787570" w:rsidRDefault="00787570">
            <w:pPr>
              <w:rPr>
                <w:rFonts w:ascii="宋体"/>
              </w:rPr>
            </w:pPr>
          </w:p>
        </w:tc>
        <w:tc>
          <w:tcPr>
            <w:tcW w:w="0" w:type="auto"/>
            <w:shd w:val="clear" w:color="auto" w:fill="auto"/>
          </w:tcPr>
          <w:p w14:paraId="36CA3350" w14:textId="77777777" w:rsidR="00787570" w:rsidRDefault="00787570">
            <w:pPr>
              <w:rPr>
                <w:rFonts w:ascii="宋体"/>
              </w:rPr>
            </w:pPr>
          </w:p>
        </w:tc>
        <w:tc>
          <w:tcPr>
            <w:tcW w:w="0" w:type="auto"/>
            <w:shd w:val="clear" w:color="auto" w:fill="auto"/>
          </w:tcPr>
          <w:p w14:paraId="36CA3351" w14:textId="77777777" w:rsidR="00787570" w:rsidRDefault="00787570">
            <w:pPr>
              <w:rPr>
                <w:rFonts w:ascii="宋体"/>
              </w:rPr>
            </w:pPr>
          </w:p>
        </w:tc>
        <w:tc>
          <w:tcPr>
            <w:tcW w:w="0" w:type="auto"/>
            <w:shd w:val="clear" w:color="auto" w:fill="auto"/>
          </w:tcPr>
          <w:p w14:paraId="36CA3352" w14:textId="77777777" w:rsidR="00787570" w:rsidRDefault="00787570">
            <w:pPr>
              <w:rPr>
                <w:rFonts w:ascii="宋体"/>
              </w:rPr>
            </w:pPr>
          </w:p>
        </w:tc>
        <w:tc>
          <w:tcPr>
            <w:tcW w:w="0" w:type="auto"/>
            <w:shd w:val="clear" w:color="auto" w:fill="auto"/>
          </w:tcPr>
          <w:p w14:paraId="36CA3353" w14:textId="77777777" w:rsidR="00787570" w:rsidRDefault="00787570">
            <w:pPr>
              <w:rPr>
                <w:rFonts w:ascii="宋体"/>
              </w:rPr>
            </w:pPr>
          </w:p>
        </w:tc>
      </w:tr>
      <w:tr w:rsidR="00787570" w14:paraId="36CA3365" w14:textId="77777777">
        <w:tc>
          <w:tcPr>
            <w:tcW w:w="0" w:type="auto"/>
            <w:gridSpan w:val="3"/>
            <w:shd w:val="clear" w:color="auto" w:fill="auto"/>
            <w:tcMar>
              <w:top w:w="40" w:type="dxa"/>
              <w:left w:w="135" w:type="dxa"/>
              <w:bottom w:w="40" w:type="dxa"/>
              <w:right w:w="20" w:type="dxa"/>
            </w:tcMar>
            <w:vAlign w:val="center"/>
          </w:tcPr>
          <w:p w14:paraId="36CA3355" w14:textId="77777777" w:rsidR="00787570" w:rsidRDefault="000D56E2">
            <w:pPr>
              <w:textAlignment w:val="center"/>
            </w:pPr>
            <w:r>
              <w:rPr>
                <w:rFonts w:ascii="Arial" w:eastAsia="宋体" w:hAnsi="Arial" w:cs="Arial"/>
                <w:color w:val="333333"/>
                <w:sz w:val="18"/>
                <w:szCs w:val="18"/>
              </w:rPr>
              <w:t>1.85%, due May 2020</w:t>
            </w:r>
          </w:p>
        </w:tc>
        <w:tc>
          <w:tcPr>
            <w:tcW w:w="0" w:type="auto"/>
            <w:gridSpan w:val="3"/>
            <w:shd w:val="clear" w:color="auto" w:fill="auto"/>
            <w:tcMar>
              <w:left w:w="20" w:type="dxa"/>
              <w:right w:w="20" w:type="dxa"/>
            </w:tcMar>
            <w:vAlign w:val="bottom"/>
          </w:tcPr>
          <w:p w14:paraId="36CA3356"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3357" w14:textId="77777777" w:rsidR="00787570" w:rsidRDefault="000D56E2">
            <w:pPr>
              <w:jc w:val="right"/>
              <w:textAlignment w:val="bottom"/>
            </w:pPr>
            <w:r>
              <w:rPr>
                <w:rFonts w:ascii="Arial" w:eastAsia="宋体" w:hAnsi="Arial" w:cs="Arial"/>
                <w:color w:val="026DCE"/>
                <w:sz w:val="18"/>
                <w:szCs w:val="18"/>
              </w:rPr>
              <w:t>— </w:t>
            </w:r>
          </w:p>
        </w:tc>
        <w:tc>
          <w:tcPr>
            <w:tcW w:w="0" w:type="auto"/>
            <w:shd w:val="clear" w:color="auto" w:fill="auto"/>
            <w:tcMar>
              <w:top w:w="40" w:type="dxa"/>
              <w:bottom w:w="40" w:type="dxa"/>
              <w:right w:w="20" w:type="dxa"/>
            </w:tcMar>
            <w:vAlign w:val="bottom"/>
          </w:tcPr>
          <w:p w14:paraId="36CA3358" w14:textId="77777777" w:rsidR="00787570" w:rsidRDefault="000D56E2">
            <w:pPr>
              <w:jc w:val="right"/>
              <w:textAlignment w:val="bottom"/>
            </w:pPr>
            <w:r>
              <w:rPr>
                <w:rFonts w:ascii="Arial" w:eastAsia="宋体" w:hAnsi="Arial" w:cs="Arial"/>
                <w:color w:val="026DCE"/>
                <w:sz w:val="18"/>
                <w:szCs w:val="18"/>
              </w:rPr>
              <w:t>%</w:t>
            </w:r>
          </w:p>
        </w:tc>
        <w:tc>
          <w:tcPr>
            <w:tcW w:w="0" w:type="auto"/>
            <w:gridSpan w:val="3"/>
            <w:shd w:val="clear" w:color="auto" w:fill="auto"/>
            <w:tcMar>
              <w:left w:w="20" w:type="dxa"/>
              <w:right w:w="20" w:type="dxa"/>
            </w:tcMar>
            <w:vAlign w:val="bottom"/>
          </w:tcPr>
          <w:p w14:paraId="36CA3359"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335A" w14:textId="77777777" w:rsidR="00787570" w:rsidRDefault="000D56E2">
            <w:pPr>
              <w:jc w:val="right"/>
              <w:textAlignment w:val="bottom"/>
            </w:pPr>
            <w:r>
              <w:rPr>
                <w:rFonts w:ascii="Arial" w:eastAsia="宋体" w:hAnsi="Arial" w:cs="Arial"/>
                <w:color w:val="026DCE"/>
                <w:sz w:val="18"/>
                <w:szCs w:val="18"/>
              </w:rPr>
              <w:t>— </w:t>
            </w:r>
          </w:p>
        </w:tc>
        <w:tc>
          <w:tcPr>
            <w:tcW w:w="0" w:type="auto"/>
            <w:shd w:val="clear" w:color="auto" w:fill="auto"/>
            <w:tcMar>
              <w:top w:w="40" w:type="dxa"/>
              <w:bottom w:w="40" w:type="dxa"/>
              <w:right w:w="20" w:type="dxa"/>
            </w:tcMar>
            <w:vAlign w:val="bottom"/>
          </w:tcPr>
          <w:p w14:paraId="36CA335B"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335C"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335D" w14:textId="77777777" w:rsidR="00787570" w:rsidRDefault="000D56E2">
            <w:pPr>
              <w:jc w:val="right"/>
              <w:textAlignment w:val="bottom"/>
            </w:pPr>
            <w:r>
              <w:rPr>
                <w:rFonts w:ascii="Arial" w:eastAsia="宋体" w:hAnsi="Arial" w:cs="Arial"/>
                <w:color w:val="333333"/>
                <w:sz w:val="18"/>
                <w:szCs w:val="18"/>
              </w:rPr>
              <w:t>1,000 </w:t>
            </w:r>
          </w:p>
        </w:tc>
        <w:tc>
          <w:tcPr>
            <w:tcW w:w="0" w:type="auto"/>
            <w:shd w:val="clear" w:color="auto" w:fill="auto"/>
            <w:tcMar>
              <w:top w:w="40" w:type="dxa"/>
              <w:bottom w:w="40" w:type="dxa"/>
              <w:right w:w="20" w:type="dxa"/>
            </w:tcMar>
            <w:vAlign w:val="bottom"/>
          </w:tcPr>
          <w:p w14:paraId="36CA335E" w14:textId="77777777" w:rsidR="00787570" w:rsidRDefault="00787570">
            <w:pPr>
              <w:jc w:val="right"/>
              <w:rPr>
                <w:rFonts w:ascii="宋体"/>
              </w:rPr>
            </w:pPr>
          </w:p>
        </w:tc>
        <w:tc>
          <w:tcPr>
            <w:tcW w:w="0" w:type="auto"/>
            <w:shd w:val="clear" w:color="auto" w:fill="auto"/>
          </w:tcPr>
          <w:p w14:paraId="36CA335F" w14:textId="77777777" w:rsidR="00787570" w:rsidRDefault="00787570">
            <w:pPr>
              <w:rPr>
                <w:rFonts w:ascii="宋体"/>
              </w:rPr>
            </w:pPr>
          </w:p>
        </w:tc>
        <w:tc>
          <w:tcPr>
            <w:tcW w:w="0" w:type="auto"/>
            <w:shd w:val="clear" w:color="auto" w:fill="auto"/>
          </w:tcPr>
          <w:p w14:paraId="36CA3360" w14:textId="77777777" w:rsidR="00787570" w:rsidRDefault="00787570">
            <w:pPr>
              <w:rPr>
                <w:rFonts w:ascii="宋体"/>
              </w:rPr>
            </w:pPr>
          </w:p>
        </w:tc>
        <w:tc>
          <w:tcPr>
            <w:tcW w:w="0" w:type="auto"/>
            <w:shd w:val="clear" w:color="auto" w:fill="auto"/>
          </w:tcPr>
          <w:p w14:paraId="36CA3361" w14:textId="77777777" w:rsidR="00787570" w:rsidRDefault="00787570">
            <w:pPr>
              <w:rPr>
                <w:rFonts w:ascii="宋体"/>
              </w:rPr>
            </w:pPr>
          </w:p>
        </w:tc>
        <w:tc>
          <w:tcPr>
            <w:tcW w:w="0" w:type="auto"/>
            <w:shd w:val="clear" w:color="auto" w:fill="auto"/>
          </w:tcPr>
          <w:p w14:paraId="36CA3362" w14:textId="77777777" w:rsidR="00787570" w:rsidRDefault="00787570">
            <w:pPr>
              <w:rPr>
                <w:rFonts w:ascii="宋体"/>
              </w:rPr>
            </w:pPr>
          </w:p>
        </w:tc>
        <w:tc>
          <w:tcPr>
            <w:tcW w:w="0" w:type="auto"/>
            <w:shd w:val="clear" w:color="auto" w:fill="auto"/>
          </w:tcPr>
          <w:p w14:paraId="36CA3363" w14:textId="77777777" w:rsidR="00787570" w:rsidRDefault="00787570">
            <w:pPr>
              <w:rPr>
                <w:rFonts w:ascii="宋体"/>
              </w:rPr>
            </w:pPr>
          </w:p>
        </w:tc>
        <w:tc>
          <w:tcPr>
            <w:tcW w:w="0" w:type="auto"/>
            <w:shd w:val="clear" w:color="auto" w:fill="auto"/>
          </w:tcPr>
          <w:p w14:paraId="36CA3364" w14:textId="77777777" w:rsidR="00787570" w:rsidRDefault="00787570">
            <w:pPr>
              <w:rPr>
                <w:rFonts w:ascii="宋体"/>
              </w:rPr>
            </w:pPr>
          </w:p>
        </w:tc>
      </w:tr>
      <w:tr w:rsidR="00787570" w14:paraId="36CA3376" w14:textId="77777777">
        <w:tc>
          <w:tcPr>
            <w:tcW w:w="0" w:type="auto"/>
            <w:gridSpan w:val="3"/>
            <w:shd w:val="clear" w:color="auto" w:fill="auto"/>
            <w:tcMar>
              <w:top w:w="40" w:type="dxa"/>
              <w:left w:w="135" w:type="dxa"/>
              <w:bottom w:w="40" w:type="dxa"/>
              <w:right w:w="20" w:type="dxa"/>
            </w:tcMar>
            <w:vAlign w:val="center"/>
          </w:tcPr>
          <w:p w14:paraId="36CA3366" w14:textId="77777777" w:rsidR="00787570" w:rsidRDefault="000D56E2">
            <w:pPr>
              <w:textAlignment w:val="center"/>
            </w:pPr>
            <w:r>
              <w:rPr>
                <w:rFonts w:ascii="Arial" w:eastAsia="宋体" w:hAnsi="Arial" w:cs="Arial"/>
                <w:color w:val="333333"/>
                <w:sz w:val="18"/>
                <w:szCs w:val="18"/>
              </w:rPr>
              <w:t>2.45%</w:t>
            </w:r>
            <w:r>
              <w:rPr>
                <w:rFonts w:ascii="Arial" w:eastAsia="宋体" w:hAnsi="Arial" w:cs="Arial"/>
                <w:color w:val="333333"/>
                <w:sz w:val="18"/>
                <w:szCs w:val="18"/>
              </w:rPr>
              <w:t>, due July 2020</w:t>
            </w:r>
          </w:p>
        </w:tc>
        <w:tc>
          <w:tcPr>
            <w:tcW w:w="0" w:type="auto"/>
            <w:gridSpan w:val="3"/>
            <w:shd w:val="clear" w:color="auto" w:fill="auto"/>
            <w:tcMar>
              <w:left w:w="20" w:type="dxa"/>
              <w:right w:w="20" w:type="dxa"/>
            </w:tcMar>
            <w:vAlign w:val="bottom"/>
          </w:tcPr>
          <w:p w14:paraId="36CA3367"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3368" w14:textId="77777777" w:rsidR="00787570" w:rsidRDefault="000D56E2">
            <w:pPr>
              <w:jc w:val="right"/>
              <w:textAlignment w:val="bottom"/>
            </w:pPr>
            <w:r>
              <w:rPr>
                <w:rFonts w:ascii="Arial" w:eastAsia="宋体" w:hAnsi="Arial" w:cs="Arial"/>
                <w:color w:val="026DCE"/>
                <w:sz w:val="18"/>
                <w:szCs w:val="18"/>
              </w:rPr>
              <w:t>— </w:t>
            </w:r>
          </w:p>
        </w:tc>
        <w:tc>
          <w:tcPr>
            <w:tcW w:w="0" w:type="auto"/>
            <w:shd w:val="clear" w:color="auto" w:fill="auto"/>
            <w:tcMar>
              <w:top w:w="40" w:type="dxa"/>
              <w:bottom w:w="40" w:type="dxa"/>
              <w:right w:w="20" w:type="dxa"/>
            </w:tcMar>
            <w:vAlign w:val="bottom"/>
          </w:tcPr>
          <w:p w14:paraId="36CA3369" w14:textId="77777777" w:rsidR="00787570" w:rsidRDefault="000D56E2">
            <w:pPr>
              <w:jc w:val="right"/>
              <w:textAlignment w:val="bottom"/>
            </w:pPr>
            <w:r>
              <w:rPr>
                <w:rFonts w:ascii="Arial" w:eastAsia="宋体" w:hAnsi="Arial" w:cs="Arial"/>
                <w:color w:val="026DCE"/>
                <w:sz w:val="18"/>
                <w:szCs w:val="18"/>
              </w:rPr>
              <w:t>%</w:t>
            </w:r>
          </w:p>
        </w:tc>
        <w:tc>
          <w:tcPr>
            <w:tcW w:w="0" w:type="auto"/>
            <w:gridSpan w:val="3"/>
            <w:shd w:val="clear" w:color="auto" w:fill="auto"/>
            <w:tcMar>
              <w:left w:w="20" w:type="dxa"/>
              <w:right w:w="20" w:type="dxa"/>
            </w:tcMar>
            <w:vAlign w:val="bottom"/>
          </w:tcPr>
          <w:p w14:paraId="36CA336A"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336B" w14:textId="77777777" w:rsidR="00787570" w:rsidRDefault="000D56E2">
            <w:pPr>
              <w:jc w:val="right"/>
              <w:textAlignment w:val="bottom"/>
            </w:pPr>
            <w:r>
              <w:rPr>
                <w:rFonts w:ascii="Arial" w:eastAsia="宋体" w:hAnsi="Arial" w:cs="Arial"/>
                <w:color w:val="026DCE"/>
                <w:sz w:val="18"/>
                <w:szCs w:val="18"/>
              </w:rPr>
              <w:t>— </w:t>
            </w:r>
          </w:p>
        </w:tc>
        <w:tc>
          <w:tcPr>
            <w:tcW w:w="0" w:type="auto"/>
            <w:shd w:val="clear" w:color="auto" w:fill="auto"/>
            <w:tcMar>
              <w:top w:w="40" w:type="dxa"/>
              <w:bottom w:w="40" w:type="dxa"/>
              <w:right w:w="20" w:type="dxa"/>
            </w:tcMar>
            <w:vAlign w:val="bottom"/>
          </w:tcPr>
          <w:p w14:paraId="36CA336C"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336D"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336E" w14:textId="77777777" w:rsidR="00787570" w:rsidRDefault="000D56E2">
            <w:pPr>
              <w:jc w:val="right"/>
              <w:textAlignment w:val="bottom"/>
            </w:pPr>
            <w:r>
              <w:rPr>
                <w:rFonts w:ascii="Arial" w:eastAsia="宋体" w:hAnsi="Arial" w:cs="Arial"/>
                <w:color w:val="333333"/>
                <w:sz w:val="18"/>
                <w:szCs w:val="18"/>
              </w:rPr>
              <w:t>1,750 </w:t>
            </w:r>
          </w:p>
        </w:tc>
        <w:tc>
          <w:tcPr>
            <w:tcW w:w="0" w:type="auto"/>
            <w:shd w:val="clear" w:color="auto" w:fill="auto"/>
            <w:tcMar>
              <w:top w:w="40" w:type="dxa"/>
              <w:bottom w:w="40" w:type="dxa"/>
              <w:right w:w="20" w:type="dxa"/>
            </w:tcMar>
            <w:vAlign w:val="bottom"/>
          </w:tcPr>
          <w:p w14:paraId="36CA336F" w14:textId="77777777" w:rsidR="00787570" w:rsidRDefault="00787570">
            <w:pPr>
              <w:jc w:val="right"/>
              <w:rPr>
                <w:rFonts w:ascii="宋体"/>
              </w:rPr>
            </w:pPr>
          </w:p>
        </w:tc>
        <w:tc>
          <w:tcPr>
            <w:tcW w:w="0" w:type="auto"/>
            <w:shd w:val="clear" w:color="auto" w:fill="auto"/>
          </w:tcPr>
          <w:p w14:paraId="36CA3370" w14:textId="77777777" w:rsidR="00787570" w:rsidRDefault="00787570">
            <w:pPr>
              <w:rPr>
                <w:rFonts w:ascii="宋体"/>
              </w:rPr>
            </w:pPr>
          </w:p>
        </w:tc>
        <w:tc>
          <w:tcPr>
            <w:tcW w:w="0" w:type="auto"/>
            <w:shd w:val="clear" w:color="auto" w:fill="auto"/>
          </w:tcPr>
          <w:p w14:paraId="36CA3371" w14:textId="77777777" w:rsidR="00787570" w:rsidRDefault="00787570">
            <w:pPr>
              <w:rPr>
                <w:rFonts w:ascii="宋体"/>
              </w:rPr>
            </w:pPr>
          </w:p>
        </w:tc>
        <w:tc>
          <w:tcPr>
            <w:tcW w:w="0" w:type="auto"/>
            <w:shd w:val="clear" w:color="auto" w:fill="auto"/>
          </w:tcPr>
          <w:p w14:paraId="36CA3372" w14:textId="77777777" w:rsidR="00787570" w:rsidRDefault="00787570">
            <w:pPr>
              <w:rPr>
                <w:rFonts w:ascii="宋体"/>
              </w:rPr>
            </w:pPr>
          </w:p>
        </w:tc>
        <w:tc>
          <w:tcPr>
            <w:tcW w:w="0" w:type="auto"/>
            <w:shd w:val="clear" w:color="auto" w:fill="auto"/>
          </w:tcPr>
          <w:p w14:paraId="36CA3373" w14:textId="77777777" w:rsidR="00787570" w:rsidRDefault="00787570">
            <w:pPr>
              <w:rPr>
                <w:rFonts w:ascii="宋体"/>
              </w:rPr>
            </w:pPr>
          </w:p>
        </w:tc>
        <w:tc>
          <w:tcPr>
            <w:tcW w:w="0" w:type="auto"/>
            <w:shd w:val="clear" w:color="auto" w:fill="auto"/>
          </w:tcPr>
          <w:p w14:paraId="36CA3374" w14:textId="77777777" w:rsidR="00787570" w:rsidRDefault="00787570">
            <w:pPr>
              <w:rPr>
                <w:rFonts w:ascii="宋体"/>
              </w:rPr>
            </w:pPr>
          </w:p>
        </w:tc>
        <w:tc>
          <w:tcPr>
            <w:tcW w:w="0" w:type="auto"/>
            <w:shd w:val="clear" w:color="auto" w:fill="auto"/>
          </w:tcPr>
          <w:p w14:paraId="36CA3375" w14:textId="77777777" w:rsidR="00787570" w:rsidRDefault="00787570">
            <w:pPr>
              <w:rPr>
                <w:rFonts w:ascii="宋体"/>
              </w:rPr>
            </w:pPr>
          </w:p>
        </w:tc>
      </w:tr>
      <w:tr w:rsidR="00787570" w14:paraId="36CA3387" w14:textId="77777777">
        <w:tc>
          <w:tcPr>
            <w:tcW w:w="0" w:type="auto"/>
            <w:gridSpan w:val="3"/>
            <w:shd w:val="clear" w:color="auto" w:fill="auto"/>
            <w:tcMar>
              <w:top w:w="40" w:type="dxa"/>
              <w:left w:w="135" w:type="dxa"/>
              <w:bottom w:w="40" w:type="dxa"/>
              <w:right w:w="20" w:type="dxa"/>
            </w:tcMar>
            <w:vAlign w:val="center"/>
          </w:tcPr>
          <w:p w14:paraId="36CA3377" w14:textId="77777777" w:rsidR="00787570" w:rsidRDefault="000D56E2">
            <w:pPr>
              <w:textAlignment w:val="center"/>
            </w:pPr>
            <w:r>
              <w:rPr>
                <w:rFonts w:ascii="Arial" w:eastAsia="宋体" w:hAnsi="Arial" w:cs="Arial"/>
                <w:color w:val="333333"/>
                <w:sz w:val="18"/>
                <w:szCs w:val="18"/>
              </w:rPr>
              <w:t>1.70%</w:t>
            </w:r>
            <w:r>
              <w:rPr>
                <w:rFonts w:ascii="Arial" w:eastAsia="宋体" w:hAnsi="Arial" w:cs="Arial"/>
                <w:color w:val="333333"/>
                <w:sz w:val="18"/>
                <w:szCs w:val="18"/>
              </w:rPr>
              <w:t>, due May 2021</w:t>
            </w:r>
          </w:p>
        </w:tc>
        <w:tc>
          <w:tcPr>
            <w:tcW w:w="0" w:type="auto"/>
            <w:gridSpan w:val="3"/>
            <w:shd w:val="clear" w:color="auto" w:fill="auto"/>
            <w:tcMar>
              <w:left w:w="20" w:type="dxa"/>
              <w:right w:w="20" w:type="dxa"/>
            </w:tcMar>
            <w:vAlign w:val="bottom"/>
          </w:tcPr>
          <w:p w14:paraId="36CA3378"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3379" w14:textId="77777777" w:rsidR="00787570" w:rsidRDefault="000D56E2">
            <w:pPr>
              <w:jc w:val="right"/>
              <w:textAlignment w:val="bottom"/>
            </w:pPr>
            <w:r>
              <w:rPr>
                <w:rFonts w:ascii="Arial" w:eastAsia="宋体" w:hAnsi="Arial" w:cs="Arial"/>
                <w:color w:val="026DCE"/>
                <w:sz w:val="18"/>
                <w:szCs w:val="18"/>
              </w:rPr>
              <w:t>1.79 </w:t>
            </w:r>
          </w:p>
        </w:tc>
        <w:tc>
          <w:tcPr>
            <w:tcW w:w="0" w:type="auto"/>
            <w:shd w:val="clear" w:color="auto" w:fill="auto"/>
            <w:tcMar>
              <w:top w:w="40" w:type="dxa"/>
              <w:bottom w:w="40" w:type="dxa"/>
              <w:right w:w="20" w:type="dxa"/>
            </w:tcMar>
            <w:vAlign w:val="bottom"/>
          </w:tcPr>
          <w:p w14:paraId="36CA337A" w14:textId="77777777" w:rsidR="00787570" w:rsidRDefault="000D56E2">
            <w:pPr>
              <w:jc w:val="right"/>
              <w:textAlignment w:val="bottom"/>
            </w:pPr>
            <w:r>
              <w:rPr>
                <w:rFonts w:ascii="Arial" w:eastAsia="宋体" w:hAnsi="Arial" w:cs="Arial"/>
                <w:color w:val="026DCE"/>
                <w:sz w:val="18"/>
                <w:szCs w:val="18"/>
              </w:rPr>
              <w:t>%</w:t>
            </w:r>
          </w:p>
        </w:tc>
        <w:tc>
          <w:tcPr>
            <w:tcW w:w="0" w:type="auto"/>
            <w:gridSpan w:val="3"/>
            <w:shd w:val="clear" w:color="auto" w:fill="auto"/>
            <w:tcMar>
              <w:left w:w="20" w:type="dxa"/>
              <w:right w:w="20" w:type="dxa"/>
            </w:tcMar>
            <w:vAlign w:val="bottom"/>
          </w:tcPr>
          <w:p w14:paraId="36CA337B"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337C" w14:textId="77777777" w:rsidR="00787570" w:rsidRDefault="000D56E2">
            <w:pPr>
              <w:jc w:val="right"/>
              <w:textAlignment w:val="bottom"/>
            </w:pPr>
            <w:r>
              <w:rPr>
                <w:rFonts w:ascii="Arial" w:eastAsia="宋体" w:hAnsi="Arial" w:cs="Arial"/>
                <w:color w:val="026DCE"/>
                <w:sz w:val="18"/>
                <w:szCs w:val="18"/>
              </w:rPr>
              <w:t>500 </w:t>
            </w:r>
          </w:p>
        </w:tc>
        <w:tc>
          <w:tcPr>
            <w:tcW w:w="0" w:type="auto"/>
            <w:shd w:val="clear" w:color="auto" w:fill="auto"/>
            <w:tcMar>
              <w:top w:w="40" w:type="dxa"/>
              <w:bottom w:w="40" w:type="dxa"/>
              <w:right w:w="20" w:type="dxa"/>
            </w:tcMar>
            <w:vAlign w:val="bottom"/>
          </w:tcPr>
          <w:p w14:paraId="36CA337D"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337E"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337F" w14:textId="77777777" w:rsidR="00787570" w:rsidRDefault="000D56E2">
            <w:pPr>
              <w:jc w:val="right"/>
              <w:textAlignment w:val="bottom"/>
            </w:pPr>
            <w:r>
              <w:rPr>
                <w:rFonts w:ascii="Arial" w:eastAsia="宋体" w:hAnsi="Arial" w:cs="Arial"/>
                <w:color w:val="333333"/>
                <w:sz w:val="18"/>
                <w:szCs w:val="18"/>
              </w:rPr>
              <w:t>500 </w:t>
            </w:r>
          </w:p>
        </w:tc>
        <w:tc>
          <w:tcPr>
            <w:tcW w:w="0" w:type="auto"/>
            <w:shd w:val="clear" w:color="auto" w:fill="auto"/>
            <w:tcMar>
              <w:top w:w="40" w:type="dxa"/>
              <w:bottom w:w="40" w:type="dxa"/>
              <w:right w:w="20" w:type="dxa"/>
            </w:tcMar>
            <w:vAlign w:val="bottom"/>
          </w:tcPr>
          <w:p w14:paraId="36CA3380" w14:textId="77777777" w:rsidR="00787570" w:rsidRDefault="00787570">
            <w:pPr>
              <w:jc w:val="right"/>
              <w:rPr>
                <w:rFonts w:ascii="宋体"/>
              </w:rPr>
            </w:pPr>
          </w:p>
        </w:tc>
        <w:tc>
          <w:tcPr>
            <w:tcW w:w="0" w:type="auto"/>
            <w:shd w:val="clear" w:color="auto" w:fill="auto"/>
          </w:tcPr>
          <w:p w14:paraId="36CA3381" w14:textId="77777777" w:rsidR="00787570" w:rsidRDefault="00787570">
            <w:pPr>
              <w:rPr>
                <w:rFonts w:ascii="宋体"/>
              </w:rPr>
            </w:pPr>
          </w:p>
        </w:tc>
        <w:tc>
          <w:tcPr>
            <w:tcW w:w="0" w:type="auto"/>
            <w:shd w:val="clear" w:color="auto" w:fill="auto"/>
          </w:tcPr>
          <w:p w14:paraId="36CA3382" w14:textId="77777777" w:rsidR="00787570" w:rsidRDefault="00787570">
            <w:pPr>
              <w:rPr>
                <w:rFonts w:ascii="宋体"/>
              </w:rPr>
            </w:pPr>
          </w:p>
        </w:tc>
        <w:tc>
          <w:tcPr>
            <w:tcW w:w="0" w:type="auto"/>
            <w:shd w:val="clear" w:color="auto" w:fill="auto"/>
          </w:tcPr>
          <w:p w14:paraId="36CA3383" w14:textId="77777777" w:rsidR="00787570" w:rsidRDefault="00787570">
            <w:pPr>
              <w:rPr>
                <w:rFonts w:ascii="宋体"/>
              </w:rPr>
            </w:pPr>
          </w:p>
        </w:tc>
        <w:tc>
          <w:tcPr>
            <w:tcW w:w="0" w:type="auto"/>
            <w:shd w:val="clear" w:color="auto" w:fill="auto"/>
          </w:tcPr>
          <w:p w14:paraId="36CA3384" w14:textId="77777777" w:rsidR="00787570" w:rsidRDefault="00787570">
            <w:pPr>
              <w:rPr>
                <w:rFonts w:ascii="宋体"/>
              </w:rPr>
            </w:pPr>
          </w:p>
        </w:tc>
        <w:tc>
          <w:tcPr>
            <w:tcW w:w="0" w:type="auto"/>
            <w:shd w:val="clear" w:color="auto" w:fill="auto"/>
          </w:tcPr>
          <w:p w14:paraId="36CA3385" w14:textId="77777777" w:rsidR="00787570" w:rsidRDefault="00787570">
            <w:pPr>
              <w:rPr>
                <w:rFonts w:ascii="宋体"/>
              </w:rPr>
            </w:pPr>
          </w:p>
        </w:tc>
        <w:tc>
          <w:tcPr>
            <w:tcW w:w="0" w:type="auto"/>
            <w:shd w:val="clear" w:color="auto" w:fill="auto"/>
          </w:tcPr>
          <w:p w14:paraId="36CA3386" w14:textId="77777777" w:rsidR="00787570" w:rsidRDefault="00787570">
            <w:pPr>
              <w:rPr>
                <w:rFonts w:ascii="宋体"/>
              </w:rPr>
            </w:pPr>
          </w:p>
        </w:tc>
      </w:tr>
      <w:tr w:rsidR="00787570" w14:paraId="36CA3398" w14:textId="77777777">
        <w:tc>
          <w:tcPr>
            <w:tcW w:w="0" w:type="auto"/>
            <w:gridSpan w:val="3"/>
            <w:shd w:val="clear" w:color="auto" w:fill="auto"/>
            <w:tcMar>
              <w:top w:w="40" w:type="dxa"/>
              <w:left w:w="135" w:type="dxa"/>
              <w:bottom w:w="40" w:type="dxa"/>
              <w:right w:w="20" w:type="dxa"/>
            </w:tcMar>
            <w:vAlign w:val="center"/>
          </w:tcPr>
          <w:p w14:paraId="36CA3388" w14:textId="77777777" w:rsidR="00787570" w:rsidRDefault="000D56E2">
            <w:pPr>
              <w:textAlignment w:val="center"/>
            </w:pPr>
            <w:r>
              <w:rPr>
                <w:rFonts w:ascii="Arial" w:eastAsia="宋体" w:hAnsi="Arial" w:cs="Arial"/>
                <w:color w:val="333333"/>
                <w:sz w:val="18"/>
                <w:szCs w:val="18"/>
              </w:rPr>
              <w:t>3.30%</w:t>
            </w:r>
            <w:r>
              <w:rPr>
                <w:rFonts w:ascii="Arial" w:eastAsia="宋体" w:hAnsi="Arial" w:cs="Arial"/>
                <w:color w:val="333333"/>
                <w:sz w:val="18"/>
                <w:szCs w:val="18"/>
              </w:rPr>
              <w:t>, due October 2021</w:t>
            </w:r>
          </w:p>
        </w:tc>
        <w:tc>
          <w:tcPr>
            <w:tcW w:w="0" w:type="auto"/>
            <w:gridSpan w:val="3"/>
            <w:shd w:val="clear" w:color="auto" w:fill="auto"/>
            <w:tcMar>
              <w:left w:w="20" w:type="dxa"/>
              <w:right w:w="20" w:type="dxa"/>
            </w:tcMar>
            <w:vAlign w:val="bottom"/>
          </w:tcPr>
          <w:p w14:paraId="36CA3389"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338A" w14:textId="77777777" w:rsidR="00787570" w:rsidRDefault="000D56E2">
            <w:pPr>
              <w:jc w:val="right"/>
              <w:textAlignment w:val="bottom"/>
            </w:pPr>
            <w:r>
              <w:rPr>
                <w:rFonts w:ascii="Arial" w:eastAsia="宋体" w:hAnsi="Arial" w:cs="Arial"/>
                <w:color w:val="026DCE"/>
                <w:sz w:val="18"/>
                <w:szCs w:val="18"/>
              </w:rPr>
              <w:t>2.98 </w:t>
            </w:r>
          </w:p>
        </w:tc>
        <w:tc>
          <w:tcPr>
            <w:tcW w:w="0" w:type="auto"/>
            <w:shd w:val="clear" w:color="auto" w:fill="auto"/>
            <w:tcMar>
              <w:top w:w="40" w:type="dxa"/>
              <w:bottom w:w="40" w:type="dxa"/>
              <w:right w:w="20" w:type="dxa"/>
            </w:tcMar>
            <w:vAlign w:val="bottom"/>
          </w:tcPr>
          <w:p w14:paraId="36CA338B" w14:textId="77777777" w:rsidR="00787570" w:rsidRDefault="000D56E2">
            <w:pPr>
              <w:jc w:val="right"/>
              <w:textAlignment w:val="bottom"/>
            </w:pPr>
            <w:r>
              <w:rPr>
                <w:rFonts w:ascii="Arial" w:eastAsia="宋体" w:hAnsi="Arial" w:cs="Arial"/>
                <w:color w:val="026DCE"/>
                <w:sz w:val="18"/>
                <w:szCs w:val="18"/>
              </w:rPr>
              <w:t>%</w:t>
            </w:r>
          </w:p>
        </w:tc>
        <w:tc>
          <w:tcPr>
            <w:tcW w:w="0" w:type="auto"/>
            <w:gridSpan w:val="3"/>
            <w:shd w:val="clear" w:color="auto" w:fill="auto"/>
            <w:tcMar>
              <w:left w:w="20" w:type="dxa"/>
              <w:right w:w="20" w:type="dxa"/>
            </w:tcMar>
            <w:vAlign w:val="bottom"/>
          </w:tcPr>
          <w:p w14:paraId="36CA338C"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338D" w14:textId="77777777" w:rsidR="00787570" w:rsidRDefault="000D56E2">
            <w:pPr>
              <w:jc w:val="right"/>
              <w:textAlignment w:val="bottom"/>
            </w:pPr>
            <w:r>
              <w:rPr>
                <w:rFonts w:ascii="Arial" w:eastAsia="宋体" w:hAnsi="Arial" w:cs="Arial"/>
                <w:color w:val="026DCE"/>
                <w:sz w:val="18"/>
                <w:szCs w:val="18"/>
              </w:rPr>
              <w:t>2,000 </w:t>
            </w:r>
          </w:p>
        </w:tc>
        <w:tc>
          <w:tcPr>
            <w:tcW w:w="0" w:type="auto"/>
            <w:shd w:val="clear" w:color="auto" w:fill="auto"/>
            <w:tcMar>
              <w:top w:w="40" w:type="dxa"/>
              <w:bottom w:w="40" w:type="dxa"/>
              <w:right w:w="20" w:type="dxa"/>
            </w:tcMar>
            <w:vAlign w:val="bottom"/>
          </w:tcPr>
          <w:p w14:paraId="36CA338E"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338F"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3390" w14:textId="77777777" w:rsidR="00787570" w:rsidRDefault="000D56E2">
            <w:pPr>
              <w:jc w:val="right"/>
              <w:textAlignment w:val="bottom"/>
            </w:pPr>
            <w:r>
              <w:rPr>
                <w:rFonts w:ascii="Arial" w:eastAsia="宋体" w:hAnsi="Arial" w:cs="Arial"/>
                <w:color w:val="333333"/>
                <w:sz w:val="18"/>
                <w:szCs w:val="18"/>
              </w:rPr>
              <w:t>2,000 </w:t>
            </w:r>
          </w:p>
        </w:tc>
        <w:tc>
          <w:tcPr>
            <w:tcW w:w="0" w:type="auto"/>
            <w:shd w:val="clear" w:color="auto" w:fill="auto"/>
            <w:tcMar>
              <w:top w:w="40" w:type="dxa"/>
              <w:bottom w:w="40" w:type="dxa"/>
              <w:right w:w="20" w:type="dxa"/>
            </w:tcMar>
            <w:vAlign w:val="bottom"/>
          </w:tcPr>
          <w:p w14:paraId="36CA3391" w14:textId="77777777" w:rsidR="00787570" w:rsidRDefault="00787570">
            <w:pPr>
              <w:jc w:val="right"/>
              <w:rPr>
                <w:rFonts w:ascii="宋体"/>
              </w:rPr>
            </w:pPr>
          </w:p>
        </w:tc>
        <w:tc>
          <w:tcPr>
            <w:tcW w:w="0" w:type="auto"/>
            <w:shd w:val="clear" w:color="auto" w:fill="auto"/>
          </w:tcPr>
          <w:p w14:paraId="36CA3392" w14:textId="77777777" w:rsidR="00787570" w:rsidRDefault="00787570">
            <w:pPr>
              <w:rPr>
                <w:rFonts w:ascii="宋体"/>
              </w:rPr>
            </w:pPr>
          </w:p>
        </w:tc>
        <w:tc>
          <w:tcPr>
            <w:tcW w:w="0" w:type="auto"/>
            <w:shd w:val="clear" w:color="auto" w:fill="auto"/>
          </w:tcPr>
          <w:p w14:paraId="36CA3393" w14:textId="77777777" w:rsidR="00787570" w:rsidRDefault="00787570">
            <w:pPr>
              <w:rPr>
                <w:rFonts w:ascii="宋体"/>
              </w:rPr>
            </w:pPr>
          </w:p>
        </w:tc>
        <w:tc>
          <w:tcPr>
            <w:tcW w:w="0" w:type="auto"/>
            <w:shd w:val="clear" w:color="auto" w:fill="auto"/>
          </w:tcPr>
          <w:p w14:paraId="36CA3394" w14:textId="77777777" w:rsidR="00787570" w:rsidRDefault="00787570">
            <w:pPr>
              <w:rPr>
                <w:rFonts w:ascii="宋体"/>
              </w:rPr>
            </w:pPr>
          </w:p>
        </w:tc>
        <w:tc>
          <w:tcPr>
            <w:tcW w:w="0" w:type="auto"/>
            <w:shd w:val="clear" w:color="auto" w:fill="auto"/>
          </w:tcPr>
          <w:p w14:paraId="36CA3395" w14:textId="77777777" w:rsidR="00787570" w:rsidRDefault="00787570">
            <w:pPr>
              <w:rPr>
                <w:rFonts w:ascii="宋体"/>
              </w:rPr>
            </w:pPr>
          </w:p>
        </w:tc>
        <w:tc>
          <w:tcPr>
            <w:tcW w:w="0" w:type="auto"/>
            <w:shd w:val="clear" w:color="auto" w:fill="auto"/>
          </w:tcPr>
          <w:p w14:paraId="36CA3396" w14:textId="77777777" w:rsidR="00787570" w:rsidRDefault="00787570">
            <w:pPr>
              <w:rPr>
                <w:rFonts w:ascii="宋体"/>
              </w:rPr>
            </w:pPr>
          </w:p>
        </w:tc>
        <w:tc>
          <w:tcPr>
            <w:tcW w:w="0" w:type="auto"/>
            <w:shd w:val="clear" w:color="auto" w:fill="auto"/>
          </w:tcPr>
          <w:p w14:paraId="36CA3397" w14:textId="77777777" w:rsidR="00787570" w:rsidRDefault="00787570">
            <w:pPr>
              <w:rPr>
                <w:rFonts w:ascii="宋体"/>
              </w:rPr>
            </w:pPr>
          </w:p>
        </w:tc>
      </w:tr>
      <w:tr w:rsidR="00787570" w14:paraId="36CA33A9" w14:textId="77777777">
        <w:tc>
          <w:tcPr>
            <w:tcW w:w="0" w:type="auto"/>
            <w:gridSpan w:val="3"/>
            <w:shd w:val="clear" w:color="auto" w:fill="auto"/>
            <w:tcMar>
              <w:top w:w="40" w:type="dxa"/>
              <w:left w:w="135" w:type="dxa"/>
              <w:bottom w:w="40" w:type="dxa"/>
              <w:right w:w="20" w:type="dxa"/>
            </w:tcMar>
            <w:vAlign w:val="center"/>
          </w:tcPr>
          <w:p w14:paraId="36CA3399" w14:textId="77777777" w:rsidR="00787570" w:rsidRDefault="000D56E2">
            <w:pPr>
              <w:textAlignment w:val="center"/>
            </w:pPr>
            <w:r>
              <w:rPr>
                <w:rFonts w:ascii="Arial" w:eastAsia="宋体" w:hAnsi="Arial" w:cs="Arial"/>
                <w:color w:val="333333"/>
                <w:sz w:val="18"/>
                <w:szCs w:val="18"/>
              </w:rPr>
              <w:t>2.35%, due May 2022</w:t>
            </w:r>
          </w:p>
        </w:tc>
        <w:tc>
          <w:tcPr>
            <w:tcW w:w="0" w:type="auto"/>
            <w:gridSpan w:val="3"/>
            <w:shd w:val="clear" w:color="auto" w:fill="auto"/>
            <w:tcMar>
              <w:left w:w="20" w:type="dxa"/>
              <w:right w:w="20" w:type="dxa"/>
            </w:tcMar>
            <w:vAlign w:val="bottom"/>
          </w:tcPr>
          <w:p w14:paraId="36CA339A"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339B" w14:textId="77777777" w:rsidR="00787570" w:rsidRDefault="000D56E2">
            <w:pPr>
              <w:jc w:val="right"/>
              <w:textAlignment w:val="bottom"/>
            </w:pPr>
            <w:r>
              <w:rPr>
                <w:rFonts w:ascii="Arial" w:eastAsia="宋体" w:hAnsi="Arial" w:cs="Arial"/>
                <w:color w:val="026DCE"/>
                <w:sz w:val="18"/>
                <w:szCs w:val="18"/>
              </w:rPr>
              <w:t>1.96 </w:t>
            </w:r>
          </w:p>
        </w:tc>
        <w:tc>
          <w:tcPr>
            <w:tcW w:w="0" w:type="auto"/>
            <w:shd w:val="clear" w:color="auto" w:fill="auto"/>
            <w:tcMar>
              <w:top w:w="40" w:type="dxa"/>
              <w:bottom w:w="40" w:type="dxa"/>
              <w:right w:w="20" w:type="dxa"/>
            </w:tcMar>
            <w:vAlign w:val="bottom"/>
          </w:tcPr>
          <w:p w14:paraId="36CA339C" w14:textId="77777777" w:rsidR="00787570" w:rsidRDefault="000D56E2">
            <w:pPr>
              <w:jc w:val="right"/>
              <w:textAlignment w:val="bottom"/>
            </w:pPr>
            <w:r>
              <w:rPr>
                <w:rFonts w:ascii="Arial" w:eastAsia="宋体" w:hAnsi="Arial" w:cs="Arial"/>
                <w:color w:val="026DCE"/>
                <w:sz w:val="18"/>
                <w:szCs w:val="18"/>
              </w:rPr>
              <w:t>%</w:t>
            </w:r>
          </w:p>
        </w:tc>
        <w:tc>
          <w:tcPr>
            <w:tcW w:w="0" w:type="auto"/>
            <w:gridSpan w:val="3"/>
            <w:shd w:val="clear" w:color="auto" w:fill="auto"/>
            <w:tcMar>
              <w:left w:w="20" w:type="dxa"/>
              <w:right w:w="20" w:type="dxa"/>
            </w:tcMar>
            <w:vAlign w:val="bottom"/>
          </w:tcPr>
          <w:p w14:paraId="36CA339D"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339E" w14:textId="77777777" w:rsidR="00787570" w:rsidRDefault="000D56E2">
            <w:pPr>
              <w:jc w:val="right"/>
              <w:textAlignment w:val="bottom"/>
            </w:pPr>
            <w:r>
              <w:rPr>
                <w:rFonts w:ascii="Arial" w:eastAsia="宋体" w:hAnsi="Arial" w:cs="Arial"/>
                <w:color w:val="026DCE"/>
                <w:sz w:val="18"/>
                <w:szCs w:val="18"/>
              </w:rPr>
              <w:t>750 </w:t>
            </w:r>
          </w:p>
        </w:tc>
        <w:tc>
          <w:tcPr>
            <w:tcW w:w="0" w:type="auto"/>
            <w:shd w:val="clear" w:color="auto" w:fill="auto"/>
            <w:tcMar>
              <w:top w:w="40" w:type="dxa"/>
              <w:bottom w:w="40" w:type="dxa"/>
              <w:right w:w="20" w:type="dxa"/>
            </w:tcMar>
            <w:vAlign w:val="bottom"/>
          </w:tcPr>
          <w:p w14:paraId="36CA339F"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33A0"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33A1" w14:textId="77777777" w:rsidR="00787570" w:rsidRDefault="000D56E2">
            <w:pPr>
              <w:jc w:val="right"/>
              <w:textAlignment w:val="bottom"/>
            </w:pPr>
            <w:r>
              <w:rPr>
                <w:rFonts w:ascii="Arial" w:eastAsia="宋体" w:hAnsi="Arial" w:cs="Arial"/>
                <w:color w:val="333333"/>
                <w:sz w:val="18"/>
                <w:szCs w:val="18"/>
              </w:rPr>
              <w:t>750 </w:t>
            </w:r>
          </w:p>
        </w:tc>
        <w:tc>
          <w:tcPr>
            <w:tcW w:w="0" w:type="auto"/>
            <w:shd w:val="clear" w:color="auto" w:fill="auto"/>
            <w:tcMar>
              <w:top w:w="40" w:type="dxa"/>
              <w:bottom w:w="40" w:type="dxa"/>
              <w:right w:w="20" w:type="dxa"/>
            </w:tcMar>
            <w:vAlign w:val="bottom"/>
          </w:tcPr>
          <w:p w14:paraId="36CA33A2" w14:textId="77777777" w:rsidR="00787570" w:rsidRDefault="00787570">
            <w:pPr>
              <w:jc w:val="right"/>
              <w:rPr>
                <w:rFonts w:ascii="宋体"/>
              </w:rPr>
            </w:pPr>
          </w:p>
        </w:tc>
        <w:tc>
          <w:tcPr>
            <w:tcW w:w="0" w:type="auto"/>
            <w:shd w:val="clear" w:color="auto" w:fill="auto"/>
          </w:tcPr>
          <w:p w14:paraId="36CA33A3" w14:textId="77777777" w:rsidR="00787570" w:rsidRDefault="00787570">
            <w:pPr>
              <w:rPr>
                <w:rFonts w:ascii="宋体"/>
              </w:rPr>
            </w:pPr>
          </w:p>
        </w:tc>
        <w:tc>
          <w:tcPr>
            <w:tcW w:w="0" w:type="auto"/>
            <w:shd w:val="clear" w:color="auto" w:fill="auto"/>
          </w:tcPr>
          <w:p w14:paraId="36CA33A4" w14:textId="77777777" w:rsidR="00787570" w:rsidRDefault="00787570">
            <w:pPr>
              <w:rPr>
                <w:rFonts w:ascii="宋体"/>
              </w:rPr>
            </w:pPr>
          </w:p>
        </w:tc>
        <w:tc>
          <w:tcPr>
            <w:tcW w:w="0" w:type="auto"/>
            <w:shd w:val="clear" w:color="auto" w:fill="auto"/>
          </w:tcPr>
          <w:p w14:paraId="36CA33A5" w14:textId="77777777" w:rsidR="00787570" w:rsidRDefault="00787570">
            <w:pPr>
              <w:rPr>
                <w:rFonts w:ascii="宋体"/>
              </w:rPr>
            </w:pPr>
          </w:p>
        </w:tc>
        <w:tc>
          <w:tcPr>
            <w:tcW w:w="0" w:type="auto"/>
            <w:shd w:val="clear" w:color="auto" w:fill="auto"/>
          </w:tcPr>
          <w:p w14:paraId="36CA33A6" w14:textId="77777777" w:rsidR="00787570" w:rsidRDefault="00787570">
            <w:pPr>
              <w:rPr>
                <w:rFonts w:ascii="宋体"/>
              </w:rPr>
            </w:pPr>
          </w:p>
        </w:tc>
        <w:tc>
          <w:tcPr>
            <w:tcW w:w="0" w:type="auto"/>
            <w:shd w:val="clear" w:color="auto" w:fill="auto"/>
          </w:tcPr>
          <w:p w14:paraId="36CA33A7" w14:textId="77777777" w:rsidR="00787570" w:rsidRDefault="00787570">
            <w:pPr>
              <w:rPr>
                <w:rFonts w:ascii="宋体"/>
              </w:rPr>
            </w:pPr>
          </w:p>
        </w:tc>
        <w:tc>
          <w:tcPr>
            <w:tcW w:w="0" w:type="auto"/>
            <w:shd w:val="clear" w:color="auto" w:fill="auto"/>
          </w:tcPr>
          <w:p w14:paraId="36CA33A8" w14:textId="77777777" w:rsidR="00787570" w:rsidRDefault="00787570">
            <w:pPr>
              <w:rPr>
                <w:rFonts w:ascii="宋体"/>
              </w:rPr>
            </w:pPr>
          </w:p>
        </w:tc>
      </w:tr>
      <w:tr w:rsidR="00787570" w14:paraId="36CA33BA" w14:textId="77777777">
        <w:tc>
          <w:tcPr>
            <w:tcW w:w="0" w:type="auto"/>
            <w:gridSpan w:val="3"/>
            <w:shd w:val="clear" w:color="auto" w:fill="auto"/>
            <w:tcMar>
              <w:top w:w="40" w:type="dxa"/>
              <w:left w:w="135" w:type="dxa"/>
              <w:bottom w:w="40" w:type="dxa"/>
              <w:right w:w="20" w:type="dxa"/>
            </w:tcMar>
            <w:vAlign w:val="center"/>
          </w:tcPr>
          <w:p w14:paraId="36CA33AA" w14:textId="77777777" w:rsidR="00787570" w:rsidRDefault="000D56E2">
            <w:pPr>
              <w:textAlignment w:val="center"/>
            </w:pPr>
            <w:r>
              <w:rPr>
                <w:rFonts w:ascii="Arial" w:eastAsia="宋体" w:hAnsi="Arial" w:cs="Arial"/>
                <w:color w:val="333333"/>
                <w:sz w:val="18"/>
                <w:szCs w:val="18"/>
              </w:rPr>
              <w:t>3.10%</w:t>
            </w:r>
            <w:r>
              <w:rPr>
                <w:rFonts w:ascii="Arial" w:eastAsia="宋体" w:hAnsi="Arial" w:cs="Arial"/>
                <w:color w:val="333333"/>
                <w:sz w:val="18"/>
                <w:szCs w:val="18"/>
              </w:rPr>
              <w:t>, due July 2022</w:t>
            </w:r>
          </w:p>
        </w:tc>
        <w:tc>
          <w:tcPr>
            <w:tcW w:w="0" w:type="auto"/>
            <w:gridSpan w:val="3"/>
            <w:shd w:val="clear" w:color="auto" w:fill="auto"/>
            <w:tcMar>
              <w:left w:w="20" w:type="dxa"/>
              <w:right w:w="20" w:type="dxa"/>
            </w:tcMar>
            <w:vAlign w:val="bottom"/>
          </w:tcPr>
          <w:p w14:paraId="36CA33AB"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33AC" w14:textId="77777777" w:rsidR="00787570" w:rsidRDefault="000D56E2">
            <w:pPr>
              <w:jc w:val="right"/>
              <w:textAlignment w:val="bottom"/>
            </w:pPr>
            <w:r>
              <w:rPr>
                <w:rFonts w:ascii="Arial" w:eastAsia="宋体" w:hAnsi="Arial" w:cs="Arial"/>
                <w:color w:val="026DCE"/>
                <w:sz w:val="18"/>
                <w:szCs w:val="18"/>
              </w:rPr>
              <w:t>2.70 </w:t>
            </w:r>
          </w:p>
        </w:tc>
        <w:tc>
          <w:tcPr>
            <w:tcW w:w="0" w:type="auto"/>
            <w:shd w:val="clear" w:color="auto" w:fill="auto"/>
            <w:tcMar>
              <w:top w:w="40" w:type="dxa"/>
              <w:bottom w:w="40" w:type="dxa"/>
              <w:right w:w="20" w:type="dxa"/>
            </w:tcMar>
            <w:vAlign w:val="bottom"/>
          </w:tcPr>
          <w:p w14:paraId="36CA33AD" w14:textId="77777777" w:rsidR="00787570" w:rsidRDefault="000D56E2">
            <w:pPr>
              <w:jc w:val="right"/>
              <w:textAlignment w:val="bottom"/>
            </w:pPr>
            <w:r>
              <w:rPr>
                <w:rFonts w:ascii="Arial" w:eastAsia="宋体" w:hAnsi="Arial" w:cs="Arial"/>
                <w:color w:val="026DCE"/>
                <w:sz w:val="18"/>
                <w:szCs w:val="18"/>
              </w:rPr>
              <w:t>%</w:t>
            </w:r>
          </w:p>
        </w:tc>
        <w:tc>
          <w:tcPr>
            <w:tcW w:w="0" w:type="auto"/>
            <w:gridSpan w:val="3"/>
            <w:shd w:val="clear" w:color="auto" w:fill="auto"/>
            <w:tcMar>
              <w:left w:w="20" w:type="dxa"/>
              <w:right w:w="20" w:type="dxa"/>
            </w:tcMar>
            <w:vAlign w:val="bottom"/>
          </w:tcPr>
          <w:p w14:paraId="36CA33AE"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33AF" w14:textId="77777777" w:rsidR="00787570" w:rsidRDefault="000D56E2">
            <w:pPr>
              <w:jc w:val="right"/>
              <w:textAlignment w:val="bottom"/>
            </w:pPr>
            <w:r>
              <w:rPr>
                <w:rFonts w:ascii="Arial" w:eastAsia="宋体" w:hAnsi="Arial" w:cs="Arial"/>
                <w:color w:val="026DCE"/>
                <w:sz w:val="18"/>
                <w:szCs w:val="18"/>
              </w:rPr>
              <w:t>1,000 </w:t>
            </w:r>
          </w:p>
        </w:tc>
        <w:tc>
          <w:tcPr>
            <w:tcW w:w="0" w:type="auto"/>
            <w:shd w:val="clear" w:color="auto" w:fill="auto"/>
            <w:tcMar>
              <w:top w:w="40" w:type="dxa"/>
              <w:bottom w:w="40" w:type="dxa"/>
              <w:right w:w="20" w:type="dxa"/>
            </w:tcMar>
            <w:vAlign w:val="bottom"/>
          </w:tcPr>
          <w:p w14:paraId="36CA33B0"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33B1"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33B2" w14:textId="77777777" w:rsidR="00787570" w:rsidRDefault="000D56E2">
            <w:pPr>
              <w:jc w:val="right"/>
              <w:textAlignment w:val="bottom"/>
            </w:pPr>
            <w:r>
              <w:rPr>
                <w:rFonts w:ascii="Arial" w:eastAsia="宋体" w:hAnsi="Arial" w:cs="Arial"/>
                <w:color w:val="333333"/>
                <w:sz w:val="18"/>
                <w:szCs w:val="18"/>
              </w:rPr>
              <w:t>1,000 </w:t>
            </w:r>
          </w:p>
        </w:tc>
        <w:tc>
          <w:tcPr>
            <w:tcW w:w="0" w:type="auto"/>
            <w:shd w:val="clear" w:color="auto" w:fill="auto"/>
            <w:tcMar>
              <w:top w:w="40" w:type="dxa"/>
              <w:bottom w:w="40" w:type="dxa"/>
              <w:right w:w="20" w:type="dxa"/>
            </w:tcMar>
            <w:vAlign w:val="bottom"/>
          </w:tcPr>
          <w:p w14:paraId="36CA33B3" w14:textId="77777777" w:rsidR="00787570" w:rsidRDefault="00787570">
            <w:pPr>
              <w:jc w:val="right"/>
              <w:rPr>
                <w:rFonts w:ascii="宋体"/>
              </w:rPr>
            </w:pPr>
          </w:p>
        </w:tc>
        <w:tc>
          <w:tcPr>
            <w:tcW w:w="0" w:type="auto"/>
            <w:shd w:val="clear" w:color="auto" w:fill="auto"/>
          </w:tcPr>
          <w:p w14:paraId="36CA33B4" w14:textId="77777777" w:rsidR="00787570" w:rsidRDefault="00787570">
            <w:pPr>
              <w:rPr>
                <w:rFonts w:ascii="宋体"/>
              </w:rPr>
            </w:pPr>
          </w:p>
        </w:tc>
        <w:tc>
          <w:tcPr>
            <w:tcW w:w="0" w:type="auto"/>
            <w:shd w:val="clear" w:color="auto" w:fill="auto"/>
          </w:tcPr>
          <w:p w14:paraId="36CA33B5" w14:textId="77777777" w:rsidR="00787570" w:rsidRDefault="00787570">
            <w:pPr>
              <w:rPr>
                <w:rFonts w:ascii="宋体"/>
              </w:rPr>
            </w:pPr>
          </w:p>
        </w:tc>
        <w:tc>
          <w:tcPr>
            <w:tcW w:w="0" w:type="auto"/>
            <w:shd w:val="clear" w:color="auto" w:fill="auto"/>
          </w:tcPr>
          <w:p w14:paraId="36CA33B6" w14:textId="77777777" w:rsidR="00787570" w:rsidRDefault="00787570">
            <w:pPr>
              <w:rPr>
                <w:rFonts w:ascii="宋体"/>
              </w:rPr>
            </w:pPr>
          </w:p>
        </w:tc>
        <w:tc>
          <w:tcPr>
            <w:tcW w:w="0" w:type="auto"/>
            <w:shd w:val="clear" w:color="auto" w:fill="auto"/>
          </w:tcPr>
          <w:p w14:paraId="36CA33B7" w14:textId="77777777" w:rsidR="00787570" w:rsidRDefault="00787570">
            <w:pPr>
              <w:rPr>
                <w:rFonts w:ascii="宋体"/>
              </w:rPr>
            </w:pPr>
          </w:p>
        </w:tc>
        <w:tc>
          <w:tcPr>
            <w:tcW w:w="0" w:type="auto"/>
            <w:shd w:val="clear" w:color="auto" w:fill="auto"/>
          </w:tcPr>
          <w:p w14:paraId="36CA33B8" w14:textId="77777777" w:rsidR="00787570" w:rsidRDefault="00787570">
            <w:pPr>
              <w:rPr>
                <w:rFonts w:ascii="宋体"/>
              </w:rPr>
            </w:pPr>
          </w:p>
        </w:tc>
        <w:tc>
          <w:tcPr>
            <w:tcW w:w="0" w:type="auto"/>
            <w:shd w:val="clear" w:color="auto" w:fill="auto"/>
          </w:tcPr>
          <w:p w14:paraId="36CA33B9" w14:textId="77777777" w:rsidR="00787570" w:rsidRDefault="00787570">
            <w:pPr>
              <w:rPr>
                <w:rFonts w:ascii="宋体"/>
              </w:rPr>
            </w:pPr>
          </w:p>
        </w:tc>
      </w:tr>
      <w:tr w:rsidR="00787570" w14:paraId="36CA33CB" w14:textId="77777777">
        <w:tc>
          <w:tcPr>
            <w:tcW w:w="0" w:type="auto"/>
            <w:gridSpan w:val="3"/>
            <w:shd w:val="clear" w:color="auto" w:fill="auto"/>
            <w:tcMar>
              <w:top w:w="40" w:type="dxa"/>
              <w:left w:w="135" w:type="dxa"/>
              <w:bottom w:w="40" w:type="dxa"/>
              <w:right w:w="20" w:type="dxa"/>
            </w:tcMar>
            <w:vAlign w:val="center"/>
          </w:tcPr>
          <w:p w14:paraId="36CA33BB" w14:textId="77777777" w:rsidR="00787570" w:rsidRDefault="000D56E2">
            <w:pPr>
              <w:textAlignment w:val="center"/>
            </w:pPr>
            <w:r>
              <w:rPr>
                <w:rFonts w:ascii="Arial" w:eastAsia="宋体" w:hAnsi="Arial" w:cs="Arial"/>
                <w:color w:val="333333"/>
                <w:sz w:val="18"/>
                <w:szCs w:val="18"/>
              </w:rPr>
              <w:t>4.00%</w:t>
            </w:r>
            <w:r>
              <w:rPr>
                <w:rFonts w:ascii="Arial" w:eastAsia="宋体" w:hAnsi="Arial" w:cs="Arial"/>
                <w:color w:val="333333"/>
                <w:sz w:val="18"/>
                <w:szCs w:val="18"/>
              </w:rPr>
              <w:t>, due December 2022¹</w:t>
            </w:r>
          </w:p>
        </w:tc>
        <w:tc>
          <w:tcPr>
            <w:tcW w:w="0" w:type="auto"/>
            <w:gridSpan w:val="3"/>
            <w:shd w:val="clear" w:color="auto" w:fill="auto"/>
            <w:tcMar>
              <w:left w:w="20" w:type="dxa"/>
              <w:right w:w="20" w:type="dxa"/>
            </w:tcMar>
            <w:vAlign w:val="bottom"/>
          </w:tcPr>
          <w:p w14:paraId="36CA33BC"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33BD" w14:textId="77777777" w:rsidR="00787570" w:rsidRDefault="000D56E2">
            <w:pPr>
              <w:jc w:val="right"/>
              <w:textAlignment w:val="bottom"/>
            </w:pPr>
            <w:r>
              <w:rPr>
                <w:rFonts w:ascii="Arial" w:eastAsia="宋体" w:hAnsi="Arial" w:cs="Arial"/>
                <w:color w:val="026DCE"/>
                <w:sz w:val="18"/>
                <w:szCs w:val="18"/>
              </w:rPr>
              <w:t>3.04 </w:t>
            </w:r>
          </w:p>
        </w:tc>
        <w:tc>
          <w:tcPr>
            <w:tcW w:w="0" w:type="auto"/>
            <w:shd w:val="clear" w:color="auto" w:fill="auto"/>
            <w:tcMar>
              <w:top w:w="40" w:type="dxa"/>
              <w:bottom w:w="40" w:type="dxa"/>
              <w:right w:w="20" w:type="dxa"/>
            </w:tcMar>
            <w:vAlign w:val="bottom"/>
          </w:tcPr>
          <w:p w14:paraId="36CA33BE" w14:textId="77777777" w:rsidR="00787570" w:rsidRDefault="000D56E2">
            <w:pPr>
              <w:jc w:val="right"/>
              <w:textAlignment w:val="bottom"/>
            </w:pPr>
            <w:r>
              <w:rPr>
                <w:rFonts w:ascii="Arial" w:eastAsia="宋体" w:hAnsi="Arial" w:cs="Arial"/>
                <w:color w:val="026DCE"/>
                <w:sz w:val="18"/>
                <w:szCs w:val="18"/>
              </w:rPr>
              <w:t>%</w:t>
            </w:r>
          </w:p>
        </w:tc>
        <w:tc>
          <w:tcPr>
            <w:tcW w:w="0" w:type="auto"/>
            <w:gridSpan w:val="3"/>
            <w:shd w:val="clear" w:color="auto" w:fill="auto"/>
            <w:tcMar>
              <w:left w:w="20" w:type="dxa"/>
              <w:right w:w="20" w:type="dxa"/>
            </w:tcMar>
            <w:vAlign w:val="bottom"/>
          </w:tcPr>
          <w:p w14:paraId="36CA33BF"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33C0" w14:textId="77777777" w:rsidR="00787570" w:rsidRDefault="000D56E2">
            <w:pPr>
              <w:jc w:val="right"/>
              <w:textAlignment w:val="bottom"/>
            </w:pPr>
            <w:r>
              <w:rPr>
                <w:rFonts w:ascii="Arial" w:eastAsia="宋体" w:hAnsi="Arial" w:cs="Arial"/>
                <w:color w:val="026DCE"/>
                <w:sz w:val="18"/>
                <w:szCs w:val="18"/>
              </w:rPr>
              <w:t>388 </w:t>
            </w:r>
          </w:p>
        </w:tc>
        <w:tc>
          <w:tcPr>
            <w:tcW w:w="0" w:type="auto"/>
            <w:shd w:val="clear" w:color="auto" w:fill="auto"/>
            <w:tcMar>
              <w:top w:w="40" w:type="dxa"/>
              <w:bottom w:w="40" w:type="dxa"/>
              <w:right w:w="20" w:type="dxa"/>
            </w:tcMar>
            <w:vAlign w:val="bottom"/>
          </w:tcPr>
          <w:p w14:paraId="36CA33C1"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33C2"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33C3" w14:textId="77777777" w:rsidR="00787570" w:rsidRDefault="000D56E2">
            <w:pPr>
              <w:jc w:val="right"/>
              <w:textAlignment w:val="bottom"/>
            </w:pPr>
            <w:r>
              <w:rPr>
                <w:rFonts w:ascii="Arial" w:eastAsia="宋体" w:hAnsi="Arial" w:cs="Arial"/>
                <w:color w:val="333333"/>
                <w:sz w:val="18"/>
                <w:szCs w:val="18"/>
              </w:rPr>
              <w:t>382 </w:t>
            </w:r>
          </w:p>
        </w:tc>
        <w:tc>
          <w:tcPr>
            <w:tcW w:w="0" w:type="auto"/>
            <w:shd w:val="clear" w:color="auto" w:fill="auto"/>
            <w:tcMar>
              <w:top w:w="40" w:type="dxa"/>
              <w:bottom w:w="40" w:type="dxa"/>
              <w:right w:w="20" w:type="dxa"/>
            </w:tcMar>
            <w:vAlign w:val="bottom"/>
          </w:tcPr>
          <w:p w14:paraId="36CA33C4" w14:textId="77777777" w:rsidR="00787570" w:rsidRDefault="00787570">
            <w:pPr>
              <w:jc w:val="right"/>
              <w:rPr>
                <w:rFonts w:ascii="宋体"/>
              </w:rPr>
            </w:pPr>
          </w:p>
        </w:tc>
        <w:tc>
          <w:tcPr>
            <w:tcW w:w="0" w:type="auto"/>
            <w:shd w:val="clear" w:color="auto" w:fill="auto"/>
          </w:tcPr>
          <w:p w14:paraId="36CA33C5" w14:textId="77777777" w:rsidR="00787570" w:rsidRDefault="00787570">
            <w:pPr>
              <w:rPr>
                <w:rFonts w:ascii="宋体"/>
              </w:rPr>
            </w:pPr>
          </w:p>
        </w:tc>
        <w:tc>
          <w:tcPr>
            <w:tcW w:w="0" w:type="auto"/>
            <w:shd w:val="clear" w:color="auto" w:fill="auto"/>
          </w:tcPr>
          <w:p w14:paraId="36CA33C6" w14:textId="77777777" w:rsidR="00787570" w:rsidRDefault="00787570">
            <w:pPr>
              <w:rPr>
                <w:rFonts w:ascii="宋体"/>
              </w:rPr>
            </w:pPr>
          </w:p>
        </w:tc>
        <w:tc>
          <w:tcPr>
            <w:tcW w:w="0" w:type="auto"/>
            <w:shd w:val="clear" w:color="auto" w:fill="auto"/>
          </w:tcPr>
          <w:p w14:paraId="36CA33C7" w14:textId="77777777" w:rsidR="00787570" w:rsidRDefault="00787570">
            <w:pPr>
              <w:rPr>
                <w:rFonts w:ascii="宋体"/>
              </w:rPr>
            </w:pPr>
          </w:p>
        </w:tc>
        <w:tc>
          <w:tcPr>
            <w:tcW w:w="0" w:type="auto"/>
            <w:shd w:val="clear" w:color="auto" w:fill="auto"/>
          </w:tcPr>
          <w:p w14:paraId="36CA33C8" w14:textId="77777777" w:rsidR="00787570" w:rsidRDefault="00787570">
            <w:pPr>
              <w:rPr>
                <w:rFonts w:ascii="宋体"/>
              </w:rPr>
            </w:pPr>
          </w:p>
        </w:tc>
        <w:tc>
          <w:tcPr>
            <w:tcW w:w="0" w:type="auto"/>
            <w:shd w:val="clear" w:color="auto" w:fill="auto"/>
          </w:tcPr>
          <w:p w14:paraId="36CA33C9" w14:textId="77777777" w:rsidR="00787570" w:rsidRDefault="00787570">
            <w:pPr>
              <w:rPr>
                <w:rFonts w:ascii="宋体"/>
              </w:rPr>
            </w:pPr>
          </w:p>
        </w:tc>
        <w:tc>
          <w:tcPr>
            <w:tcW w:w="0" w:type="auto"/>
            <w:shd w:val="clear" w:color="auto" w:fill="auto"/>
          </w:tcPr>
          <w:p w14:paraId="36CA33CA" w14:textId="77777777" w:rsidR="00787570" w:rsidRDefault="00787570">
            <w:pPr>
              <w:rPr>
                <w:rFonts w:ascii="宋体"/>
              </w:rPr>
            </w:pPr>
          </w:p>
        </w:tc>
      </w:tr>
      <w:tr w:rsidR="00787570" w14:paraId="36CA33DC" w14:textId="77777777">
        <w:tc>
          <w:tcPr>
            <w:tcW w:w="0" w:type="auto"/>
            <w:gridSpan w:val="3"/>
            <w:shd w:val="clear" w:color="auto" w:fill="auto"/>
            <w:tcMar>
              <w:top w:w="40" w:type="dxa"/>
              <w:left w:w="135" w:type="dxa"/>
              <w:bottom w:w="40" w:type="dxa"/>
              <w:right w:w="20" w:type="dxa"/>
            </w:tcMar>
            <w:vAlign w:val="center"/>
          </w:tcPr>
          <w:p w14:paraId="36CA33CC" w14:textId="77777777" w:rsidR="00787570" w:rsidRDefault="000D56E2">
            <w:pPr>
              <w:textAlignment w:val="center"/>
            </w:pPr>
            <w:r>
              <w:rPr>
                <w:rFonts w:ascii="Arial" w:eastAsia="宋体" w:hAnsi="Arial" w:cs="Arial"/>
                <w:color w:val="333333"/>
                <w:sz w:val="18"/>
                <w:szCs w:val="18"/>
              </w:rPr>
              <w:t>2.70%</w:t>
            </w:r>
            <w:r>
              <w:rPr>
                <w:rFonts w:ascii="Arial" w:eastAsia="宋体" w:hAnsi="Arial" w:cs="Arial"/>
                <w:color w:val="333333"/>
                <w:sz w:val="18"/>
                <w:szCs w:val="18"/>
              </w:rPr>
              <w:t>, due December 2022</w:t>
            </w:r>
          </w:p>
        </w:tc>
        <w:tc>
          <w:tcPr>
            <w:tcW w:w="0" w:type="auto"/>
            <w:gridSpan w:val="3"/>
            <w:shd w:val="clear" w:color="auto" w:fill="auto"/>
            <w:tcMar>
              <w:left w:w="20" w:type="dxa"/>
              <w:right w:w="20" w:type="dxa"/>
            </w:tcMar>
            <w:vAlign w:val="bottom"/>
          </w:tcPr>
          <w:p w14:paraId="36CA33CD"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33CE" w14:textId="77777777" w:rsidR="00787570" w:rsidRDefault="000D56E2">
            <w:pPr>
              <w:jc w:val="right"/>
              <w:textAlignment w:val="bottom"/>
            </w:pPr>
            <w:r>
              <w:rPr>
                <w:rFonts w:ascii="Arial" w:eastAsia="宋体" w:hAnsi="Arial" w:cs="Arial"/>
                <w:color w:val="026DCE"/>
                <w:sz w:val="18"/>
                <w:szCs w:val="18"/>
              </w:rPr>
              <w:t>2.28 </w:t>
            </w:r>
          </w:p>
        </w:tc>
        <w:tc>
          <w:tcPr>
            <w:tcW w:w="0" w:type="auto"/>
            <w:shd w:val="clear" w:color="auto" w:fill="auto"/>
            <w:tcMar>
              <w:top w:w="40" w:type="dxa"/>
              <w:bottom w:w="40" w:type="dxa"/>
              <w:right w:w="20" w:type="dxa"/>
            </w:tcMar>
            <w:vAlign w:val="bottom"/>
          </w:tcPr>
          <w:p w14:paraId="36CA33CF" w14:textId="77777777" w:rsidR="00787570" w:rsidRDefault="000D56E2">
            <w:pPr>
              <w:jc w:val="right"/>
              <w:textAlignment w:val="bottom"/>
            </w:pPr>
            <w:r>
              <w:rPr>
                <w:rFonts w:ascii="Arial" w:eastAsia="宋体" w:hAnsi="Arial" w:cs="Arial"/>
                <w:color w:val="026DCE"/>
                <w:sz w:val="18"/>
                <w:szCs w:val="18"/>
              </w:rPr>
              <w:t>%</w:t>
            </w:r>
          </w:p>
        </w:tc>
        <w:tc>
          <w:tcPr>
            <w:tcW w:w="0" w:type="auto"/>
            <w:gridSpan w:val="3"/>
            <w:shd w:val="clear" w:color="auto" w:fill="auto"/>
            <w:tcMar>
              <w:left w:w="20" w:type="dxa"/>
              <w:right w:w="20" w:type="dxa"/>
            </w:tcMar>
            <w:vAlign w:val="bottom"/>
          </w:tcPr>
          <w:p w14:paraId="36CA33D0"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33D1" w14:textId="77777777" w:rsidR="00787570" w:rsidRDefault="000D56E2">
            <w:pPr>
              <w:jc w:val="right"/>
              <w:textAlignment w:val="bottom"/>
            </w:pPr>
            <w:r>
              <w:rPr>
                <w:rFonts w:ascii="Arial" w:eastAsia="宋体" w:hAnsi="Arial" w:cs="Arial"/>
                <w:color w:val="026DCE"/>
                <w:sz w:val="18"/>
                <w:szCs w:val="18"/>
              </w:rPr>
              <w:t>1,500 </w:t>
            </w:r>
          </w:p>
        </w:tc>
        <w:tc>
          <w:tcPr>
            <w:tcW w:w="0" w:type="auto"/>
            <w:shd w:val="clear" w:color="auto" w:fill="auto"/>
            <w:tcMar>
              <w:top w:w="40" w:type="dxa"/>
              <w:bottom w:w="40" w:type="dxa"/>
              <w:right w:w="20" w:type="dxa"/>
            </w:tcMar>
            <w:vAlign w:val="bottom"/>
          </w:tcPr>
          <w:p w14:paraId="36CA33D2"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33D3"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33D4" w14:textId="77777777" w:rsidR="00787570" w:rsidRDefault="000D56E2">
            <w:pPr>
              <w:jc w:val="right"/>
              <w:textAlignment w:val="bottom"/>
            </w:pPr>
            <w:r>
              <w:rPr>
                <w:rFonts w:ascii="Arial" w:eastAsia="宋体" w:hAnsi="Arial" w:cs="Arial"/>
                <w:color w:val="333333"/>
                <w:sz w:val="18"/>
                <w:szCs w:val="18"/>
              </w:rPr>
              <w:t>1,500 </w:t>
            </w:r>
          </w:p>
        </w:tc>
        <w:tc>
          <w:tcPr>
            <w:tcW w:w="0" w:type="auto"/>
            <w:shd w:val="clear" w:color="auto" w:fill="auto"/>
            <w:tcMar>
              <w:top w:w="40" w:type="dxa"/>
              <w:bottom w:w="40" w:type="dxa"/>
              <w:right w:w="20" w:type="dxa"/>
            </w:tcMar>
            <w:vAlign w:val="bottom"/>
          </w:tcPr>
          <w:p w14:paraId="36CA33D5" w14:textId="77777777" w:rsidR="00787570" w:rsidRDefault="00787570">
            <w:pPr>
              <w:jc w:val="right"/>
              <w:rPr>
                <w:rFonts w:ascii="宋体"/>
              </w:rPr>
            </w:pPr>
          </w:p>
        </w:tc>
        <w:tc>
          <w:tcPr>
            <w:tcW w:w="0" w:type="auto"/>
            <w:shd w:val="clear" w:color="auto" w:fill="auto"/>
          </w:tcPr>
          <w:p w14:paraId="36CA33D6" w14:textId="77777777" w:rsidR="00787570" w:rsidRDefault="00787570">
            <w:pPr>
              <w:rPr>
                <w:rFonts w:ascii="宋体"/>
              </w:rPr>
            </w:pPr>
          </w:p>
        </w:tc>
        <w:tc>
          <w:tcPr>
            <w:tcW w:w="0" w:type="auto"/>
            <w:shd w:val="clear" w:color="auto" w:fill="auto"/>
          </w:tcPr>
          <w:p w14:paraId="36CA33D7" w14:textId="77777777" w:rsidR="00787570" w:rsidRDefault="00787570">
            <w:pPr>
              <w:rPr>
                <w:rFonts w:ascii="宋体"/>
              </w:rPr>
            </w:pPr>
          </w:p>
        </w:tc>
        <w:tc>
          <w:tcPr>
            <w:tcW w:w="0" w:type="auto"/>
            <w:shd w:val="clear" w:color="auto" w:fill="auto"/>
          </w:tcPr>
          <w:p w14:paraId="36CA33D8" w14:textId="77777777" w:rsidR="00787570" w:rsidRDefault="00787570">
            <w:pPr>
              <w:rPr>
                <w:rFonts w:ascii="宋体"/>
              </w:rPr>
            </w:pPr>
          </w:p>
        </w:tc>
        <w:tc>
          <w:tcPr>
            <w:tcW w:w="0" w:type="auto"/>
            <w:shd w:val="clear" w:color="auto" w:fill="auto"/>
          </w:tcPr>
          <w:p w14:paraId="36CA33D9" w14:textId="77777777" w:rsidR="00787570" w:rsidRDefault="00787570">
            <w:pPr>
              <w:rPr>
                <w:rFonts w:ascii="宋体"/>
              </w:rPr>
            </w:pPr>
          </w:p>
        </w:tc>
        <w:tc>
          <w:tcPr>
            <w:tcW w:w="0" w:type="auto"/>
            <w:shd w:val="clear" w:color="auto" w:fill="auto"/>
          </w:tcPr>
          <w:p w14:paraId="36CA33DA" w14:textId="77777777" w:rsidR="00787570" w:rsidRDefault="00787570">
            <w:pPr>
              <w:rPr>
                <w:rFonts w:ascii="宋体"/>
              </w:rPr>
            </w:pPr>
          </w:p>
        </w:tc>
        <w:tc>
          <w:tcPr>
            <w:tcW w:w="0" w:type="auto"/>
            <w:shd w:val="clear" w:color="auto" w:fill="auto"/>
          </w:tcPr>
          <w:p w14:paraId="36CA33DB" w14:textId="77777777" w:rsidR="00787570" w:rsidRDefault="00787570">
            <w:pPr>
              <w:rPr>
                <w:rFonts w:ascii="宋体"/>
              </w:rPr>
            </w:pPr>
          </w:p>
        </w:tc>
      </w:tr>
      <w:tr w:rsidR="00787570" w14:paraId="36CA33ED" w14:textId="77777777">
        <w:tc>
          <w:tcPr>
            <w:tcW w:w="0" w:type="auto"/>
            <w:gridSpan w:val="3"/>
            <w:shd w:val="clear" w:color="auto" w:fill="auto"/>
            <w:tcMar>
              <w:top w:w="40" w:type="dxa"/>
              <w:left w:w="135" w:type="dxa"/>
              <w:bottom w:w="40" w:type="dxa"/>
              <w:right w:w="20" w:type="dxa"/>
            </w:tcMar>
            <w:vAlign w:val="center"/>
          </w:tcPr>
          <w:p w14:paraId="36CA33DD" w14:textId="77777777" w:rsidR="00787570" w:rsidRDefault="000D56E2">
            <w:pPr>
              <w:textAlignment w:val="center"/>
            </w:pPr>
            <w:r>
              <w:rPr>
                <w:rFonts w:ascii="Arial" w:eastAsia="宋体" w:hAnsi="Arial" w:cs="Arial"/>
                <w:color w:val="333333"/>
                <w:sz w:val="18"/>
                <w:szCs w:val="18"/>
              </w:rPr>
              <w:t>4.10%, due November 2023</w:t>
            </w:r>
          </w:p>
        </w:tc>
        <w:tc>
          <w:tcPr>
            <w:tcW w:w="0" w:type="auto"/>
            <w:gridSpan w:val="3"/>
            <w:shd w:val="clear" w:color="auto" w:fill="auto"/>
            <w:tcMar>
              <w:left w:w="20" w:type="dxa"/>
              <w:right w:w="20" w:type="dxa"/>
            </w:tcMar>
            <w:vAlign w:val="bottom"/>
          </w:tcPr>
          <w:p w14:paraId="36CA33DE"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33DF" w14:textId="77777777" w:rsidR="00787570" w:rsidRDefault="000D56E2">
            <w:pPr>
              <w:jc w:val="right"/>
              <w:textAlignment w:val="bottom"/>
            </w:pPr>
            <w:r>
              <w:rPr>
                <w:rFonts w:ascii="Arial" w:eastAsia="宋体" w:hAnsi="Arial" w:cs="Arial"/>
                <w:color w:val="026DCE"/>
                <w:sz w:val="18"/>
                <w:szCs w:val="18"/>
              </w:rPr>
              <w:t>3.22 </w:t>
            </w:r>
          </w:p>
        </w:tc>
        <w:tc>
          <w:tcPr>
            <w:tcW w:w="0" w:type="auto"/>
            <w:shd w:val="clear" w:color="auto" w:fill="auto"/>
            <w:tcMar>
              <w:top w:w="40" w:type="dxa"/>
              <w:bottom w:w="40" w:type="dxa"/>
              <w:right w:w="20" w:type="dxa"/>
            </w:tcMar>
            <w:vAlign w:val="bottom"/>
          </w:tcPr>
          <w:p w14:paraId="36CA33E0" w14:textId="77777777" w:rsidR="00787570" w:rsidRDefault="000D56E2">
            <w:pPr>
              <w:jc w:val="right"/>
              <w:textAlignment w:val="bottom"/>
            </w:pPr>
            <w:r>
              <w:rPr>
                <w:rFonts w:ascii="Arial" w:eastAsia="宋体" w:hAnsi="Arial" w:cs="Arial"/>
                <w:color w:val="026DCE"/>
                <w:sz w:val="18"/>
                <w:szCs w:val="18"/>
              </w:rPr>
              <w:t>%</w:t>
            </w:r>
          </w:p>
        </w:tc>
        <w:tc>
          <w:tcPr>
            <w:tcW w:w="0" w:type="auto"/>
            <w:gridSpan w:val="3"/>
            <w:shd w:val="clear" w:color="auto" w:fill="auto"/>
            <w:tcMar>
              <w:left w:w="20" w:type="dxa"/>
              <w:right w:w="20" w:type="dxa"/>
            </w:tcMar>
            <w:vAlign w:val="bottom"/>
          </w:tcPr>
          <w:p w14:paraId="36CA33E1"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33E2" w14:textId="77777777" w:rsidR="00787570" w:rsidRDefault="000D56E2">
            <w:pPr>
              <w:jc w:val="right"/>
              <w:textAlignment w:val="bottom"/>
            </w:pPr>
            <w:r>
              <w:rPr>
                <w:rFonts w:ascii="Arial" w:eastAsia="宋体" w:hAnsi="Arial" w:cs="Arial"/>
                <w:color w:val="026DCE"/>
                <w:sz w:val="18"/>
                <w:szCs w:val="18"/>
              </w:rPr>
              <w:t>400 </w:t>
            </w:r>
          </w:p>
        </w:tc>
        <w:tc>
          <w:tcPr>
            <w:tcW w:w="0" w:type="auto"/>
            <w:shd w:val="clear" w:color="auto" w:fill="auto"/>
            <w:tcMar>
              <w:top w:w="40" w:type="dxa"/>
              <w:bottom w:w="40" w:type="dxa"/>
              <w:right w:w="20" w:type="dxa"/>
            </w:tcMar>
            <w:vAlign w:val="bottom"/>
          </w:tcPr>
          <w:p w14:paraId="36CA33E3"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33E4"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33E5" w14:textId="77777777" w:rsidR="00787570" w:rsidRDefault="000D56E2">
            <w:pPr>
              <w:jc w:val="right"/>
              <w:textAlignment w:val="bottom"/>
            </w:pPr>
            <w:r>
              <w:rPr>
                <w:rFonts w:ascii="Arial" w:eastAsia="宋体" w:hAnsi="Arial" w:cs="Arial"/>
                <w:color w:val="333333"/>
                <w:sz w:val="18"/>
                <w:szCs w:val="18"/>
              </w:rPr>
              <w:t>400 </w:t>
            </w:r>
          </w:p>
        </w:tc>
        <w:tc>
          <w:tcPr>
            <w:tcW w:w="0" w:type="auto"/>
            <w:shd w:val="clear" w:color="auto" w:fill="auto"/>
            <w:tcMar>
              <w:top w:w="40" w:type="dxa"/>
              <w:bottom w:w="40" w:type="dxa"/>
              <w:right w:w="20" w:type="dxa"/>
            </w:tcMar>
            <w:vAlign w:val="bottom"/>
          </w:tcPr>
          <w:p w14:paraId="36CA33E6" w14:textId="77777777" w:rsidR="00787570" w:rsidRDefault="00787570">
            <w:pPr>
              <w:jc w:val="right"/>
              <w:rPr>
                <w:rFonts w:ascii="宋体"/>
              </w:rPr>
            </w:pPr>
          </w:p>
        </w:tc>
        <w:tc>
          <w:tcPr>
            <w:tcW w:w="0" w:type="auto"/>
            <w:shd w:val="clear" w:color="auto" w:fill="auto"/>
          </w:tcPr>
          <w:p w14:paraId="36CA33E7" w14:textId="77777777" w:rsidR="00787570" w:rsidRDefault="00787570">
            <w:pPr>
              <w:rPr>
                <w:rFonts w:ascii="宋体"/>
              </w:rPr>
            </w:pPr>
          </w:p>
        </w:tc>
        <w:tc>
          <w:tcPr>
            <w:tcW w:w="0" w:type="auto"/>
            <w:shd w:val="clear" w:color="auto" w:fill="auto"/>
          </w:tcPr>
          <w:p w14:paraId="36CA33E8" w14:textId="77777777" w:rsidR="00787570" w:rsidRDefault="00787570">
            <w:pPr>
              <w:rPr>
                <w:rFonts w:ascii="宋体"/>
              </w:rPr>
            </w:pPr>
          </w:p>
        </w:tc>
        <w:tc>
          <w:tcPr>
            <w:tcW w:w="0" w:type="auto"/>
            <w:shd w:val="clear" w:color="auto" w:fill="auto"/>
          </w:tcPr>
          <w:p w14:paraId="36CA33E9" w14:textId="77777777" w:rsidR="00787570" w:rsidRDefault="00787570">
            <w:pPr>
              <w:rPr>
                <w:rFonts w:ascii="宋体"/>
              </w:rPr>
            </w:pPr>
          </w:p>
        </w:tc>
        <w:tc>
          <w:tcPr>
            <w:tcW w:w="0" w:type="auto"/>
            <w:shd w:val="clear" w:color="auto" w:fill="auto"/>
          </w:tcPr>
          <w:p w14:paraId="36CA33EA" w14:textId="77777777" w:rsidR="00787570" w:rsidRDefault="00787570">
            <w:pPr>
              <w:rPr>
                <w:rFonts w:ascii="宋体"/>
              </w:rPr>
            </w:pPr>
          </w:p>
        </w:tc>
        <w:tc>
          <w:tcPr>
            <w:tcW w:w="0" w:type="auto"/>
            <w:shd w:val="clear" w:color="auto" w:fill="auto"/>
          </w:tcPr>
          <w:p w14:paraId="36CA33EB" w14:textId="77777777" w:rsidR="00787570" w:rsidRDefault="00787570">
            <w:pPr>
              <w:rPr>
                <w:rFonts w:ascii="宋体"/>
              </w:rPr>
            </w:pPr>
          </w:p>
        </w:tc>
        <w:tc>
          <w:tcPr>
            <w:tcW w:w="0" w:type="auto"/>
            <w:shd w:val="clear" w:color="auto" w:fill="auto"/>
          </w:tcPr>
          <w:p w14:paraId="36CA33EC" w14:textId="77777777" w:rsidR="00787570" w:rsidRDefault="00787570">
            <w:pPr>
              <w:rPr>
                <w:rFonts w:ascii="宋体"/>
              </w:rPr>
            </w:pPr>
          </w:p>
        </w:tc>
      </w:tr>
      <w:tr w:rsidR="00787570" w14:paraId="36CA33FE" w14:textId="77777777">
        <w:tc>
          <w:tcPr>
            <w:tcW w:w="0" w:type="auto"/>
            <w:gridSpan w:val="3"/>
            <w:shd w:val="clear" w:color="auto" w:fill="auto"/>
            <w:tcMar>
              <w:top w:w="40" w:type="dxa"/>
              <w:left w:w="135" w:type="dxa"/>
              <w:bottom w:w="40" w:type="dxa"/>
              <w:right w:w="20" w:type="dxa"/>
            </w:tcMar>
            <w:vAlign w:val="center"/>
          </w:tcPr>
          <w:p w14:paraId="36CA33EE" w14:textId="77777777" w:rsidR="00787570" w:rsidRDefault="000D56E2">
            <w:pPr>
              <w:textAlignment w:val="center"/>
            </w:pPr>
            <w:r>
              <w:rPr>
                <w:rFonts w:ascii="Arial" w:eastAsia="宋体" w:hAnsi="Arial" w:cs="Arial"/>
                <w:color w:val="333333"/>
                <w:sz w:val="18"/>
                <w:szCs w:val="18"/>
              </w:rPr>
              <w:t>2.88%</w:t>
            </w:r>
            <w:r>
              <w:rPr>
                <w:rFonts w:ascii="Arial" w:eastAsia="宋体" w:hAnsi="Arial" w:cs="Arial"/>
                <w:color w:val="333333"/>
                <w:sz w:val="18"/>
                <w:szCs w:val="18"/>
              </w:rPr>
              <w:t>, due May 2024</w:t>
            </w:r>
          </w:p>
        </w:tc>
        <w:tc>
          <w:tcPr>
            <w:tcW w:w="0" w:type="auto"/>
            <w:gridSpan w:val="3"/>
            <w:shd w:val="clear" w:color="auto" w:fill="auto"/>
            <w:tcMar>
              <w:left w:w="20" w:type="dxa"/>
              <w:right w:w="20" w:type="dxa"/>
            </w:tcMar>
            <w:vAlign w:val="bottom"/>
          </w:tcPr>
          <w:p w14:paraId="36CA33EF"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33F0" w14:textId="77777777" w:rsidR="00787570" w:rsidRDefault="000D56E2">
            <w:pPr>
              <w:jc w:val="right"/>
              <w:textAlignment w:val="bottom"/>
            </w:pPr>
            <w:r>
              <w:rPr>
                <w:rFonts w:ascii="Arial" w:eastAsia="宋体" w:hAnsi="Arial" w:cs="Arial"/>
                <w:color w:val="026DCE"/>
                <w:sz w:val="18"/>
                <w:szCs w:val="18"/>
              </w:rPr>
              <w:t>2.31 </w:t>
            </w:r>
          </w:p>
        </w:tc>
        <w:tc>
          <w:tcPr>
            <w:tcW w:w="0" w:type="auto"/>
            <w:shd w:val="clear" w:color="auto" w:fill="auto"/>
            <w:tcMar>
              <w:top w:w="40" w:type="dxa"/>
              <w:bottom w:w="40" w:type="dxa"/>
              <w:right w:w="20" w:type="dxa"/>
            </w:tcMar>
            <w:vAlign w:val="bottom"/>
          </w:tcPr>
          <w:p w14:paraId="36CA33F1" w14:textId="77777777" w:rsidR="00787570" w:rsidRDefault="000D56E2">
            <w:pPr>
              <w:jc w:val="right"/>
              <w:textAlignment w:val="bottom"/>
            </w:pPr>
            <w:r>
              <w:rPr>
                <w:rFonts w:ascii="Arial" w:eastAsia="宋体" w:hAnsi="Arial" w:cs="Arial"/>
                <w:color w:val="026DCE"/>
                <w:sz w:val="18"/>
                <w:szCs w:val="18"/>
              </w:rPr>
              <w:t>%</w:t>
            </w:r>
          </w:p>
        </w:tc>
        <w:tc>
          <w:tcPr>
            <w:tcW w:w="0" w:type="auto"/>
            <w:gridSpan w:val="3"/>
            <w:shd w:val="clear" w:color="auto" w:fill="auto"/>
            <w:tcMar>
              <w:left w:w="20" w:type="dxa"/>
              <w:right w:w="20" w:type="dxa"/>
            </w:tcMar>
            <w:vAlign w:val="bottom"/>
          </w:tcPr>
          <w:p w14:paraId="36CA33F2"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33F3" w14:textId="77777777" w:rsidR="00787570" w:rsidRDefault="000D56E2">
            <w:pPr>
              <w:jc w:val="right"/>
              <w:textAlignment w:val="bottom"/>
            </w:pPr>
            <w:r>
              <w:rPr>
                <w:rFonts w:ascii="Arial" w:eastAsia="宋体" w:hAnsi="Arial" w:cs="Arial"/>
                <w:color w:val="026DCE"/>
                <w:sz w:val="18"/>
                <w:szCs w:val="18"/>
              </w:rPr>
              <w:t>1,250 </w:t>
            </w:r>
          </w:p>
        </w:tc>
        <w:tc>
          <w:tcPr>
            <w:tcW w:w="0" w:type="auto"/>
            <w:shd w:val="clear" w:color="auto" w:fill="auto"/>
            <w:tcMar>
              <w:top w:w="40" w:type="dxa"/>
              <w:bottom w:w="40" w:type="dxa"/>
              <w:right w:w="20" w:type="dxa"/>
            </w:tcMar>
            <w:vAlign w:val="bottom"/>
          </w:tcPr>
          <w:p w14:paraId="36CA33F4"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33F5"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33F6" w14:textId="77777777" w:rsidR="00787570" w:rsidRDefault="000D56E2">
            <w:pPr>
              <w:jc w:val="right"/>
              <w:textAlignment w:val="bottom"/>
            </w:pPr>
            <w:r>
              <w:rPr>
                <w:rFonts w:ascii="Arial" w:eastAsia="宋体" w:hAnsi="Arial" w:cs="Arial"/>
                <w:color w:val="333333"/>
                <w:sz w:val="18"/>
                <w:szCs w:val="18"/>
              </w:rPr>
              <w:t>1,250 </w:t>
            </w:r>
          </w:p>
        </w:tc>
        <w:tc>
          <w:tcPr>
            <w:tcW w:w="0" w:type="auto"/>
            <w:shd w:val="clear" w:color="auto" w:fill="auto"/>
            <w:tcMar>
              <w:top w:w="40" w:type="dxa"/>
              <w:bottom w:w="40" w:type="dxa"/>
              <w:right w:w="20" w:type="dxa"/>
            </w:tcMar>
            <w:vAlign w:val="bottom"/>
          </w:tcPr>
          <w:p w14:paraId="36CA33F7" w14:textId="77777777" w:rsidR="00787570" w:rsidRDefault="00787570">
            <w:pPr>
              <w:jc w:val="right"/>
              <w:rPr>
                <w:rFonts w:ascii="宋体"/>
              </w:rPr>
            </w:pPr>
          </w:p>
        </w:tc>
        <w:tc>
          <w:tcPr>
            <w:tcW w:w="0" w:type="auto"/>
            <w:shd w:val="clear" w:color="auto" w:fill="auto"/>
          </w:tcPr>
          <w:p w14:paraId="36CA33F8" w14:textId="77777777" w:rsidR="00787570" w:rsidRDefault="00787570">
            <w:pPr>
              <w:rPr>
                <w:rFonts w:ascii="宋体"/>
              </w:rPr>
            </w:pPr>
          </w:p>
        </w:tc>
        <w:tc>
          <w:tcPr>
            <w:tcW w:w="0" w:type="auto"/>
            <w:shd w:val="clear" w:color="auto" w:fill="auto"/>
          </w:tcPr>
          <w:p w14:paraId="36CA33F9" w14:textId="77777777" w:rsidR="00787570" w:rsidRDefault="00787570">
            <w:pPr>
              <w:rPr>
                <w:rFonts w:ascii="宋体"/>
              </w:rPr>
            </w:pPr>
          </w:p>
        </w:tc>
        <w:tc>
          <w:tcPr>
            <w:tcW w:w="0" w:type="auto"/>
            <w:shd w:val="clear" w:color="auto" w:fill="auto"/>
          </w:tcPr>
          <w:p w14:paraId="36CA33FA" w14:textId="77777777" w:rsidR="00787570" w:rsidRDefault="00787570">
            <w:pPr>
              <w:rPr>
                <w:rFonts w:ascii="宋体"/>
              </w:rPr>
            </w:pPr>
          </w:p>
        </w:tc>
        <w:tc>
          <w:tcPr>
            <w:tcW w:w="0" w:type="auto"/>
            <w:shd w:val="clear" w:color="auto" w:fill="auto"/>
          </w:tcPr>
          <w:p w14:paraId="36CA33FB" w14:textId="77777777" w:rsidR="00787570" w:rsidRDefault="00787570">
            <w:pPr>
              <w:rPr>
                <w:rFonts w:ascii="宋体"/>
              </w:rPr>
            </w:pPr>
          </w:p>
        </w:tc>
        <w:tc>
          <w:tcPr>
            <w:tcW w:w="0" w:type="auto"/>
            <w:shd w:val="clear" w:color="auto" w:fill="auto"/>
          </w:tcPr>
          <w:p w14:paraId="36CA33FC" w14:textId="77777777" w:rsidR="00787570" w:rsidRDefault="00787570">
            <w:pPr>
              <w:rPr>
                <w:rFonts w:ascii="宋体"/>
              </w:rPr>
            </w:pPr>
          </w:p>
        </w:tc>
        <w:tc>
          <w:tcPr>
            <w:tcW w:w="0" w:type="auto"/>
            <w:shd w:val="clear" w:color="auto" w:fill="auto"/>
          </w:tcPr>
          <w:p w14:paraId="36CA33FD" w14:textId="77777777" w:rsidR="00787570" w:rsidRDefault="00787570">
            <w:pPr>
              <w:rPr>
                <w:rFonts w:ascii="宋体"/>
              </w:rPr>
            </w:pPr>
          </w:p>
        </w:tc>
      </w:tr>
      <w:tr w:rsidR="00787570" w14:paraId="36CA340F" w14:textId="77777777">
        <w:tc>
          <w:tcPr>
            <w:tcW w:w="0" w:type="auto"/>
            <w:gridSpan w:val="3"/>
            <w:shd w:val="clear" w:color="auto" w:fill="auto"/>
            <w:tcMar>
              <w:top w:w="40" w:type="dxa"/>
              <w:left w:w="135" w:type="dxa"/>
              <w:bottom w:w="40" w:type="dxa"/>
              <w:right w:w="20" w:type="dxa"/>
            </w:tcMar>
            <w:vAlign w:val="center"/>
          </w:tcPr>
          <w:p w14:paraId="36CA33FF" w14:textId="77777777" w:rsidR="00787570" w:rsidRDefault="000D56E2">
            <w:pPr>
              <w:textAlignment w:val="center"/>
            </w:pPr>
            <w:r>
              <w:rPr>
                <w:rFonts w:ascii="Arial" w:eastAsia="宋体" w:hAnsi="Arial" w:cs="Arial"/>
                <w:color w:val="333333"/>
                <w:sz w:val="18"/>
                <w:szCs w:val="18"/>
              </w:rPr>
              <w:t>2.70%</w:t>
            </w:r>
            <w:r>
              <w:rPr>
                <w:rFonts w:ascii="Arial" w:eastAsia="宋体" w:hAnsi="Arial" w:cs="Arial"/>
                <w:color w:val="333333"/>
                <w:sz w:val="18"/>
                <w:szCs w:val="18"/>
              </w:rPr>
              <w:t>, due June 2024</w:t>
            </w:r>
          </w:p>
        </w:tc>
        <w:tc>
          <w:tcPr>
            <w:tcW w:w="0" w:type="auto"/>
            <w:gridSpan w:val="3"/>
            <w:shd w:val="clear" w:color="auto" w:fill="auto"/>
            <w:tcMar>
              <w:left w:w="20" w:type="dxa"/>
              <w:right w:w="20" w:type="dxa"/>
            </w:tcMar>
            <w:vAlign w:val="bottom"/>
          </w:tcPr>
          <w:p w14:paraId="36CA3400"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3401" w14:textId="77777777" w:rsidR="00787570" w:rsidRDefault="000D56E2">
            <w:pPr>
              <w:jc w:val="right"/>
              <w:textAlignment w:val="bottom"/>
            </w:pPr>
            <w:r>
              <w:rPr>
                <w:rFonts w:ascii="Arial" w:eastAsia="宋体" w:hAnsi="Arial" w:cs="Arial"/>
                <w:color w:val="026DCE"/>
                <w:sz w:val="18"/>
                <w:szCs w:val="18"/>
              </w:rPr>
              <w:t>2.13 </w:t>
            </w:r>
          </w:p>
        </w:tc>
        <w:tc>
          <w:tcPr>
            <w:tcW w:w="0" w:type="auto"/>
            <w:shd w:val="clear" w:color="auto" w:fill="auto"/>
            <w:tcMar>
              <w:top w:w="40" w:type="dxa"/>
              <w:bottom w:w="40" w:type="dxa"/>
              <w:right w:w="20" w:type="dxa"/>
            </w:tcMar>
            <w:vAlign w:val="bottom"/>
          </w:tcPr>
          <w:p w14:paraId="36CA3402" w14:textId="77777777" w:rsidR="00787570" w:rsidRDefault="000D56E2">
            <w:pPr>
              <w:jc w:val="right"/>
              <w:textAlignment w:val="bottom"/>
            </w:pPr>
            <w:r>
              <w:rPr>
                <w:rFonts w:ascii="Arial" w:eastAsia="宋体" w:hAnsi="Arial" w:cs="Arial"/>
                <w:color w:val="026DCE"/>
                <w:sz w:val="18"/>
                <w:szCs w:val="18"/>
              </w:rPr>
              <w:t>%</w:t>
            </w:r>
          </w:p>
        </w:tc>
        <w:tc>
          <w:tcPr>
            <w:tcW w:w="0" w:type="auto"/>
            <w:gridSpan w:val="3"/>
            <w:shd w:val="clear" w:color="auto" w:fill="auto"/>
            <w:tcMar>
              <w:left w:w="20" w:type="dxa"/>
              <w:right w:w="20" w:type="dxa"/>
            </w:tcMar>
            <w:vAlign w:val="bottom"/>
          </w:tcPr>
          <w:p w14:paraId="36CA3403"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3404" w14:textId="77777777" w:rsidR="00787570" w:rsidRDefault="000D56E2">
            <w:pPr>
              <w:jc w:val="right"/>
              <w:textAlignment w:val="bottom"/>
            </w:pPr>
            <w:r>
              <w:rPr>
                <w:rFonts w:ascii="Arial" w:eastAsia="宋体" w:hAnsi="Arial" w:cs="Arial"/>
                <w:color w:val="026DCE"/>
                <w:sz w:val="18"/>
                <w:szCs w:val="18"/>
              </w:rPr>
              <w:t>600 </w:t>
            </w:r>
          </w:p>
        </w:tc>
        <w:tc>
          <w:tcPr>
            <w:tcW w:w="0" w:type="auto"/>
            <w:shd w:val="clear" w:color="auto" w:fill="auto"/>
            <w:tcMar>
              <w:top w:w="40" w:type="dxa"/>
              <w:bottom w:w="40" w:type="dxa"/>
              <w:right w:w="20" w:type="dxa"/>
            </w:tcMar>
            <w:vAlign w:val="bottom"/>
          </w:tcPr>
          <w:p w14:paraId="36CA3405"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3406"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3407" w14:textId="77777777" w:rsidR="00787570" w:rsidRDefault="000D56E2">
            <w:pPr>
              <w:jc w:val="right"/>
              <w:textAlignment w:val="bottom"/>
            </w:pPr>
            <w:r>
              <w:rPr>
                <w:rFonts w:ascii="Arial" w:eastAsia="宋体" w:hAnsi="Arial" w:cs="Arial"/>
                <w:color w:val="333333"/>
                <w:sz w:val="18"/>
                <w:szCs w:val="18"/>
              </w:rPr>
              <w:t>600 </w:t>
            </w:r>
          </w:p>
        </w:tc>
        <w:tc>
          <w:tcPr>
            <w:tcW w:w="0" w:type="auto"/>
            <w:shd w:val="clear" w:color="auto" w:fill="auto"/>
            <w:tcMar>
              <w:top w:w="40" w:type="dxa"/>
              <w:bottom w:w="40" w:type="dxa"/>
              <w:right w:w="20" w:type="dxa"/>
            </w:tcMar>
            <w:vAlign w:val="bottom"/>
          </w:tcPr>
          <w:p w14:paraId="36CA3408" w14:textId="77777777" w:rsidR="00787570" w:rsidRDefault="00787570">
            <w:pPr>
              <w:jc w:val="right"/>
              <w:rPr>
                <w:rFonts w:ascii="宋体"/>
              </w:rPr>
            </w:pPr>
          </w:p>
        </w:tc>
        <w:tc>
          <w:tcPr>
            <w:tcW w:w="0" w:type="auto"/>
            <w:shd w:val="clear" w:color="auto" w:fill="auto"/>
          </w:tcPr>
          <w:p w14:paraId="36CA3409" w14:textId="77777777" w:rsidR="00787570" w:rsidRDefault="00787570">
            <w:pPr>
              <w:rPr>
                <w:rFonts w:ascii="宋体"/>
              </w:rPr>
            </w:pPr>
          </w:p>
        </w:tc>
        <w:tc>
          <w:tcPr>
            <w:tcW w:w="0" w:type="auto"/>
            <w:shd w:val="clear" w:color="auto" w:fill="auto"/>
          </w:tcPr>
          <w:p w14:paraId="36CA340A" w14:textId="77777777" w:rsidR="00787570" w:rsidRDefault="00787570">
            <w:pPr>
              <w:rPr>
                <w:rFonts w:ascii="宋体"/>
              </w:rPr>
            </w:pPr>
          </w:p>
        </w:tc>
        <w:tc>
          <w:tcPr>
            <w:tcW w:w="0" w:type="auto"/>
            <w:shd w:val="clear" w:color="auto" w:fill="auto"/>
          </w:tcPr>
          <w:p w14:paraId="36CA340B" w14:textId="77777777" w:rsidR="00787570" w:rsidRDefault="00787570">
            <w:pPr>
              <w:rPr>
                <w:rFonts w:ascii="宋体"/>
              </w:rPr>
            </w:pPr>
          </w:p>
        </w:tc>
        <w:tc>
          <w:tcPr>
            <w:tcW w:w="0" w:type="auto"/>
            <w:shd w:val="clear" w:color="auto" w:fill="auto"/>
          </w:tcPr>
          <w:p w14:paraId="36CA340C" w14:textId="77777777" w:rsidR="00787570" w:rsidRDefault="00787570">
            <w:pPr>
              <w:rPr>
                <w:rFonts w:ascii="宋体"/>
              </w:rPr>
            </w:pPr>
          </w:p>
        </w:tc>
        <w:tc>
          <w:tcPr>
            <w:tcW w:w="0" w:type="auto"/>
            <w:shd w:val="clear" w:color="auto" w:fill="auto"/>
          </w:tcPr>
          <w:p w14:paraId="36CA340D" w14:textId="77777777" w:rsidR="00787570" w:rsidRDefault="00787570">
            <w:pPr>
              <w:rPr>
                <w:rFonts w:ascii="宋体"/>
              </w:rPr>
            </w:pPr>
          </w:p>
        </w:tc>
        <w:tc>
          <w:tcPr>
            <w:tcW w:w="0" w:type="auto"/>
            <w:shd w:val="clear" w:color="auto" w:fill="auto"/>
          </w:tcPr>
          <w:p w14:paraId="36CA340E" w14:textId="77777777" w:rsidR="00787570" w:rsidRDefault="00787570">
            <w:pPr>
              <w:rPr>
                <w:rFonts w:ascii="宋体"/>
              </w:rPr>
            </w:pPr>
          </w:p>
        </w:tc>
      </w:tr>
      <w:tr w:rsidR="00787570" w14:paraId="36CA3420" w14:textId="77777777">
        <w:tc>
          <w:tcPr>
            <w:tcW w:w="0" w:type="auto"/>
            <w:gridSpan w:val="3"/>
            <w:shd w:val="clear" w:color="auto" w:fill="auto"/>
            <w:tcMar>
              <w:top w:w="40" w:type="dxa"/>
              <w:left w:w="135" w:type="dxa"/>
              <w:bottom w:w="40" w:type="dxa"/>
              <w:right w:w="20" w:type="dxa"/>
            </w:tcMar>
            <w:vAlign w:val="center"/>
          </w:tcPr>
          <w:p w14:paraId="36CA3410" w14:textId="77777777" w:rsidR="00787570" w:rsidRDefault="000D56E2">
            <w:pPr>
              <w:textAlignment w:val="center"/>
            </w:pPr>
            <w:r>
              <w:rPr>
                <w:rFonts w:ascii="Arial" w:eastAsia="宋体" w:hAnsi="Arial" w:cs="Arial"/>
                <w:color w:val="333333"/>
                <w:sz w:val="18"/>
                <w:szCs w:val="18"/>
              </w:rPr>
              <w:t>3.40%</w:t>
            </w:r>
            <w:r>
              <w:rPr>
                <w:rFonts w:ascii="Arial" w:eastAsia="宋体" w:hAnsi="Arial" w:cs="Arial"/>
                <w:color w:val="333333"/>
                <w:sz w:val="18"/>
                <w:szCs w:val="18"/>
              </w:rPr>
              <w:t>, due March 2025</w:t>
            </w:r>
          </w:p>
        </w:tc>
        <w:tc>
          <w:tcPr>
            <w:tcW w:w="0" w:type="auto"/>
            <w:gridSpan w:val="3"/>
            <w:shd w:val="clear" w:color="auto" w:fill="auto"/>
            <w:tcMar>
              <w:left w:w="20" w:type="dxa"/>
              <w:right w:w="20" w:type="dxa"/>
            </w:tcMar>
            <w:vAlign w:val="bottom"/>
          </w:tcPr>
          <w:p w14:paraId="36CA3411"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3412" w14:textId="77777777" w:rsidR="00787570" w:rsidRDefault="000D56E2">
            <w:pPr>
              <w:jc w:val="right"/>
              <w:textAlignment w:val="bottom"/>
            </w:pPr>
            <w:r>
              <w:rPr>
                <w:rFonts w:ascii="Arial" w:eastAsia="宋体" w:hAnsi="Arial" w:cs="Arial"/>
                <w:color w:val="026DCE"/>
                <w:sz w:val="18"/>
                <w:szCs w:val="18"/>
              </w:rPr>
              <w:t>3.46 </w:t>
            </w:r>
          </w:p>
        </w:tc>
        <w:tc>
          <w:tcPr>
            <w:tcW w:w="0" w:type="auto"/>
            <w:shd w:val="clear" w:color="auto" w:fill="auto"/>
            <w:tcMar>
              <w:top w:w="40" w:type="dxa"/>
              <w:bottom w:w="40" w:type="dxa"/>
              <w:right w:w="20" w:type="dxa"/>
            </w:tcMar>
            <w:vAlign w:val="bottom"/>
          </w:tcPr>
          <w:p w14:paraId="36CA3413" w14:textId="77777777" w:rsidR="00787570" w:rsidRDefault="000D56E2">
            <w:pPr>
              <w:jc w:val="right"/>
              <w:textAlignment w:val="bottom"/>
            </w:pPr>
            <w:r>
              <w:rPr>
                <w:rFonts w:ascii="Arial" w:eastAsia="宋体" w:hAnsi="Arial" w:cs="Arial"/>
                <w:color w:val="026DCE"/>
                <w:sz w:val="18"/>
                <w:szCs w:val="18"/>
              </w:rPr>
              <w:t>%</w:t>
            </w:r>
          </w:p>
        </w:tc>
        <w:tc>
          <w:tcPr>
            <w:tcW w:w="0" w:type="auto"/>
            <w:gridSpan w:val="3"/>
            <w:shd w:val="clear" w:color="auto" w:fill="auto"/>
            <w:tcMar>
              <w:left w:w="20" w:type="dxa"/>
              <w:right w:w="20" w:type="dxa"/>
            </w:tcMar>
            <w:vAlign w:val="bottom"/>
          </w:tcPr>
          <w:p w14:paraId="36CA3414"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3415" w14:textId="77777777" w:rsidR="00787570" w:rsidRDefault="000D56E2">
            <w:pPr>
              <w:jc w:val="right"/>
              <w:textAlignment w:val="bottom"/>
            </w:pPr>
            <w:r>
              <w:rPr>
                <w:rFonts w:ascii="Arial" w:eastAsia="宋体" w:hAnsi="Arial" w:cs="Arial"/>
                <w:color w:val="026DCE"/>
                <w:sz w:val="18"/>
                <w:szCs w:val="18"/>
              </w:rPr>
              <w:t>1,500 </w:t>
            </w:r>
          </w:p>
        </w:tc>
        <w:tc>
          <w:tcPr>
            <w:tcW w:w="0" w:type="auto"/>
            <w:shd w:val="clear" w:color="auto" w:fill="auto"/>
            <w:tcMar>
              <w:top w:w="40" w:type="dxa"/>
              <w:bottom w:w="40" w:type="dxa"/>
              <w:right w:w="20" w:type="dxa"/>
            </w:tcMar>
            <w:vAlign w:val="bottom"/>
          </w:tcPr>
          <w:p w14:paraId="36CA3416"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3417"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3418" w14:textId="77777777" w:rsidR="00787570" w:rsidRDefault="000D56E2">
            <w:pPr>
              <w:jc w:val="right"/>
              <w:textAlignment w:val="bottom"/>
            </w:pPr>
            <w:r>
              <w:rPr>
                <w:rFonts w:ascii="Arial" w:eastAsia="宋体" w:hAnsi="Arial" w:cs="Arial"/>
                <w:color w:val="333333"/>
                <w:sz w:val="18"/>
                <w:szCs w:val="18"/>
              </w:rPr>
              <w:t>— </w:t>
            </w:r>
          </w:p>
        </w:tc>
        <w:tc>
          <w:tcPr>
            <w:tcW w:w="0" w:type="auto"/>
            <w:shd w:val="clear" w:color="auto" w:fill="auto"/>
            <w:tcMar>
              <w:top w:w="40" w:type="dxa"/>
              <w:bottom w:w="40" w:type="dxa"/>
              <w:right w:w="20" w:type="dxa"/>
            </w:tcMar>
            <w:vAlign w:val="bottom"/>
          </w:tcPr>
          <w:p w14:paraId="36CA3419" w14:textId="77777777" w:rsidR="00787570" w:rsidRDefault="00787570">
            <w:pPr>
              <w:jc w:val="right"/>
              <w:rPr>
                <w:rFonts w:ascii="宋体"/>
              </w:rPr>
            </w:pPr>
          </w:p>
        </w:tc>
        <w:tc>
          <w:tcPr>
            <w:tcW w:w="0" w:type="auto"/>
            <w:shd w:val="clear" w:color="auto" w:fill="auto"/>
          </w:tcPr>
          <w:p w14:paraId="36CA341A" w14:textId="77777777" w:rsidR="00787570" w:rsidRDefault="00787570">
            <w:pPr>
              <w:rPr>
                <w:rFonts w:ascii="宋体"/>
              </w:rPr>
            </w:pPr>
          </w:p>
        </w:tc>
        <w:tc>
          <w:tcPr>
            <w:tcW w:w="0" w:type="auto"/>
            <w:shd w:val="clear" w:color="auto" w:fill="auto"/>
          </w:tcPr>
          <w:p w14:paraId="36CA341B" w14:textId="77777777" w:rsidR="00787570" w:rsidRDefault="00787570">
            <w:pPr>
              <w:rPr>
                <w:rFonts w:ascii="宋体"/>
              </w:rPr>
            </w:pPr>
          </w:p>
        </w:tc>
        <w:tc>
          <w:tcPr>
            <w:tcW w:w="0" w:type="auto"/>
            <w:shd w:val="clear" w:color="auto" w:fill="auto"/>
          </w:tcPr>
          <w:p w14:paraId="36CA341C" w14:textId="77777777" w:rsidR="00787570" w:rsidRDefault="00787570">
            <w:pPr>
              <w:rPr>
                <w:rFonts w:ascii="宋体"/>
              </w:rPr>
            </w:pPr>
          </w:p>
        </w:tc>
        <w:tc>
          <w:tcPr>
            <w:tcW w:w="0" w:type="auto"/>
            <w:shd w:val="clear" w:color="auto" w:fill="auto"/>
          </w:tcPr>
          <w:p w14:paraId="36CA341D" w14:textId="77777777" w:rsidR="00787570" w:rsidRDefault="00787570">
            <w:pPr>
              <w:rPr>
                <w:rFonts w:ascii="宋体"/>
              </w:rPr>
            </w:pPr>
          </w:p>
        </w:tc>
        <w:tc>
          <w:tcPr>
            <w:tcW w:w="0" w:type="auto"/>
            <w:shd w:val="clear" w:color="auto" w:fill="auto"/>
          </w:tcPr>
          <w:p w14:paraId="36CA341E" w14:textId="77777777" w:rsidR="00787570" w:rsidRDefault="00787570">
            <w:pPr>
              <w:rPr>
                <w:rFonts w:ascii="宋体"/>
              </w:rPr>
            </w:pPr>
          </w:p>
        </w:tc>
        <w:tc>
          <w:tcPr>
            <w:tcW w:w="0" w:type="auto"/>
            <w:shd w:val="clear" w:color="auto" w:fill="auto"/>
          </w:tcPr>
          <w:p w14:paraId="36CA341F" w14:textId="77777777" w:rsidR="00787570" w:rsidRDefault="00787570">
            <w:pPr>
              <w:rPr>
                <w:rFonts w:ascii="宋体"/>
              </w:rPr>
            </w:pPr>
          </w:p>
        </w:tc>
      </w:tr>
      <w:tr w:rsidR="00787570" w14:paraId="36CA3431" w14:textId="77777777">
        <w:tc>
          <w:tcPr>
            <w:tcW w:w="0" w:type="auto"/>
            <w:gridSpan w:val="3"/>
            <w:shd w:val="clear" w:color="auto" w:fill="auto"/>
            <w:tcMar>
              <w:top w:w="40" w:type="dxa"/>
              <w:left w:w="135" w:type="dxa"/>
              <w:bottom w:w="40" w:type="dxa"/>
              <w:right w:w="20" w:type="dxa"/>
            </w:tcMar>
            <w:vAlign w:val="center"/>
          </w:tcPr>
          <w:p w14:paraId="36CA3421" w14:textId="77777777" w:rsidR="00787570" w:rsidRDefault="000D56E2">
            <w:pPr>
              <w:textAlignment w:val="center"/>
            </w:pPr>
            <w:r>
              <w:rPr>
                <w:rFonts w:ascii="Arial" w:eastAsia="宋体" w:hAnsi="Arial" w:cs="Arial"/>
                <w:color w:val="333333"/>
                <w:sz w:val="18"/>
                <w:szCs w:val="18"/>
              </w:rPr>
              <w:t>3.70%</w:t>
            </w:r>
            <w:r>
              <w:rPr>
                <w:rFonts w:ascii="Arial" w:eastAsia="宋体" w:hAnsi="Arial" w:cs="Arial"/>
                <w:color w:val="333333"/>
                <w:sz w:val="18"/>
                <w:szCs w:val="18"/>
              </w:rPr>
              <w:t>, due July 2025</w:t>
            </w:r>
          </w:p>
        </w:tc>
        <w:tc>
          <w:tcPr>
            <w:tcW w:w="0" w:type="auto"/>
            <w:gridSpan w:val="3"/>
            <w:shd w:val="clear" w:color="auto" w:fill="auto"/>
            <w:tcMar>
              <w:left w:w="20" w:type="dxa"/>
              <w:right w:w="20" w:type="dxa"/>
            </w:tcMar>
            <w:vAlign w:val="bottom"/>
          </w:tcPr>
          <w:p w14:paraId="36CA3422"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3423" w14:textId="77777777" w:rsidR="00787570" w:rsidRDefault="000D56E2">
            <w:pPr>
              <w:jc w:val="right"/>
              <w:textAlignment w:val="bottom"/>
            </w:pPr>
            <w:r>
              <w:rPr>
                <w:rFonts w:ascii="Arial" w:eastAsia="宋体" w:hAnsi="Arial" w:cs="Arial"/>
                <w:color w:val="026DCE"/>
                <w:sz w:val="18"/>
                <w:szCs w:val="18"/>
              </w:rPr>
              <w:t>3.15 </w:t>
            </w:r>
          </w:p>
        </w:tc>
        <w:tc>
          <w:tcPr>
            <w:tcW w:w="0" w:type="auto"/>
            <w:shd w:val="clear" w:color="auto" w:fill="auto"/>
            <w:tcMar>
              <w:top w:w="40" w:type="dxa"/>
              <w:bottom w:w="40" w:type="dxa"/>
              <w:right w:w="20" w:type="dxa"/>
            </w:tcMar>
            <w:vAlign w:val="bottom"/>
          </w:tcPr>
          <w:p w14:paraId="36CA3424" w14:textId="77777777" w:rsidR="00787570" w:rsidRDefault="000D56E2">
            <w:pPr>
              <w:jc w:val="right"/>
              <w:textAlignment w:val="bottom"/>
            </w:pPr>
            <w:r>
              <w:rPr>
                <w:rFonts w:ascii="Arial" w:eastAsia="宋体" w:hAnsi="Arial" w:cs="Arial"/>
                <w:color w:val="026DCE"/>
                <w:sz w:val="18"/>
                <w:szCs w:val="18"/>
              </w:rPr>
              <w:t>%</w:t>
            </w:r>
          </w:p>
        </w:tc>
        <w:tc>
          <w:tcPr>
            <w:tcW w:w="0" w:type="auto"/>
            <w:gridSpan w:val="3"/>
            <w:shd w:val="clear" w:color="auto" w:fill="auto"/>
            <w:tcMar>
              <w:left w:w="20" w:type="dxa"/>
              <w:right w:w="20" w:type="dxa"/>
            </w:tcMar>
            <w:vAlign w:val="bottom"/>
          </w:tcPr>
          <w:p w14:paraId="36CA3425"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3426" w14:textId="77777777" w:rsidR="00787570" w:rsidRDefault="000D56E2">
            <w:pPr>
              <w:jc w:val="right"/>
              <w:textAlignment w:val="bottom"/>
            </w:pPr>
            <w:r>
              <w:rPr>
                <w:rFonts w:ascii="Arial" w:eastAsia="宋体" w:hAnsi="Arial" w:cs="Arial"/>
                <w:color w:val="026DCE"/>
                <w:sz w:val="18"/>
                <w:szCs w:val="18"/>
              </w:rPr>
              <w:t>2,250 </w:t>
            </w:r>
          </w:p>
        </w:tc>
        <w:tc>
          <w:tcPr>
            <w:tcW w:w="0" w:type="auto"/>
            <w:shd w:val="clear" w:color="auto" w:fill="auto"/>
            <w:tcMar>
              <w:top w:w="40" w:type="dxa"/>
              <w:bottom w:w="40" w:type="dxa"/>
              <w:right w:w="20" w:type="dxa"/>
            </w:tcMar>
            <w:vAlign w:val="bottom"/>
          </w:tcPr>
          <w:p w14:paraId="36CA3427"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3428"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3429" w14:textId="77777777" w:rsidR="00787570" w:rsidRDefault="000D56E2">
            <w:pPr>
              <w:jc w:val="right"/>
              <w:textAlignment w:val="bottom"/>
            </w:pPr>
            <w:r>
              <w:rPr>
                <w:rFonts w:ascii="Arial" w:eastAsia="宋体" w:hAnsi="Arial" w:cs="Arial"/>
                <w:color w:val="333333"/>
                <w:sz w:val="18"/>
                <w:szCs w:val="18"/>
              </w:rPr>
              <w:t>2,250 </w:t>
            </w:r>
          </w:p>
        </w:tc>
        <w:tc>
          <w:tcPr>
            <w:tcW w:w="0" w:type="auto"/>
            <w:shd w:val="clear" w:color="auto" w:fill="auto"/>
            <w:tcMar>
              <w:top w:w="40" w:type="dxa"/>
              <w:bottom w:w="40" w:type="dxa"/>
              <w:right w:w="20" w:type="dxa"/>
            </w:tcMar>
            <w:vAlign w:val="bottom"/>
          </w:tcPr>
          <w:p w14:paraId="36CA342A" w14:textId="77777777" w:rsidR="00787570" w:rsidRDefault="00787570">
            <w:pPr>
              <w:jc w:val="right"/>
              <w:rPr>
                <w:rFonts w:ascii="宋体"/>
              </w:rPr>
            </w:pPr>
          </w:p>
        </w:tc>
        <w:tc>
          <w:tcPr>
            <w:tcW w:w="0" w:type="auto"/>
            <w:shd w:val="clear" w:color="auto" w:fill="auto"/>
          </w:tcPr>
          <w:p w14:paraId="36CA342B" w14:textId="77777777" w:rsidR="00787570" w:rsidRDefault="00787570">
            <w:pPr>
              <w:rPr>
                <w:rFonts w:ascii="宋体"/>
              </w:rPr>
            </w:pPr>
          </w:p>
        </w:tc>
        <w:tc>
          <w:tcPr>
            <w:tcW w:w="0" w:type="auto"/>
            <w:shd w:val="clear" w:color="auto" w:fill="auto"/>
          </w:tcPr>
          <w:p w14:paraId="36CA342C" w14:textId="77777777" w:rsidR="00787570" w:rsidRDefault="00787570">
            <w:pPr>
              <w:rPr>
                <w:rFonts w:ascii="宋体"/>
              </w:rPr>
            </w:pPr>
          </w:p>
        </w:tc>
        <w:tc>
          <w:tcPr>
            <w:tcW w:w="0" w:type="auto"/>
            <w:shd w:val="clear" w:color="auto" w:fill="auto"/>
          </w:tcPr>
          <w:p w14:paraId="36CA342D" w14:textId="77777777" w:rsidR="00787570" w:rsidRDefault="00787570">
            <w:pPr>
              <w:rPr>
                <w:rFonts w:ascii="宋体"/>
              </w:rPr>
            </w:pPr>
          </w:p>
        </w:tc>
        <w:tc>
          <w:tcPr>
            <w:tcW w:w="0" w:type="auto"/>
            <w:shd w:val="clear" w:color="auto" w:fill="auto"/>
          </w:tcPr>
          <w:p w14:paraId="36CA342E" w14:textId="77777777" w:rsidR="00787570" w:rsidRDefault="00787570">
            <w:pPr>
              <w:rPr>
                <w:rFonts w:ascii="宋体"/>
              </w:rPr>
            </w:pPr>
          </w:p>
        </w:tc>
        <w:tc>
          <w:tcPr>
            <w:tcW w:w="0" w:type="auto"/>
            <w:shd w:val="clear" w:color="auto" w:fill="auto"/>
          </w:tcPr>
          <w:p w14:paraId="36CA342F" w14:textId="77777777" w:rsidR="00787570" w:rsidRDefault="00787570">
            <w:pPr>
              <w:rPr>
                <w:rFonts w:ascii="宋体"/>
              </w:rPr>
            </w:pPr>
          </w:p>
        </w:tc>
        <w:tc>
          <w:tcPr>
            <w:tcW w:w="0" w:type="auto"/>
            <w:shd w:val="clear" w:color="auto" w:fill="auto"/>
          </w:tcPr>
          <w:p w14:paraId="36CA3430" w14:textId="77777777" w:rsidR="00787570" w:rsidRDefault="00787570">
            <w:pPr>
              <w:rPr>
                <w:rFonts w:ascii="宋体"/>
              </w:rPr>
            </w:pPr>
          </w:p>
        </w:tc>
      </w:tr>
      <w:tr w:rsidR="00787570" w14:paraId="36CA3442" w14:textId="77777777">
        <w:tc>
          <w:tcPr>
            <w:tcW w:w="0" w:type="auto"/>
            <w:gridSpan w:val="3"/>
            <w:shd w:val="clear" w:color="auto" w:fill="auto"/>
            <w:tcMar>
              <w:top w:w="40" w:type="dxa"/>
              <w:left w:w="135" w:type="dxa"/>
              <w:bottom w:w="40" w:type="dxa"/>
              <w:right w:w="20" w:type="dxa"/>
            </w:tcMar>
            <w:vAlign w:val="center"/>
          </w:tcPr>
          <w:p w14:paraId="36CA3432" w14:textId="77777777" w:rsidR="00787570" w:rsidRDefault="000D56E2">
            <w:pPr>
              <w:textAlignment w:val="center"/>
            </w:pPr>
            <w:r>
              <w:rPr>
                <w:rFonts w:ascii="Arial" w:eastAsia="宋体" w:hAnsi="Arial" w:cs="Arial"/>
                <w:color w:val="333333"/>
                <w:sz w:val="18"/>
                <w:szCs w:val="18"/>
              </w:rPr>
              <w:t>2.60%, due May 2026</w:t>
            </w:r>
          </w:p>
        </w:tc>
        <w:tc>
          <w:tcPr>
            <w:tcW w:w="0" w:type="auto"/>
            <w:gridSpan w:val="3"/>
            <w:shd w:val="clear" w:color="auto" w:fill="auto"/>
            <w:tcMar>
              <w:left w:w="20" w:type="dxa"/>
              <w:right w:w="20" w:type="dxa"/>
            </w:tcMar>
            <w:vAlign w:val="bottom"/>
          </w:tcPr>
          <w:p w14:paraId="36CA3433"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3434" w14:textId="77777777" w:rsidR="00787570" w:rsidRDefault="000D56E2">
            <w:pPr>
              <w:jc w:val="right"/>
              <w:textAlignment w:val="bottom"/>
            </w:pPr>
            <w:r>
              <w:rPr>
                <w:rFonts w:ascii="Arial" w:eastAsia="宋体" w:hAnsi="Arial" w:cs="Arial"/>
                <w:color w:val="026DCE"/>
                <w:sz w:val="18"/>
                <w:szCs w:val="18"/>
              </w:rPr>
              <w:t>1.57 </w:t>
            </w:r>
          </w:p>
        </w:tc>
        <w:tc>
          <w:tcPr>
            <w:tcW w:w="0" w:type="auto"/>
            <w:shd w:val="clear" w:color="auto" w:fill="auto"/>
            <w:tcMar>
              <w:top w:w="40" w:type="dxa"/>
              <w:bottom w:w="40" w:type="dxa"/>
              <w:right w:w="20" w:type="dxa"/>
            </w:tcMar>
            <w:vAlign w:val="bottom"/>
          </w:tcPr>
          <w:p w14:paraId="36CA3435" w14:textId="77777777" w:rsidR="00787570" w:rsidRDefault="000D56E2">
            <w:pPr>
              <w:jc w:val="right"/>
              <w:textAlignment w:val="bottom"/>
            </w:pPr>
            <w:r>
              <w:rPr>
                <w:rFonts w:ascii="Arial" w:eastAsia="宋体" w:hAnsi="Arial" w:cs="Arial"/>
                <w:color w:val="026DCE"/>
                <w:sz w:val="18"/>
                <w:szCs w:val="18"/>
              </w:rPr>
              <w:t>%</w:t>
            </w:r>
          </w:p>
        </w:tc>
        <w:tc>
          <w:tcPr>
            <w:tcW w:w="0" w:type="auto"/>
            <w:gridSpan w:val="3"/>
            <w:shd w:val="clear" w:color="auto" w:fill="auto"/>
            <w:tcMar>
              <w:left w:w="20" w:type="dxa"/>
              <w:right w:w="20" w:type="dxa"/>
            </w:tcMar>
            <w:vAlign w:val="bottom"/>
          </w:tcPr>
          <w:p w14:paraId="36CA3436"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3437" w14:textId="77777777" w:rsidR="00787570" w:rsidRDefault="000D56E2">
            <w:pPr>
              <w:jc w:val="right"/>
              <w:textAlignment w:val="bottom"/>
            </w:pPr>
            <w:r>
              <w:rPr>
                <w:rFonts w:ascii="Arial" w:eastAsia="宋体" w:hAnsi="Arial" w:cs="Arial"/>
                <w:color w:val="026DCE"/>
                <w:sz w:val="18"/>
                <w:szCs w:val="18"/>
              </w:rPr>
              <w:t>1,000 </w:t>
            </w:r>
          </w:p>
        </w:tc>
        <w:tc>
          <w:tcPr>
            <w:tcW w:w="0" w:type="auto"/>
            <w:shd w:val="clear" w:color="auto" w:fill="auto"/>
            <w:tcMar>
              <w:top w:w="40" w:type="dxa"/>
              <w:bottom w:w="40" w:type="dxa"/>
              <w:right w:w="20" w:type="dxa"/>
            </w:tcMar>
            <w:vAlign w:val="bottom"/>
          </w:tcPr>
          <w:p w14:paraId="36CA3438"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3439"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343A" w14:textId="77777777" w:rsidR="00787570" w:rsidRDefault="000D56E2">
            <w:pPr>
              <w:jc w:val="right"/>
              <w:textAlignment w:val="bottom"/>
            </w:pPr>
            <w:r>
              <w:rPr>
                <w:rFonts w:ascii="Arial" w:eastAsia="宋体" w:hAnsi="Arial" w:cs="Arial"/>
                <w:color w:val="333333"/>
                <w:sz w:val="18"/>
                <w:szCs w:val="18"/>
              </w:rPr>
              <w:t>1,000 </w:t>
            </w:r>
          </w:p>
        </w:tc>
        <w:tc>
          <w:tcPr>
            <w:tcW w:w="0" w:type="auto"/>
            <w:shd w:val="clear" w:color="auto" w:fill="auto"/>
            <w:tcMar>
              <w:top w:w="40" w:type="dxa"/>
              <w:bottom w:w="40" w:type="dxa"/>
              <w:right w:w="20" w:type="dxa"/>
            </w:tcMar>
            <w:vAlign w:val="bottom"/>
          </w:tcPr>
          <w:p w14:paraId="36CA343B" w14:textId="77777777" w:rsidR="00787570" w:rsidRDefault="00787570">
            <w:pPr>
              <w:jc w:val="right"/>
              <w:rPr>
                <w:rFonts w:ascii="宋体"/>
              </w:rPr>
            </w:pPr>
          </w:p>
        </w:tc>
        <w:tc>
          <w:tcPr>
            <w:tcW w:w="0" w:type="auto"/>
            <w:shd w:val="clear" w:color="auto" w:fill="auto"/>
          </w:tcPr>
          <w:p w14:paraId="36CA343C" w14:textId="77777777" w:rsidR="00787570" w:rsidRDefault="00787570">
            <w:pPr>
              <w:rPr>
                <w:rFonts w:ascii="宋体"/>
              </w:rPr>
            </w:pPr>
          </w:p>
        </w:tc>
        <w:tc>
          <w:tcPr>
            <w:tcW w:w="0" w:type="auto"/>
            <w:shd w:val="clear" w:color="auto" w:fill="auto"/>
          </w:tcPr>
          <w:p w14:paraId="36CA343D" w14:textId="77777777" w:rsidR="00787570" w:rsidRDefault="00787570">
            <w:pPr>
              <w:rPr>
                <w:rFonts w:ascii="宋体"/>
              </w:rPr>
            </w:pPr>
          </w:p>
        </w:tc>
        <w:tc>
          <w:tcPr>
            <w:tcW w:w="0" w:type="auto"/>
            <w:shd w:val="clear" w:color="auto" w:fill="auto"/>
          </w:tcPr>
          <w:p w14:paraId="36CA343E" w14:textId="77777777" w:rsidR="00787570" w:rsidRDefault="00787570">
            <w:pPr>
              <w:rPr>
                <w:rFonts w:ascii="宋体"/>
              </w:rPr>
            </w:pPr>
          </w:p>
        </w:tc>
        <w:tc>
          <w:tcPr>
            <w:tcW w:w="0" w:type="auto"/>
            <w:shd w:val="clear" w:color="auto" w:fill="auto"/>
          </w:tcPr>
          <w:p w14:paraId="36CA343F" w14:textId="77777777" w:rsidR="00787570" w:rsidRDefault="00787570">
            <w:pPr>
              <w:rPr>
                <w:rFonts w:ascii="宋体"/>
              </w:rPr>
            </w:pPr>
          </w:p>
        </w:tc>
        <w:tc>
          <w:tcPr>
            <w:tcW w:w="0" w:type="auto"/>
            <w:shd w:val="clear" w:color="auto" w:fill="auto"/>
          </w:tcPr>
          <w:p w14:paraId="36CA3440" w14:textId="77777777" w:rsidR="00787570" w:rsidRDefault="00787570">
            <w:pPr>
              <w:rPr>
                <w:rFonts w:ascii="宋体"/>
              </w:rPr>
            </w:pPr>
          </w:p>
        </w:tc>
        <w:tc>
          <w:tcPr>
            <w:tcW w:w="0" w:type="auto"/>
            <w:shd w:val="clear" w:color="auto" w:fill="auto"/>
          </w:tcPr>
          <w:p w14:paraId="36CA3441" w14:textId="77777777" w:rsidR="00787570" w:rsidRDefault="00787570">
            <w:pPr>
              <w:rPr>
                <w:rFonts w:ascii="宋体"/>
              </w:rPr>
            </w:pPr>
          </w:p>
        </w:tc>
      </w:tr>
      <w:tr w:rsidR="00787570" w14:paraId="36CA3453" w14:textId="77777777">
        <w:tc>
          <w:tcPr>
            <w:tcW w:w="0" w:type="auto"/>
            <w:gridSpan w:val="3"/>
            <w:shd w:val="clear" w:color="auto" w:fill="auto"/>
            <w:tcMar>
              <w:top w:w="40" w:type="dxa"/>
              <w:left w:w="135" w:type="dxa"/>
              <w:bottom w:w="40" w:type="dxa"/>
              <w:right w:w="20" w:type="dxa"/>
            </w:tcMar>
            <w:vAlign w:val="center"/>
          </w:tcPr>
          <w:p w14:paraId="36CA3443" w14:textId="77777777" w:rsidR="00787570" w:rsidRDefault="000D56E2">
            <w:pPr>
              <w:textAlignment w:val="center"/>
            </w:pPr>
            <w:r>
              <w:rPr>
                <w:rFonts w:ascii="Arial" w:eastAsia="宋体" w:hAnsi="Arial" w:cs="Arial"/>
                <w:color w:val="333333"/>
                <w:sz w:val="18"/>
                <w:szCs w:val="18"/>
              </w:rPr>
              <w:t>3.75%</w:t>
            </w:r>
            <w:r>
              <w:rPr>
                <w:rFonts w:ascii="Arial" w:eastAsia="宋体" w:hAnsi="Arial" w:cs="Arial"/>
                <w:color w:val="333333"/>
                <w:sz w:val="18"/>
                <w:szCs w:val="18"/>
              </w:rPr>
              <w:t>, due March 2027</w:t>
            </w:r>
          </w:p>
        </w:tc>
        <w:tc>
          <w:tcPr>
            <w:tcW w:w="0" w:type="auto"/>
            <w:gridSpan w:val="3"/>
            <w:shd w:val="clear" w:color="auto" w:fill="auto"/>
            <w:tcMar>
              <w:left w:w="20" w:type="dxa"/>
              <w:right w:w="20" w:type="dxa"/>
            </w:tcMar>
            <w:vAlign w:val="bottom"/>
          </w:tcPr>
          <w:p w14:paraId="36CA3444"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3445" w14:textId="77777777" w:rsidR="00787570" w:rsidRDefault="000D56E2">
            <w:pPr>
              <w:jc w:val="right"/>
              <w:textAlignment w:val="bottom"/>
            </w:pPr>
            <w:r>
              <w:rPr>
                <w:rFonts w:ascii="Arial" w:eastAsia="宋体" w:hAnsi="Arial" w:cs="Arial"/>
                <w:color w:val="026DCE"/>
                <w:sz w:val="18"/>
                <w:szCs w:val="18"/>
              </w:rPr>
              <w:t>3.80 </w:t>
            </w:r>
          </w:p>
        </w:tc>
        <w:tc>
          <w:tcPr>
            <w:tcW w:w="0" w:type="auto"/>
            <w:shd w:val="clear" w:color="auto" w:fill="auto"/>
            <w:tcMar>
              <w:top w:w="40" w:type="dxa"/>
              <w:bottom w:w="40" w:type="dxa"/>
              <w:right w:w="20" w:type="dxa"/>
            </w:tcMar>
            <w:vAlign w:val="bottom"/>
          </w:tcPr>
          <w:p w14:paraId="36CA3446" w14:textId="77777777" w:rsidR="00787570" w:rsidRDefault="000D56E2">
            <w:pPr>
              <w:jc w:val="right"/>
              <w:textAlignment w:val="bottom"/>
            </w:pPr>
            <w:r>
              <w:rPr>
                <w:rFonts w:ascii="Arial" w:eastAsia="宋体" w:hAnsi="Arial" w:cs="Arial"/>
                <w:color w:val="026DCE"/>
                <w:sz w:val="18"/>
                <w:szCs w:val="18"/>
              </w:rPr>
              <w:t>%</w:t>
            </w:r>
          </w:p>
        </w:tc>
        <w:tc>
          <w:tcPr>
            <w:tcW w:w="0" w:type="auto"/>
            <w:gridSpan w:val="3"/>
            <w:shd w:val="clear" w:color="auto" w:fill="auto"/>
            <w:tcMar>
              <w:left w:w="20" w:type="dxa"/>
              <w:right w:w="20" w:type="dxa"/>
            </w:tcMar>
            <w:vAlign w:val="bottom"/>
          </w:tcPr>
          <w:p w14:paraId="36CA3447"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3448" w14:textId="77777777" w:rsidR="00787570" w:rsidRDefault="000D56E2">
            <w:pPr>
              <w:jc w:val="right"/>
              <w:textAlignment w:val="bottom"/>
            </w:pPr>
            <w:r>
              <w:rPr>
                <w:rFonts w:ascii="Arial" w:eastAsia="宋体" w:hAnsi="Arial" w:cs="Arial"/>
                <w:color w:val="026DCE"/>
                <w:sz w:val="18"/>
                <w:szCs w:val="18"/>
              </w:rPr>
              <w:t>1,000 </w:t>
            </w:r>
          </w:p>
        </w:tc>
        <w:tc>
          <w:tcPr>
            <w:tcW w:w="0" w:type="auto"/>
            <w:shd w:val="clear" w:color="auto" w:fill="auto"/>
            <w:tcMar>
              <w:top w:w="40" w:type="dxa"/>
              <w:bottom w:w="40" w:type="dxa"/>
              <w:right w:w="20" w:type="dxa"/>
            </w:tcMar>
            <w:vAlign w:val="bottom"/>
          </w:tcPr>
          <w:p w14:paraId="36CA3449"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344A"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344B" w14:textId="77777777" w:rsidR="00787570" w:rsidRDefault="000D56E2">
            <w:pPr>
              <w:jc w:val="right"/>
              <w:textAlignment w:val="bottom"/>
            </w:pPr>
            <w:r>
              <w:rPr>
                <w:rFonts w:ascii="Arial" w:eastAsia="宋体" w:hAnsi="Arial" w:cs="Arial"/>
                <w:color w:val="333333"/>
                <w:sz w:val="18"/>
                <w:szCs w:val="18"/>
              </w:rPr>
              <w:t>— </w:t>
            </w:r>
          </w:p>
        </w:tc>
        <w:tc>
          <w:tcPr>
            <w:tcW w:w="0" w:type="auto"/>
            <w:shd w:val="clear" w:color="auto" w:fill="auto"/>
            <w:tcMar>
              <w:top w:w="40" w:type="dxa"/>
              <w:bottom w:w="40" w:type="dxa"/>
              <w:right w:w="20" w:type="dxa"/>
            </w:tcMar>
            <w:vAlign w:val="bottom"/>
          </w:tcPr>
          <w:p w14:paraId="36CA344C" w14:textId="77777777" w:rsidR="00787570" w:rsidRDefault="00787570">
            <w:pPr>
              <w:jc w:val="right"/>
              <w:rPr>
                <w:rFonts w:ascii="宋体"/>
              </w:rPr>
            </w:pPr>
          </w:p>
        </w:tc>
        <w:tc>
          <w:tcPr>
            <w:tcW w:w="0" w:type="auto"/>
            <w:shd w:val="clear" w:color="auto" w:fill="auto"/>
          </w:tcPr>
          <w:p w14:paraId="36CA344D" w14:textId="77777777" w:rsidR="00787570" w:rsidRDefault="00787570">
            <w:pPr>
              <w:rPr>
                <w:rFonts w:ascii="宋体"/>
              </w:rPr>
            </w:pPr>
          </w:p>
        </w:tc>
        <w:tc>
          <w:tcPr>
            <w:tcW w:w="0" w:type="auto"/>
            <w:shd w:val="clear" w:color="auto" w:fill="auto"/>
          </w:tcPr>
          <w:p w14:paraId="36CA344E" w14:textId="77777777" w:rsidR="00787570" w:rsidRDefault="00787570">
            <w:pPr>
              <w:rPr>
                <w:rFonts w:ascii="宋体"/>
              </w:rPr>
            </w:pPr>
          </w:p>
        </w:tc>
        <w:tc>
          <w:tcPr>
            <w:tcW w:w="0" w:type="auto"/>
            <w:shd w:val="clear" w:color="auto" w:fill="auto"/>
          </w:tcPr>
          <w:p w14:paraId="36CA344F" w14:textId="77777777" w:rsidR="00787570" w:rsidRDefault="00787570">
            <w:pPr>
              <w:rPr>
                <w:rFonts w:ascii="宋体"/>
              </w:rPr>
            </w:pPr>
          </w:p>
        </w:tc>
        <w:tc>
          <w:tcPr>
            <w:tcW w:w="0" w:type="auto"/>
            <w:shd w:val="clear" w:color="auto" w:fill="auto"/>
          </w:tcPr>
          <w:p w14:paraId="36CA3450" w14:textId="77777777" w:rsidR="00787570" w:rsidRDefault="00787570">
            <w:pPr>
              <w:rPr>
                <w:rFonts w:ascii="宋体"/>
              </w:rPr>
            </w:pPr>
          </w:p>
        </w:tc>
        <w:tc>
          <w:tcPr>
            <w:tcW w:w="0" w:type="auto"/>
            <w:shd w:val="clear" w:color="auto" w:fill="auto"/>
          </w:tcPr>
          <w:p w14:paraId="36CA3451" w14:textId="77777777" w:rsidR="00787570" w:rsidRDefault="00787570">
            <w:pPr>
              <w:rPr>
                <w:rFonts w:ascii="宋体"/>
              </w:rPr>
            </w:pPr>
          </w:p>
        </w:tc>
        <w:tc>
          <w:tcPr>
            <w:tcW w:w="0" w:type="auto"/>
            <w:shd w:val="clear" w:color="auto" w:fill="auto"/>
          </w:tcPr>
          <w:p w14:paraId="36CA3452" w14:textId="77777777" w:rsidR="00787570" w:rsidRDefault="00787570">
            <w:pPr>
              <w:rPr>
                <w:rFonts w:ascii="宋体"/>
              </w:rPr>
            </w:pPr>
          </w:p>
        </w:tc>
      </w:tr>
      <w:tr w:rsidR="00787570" w14:paraId="36CA3464" w14:textId="77777777">
        <w:tc>
          <w:tcPr>
            <w:tcW w:w="0" w:type="auto"/>
            <w:gridSpan w:val="3"/>
            <w:shd w:val="clear" w:color="auto" w:fill="auto"/>
            <w:tcMar>
              <w:top w:w="40" w:type="dxa"/>
              <w:left w:w="135" w:type="dxa"/>
              <w:bottom w:w="40" w:type="dxa"/>
              <w:right w:w="20" w:type="dxa"/>
            </w:tcMar>
            <w:vAlign w:val="center"/>
          </w:tcPr>
          <w:p w14:paraId="36CA3454" w14:textId="77777777" w:rsidR="00787570" w:rsidRDefault="000D56E2">
            <w:pPr>
              <w:textAlignment w:val="center"/>
            </w:pPr>
            <w:r>
              <w:rPr>
                <w:rFonts w:ascii="Arial" w:eastAsia="宋体" w:hAnsi="Arial" w:cs="Arial"/>
                <w:color w:val="333333"/>
                <w:sz w:val="18"/>
                <w:szCs w:val="18"/>
              </w:rPr>
              <w:t>3.15%</w:t>
            </w:r>
            <w:r>
              <w:rPr>
                <w:rFonts w:ascii="Arial" w:eastAsia="宋体" w:hAnsi="Arial" w:cs="Arial"/>
                <w:color w:val="333333"/>
                <w:sz w:val="18"/>
                <w:szCs w:val="18"/>
              </w:rPr>
              <w:t>, due May 2027</w:t>
            </w:r>
          </w:p>
        </w:tc>
        <w:tc>
          <w:tcPr>
            <w:tcW w:w="0" w:type="auto"/>
            <w:gridSpan w:val="3"/>
            <w:shd w:val="clear" w:color="auto" w:fill="auto"/>
            <w:tcMar>
              <w:left w:w="20" w:type="dxa"/>
              <w:right w:w="20" w:type="dxa"/>
            </w:tcMar>
            <w:vAlign w:val="bottom"/>
          </w:tcPr>
          <w:p w14:paraId="36CA3455"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3456" w14:textId="77777777" w:rsidR="00787570" w:rsidRDefault="000D56E2">
            <w:pPr>
              <w:jc w:val="right"/>
              <w:textAlignment w:val="bottom"/>
            </w:pPr>
            <w:r>
              <w:rPr>
                <w:rFonts w:ascii="Arial" w:eastAsia="宋体" w:hAnsi="Arial" w:cs="Arial"/>
                <w:color w:val="026DCE"/>
                <w:sz w:val="18"/>
                <w:szCs w:val="18"/>
              </w:rPr>
              <w:t>2.16 </w:t>
            </w:r>
          </w:p>
        </w:tc>
        <w:tc>
          <w:tcPr>
            <w:tcW w:w="0" w:type="auto"/>
            <w:shd w:val="clear" w:color="auto" w:fill="auto"/>
            <w:tcMar>
              <w:top w:w="40" w:type="dxa"/>
              <w:bottom w:w="40" w:type="dxa"/>
              <w:right w:w="20" w:type="dxa"/>
            </w:tcMar>
            <w:vAlign w:val="bottom"/>
          </w:tcPr>
          <w:p w14:paraId="36CA3457" w14:textId="77777777" w:rsidR="00787570" w:rsidRDefault="000D56E2">
            <w:pPr>
              <w:jc w:val="right"/>
              <w:textAlignment w:val="bottom"/>
            </w:pPr>
            <w:r>
              <w:rPr>
                <w:rFonts w:ascii="Arial" w:eastAsia="宋体" w:hAnsi="Arial" w:cs="Arial"/>
                <w:color w:val="026DCE"/>
                <w:sz w:val="18"/>
                <w:szCs w:val="18"/>
              </w:rPr>
              <w:t>%</w:t>
            </w:r>
          </w:p>
        </w:tc>
        <w:tc>
          <w:tcPr>
            <w:tcW w:w="0" w:type="auto"/>
            <w:gridSpan w:val="3"/>
            <w:shd w:val="clear" w:color="auto" w:fill="auto"/>
            <w:tcMar>
              <w:left w:w="20" w:type="dxa"/>
              <w:right w:w="20" w:type="dxa"/>
            </w:tcMar>
            <w:vAlign w:val="bottom"/>
          </w:tcPr>
          <w:p w14:paraId="36CA3458"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3459" w14:textId="77777777" w:rsidR="00787570" w:rsidRDefault="000D56E2">
            <w:pPr>
              <w:jc w:val="right"/>
              <w:textAlignment w:val="bottom"/>
            </w:pPr>
            <w:r>
              <w:rPr>
                <w:rFonts w:ascii="Arial" w:eastAsia="宋体" w:hAnsi="Arial" w:cs="Arial"/>
                <w:color w:val="026DCE"/>
                <w:sz w:val="18"/>
                <w:szCs w:val="18"/>
              </w:rPr>
              <w:t>1,000 </w:t>
            </w:r>
          </w:p>
        </w:tc>
        <w:tc>
          <w:tcPr>
            <w:tcW w:w="0" w:type="auto"/>
            <w:shd w:val="clear" w:color="auto" w:fill="auto"/>
            <w:tcMar>
              <w:top w:w="40" w:type="dxa"/>
              <w:bottom w:w="40" w:type="dxa"/>
              <w:right w:w="20" w:type="dxa"/>
            </w:tcMar>
            <w:vAlign w:val="bottom"/>
          </w:tcPr>
          <w:p w14:paraId="36CA345A"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345B"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345C" w14:textId="77777777" w:rsidR="00787570" w:rsidRDefault="000D56E2">
            <w:pPr>
              <w:jc w:val="right"/>
              <w:textAlignment w:val="bottom"/>
            </w:pPr>
            <w:r>
              <w:rPr>
                <w:rFonts w:ascii="Arial" w:eastAsia="宋体" w:hAnsi="Arial" w:cs="Arial"/>
                <w:color w:val="333333"/>
                <w:sz w:val="18"/>
                <w:szCs w:val="18"/>
              </w:rPr>
              <w:t>1,000 </w:t>
            </w:r>
          </w:p>
        </w:tc>
        <w:tc>
          <w:tcPr>
            <w:tcW w:w="0" w:type="auto"/>
            <w:shd w:val="clear" w:color="auto" w:fill="auto"/>
            <w:tcMar>
              <w:top w:w="40" w:type="dxa"/>
              <w:bottom w:w="40" w:type="dxa"/>
              <w:right w:w="20" w:type="dxa"/>
            </w:tcMar>
            <w:vAlign w:val="bottom"/>
          </w:tcPr>
          <w:p w14:paraId="36CA345D" w14:textId="77777777" w:rsidR="00787570" w:rsidRDefault="00787570">
            <w:pPr>
              <w:jc w:val="right"/>
              <w:rPr>
                <w:rFonts w:ascii="宋体"/>
              </w:rPr>
            </w:pPr>
          </w:p>
        </w:tc>
        <w:tc>
          <w:tcPr>
            <w:tcW w:w="0" w:type="auto"/>
            <w:shd w:val="clear" w:color="auto" w:fill="auto"/>
          </w:tcPr>
          <w:p w14:paraId="36CA345E" w14:textId="77777777" w:rsidR="00787570" w:rsidRDefault="00787570">
            <w:pPr>
              <w:rPr>
                <w:rFonts w:ascii="宋体"/>
              </w:rPr>
            </w:pPr>
          </w:p>
        </w:tc>
        <w:tc>
          <w:tcPr>
            <w:tcW w:w="0" w:type="auto"/>
            <w:shd w:val="clear" w:color="auto" w:fill="auto"/>
          </w:tcPr>
          <w:p w14:paraId="36CA345F" w14:textId="77777777" w:rsidR="00787570" w:rsidRDefault="00787570">
            <w:pPr>
              <w:rPr>
                <w:rFonts w:ascii="宋体"/>
              </w:rPr>
            </w:pPr>
          </w:p>
        </w:tc>
        <w:tc>
          <w:tcPr>
            <w:tcW w:w="0" w:type="auto"/>
            <w:shd w:val="clear" w:color="auto" w:fill="auto"/>
          </w:tcPr>
          <w:p w14:paraId="36CA3460" w14:textId="77777777" w:rsidR="00787570" w:rsidRDefault="00787570">
            <w:pPr>
              <w:rPr>
                <w:rFonts w:ascii="宋体"/>
              </w:rPr>
            </w:pPr>
          </w:p>
        </w:tc>
        <w:tc>
          <w:tcPr>
            <w:tcW w:w="0" w:type="auto"/>
            <w:shd w:val="clear" w:color="auto" w:fill="auto"/>
          </w:tcPr>
          <w:p w14:paraId="36CA3461" w14:textId="77777777" w:rsidR="00787570" w:rsidRDefault="00787570">
            <w:pPr>
              <w:rPr>
                <w:rFonts w:ascii="宋体"/>
              </w:rPr>
            </w:pPr>
          </w:p>
        </w:tc>
        <w:tc>
          <w:tcPr>
            <w:tcW w:w="0" w:type="auto"/>
            <w:shd w:val="clear" w:color="auto" w:fill="auto"/>
          </w:tcPr>
          <w:p w14:paraId="36CA3462" w14:textId="77777777" w:rsidR="00787570" w:rsidRDefault="00787570">
            <w:pPr>
              <w:rPr>
                <w:rFonts w:ascii="宋体"/>
              </w:rPr>
            </w:pPr>
          </w:p>
        </w:tc>
        <w:tc>
          <w:tcPr>
            <w:tcW w:w="0" w:type="auto"/>
            <w:shd w:val="clear" w:color="auto" w:fill="auto"/>
          </w:tcPr>
          <w:p w14:paraId="36CA3463" w14:textId="77777777" w:rsidR="00787570" w:rsidRDefault="00787570">
            <w:pPr>
              <w:rPr>
                <w:rFonts w:ascii="宋体"/>
              </w:rPr>
            </w:pPr>
          </w:p>
        </w:tc>
      </w:tr>
      <w:tr w:rsidR="00787570" w14:paraId="36CA3475" w14:textId="77777777">
        <w:tc>
          <w:tcPr>
            <w:tcW w:w="0" w:type="auto"/>
            <w:gridSpan w:val="3"/>
            <w:shd w:val="clear" w:color="auto" w:fill="auto"/>
            <w:tcMar>
              <w:top w:w="40" w:type="dxa"/>
              <w:left w:w="135" w:type="dxa"/>
              <w:bottom w:w="40" w:type="dxa"/>
              <w:right w:w="20" w:type="dxa"/>
            </w:tcMar>
            <w:vAlign w:val="center"/>
          </w:tcPr>
          <w:p w14:paraId="36CA3465" w14:textId="77777777" w:rsidR="00787570" w:rsidRDefault="000D56E2">
            <w:pPr>
              <w:textAlignment w:val="center"/>
            </w:pPr>
            <w:r>
              <w:rPr>
                <w:rFonts w:ascii="Arial" w:eastAsia="宋体" w:hAnsi="Arial" w:cs="Arial"/>
                <w:color w:val="333333"/>
                <w:sz w:val="18"/>
                <w:szCs w:val="18"/>
              </w:rPr>
              <w:t>2.45%</w:t>
            </w:r>
            <w:r>
              <w:rPr>
                <w:rFonts w:ascii="Arial" w:eastAsia="宋体" w:hAnsi="Arial" w:cs="Arial"/>
                <w:color w:val="333333"/>
                <w:sz w:val="18"/>
                <w:szCs w:val="18"/>
              </w:rPr>
              <w:t>, due November 2029</w:t>
            </w:r>
          </w:p>
        </w:tc>
        <w:tc>
          <w:tcPr>
            <w:tcW w:w="0" w:type="auto"/>
            <w:gridSpan w:val="3"/>
            <w:shd w:val="clear" w:color="auto" w:fill="auto"/>
            <w:tcMar>
              <w:left w:w="20" w:type="dxa"/>
              <w:right w:w="20" w:type="dxa"/>
            </w:tcMar>
            <w:vAlign w:val="bottom"/>
          </w:tcPr>
          <w:p w14:paraId="36CA3466"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3467" w14:textId="77777777" w:rsidR="00787570" w:rsidRDefault="000D56E2">
            <w:pPr>
              <w:jc w:val="right"/>
              <w:textAlignment w:val="bottom"/>
            </w:pPr>
            <w:r>
              <w:rPr>
                <w:rFonts w:ascii="Arial" w:eastAsia="宋体" w:hAnsi="Arial" w:cs="Arial"/>
                <w:color w:val="026DCE"/>
                <w:sz w:val="18"/>
                <w:szCs w:val="18"/>
              </w:rPr>
              <w:t>2.39 </w:t>
            </w:r>
          </w:p>
        </w:tc>
        <w:tc>
          <w:tcPr>
            <w:tcW w:w="0" w:type="auto"/>
            <w:shd w:val="clear" w:color="auto" w:fill="auto"/>
            <w:tcMar>
              <w:top w:w="40" w:type="dxa"/>
              <w:bottom w:w="40" w:type="dxa"/>
              <w:right w:w="20" w:type="dxa"/>
            </w:tcMar>
            <w:vAlign w:val="bottom"/>
          </w:tcPr>
          <w:p w14:paraId="36CA3468" w14:textId="77777777" w:rsidR="00787570" w:rsidRDefault="000D56E2">
            <w:pPr>
              <w:jc w:val="right"/>
              <w:textAlignment w:val="bottom"/>
            </w:pPr>
            <w:r>
              <w:rPr>
                <w:rFonts w:ascii="Arial" w:eastAsia="宋体" w:hAnsi="Arial" w:cs="Arial"/>
                <w:color w:val="026DCE"/>
                <w:sz w:val="18"/>
                <w:szCs w:val="18"/>
              </w:rPr>
              <w:t>%</w:t>
            </w:r>
          </w:p>
        </w:tc>
        <w:tc>
          <w:tcPr>
            <w:tcW w:w="0" w:type="auto"/>
            <w:gridSpan w:val="3"/>
            <w:shd w:val="clear" w:color="auto" w:fill="auto"/>
            <w:tcMar>
              <w:left w:w="20" w:type="dxa"/>
              <w:right w:w="20" w:type="dxa"/>
            </w:tcMar>
            <w:vAlign w:val="bottom"/>
          </w:tcPr>
          <w:p w14:paraId="36CA3469"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346A" w14:textId="77777777" w:rsidR="00787570" w:rsidRDefault="000D56E2">
            <w:pPr>
              <w:jc w:val="right"/>
              <w:textAlignment w:val="bottom"/>
            </w:pPr>
            <w:r>
              <w:rPr>
                <w:rFonts w:ascii="Arial" w:eastAsia="宋体" w:hAnsi="Arial" w:cs="Arial"/>
                <w:color w:val="026DCE"/>
                <w:sz w:val="18"/>
                <w:szCs w:val="18"/>
              </w:rPr>
              <w:t>2,000 </w:t>
            </w:r>
          </w:p>
        </w:tc>
        <w:tc>
          <w:tcPr>
            <w:tcW w:w="0" w:type="auto"/>
            <w:shd w:val="clear" w:color="auto" w:fill="auto"/>
            <w:tcMar>
              <w:top w:w="40" w:type="dxa"/>
              <w:bottom w:w="40" w:type="dxa"/>
              <w:right w:w="20" w:type="dxa"/>
            </w:tcMar>
            <w:vAlign w:val="bottom"/>
          </w:tcPr>
          <w:p w14:paraId="36CA346B"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346C"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346D" w14:textId="77777777" w:rsidR="00787570" w:rsidRDefault="000D56E2">
            <w:pPr>
              <w:jc w:val="right"/>
              <w:textAlignment w:val="bottom"/>
            </w:pPr>
            <w:r>
              <w:rPr>
                <w:rFonts w:ascii="Arial" w:eastAsia="宋体" w:hAnsi="Arial" w:cs="Arial"/>
                <w:color w:val="333333"/>
                <w:sz w:val="18"/>
                <w:szCs w:val="18"/>
              </w:rPr>
              <w:t>1,250 </w:t>
            </w:r>
          </w:p>
        </w:tc>
        <w:tc>
          <w:tcPr>
            <w:tcW w:w="0" w:type="auto"/>
            <w:shd w:val="clear" w:color="auto" w:fill="auto"/>
            <w:tcMar>
              <w:top w:w="40" w:type="dxa"/>
              <w:bottom w:w="40" w:type="dxa"/>
              <w:right w:w="20" w:type="dxa"/>
            </w:tcMar>
            <w:vAlign w:val="bottom"/>
          </w:tcPr>
          <w:p w14:paraId="36CA346E" w14:textId="77777777" w:rsidR="00787570" w:rsidRDefault="00787570">
            <w:pPr>
              <w:jc w:val="right"/>
              <w:rPr>
                <w:rFonts w:ascii="宋体"/>
              </w:rPr>
            </w:pPr>
          </w:p>
        </w:tc>
        <w:tc>
          <w:tcPr>
            <w:tcW w:w="0" w:type="auto"/>
            <w:shd w:val="clear" w:color="auto" w:fill="auto"/>
          </w:tcPr>
          <w:p w14:paraId="36CA346F" w14:textId="77777777" w:rsidR="00787570" w:rsidRDefault="00787570">
            <w:pPr>
              <w:rPr>
                <w:rFonts w:ascii="宋体"/>
              </w:rPr>
            </w:pPr>
          </w:p>
        </w:tc>
        <w:tc>
          <w:tcPr>
            <w:tcW w:w="0" w:type="auto"/>
            <w:shd w:val="clear" w:color="auto" w:fill="auto"/>
          </w:tcPr>
          <w:p w14:paraId="36CA3470" w14:textId="77777777" w:rsidR="00787570" w:rsidRDefault="00787570">
            <w:pPr>
              <w:rPr>
                <w:rFonts w:ascii="宋体"/>
              </w:rPr>
            </w:pPr>
          </w:p>
        </w:tc>
        <w:tc>
          <w:tcPr>
            <w:tcW w:w="0" w:type="auto"/>
            <w:shd w:val="clear" w:color="auto" w:fill="auto"/>
          </w:tcPr>
          <w:p w14:paraId="36CA3471" w14:textId="77777777" w:rsidR="00787570" w:rsidRDefault="00787570">
            <w:pPr>
              <w:rPr>
                <w:rFonts w:ascii="宋体"/>
              </w:rPr>
            </w:pPr>
          </w:p>
        </w:tc>
        <w:tc>
          <w:tcPr>
            <w:tcW w:w="0" w:type="auto"/>
            <w:shd w:val="clear" w:color="auto" w:fill="auto"/>
          </w:tcPr>
          <w:p w14:paraId="36CA3472" w14:textId="77777777" w:rsidR="00787570" w:rsidRDefault="00787570">
            <w:pPr>
              <w:rPr>
                <w:rFonts w:ascii="宋体"/>
              </w:rPr>
            </w:pPr>
          </w:p>
        </w:tc>
        <w:tc>
          <w:tcPr>
            <w:tcW w:w="0" w:type="auto"/>
            <w:shd w:val="clear" w:color="auto" w:fill="auto"/>
          </w:tcPr>
          <w:p w14:paraId="36CA3473" w14:textId="77777777" w:rsidR="00787570" w:rsidRDefault="00787570">
            <w:pPr>
              <w:rPr>
                <w:rFonts w:ascii="宋体"/>
              </w:rPr>
            </w:pPr>
          </w:p>
        </w:tc>
        <w:tc>
          <w:tcPr>
            <w:tcW w:w="0" w:type="auto"/>
            <w:shd w:val="clear" w:color="auto" w:fill="auto"/>
          </w:tcPr>
          <w:p w14:paraId="36CA3474" w14:textId="77777777" w:rsidR="00787570" w:rsidRDefault="00787570">
            <w:pPr>
              <w:rPr>
                <w:rFonts w:ascii="宋体"/>
              </w:rPr>
            </w:pPr>
          </w:p>
        </w:tc>
      </w:tr>
      <w:tr w:rsidR="00787570" w14:paraId="36CA3486" w14:textId="77777777">
        <w:tc>
          <w:tcPr>
            <w:tcW w:w="0" w:type="auto"/>
            <w:gridSpan w:val="3"/>
            <w:shd w:val="clear" w:color="auto" w:fill="auto"/>
            <w:tcMar>
              <w:top w:w="40" w:type="dxa"/>
              <w:left w:w="135" w:type="dxa"/>
              <w:bottom w:w="40" w:type="dxa"/>
              <w:right w:w="20" w:type="dxa"/>
            </w:tcMar>
            <w:vAlign w:val="center"/>
          </w:tcPr>
          <w:p w14:paraId="36CA3476" w14:textId="77777777" w:rsidR="00787570" w:rsidRDefault="000D56E2">
            <w:pPr>
              <w:textAlignment w:val="center"/>
            </w:pPr>
            <w:r>
              <w:rPr>
                <w:rFonts w:ascii="Arial" w:eastAsia="宋体" w:hAnsi="Arial" w:cs="Arial"/>
                <w:color w:val="333333"/>
                <w:sz w:val="18"/>
                <w:szCs w:val="18"/>
              </w:rPr>
              <w:t>3.90%, due March 2030</w:t>
            </w:r>
          </w:p>
        </w:tc>
        <w:tc>
          <w:tcPr>
            <w:tcW w:w="0" w:type="auto"/>
            <w:gridSpan w:val="3"/>
            <w:shd w:val="clear" w:color="auto" w:fill="auto"/>
            <w:tcMar>
              <w:left w:w="20" w:type="dxa"/>
              <w:right w:w="20" w:type="dxa"/>
            </w:tcMar>
            <w:vAlign w:val="bottom"/>
          </w:tcPr>
          <w:p w14:paraId="36CA3477"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3478" w14:textId="77777777" w:rsidR="00787570" w:rsidRDefault="000D56E2">
            <w:pPr>
              <w:jc w:val="right"/>
              <w:textAlignment w:val="bottom"/>
            </w:pPr>
            <w:r>
              <w:rPr>
                <w:rFonts w:ascii="Arial" w:eastAsia="宋体" w:hAnsi="Arial" w:cs="Arial"/>
                <w:color w:val="026DCE"/>
                <w:sz w:val="18"/>
                <w:szCs w:val="18"/>
              </w:rPr>
              <w:t>3.94 </w:t>
            </w:r>
          </w:p>
        </w:tc>
        <w:tc>
          <w:tcPr>
            <w:tcW w:w="0" w:type="auto"/>
            <w:shd w:val="clear" w:color="auto" w:fill="auto"/>
            <w:tcMar>
              <w:top w:w="40" w:type="dxa"/>
              <w:bottom w:w="40" w:type="dxa"/>
              <w:right w:w="20" w:type="dxa"/>
            </w:tcMar>
            <w:vAlign w:val="bottom"/>
          </w:tcPr>
          <w:p w14:paraId="36CA3479" w14:textId="77777777" w:rsidR="00787570" w:rsidRDefault="000D56E2">
            <w:pPr>
              <w:jc w:val="right"/>
              <w:textAlignment w:val="bottom"/>
            </w:pPr>
            <w:r>
              <w:rPr>
                <w:rFonts w:ascii="Arial" w:eastAsia="宋体" w:hAnsi="Arial" w:cs="Arial"/>
                <w:color w:val="026DCE"/>
                <w:sz w:val="18"/>
                <w:szCs w:val="18"/>
              </w:rPr>
              <w:t>%</w:t>
            </w:r>
          </w:p>
        </w:tc>
        <w:tc>
          <w:tcPr>
            <w:tcW w:w="0" w:type="auto"/>
            <w:gridSpan w:val="3"/>
            <w:shd w:val="clear" w:color="auto" w:fill="auto"/>
            <w:tcMar>
              <w:left w:w="20" w:type="dxa"/>
              <w:right w:w="20" w:type="dxa"/>
            </w:tcMar>
            <w:vAlign w:val="bottom"/>
          </w:tcPr>
          <w:p w14:paraId="36CA347A"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347B" w14:textId="77777777" w:rsidR="00787570" w:rsidRDefault="000D56E2">
            <w:pPr>
              <w:jc w:val="right"/>
              <w:textAlignment w:val="bottom"/>
            </w:pPr>
            <w:r>
              <w:rPr>
                <w:rFonts w:ascii="Arial" w:eastAsia="宋体" w:hAnsi="Arial" w:cs="Arial"/>
                <w:color w:val="026DCE"/>
                <w:sz w:val="18"/>
                <w:szCs w:val="18"/>
              </w:rPr>
              <w:t>1,500 </w:t>
            </w:r>
          </w:p>
        </w:tc>
        <w:tc>
          <w:tcPr>
            <w:tcW w:w="0" w:type="auto"/>
            <w:shd w:val="clear" w:color="auto" w:fill="auto"/>
            <w:tcMar>
              <w:top w:w="40" w:type="dxa"/>
              <w:bottom w:w="40" w:type="dxa"/>
              <w:right w:w="20" w:type="dxa"/>
            </w:tcMar>
            <w:vAlign w:val="bottom"/>
          </w:tcPr>
          <w:p w14:paraId="36CA347C"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347D"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347E" w14:textId="77777777" w:rsidR="00787570" w:rsidRDefault="000D56E2">
            <w:pPr>
              <w:jc w:val="right"/>
              <w:textAlignment w:val="bottom"/>
            </w:pPr>
            <w:r>
              <w:rPr>
                <w:rFonts w:ascii="Arial" w:eastAsia="宋体" w:hAnsi="Arial" w:cs="Arial"/>
                <w:color w:val="333333"/>
                <w:sz w:val="18"/>
                <w:szCs w:val="18"/>
              </w:rPr>
              <w:t>— </w:t>
            </w:r>
          </w:p>
        </w:tc>
        <w:tc>
          <w:tcPr>
            <w:tcW w:w="0" w:type="auto"/>
            <w:shd w:val="clear" w:color="auto" w:fill="auto"/>
            <w:tcMar>
              <w:top w:w="40" w:type="dxa"/>
              <w:bottom w:w="40" w:type="dxa"/>
              <w:right w:w="20" w:type="dxa"/>
            </w:tcMar>
            <w:vAlign w:val="bottom"/>
          </w:tcPr>
          <w:p w14:paraId="36CA347F" w14:textId="77777777" w:rsidR="00787570" w:rsidRDefault="00787570">
            <w:pPr>
              <w:jc w:val="right"/>
              <w:rPr>
                <w:rFonts w:ascii="宋体"/>
              </w:rPr>
            </w:pPr>
          </w:p>
        </w:tc>
        <w:tc>
          <w:tcPr>
            <w:tcW w:w="0" w:type="auto"/>
            <w:shd w:val="clear" w:color="auto" w:fill="auto"/>
          </w:tcPr>
          <w:p w14:paraId="36CA3480" w14:textId="77777777" w:rsidR="00787570" w:rsidRDefault="00787570">
            <w:pPr>
              <w:rPr>
                <w:rFonts w:ascii="宋体"/>
              </w:rPr>
            </w:pPr>
          </w:p>
        </w:tc>
        <w:tc>
          <w:tcPr>
            <w:tcW w:w="0" w:type="auto"/>
            <w:shd w:val="clear" w:color="auto" w:fill="auto"/>
          </w:tcPr>
          <w:p w14:paraId="36CA3481" w14:textId="77777777" w:rsidR="00787570" w:rsidRDefault="00787570">
            <w:pPr>
              <w:rPr>
                <w:rFonts w:ascii="宋体"/>
              </w:rPr>
            </w:pPr>
          </w:p>
        </w:tc>
        <w:tc>
          <w:tcPr>
            <w:tcW w:w="0" w:type="auto"/>
            <w:shd w:val="clear" w:color="auto" w:fill="auto"/>
          </w:tcPr>
          <w:p w14:paraId="36CA3482" w14:textId="77777777" w:rsidR="00787570" w:rsidRDefault="00787570">
            <w:pPr>
              <w:rPr>
                <w:rFonts w:ascii="宋体"/>
              </w:rPr>
            </w:pPr>
          </w:p>
        </w:tc>
        <w:tc>
          <w:tcPr>
            <w:tcW w:w="0" w:type="auto"/>
            <w:shd w:val="clear" w:color="auto" w:fill="auto"/>
          </w:tcPr>
          <w:p w14:paraId="36CA3483" w14:textId="77777777" w:rsidR="00787570" w:rsidRDefault="00787570">
            <w:pPr>
              <w:rPr>
                <w:rFonts w:ascii="宋体"/>
              </w:rPr>
            </w:pPr>
          </w:p>
        </w:tc>
        <w:tc>
          <w:tcPr>
            <w:tcW w:w="0" w:type="auto"/>
            <w:shd w:val="clear" w:color="auto" w:fill="auto"/>
          </w:tcPr>
          <w:p w14:paraId="36CA3484" w14:textId="77777777" w:rsidR="00787570" w:rsidRDefault="00787570">
            <w:pPr>
              <w:rPr>
                <w:rFonts w:ascii="宋体"/>
              </w:rPr>
            </w:pPr>
          </w:p>
        </w:tc>
        <w:tc>
          <w:tcPr>
            <w:tcW w:w="0" w:type="auto"/>
            <w:shd w:val="clear" w:color="auto" w:fill="auto"/>
          </w:tcPr>
          <w:p w14:paraId="36CA3485" w14:textId="77777777" w:rsidR="00787570" w:rsidRDefault="00787570">
            <w:pPr>
              <w:rPr>
                <w:rFonts w:ascii="宋体"/>
              </w:rPr>
            </w:pPr>
          </w:p>
        </w:tc>
      </w:tr>
      <w:tr w:rsidR="00787570" w14:paraId="36CA3497" w14:textId="77777777">
        <w:tc>
          <w:tcPr>
            <w:tcW w:w="0" w:type="auto"/>
            <w:gridSpan w:val="3"/>
            <w:shd w:val="clear" w:color="auto" w:fill="auto"/>
            <w:tcMar>
              <w:top w:w="40" w:type="dxa"/>
              <w:left w:w="135" w:type="dxa"/>
              <w:bottom w:w="40" w:type="dxa"/>
              <w:right w:w="20" w:type="dxa"/>
            </w:tcMar>
            <w:vAlign w:val="center"/>
          </w:tcPr>
          <w:p w14:paraId="36CA3487" w14:textId="77777777" w:rsidR="00787570" w:rsidRDefault="000D56E2">
            <w:pPr>
              <w:textAlignment w:val="center"/>
            </w:pPr>
            <w:r>
              <w:rPr>
                <w:rFonts w:ascii="Arial" w:eastAsia="宋体" w:hAnsi="Arial" w:cs="Arial"/>
                <w:color w:val="333333"/>
                <w:sz w:val="18"/>
                <w:szCs w:val="18"/>
              </w:rPr>
              <w:t>4.00%</w:t>
            </w:r>
            <w:r>
              <w:rPr>
                <w:rFonts w:ascii="Arial" w:eastAsia="宋体" w:hAnsi="Arial" w:cs="Arial"/>
                <w:color w:val="333333"/>
                <w:sz w:val="18"/>
                <w:szCs w:val="18"/>
              </w:rPr>
              <w:t>, due December 2032</w:t>
            </w:r>
          </w:p>
        </w:tc>
        <w:tc>
          <w:tcPr>
            <w:tcW w:w="0" w:type="auto"/>
            <w:gridSpan w:val="3"/>
            <w:shd w:val="clear" w:color="auto" w:fill="auto"/>
            <w:tcMar>
              <w:left w:w="20" w:type="dxa"/>
              <w:right w:w="20" w:type="dxa"/>
            </w:tcMar>
            <w:vAlign w:val="bottom"/>
          </w:tcPr>
          <w:p w14:paraId="36CA3488"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3489" w14:textId="77777777" w:rsidR="00787570" w:rsidRDefault="000D56E2">
            <w:pPr>
              <w:jc w:val="right"/>
              <w:textAlignment w:val="bottom"/>
            </w:pPr>
            <w:r>
              <w:rPr>
                <w:rFonts w:ascii="Arial" w:eastAsia="宋体" w:hAnsi="Arial" w:cs="Arial"/>
                <w:color w:val="026DCE"/>
                <w:sz w:val="18"/>
                <w:szCs w:val="18"/>
              </w:rPr>
              <w:t>2.00 </w:t>
            </w:r>
          </w:p>
        </w:tc>
        <w:tc>
          <w:tcPr>
            <w:tcW w:w="0" w:type="auto"/>
            <w:shd w:val="clear" w:color="auto" w:fill="auto"/>
            <w:tcMar>
              <w:top w:w="40" w:type="dxa"/>
              <w:bottom w:w="40" w:type="dxa"/>
              <w:right w:w="20" w:type="dxa"/>
            </w:tcMar>
            <w:vAlign w:val="bottom"/>
          </w:tcPr>
          <w:p w14:paraId="36CA348A" w14:textId="77777777" w:rsidR="00787570" w:rsidRDefault="000D56E2">
            <w:pPr>
              <w:jc w:val="right"/>
              <w:textAlignment w:val="bottom"/>
            </w:pPr>
            <w:r>
              <w:rPr>
                <w:rFonts w:ascii="Arial" w:eastAsia="宋体" w:hAnsi="Arial" w:cs="Arial"/>
                <w:color w:val="026DCE"/>
                <w:sz w:val="18"/>
                <w:szCs w:val="18"/>
              </w:rPr>
              <w:t>%</w:t>
            </w:r>
          </w:p>
        </w:tc>
        <w:tc>
          <w:tcPr>
            <w:tcW w:w="0" w:type="auto"/>
            <w:gridSpan w:val="3"/>
            <w:shd w:val="clear" w:color="auto" w:fill="auto"/>
            <w:tcMar>
              <w:left w:w="20" w:type="dxa"/>
              <w:right w:w="20" w:type="dxa"/>
            </w:tcMar>
            <w:vAlign w:val="bottom"/>
          </w:tcPr>
          <w:p w14:paraId="36CA348B"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348C" w14:textId="77777777" w:rsidR="00787570" w:rsidRDefault="000D56E2">
            <w:pPr>
              <w:jc w:val="right"/>
              <w:textAlignment w:val="bottom"/>
            </w:pPr>
            <w:r>
              <w:rPr>
                <w:rFonts w:ascii="Arial" w:eastAsia="宋体" w:hAnsi="Arial" w:cs="Arial"/>
                <w:color w:val="026DCE"/>
                <w:sz w:val="18"/>
                <w:szCs w:val="18"/>
              </w:rPr>
              <w:t>750 </w:t>
            </w:r>
          </w:p>
        </w:tc>
        <w:tc>
          <w:tcPr>
            <w:tcW w:w="0" w:type="auto"/>
            <w:shd w:val="clear" w:color="auto" w:fill="auto"/>
            <w:tcMar>
              <w:top w:w="40" w:type="dxa"/>
              <w:bottom w:w="40" w:type="dxa"/>
              <w:right w:w="20" w:type="dxa"/>
            </w:tcMar>
            <w:vAlign w:val="bottom"/>
          </w:tcPr>
          <w:p w14:paraId="36CA348D"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348E"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348F" w14:textId="77777777" w:rsidR="00787570" w:rsidRDefault="000D56E2">
            <w:pPr>
              <w:jc w:val="right"/>
              <w:textAlignment w:val="bottom"/>
            </w:pPr>
            <w:r>
              <w:rPr>
                <w:rFonts w:ascii="Arial" w:eastAsia="宋体" w:hAnsi="Arial" w:cs="Arial"/>
                <w:color w:val="333333"/>
                <w:sz w:val="18"/>
                <w:szCs w:val="18"/>
              </w:rPr>
              <w:t>750 </w:t>
            </w:r>
          </w:p>
        </w:tc>
        <w:tc>
          <w:tcPr>
            <w:tcW w:w="0" w:type="auto"/>
            <w:shd w:val="clear" w:color="auto" w:fill="auto"/>
            <w:tcMar>
              <w:top w:w="40" w:type="dxa"/>
              <w:bottom w:w="40" w:type="dxa"/>
              <w:right w:w="20" w:type="dxa"/>
            </w:tcMar>
            <w:vAlign w:val="bottom"/>
          </w:tcPr>
          <w:p w14:paraId="36CA3490" w14:textId="77777777" w:rsidR="00787570" w:rsidRDefault="00787570">
            <w:pPr>
              <w:jc w:val="right"/>
              <w:rPr>
                <w:rFonts w:ascii="宋体"/>
              </w:rPr>
            </w:pPr>
          </w:p>
        </w:tc>
        <w:tc>
          <w:tcPr>
            <w:tcW w:w="0" w:type="auto"/>
            <w:shd w:val="clear" w:color="auto" w:fill="auto"/>
          </w:tcPr>
          <w:p w14:paraId="36CA3491" w14:textId="77777777" w:rsidR="00787570" w:rsidRDefault="00787570">
            <w:pPr>
              <w:rPr>
                <w:rFonts w:ascii="宋体"/>
              </w:rPr>
            </w:pPr>
          </w:p>
        </w:tc>
        <w:tc>
          <w:tcPr>
            <w:tcW w:w="0" w:type="auto"/>
            <w:shd w:val="clear" w:color="auto" w:fill="auto"/>
          </w:tcPr>
          <w:p w14:paraId="36CA3492" w14:textId="77777777" w:rsidR="00787570" w:rsidRDefault="00787570">
            <w:pPr>
              <w:rPr>
                <w:rFonts w:ascii="宋体"/>
              </w:rPr>
            </w:pPr>
          </w:p>
        </w:tc>
        <w:tc>
          <w:tcPr>
            <w:tcW w:w="0" w:type="auto"/>
            <w:shd w:val="clear" w:color="auto" w:fill="auto"/>
          </w:tcPr>
          <w:p w14:paraId="36CA3493" w14:textId="77777777" w:rsidR="00787570" w:rsidRDefault="00787570">
            <w:pPr>
              <w:rPr>
                <w:rFonts w:ascii="宋体"/>
              </w:rPr>
            </w:pPr>
          </w:p>
        </w:tc>
        <w:tc>
          <w:tcPr>
            <w:tcW w:w="0" w:type="auto"/>
            <w:shd w:val="clear" w:color="auto" w:fill="auto"/>
          </w:tcPr>
          <w:p w14:paraId="36CA3494" w14:textId="77777777" w:rsidR="00787570" w:rsidRDefault="00787570">
            <w:pPr>
              <w:rPr>
                <w:rFonts w:ascii="宋体"/>
              </w:rPr>
            </w:pPr>
          </w:p>
        </w:tc>
        <w:tc>
          <w:tcPr>
            <w:tcW w:w="0" w:type="auto"/>
            <w:shd w:val="clear" w:color="auto" w:fill="auto"/>
          </w:tcPr>
          <w:p w14:paraId="36CA3495" w14:textId="77777777" w:rsidR="00787570" w:rsidRDefault="00787570">
            <w:pPr>
              <w:rPr>
                <w:rFonts w:ascii="宋体"/>
              </w:rPr>
            </w:pPr>
          </w:p>
        </w:tc>
        <w:tc>
          <w:tcPr>
            <w:tcW w:w="0" w:type="auto"/>
            <w:shd w:val="clear" w:color="auto" w:fill="auto"/>
          </w:tcPr>
          <w:p w14:paraId="36CA3496" w14:textId="77777777" w:rsidR="00787570" w:rsidRDefault="00787570">
            <w:pPr>
              <w:rPr>
                <w:rFonts w:ascii="宋体"/>
              </w:rPr>
            </w:pPr>
          </w:p>
        </w:tc>
      </w:tr>
      <w:tr w:rsidR="00787570" w14:paraId="36CA34A8" w14:textId="77777777">
        <w:tc>
          <w:tcPr>
            <w:tcW w:w="0" w:type="auto"/>
            <w:gridSpan w:val="3"/>
            <w:shd w:val="clear" w:color="auto" w:fill="auto"/>
            <w:tcMar>
              <w:top w:w="40" w:type="dxa"/>
              <w:left w:w="135" w:type="dxa"/>
              <w:bottom w:w="40" w:type="dxa"/>
              <w:right w:w="20" w:type="dxa"/>
            </w:tcMar>
            <w:vAlign w:val="center"/>
          </w:tcPr>
          <w:p w14:paraId="36CA3498" w14:textId="77777777" w:rsidR="00787570" w:rsidRDefault="000D56E2">
            <w:pPr>
              <w:textAlignment w:val="center"/>
            </w:pPr>
            <w:r>
              <w:rPr>
                <w:rFonts w:ascii="Arial" w:eastAsia="宋体" w:hAnsi="Arial" w:cs="Arial"/>
                <w:color w:val="333333"/>
                <w:sz w:val="18"/>
                <w:szCs w:val="18"/>
              </w:rPr>
              <w:t>4.60%</w:t>
            </w:r>
            <w:r>
              <w:rPr>
                <w:rFonts w:ascii="Arial" w:eastAsia="宋体" w:hAnsi="Arial" w:cs="Arial"/>
                <w:color w:val="333333"/>
                <w:sz w:val="18"/>
                <w:szCs w:val="18"/>
              </w:rPr>
              <w:t>, due March 2040</w:t>
            </w:r>
          </w:p>
        </w:tc>
        <w:tc>
          <w:tcPr>
            <w:tcW w:w="0" w:type="auto"/>
            <w:gridSpan w:val="3"/>
            <w:shd w:val="clear" w:color="auto" w:fill="auto"/>
            <w:tcMar>
              <w:left w:w="20" w:type="dxa"/>
              <w:right w:w="20" w:type="dxa"/>
            </w:tcMar>
            <w:vAlign w:val="bottom"/>
          </w:tcPr>
          <w:p w14:paraId="36CA3499"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349A" w14:textId="77777777" w:rsidR="00787570" w:rsidRDefault="000D56E2">
            <w:pPr>
              <w:jc w:val="right"/>
              <w:textAlignment w:val="bottom"/>
            </w:pPr>
            <w:r>
              <w:rPr>
                <w:rFonts w:ascii="Arial" w:eastAsia="宋体" w:hAnsi="Arial" w:cs="Arial"/>
                <w:color w:val="026DCE"/>
                <w:sz w:val="18"/>
                <w:szCs w:val="18"/>
              </w:rPr>
              <w:t>4.62 </w:t>
            </w:r>
          </w:p>
        </w:tc>
        <w:tc>
          <w:tcPr>
            <w:tcW w:w="0" w:type="auto"/>
            <w:shd w:val="clear" w:color="auto" w:fill="auto"/>
            <w:tcMar>
              <w:top w:w="40" w:type="dxa"/>
              <w:bottom w:w="40" w:type="dxa"/>
              <w:right w:w="20" w:type="dxa"/>
            </w:tcMar>
            <w:vAlign w:val="bottom"/>
          </w:tcPr>
          <w:p w14:paraId="36CA349B" w14:textId="77777777" w:rsidR="00787570" w:rsidRDefault="000D56E2">
            <w:pPr>
              <w:jc w:val="right"/>
              <w:textAlignment w:val="bottom"/>
            </w:pPr>
            <w:r>
              <w:rPr>
                <w:rFonts w:ascii="Arial" w:eastAsia="宋体" w:hAnsi="Arial" w:cs="Arial"/>
                <w:color w:val="026DCE"/>
                <w:sz w:val="18"/>
                <w:szCs w:val="18"/>
              </w:rPr>
              <w:t>%</w:t>
            </w:r>
          </w:p>
        </w:tc>
        <w:tc>
          <w:tcPr>
            <w:tcW w:w="0" w:type="auto"/>
            <w:gridSpan w:val="3"/>
            <w:shd w:val="clear" w:color="auto" w:fill="auto"/>
            <w:tcMar>
              <w:left w:w="20" w:type="dxa"/>
              <w:right w:w="20" w:type="dxa"/>
            </w:tcMar>
            <w:vAlign w:val="bottom"/>
          </w:tcPr>
          <w:p w14:paraId="36CA349C"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349D" w14:textId="77777777" w:rsidR="00787570" w:rsidRDefault="000D56E2">
            <w:pPr>
              <w:jc w:val="right"/>
              <w:textAlignment w:val="bottom"/>
            </w:pPr>
            <w:r>
              <w:rPr>
                <w:rFonts w:ascii="Arial" w:eastAsia="宋体" w:hAnsi="Arial" w:cs="Arial"/>
                <w:color w:val="026DCE"/>
                <w:sz w:val="18"/>
                <w:szCs w:val="18"/>
              </w:rPr>
              <w:t>750 </w:t>
            </w:r>
          </w:p>
        </w:tc>
        <w:tc>
          <w:tcPr>
            <w:tcW w:w="0" w:type="auto"/>
            <w:shd w:val="clear" w:color="auto" w:fill="auto"/>
            <w:tcMar>
              <w:top w:w="40" w:type="dxa"/>
              <w:bottom w:w="40" w:type="dxa"/>
              <w:right w:w="20" w:type="dxa"/>
            </w:tcMar>
            <w:vAlign w:val="bottom"/>
          </w:tcPr>
          <w:p w14:paraId="36CA349E"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349F"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34A0" w14:textId="77777777" w:rsidR="00787570" w:rsidRDefault="000D56E2">
            <w:pPr>
              <w:jc w:val="right"/>
              <w:textAlignment w:val="bottom"/>
            </w:pPr>
            <w:r>
              <w:rPr>
                <w:rFonts w:ascii="Arial" w:eastAsia="宋体" w:hAnsi="Arial" w:cs="Arial"/>
                <w:color w:val="333333"/>
                <w:sz w:val="18"/>
                <w:szCs w:val="18"/>
              </w:rPr>
              <w:t>— </w:t>
            </w:r>
          </w:p>
        </w:tc>
        <w:tc>
          <w:tcPr>
            <w:tcW w:w="0" w:type="auto"/>
            <w:shd w:val="clear" w:color="auto" w:fill="auto"/>
            <w:tcMar>
              <w:top w:w="40" w:type="dxa"/>
              <w:bottom w:w="40" w:type="dxa"/>
              <w:right w:w="20" w:type="dxa"/>
            </w:tcMar>
            <w:vAlign w:val="bottom"/>
          </w:tcPr>
          <w:p w14:paraId="36CA34A1" w14:textId="77777777" w:rsidR="00787570" w:rsidRDefault="00787570">
            <w:pPr>
              <w:jc w:val="right"/>
              <w:rPr>
                <w:rFonts w:ascii="宋体"/>
              </w:rPr>
            </w:pPr>
          </w:p>
        </w:tc>
        <w:tc>
          <w:tcPr>
            <w:tcW w:w="0" w:type="auto"/>
            <w:shd w:val="clear" w:color="auto" w:fill="auto"/>
          </w:tcPr>
          <w:p w14:paraId="36CA34A2" w14:textId="77777777" w:rsidR="00787570" w:rsidRDefault="00787570">
            <w:pPr>
              <w:rPr>
                <w:rFonts w:ascii="宋体"/>
              </w:rPr>
            </w:pPr>
          </w:p>
        </w:tc>
        <w:tc>
          <w:tcPr>
            <w:tcW w:w="0" w:type="auto"/>
            <w:shd w:val="clear" w:color="auto" w:fill="auto"/>
          </w:tcPr>
          <w:p w14:paraId="36CA34A3" w14:textId="77777777" w:rsidR="00787570" w:rsidRDefault="00787570">
            <w:pPr>
              <w:rPr>
                <w:rFonts w:ascii="宋体"/>
              </w:rPr>
            </w:pPr>
          </w:p>
        </w:tc>
        <w:tc>
          <w:tcPr>
            <w:tcW w:w="0" w:type="auto"/>
            <w:shd w:val="clear" w:color="auto" w:fill="auto"/>
          </w:tcPr>
          <w:p w14:paraId="36CA34A4" w14:textId="77777777" w:rsidR="00787570" w:rsidRDefault="00787570">
            <w:pPr>
              <w:rPr>
                <w:rFonts w:ascii="宋体"/>
              </w:rPr>
            </w:pPr>
          </w:p>
        </w:tc>
        <w:tc>
          <w:tcPr>
            <w:tcW w:w="0" w:type="auto"/>
            <w:shd w:val="clear" w:color="auto" w:fill="auto"/>
          </w:tcPr>
          <w:p w14:paraId="36CA34A5" w14:textId="77777777" w:rsidR="00787570" w:rsidRDefault="00787570">
            <w:pPr>
              <w:rPr>
                <w:rFonts w:ascii="宋体"/>
              </w:rPr>
            </w:pPr>
          </w:p>
        </w:tc>
        <w:tc>
          <w:tcPr>
            <w:tcW w:w="0" w:type="auto"/>
            <w:shd w:val="clear" w:color="auto" w:fill="auto"/>
          </w:tcPr>
          <w:p w14:paraId="36CA34A6" w14:textId="77777777" w:rsidR="00787570" w:rsidRDefault="00787570">
            <w:pPr>
              <w:rPr>
                <w:rFonts w:ascii="宋体"/>
              </w:rPr>
            </w:pPr>
          </w:p>
        </w:tc>
        <w:tc>
          <w:tcPr>
            <w:tcW w:w="0" w:type="auto"/>
            <w:shd w:val="clear" w:color="auto" w:fill="auto"/>
          </w:tcPr>
          <w:p w14:paraId="36CA34A7" w14:textId="77777777" w:rsidR="00787570" w:rsidRDefault="00787570">
            <w:pPr>
              <w:rPr>
                <w:rFonts w:ascii="宋体"/>
              </w:rPr>
            </w:pPr>
          </w:p>
        </w:tc>
      </w:tr>
      <w:tr w:rsidR="00787570" w14:paraId="36CA34B9" w14:textId="77777777">
        <w:tc>
          <w:tcPr>
            <w:tcW w:w="0" w:type="auto"/>
            <w:gridSpan w:val="3"/>
            <w:shd w:val="clear" w:color="auto" w:fill="auto"/>
            <w:tcMar>
              <w:top w:w="40" w:type="dxa"/>
              <w:left w:w="135" w:type="dxa"/>
              <w:bottom w:w="40" w:type="dxa"/>
              <w:right w:w="20" w:type="dxa"/>
            </w:tcMar>
            <w:vAlign w:val="center"/>
          </w:tcPr>
          <w:p w14:paraId="36CA34A9" w14:textId="77777777" w:rsidR="00787570" w:rsidRDefault="000D56E2">
            <w:pPr>
              <w:textAlignment w:val="center"/>
            </w:pPr>
            <w:r>
              <w:rPr>
                <w:rFonts w:ascii="Arial" w:eastAsia="宋体" w:hAnsi="Arial" w:cs="Arial"/>
                <w:color w:val="333333"/>
                <w:sz w:val="18"/>
                <w:szCs w:val="18"/>
              </w:rPr>
              <w:t>4.80%</w:t>
            </w:r>
            <w:r>
              <w:rPr>
                <w:rFonts w:ascii="Arial" w:eastAsia="宋体" w:hAnsi="Arial" w:cs="Arial"/>
                <w:color w:val="333333"/>
                <w:sz w:val="18"/>
                <w:szCs w:val="18"/>
              </w:rPr>
              <w:t>, due October 2041</w:t>
            </w:r>
          </w:p>
        </w:tc>
        <w:tc>
          <w:tcPr>
            <w:tcW w:w="0" w:type="auto"/>
            <w:gridSpan w:val="3"/>
            <w:shd w:val="clear" w:color="auto" w:fill="auto"/>
            <w:tcMar>
              <w:left w:w="20" w:type="dxa"/>
              <w:right w:w="20" w:type="dxa"/>
            </w:tcMar>
            <w:vAlign w:val="bottom"/>
          </w:tcPr>
          <w:p w14:paraId="36CA34AA"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34AB" w14:textId="77777777" w:rsidR="00787570" w:rsidRDefault="000D56E2">
            <w:pPr>
              <w:jc w:val="right"/>
              <w:textAlignment w:val="bottom"/>
            </w:pPr>
            <w:r>
              <w:rPr>
                <w:rFonts w:ascii="Arial" w:eastAsia="宋体" w:hAnsi="Arial" w:cs="Arial"/>
                <w:color w:val="026DCE"/>
                <w:sz w:val="18"/>
                <w:szCs w:val="18"/>
              </w:rPr>
              <w:t>3.08 </w:t>
            </w:r>
          </w:p>
        </w:tc>
        <w:tc>
          <w:tcPr>
            <w:tcW w:w="0" w:type="auto"/>
            <w:shd w:val="clear" w:color="auto" w:fill="auto"/>
            <w:tcMar>
              <w:top w:w="40" w:type="dxa"/>
              <w:bottom w:w="40" w:type="dxa"/>
              <w:right w:w="20" w:type="dxa"/>
            </w:tcMar>
            <w:vAlign w:val="bottom"/>
          </w:tcPr>
          <w:p w14:paraId="36CA34AC" w14:textId="77777777" w:rsidR="00787570" w:rsidRDefault="000D56E2">
            <w:pPr>
              <w:jc w:val="right"/>
              <w:textAlignment w:val="bottom"/>
            </w:pPr>
            <w:r>
              <w:rPr>
                <w:rFonts w:ascii="Arial" w:eastAsia="宋体" w:hAnsi="Arial" w:cs="Arial"/>
                <w:color w:val="026DCE"/>
                <w:sz w:val="18"/>
                <w:szCs w:val="18"/>
              </w:rPr>
              <w:t>%</w:t>
            </w:r>
          </w:p>
        </w:tc>
        <w:tc>
          <w:tcPr>
            <w:tcW w:w="0" w:type="auto"/>
            <w:gridSpan w:val="3"/>
            <w:shd w:val="clear" w:color="auto" w:fill="auto"/>
            <w:tcMar>
              <w:left w:w="20" w:type="dxa"/>
              <w:right w:w="20" w:type="dxa"/>
            </w:tcMar>
            <w:vAlign w:val="bottom"/>
          </w:tcPr>
          <w:p w14:paraId="36CA34AD"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34AE" w14:textId="77777777" w:rsidR="00787570" w:rsidRDefault="000D56E2">
            <w:pPr>
              <w:jc w:val="right"/>
              <w:textAlignment w:val="bottom"/>
            </w:pPr>
            <w:r>
              <w:rPr>
                <w:rFonts w:ascii="Arial" w:eastAsia="宋体" w:hAnsi="Arial" w:cs="Arial"/>
                <w:color w:val="026DCE"/>
                <w:sz w:val="18"/>
                <w:szCs w:val="18"/>
              </w:rPr>
              <w:t>802 </w:t>
            </w:r>
          </w:p>
        </w:tc>
        <w:tc>
          <w:tcPr>
            <w:tcW w:w="0" w:type="auto"/>
            <w:shd w:val="clear" w:color="auto" w:fill="auto"/>
            <w:tcMar>
              <w:top w:w="40" w:type="dxa"/>
              <w:bottom w:w="40" w:type="dxa"/>
              <w:right w:w="20" w:type="dxa"/>
            </w:tcMar>
            <w:vAlign w:val="bottom"/>
          </w:tcPr>
          <w:p w14:paraId="36CA34AF"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34B0"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34B1" w14:textId="77777777" w:rsidR="00787570" w:rsidRDefault="000D56E2">
            <w:pPr>
              <w:jc w:val="right"/>
              <w:textAlignment w:val="bottom"/>
            </w:pPr>
            <w:r>
              <w:rPr>
                <w:rFonts w:ascii="Arial" w:eastAsia="宋体" w:hAnsi="Arial" w:cs="Arial"/>
                <w:color w:val="333333"/>
                <w:sz w:val="18"/>
                <w:szCs w:val="18"/>
              </w:rPr>
              <w:t>802 </w:t>
            </w:r>
          </w:p>
        </w:tc>
        <w:tc>
          <w:tcPr>
            <w:tcW w:w="0" w:type="auto"/>
            <w:shd w:val="clear" w:color="auto" w:fill="auto"/>
            <w:tcMar>
              <w:top w:w="40" w:type="dxa"/>
              <w:bottom w:w="40" w:type="dxa"/>
              <w:right w:w="20" w:type="dxa"/>
            </w:tcMar>
            <w:vAlign w:val="bottom"/>
          </w:tcPr>
          <w:p w14:paraId="36CA34B2" w14:textId="77777777" w:rsidR="00787570" w:rsidRDefault="00787570">
            <w:pPr>
              <w:jc w:val="right"/>
              <w:rPr>
                <w:rFonts w:ascii="宋体"/>
              </w:rPr>
            </w:pPr>
          </w:p>
        </w:tc>
        <w:tc>
          <w:tcPr>
            <w:tcW w:w="0" w:type="auto"/>
            <w:shd w:val="clear" w:color="auto" w:fill="auto"/>
          </w:tcPr>
          <w:p w14:paraId="36CA34B3" w14:textId="77777777" w:rsidR="00787570" w:rsidRDefault="00787570">
            <w:pPr>
              <w:rPr>
                <w:rFonts w:ascii="宋体"/>
              </w:rPr>
            </w:pPr>
          </w:p>
        </w:tc>
        <w:tc>
          <w:tcPr>
            <w:tcW w:w="0" w:type="auto"/>
            <w:shd w:val="clear" w:color="auto" w:fill="auto"/>
          </w:tcPr>
          <w:p w14:paraId="36CA34B4" w14:textId="77777777" w:rsidR="00787570" w:rsidRDefault="00787570">
            <w:pPr>
              <w:rPr>
                <w:rFonts w:ascii="宋体"/>
              </w:rPr>
            </w:pPr>
          </w:p>
        </w:tc>
        <w:tc>
          <w:tcPr>
            <w:tcW w:w="0" w:type="auto"/>
            <w:shd w:val="clear" w:color="auto" w:fill="auto"/>
          </w:tcPr>
          <w:p w14:paraId="36CA34B5" w14:textId="77777777" w:rsidR="00787570" w:rsidRDefault="00787570">
            <w:pPr>
              <w:rPr>
                <w:rFonts w:ascii="宋体"/>
              </w:rPr>
            </w:pPr>
          </w:p>
        </w:tc>
        <w:tc>
          <w:tcPr>
            <w:tcW w:w="0" w:type="auto"/>
            <w:shd w:val="clear" w:color="auto" w:fill="auto"/>
          </w:tcPr>
          <w:p w14:paraId="36CA34B6" w14:textId="77777777" w:rsidR="00787570" w:rsidRDefault="00787570">
            <w:pPr>
              <w:rPr>
                <w:rFonts w:ascii="宋体"/>
              </w:rPr>
            </w:pPr>
          </w:p>
        </w:tc>
        <w:tc>
          <w:tcPr>
            <w:tcW w:w="0" w:type="auto"/>
            <w:shd w:val="clear" w:color="auto" w:fill="auto"/>
          </w:tcPr>
          <w:p w14:paraId="36CA34B7" w14:textId="77777777" w:rsidR="00787570" w:rsidRDefault="00787570">
            <w:pPr>
              <w:rPr>
                <w:rFonts w:ascii="宋体"/>
              </w:rPr>
            </w:pPr>
          </w:p>
        </w:tc>
        <w:tc>
          <w:tcPr>
            <w:tcW w:w="0" w:type="auto"/>
            <w:shd w:val="clear" w:color="auto" w:fill="auto"/>
          </w:tcPr>
          <w:p w14:paraId="36CA34B8" w14:textId="77777777" w:rsidR="00787570" w:rsidRDefault="00787570">
            <w:pPr>
              <w:rPr>
                <w:rFonts w:ascii="宋体"/>
              </w:rPr>
            </w:pPr>
          </w:p>
        </w:tc>
      </w:tr>
      <w:tr w:rsidR="00787570" w14:paraId="36CA34CA" w14:textId="77777777">
        <w:tc>
          <w:tcPr>
            <w:tcW w:w="0" w:type="auto"/>
            <w:gridSpan w:val="3"/>
            <w:shd w:val="clear" w:color="auto" w:fill="auto"/>
            <w:tcMar>
              <w:top w:w="40" w:type="dxa"/>
              <w:left w:w="135" w:type="dxa"/>
              <w:bottom w:w="40" w:type="dxa"/>
              <w:right w:w="20" w:type="dxa"/>
            </w:tcMar>
            <w:vAlign w:val="center"/>
          </w:tcPr>
          <w:p w14:paraId="36CA34BA" w14:textId="77777777" w:rsidR="00787570" w:rsidRDefault="000D56E2">
            <w:pPr>
              <w:textAlignment w:val="center"/>
            </w:pPr>
            <w:r>
              <w:rPr>
                <w:rFonts w:ascii="Arial" w:eastAsia="宋体" w:hAnsi="Arial" w:cs="Arial"/>
                <w:color w:val="333333"/>
                <w:sz w:val="18"/>
                <w:szCs w:val="18"/>
              </w:rPr>
              <w:t>4.25%, due December 2042</w:t>
            </w:r>
          </w:p>
        </w:tc>
        <w:tc>
          <w:tcPr>
            <w:tcW w:w="0" w:type="auto"/>
            <w:gridSpan w:val="3"/>
            <w:shd w:val="clear" w:color="auto" w:fill="auto"/>
            <w:tcMar>
              <w:left w:w="20" w:type="dxa"/>
              <w:right w:w="20" w:type="dxa"/>
            </w:tcMar>
            <w:vAlign w:val="bottom"/>
          </w:tcPr>
          <w:p w14:paraId="36CA34BB"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34BC" w14:textId="77777777" w:rsidR="00787570" w:rsidRDefault="000D56E2">
            <w:pPr>
              <w:jc w:val="right"/>
              <w:textAlignment w:val="bottom"/>
            </w:pPr>
            <w:r>
              <w:rPr>
                <w:rFonts w:ascii="Arial" w:eastAsia="宋体" w:hAnsi="Arial" w:cs="Arial"/>
                <w:color w:val="026DCE"/>
                <w:sz w:val="18"/>
                <w:szCs w:val="18"/>
              </w:rPr>
              <w:t>2.18 </w:t>
            </w:r>
          </w:p>
        </w:tc>
        <w:tc>
          <w:tcPr>
            <w:tcW w:w="0" w:type="auto"/>
            <w:shd w:val="clear" w:color="auto" w:fill="auto"/>
            <w:tcMar>
              <w:top w:w="40" w:type="dxa"/>
              <w:bottom w:w="40" w:type="dxa"/>
              <w:right w:w="20" w:type="dxa"/>
            </w:tcMar>
            <w:vAlign w:val="bottom"/>
          </w:tcPr>
          <w:p w14:paraId="36CA34BD" w14:textId="77777777" w:rsidR="00787570" w:rsidRDefault="000D56E2">
            <w:pPr>
              <w:jc w:val="right"/>
              <w:textAlignment w:val="bottom"/>
            </w:pPr>
            <w:r>
              <w:rPr>
                <w:rFonts w:ascii="Arial" w:eastAsia="宋体" w:hAnsi="Arial" w:cs="Arial"/>
                <w:color w:val="026DCE"/>
                <w:sz w:val="18"/>
                <w:szCs w:val="18"/>
              </w:rPr>
              <w:t>%</w:t>
            </w:r>
          </w:p>
        </w:tc>
        <w:tc>
          <w:tcPr>
            <w:tcW w:w="0" w:type="auto"/>
            <w:gridSpan w:val="3"/>
            <w:shd w:val="clear" w:color="auto" w:fill="auto"/>
            <w:tcMar>
              <w:left w:w="20" w:type="dxa"/>
              <w:right w:w="20" w:type="dxa"/>
            </w:tcMar>
            <w:vAlign w:val="bottom"/>
          </w:tcPr>
          <w:p w14:paraId="36CA34BE"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34BF" w14:textId="77777777" w:rsidR="00787570" w:rsidRDefault="000D56E2">
            <w:pPr>
              <w:jc w:val="right"/>
              <w:textAlignment w:val="bottom"/>
            </w:pPr>
            <w:r>
              <w:rPr>
                <w:rFonts w:ascii="Arial" w:eastAsia="宋体" w:hAnsi="Arial" w:cs="Arial"/>
                <w:color w:val="026DCE"/>
                <w:sz w:val="18"/>
                <w:szCs w:val="18"/>
              </w:rPr>
              <w:t>567 </w:t>
            </w:r>
          </w:p>
        </w:tc>
        <w:tc>
          <w:tcPr>
            <w:tcW w:w="0" w:type="auto"/>
            <w:shd w:val="clear" w:color="auto" w:fill="auto"/>
            <w:tcMar>
              <w:top w:w="40" w:type="dxa"/>
              <w:bottom w:w="40" w:type="dxa"/>
              <w:right w:w="20" w:type="dxa"/>
            </w:tcMar>
            <w:vAlign w:val="bottom"/>
          </w:tcPr>
          <w:p w14:paraId="36CA34C0"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34C1"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34C2" w14:textId="77777777" w:rsidR="00787570" w:rsidRDefault="000D56E2">
            <w:pPr>
              <w:jc w:val="right"/>
              <w:textAlignment w:val="bottom"/>
            </w:pPr>
            <w:r>
              <w:rPr>
                <w:rFonts w:ascii="Arial" w:eastAsia="宋体" w:hAnsi="Arial" w:cs="Arial"/>
                <w:color w:val="333333"/>
                <w:sz w:val="18"/>
                <w:szCs w:val="18"/>
              </w:rPr>
              <w:t>567 </w:t>
            </w:r>
          </w:p>
        </w:tc>
        <w:tc>
          <w:tcPr>
            <w:tcW w:w="0" w:type="auto"/>
            <w:shd w:val="clear" w:color="auto" w:fill="auto"/>
            <w:tcMar>
              <w:top w:w="40" w:type="dxa"/>
              <w:bottom w:w="40" w:type="dxa"/>
              <w:right w:w="20" w:type="dxa"/>
            </w:tcMar>
            <w:vAlign w:val="bottom"/>
          </w:tcPr>
          <w:p w14:paraId="36CA34C3" w14:textId="77777777" w:rsidR="00787570" w:rsidRDefault="00787570">
            <w:pPr>
              <w:jc w:val="right"/>
              <w:rPr>
                <w:rFonts w:ascii="宋体"/>
              </w:rPr>
            </w:pPr>
          </w:p>
        </w:tc>
        <w:tc>
          <w:tcPr>
            <w:tcW w:w="0" w:type="auto"/>
            <w:shd w:val="clear" w:color="auto" w:fill="auto"/>
          </w:tcPr>
          <w:p w14:paraId="36CA34C4" w14:textId="77777777" w:rsidR="00787570" w:rsidRDefault="00787570">
            <w:pPr>
              <w:rPr>
                <w:rFonts w:ascii="宋体"/>
              </w:rPr>
            </w:pPr>
          </w:p>
        </w:tc>
        <w:tc>
          <w:tcPr>
            <w:tcW w:w="0" w:type="auto"/>
            <w:shd w:val="clear" w:color="auto" w:fill="auto"/>
          </w:tcPr>
          <w:p w14:paraId="36CA34C5" w14:textId="77777777" w:rsidR="00787570" w:rsidRDefault="00787570">
            <w:pPr>
              <w:rPr>
                <w:rFonts w:ascii="宋体"/>
              </w:rPr>
            </w:pPr>
          </w:p>
        </w:tc>
        <w:tc>
          <w:tcPr>
            <w:tcW w:w="0" w:type="auto"/>
            <w:shd w:val="clear" w:color="auto" w:fill="auto"/>
          </w:tcPr>
          <w:p w14:paraId="36CA34C6" w14:textId="77777777" w:rsidR="00787570" w:rsidRDefault="00787570">
            <w:pPr>
              <w:rPr>
                <w:rFonts w:ascii="宋体"/>
              </w:rPr>
            </w:pPr>
          </w:p>
        </w:tc>
        <w:tc>
          <w:tcPr>
            <w:tcW w:w="0" w:type="auto"/>
            <w:shd w:val="clear" w:color="auto" w:fill="auto"/>
          </w:tcPr>
          <w:p w14:paraId="36CA34C7" w14:textId="77777777" w:rsidR="00787570" w:rsidRDefault="00787570">
            <w:pPr>
              <w:rPr>
                <w:rFonts w:ascii="宋体"/>
              </w:rPr>
            </w:pPr>
          </w:p>
        </w:tc>
        <w:tc>
          <w:tcPr>
            <w:tcW w:w="0" w:type="auto"/>
            <w:shd w:val="clear" w:color="auto" w:fill="auto"/>
          </w:tcPr>
          <w:p w14:paraId="36CA34C8" w14:textId="77777777" w:rsidR="00787570" w:rsidRDefault="00787570">
            <w:pPr>
              <w:rPr>
                <w:rFonts w:ascii="宋体"/>
              </w:rPr>
            </w:pPr>
          </w:p>
        </w:tc>
        <w:tc>
          <w:tcPr>
            <w:tcW w:w="0" w:type="auto"/>
            <w:shd w:val="clear" w:color="auto" w:fill="auto"/>
          </w:tcPr>
          <w:p w14:paraId="36CA34C9" w14:textId="77777777" w:rsidR="00787570" w:rsidRDefault="00787570">
            <w:pPr>
              <w:rPr>
                <w:rFonts w:ascii="宋体"/>
              </w:rPr>
            </w:pPr>
          </w:p>
        </w:tc>
      </w:tr>
      <w:tr w:rsidR="00787570" w14:paraId="36CA34DB" w14:textId="77777777">
        <w:tc>
          <w:tcPr>
            <w:tcW w:w="0" w:type="auto"/>
            <w:gridSpan w:val="3"/>
            <w:shd w:val="clear" w:color="auto" w:fill="auto"/>
            <w:tcMar>
              <w:top w:w="40" w:type="dxa"/>
              <w:left w:w="135" w:type="dxa"/>
              <w:bottom w:w="40" w:type="dxa"/>
              <w:right w:w="20" w:type="dxa"/>
            </w:tcMar>
            <w:vAlign w:val="center"/>
          </w:tcPr>
          <w:p w14:paraId="36CA34CB" w14:textId="77777777" w:rsidR="00787570" w:rsidRDefault="000D56E2">
            <w:pPr>
              <w:textAlignment w:val="center"/>
            </w:pPr>
            <w:r>
              <w:rPr>
                <w:rFonts w:ascii="Arial" w:eastAsia="宋体" w:hAnsi="Arial" w:cs="Arial"/>
                <w:color w:val="333333"/>
                <w:sz w:val="18"/>
                <w:szCs w:val="18"/>
              </w:rPr>
              <w:t>4.90%</w:t>
            </w:r>
            <w:r>
              <w:rPr>
                <w:rFonts w:ascii="Arial" w:eastAsia="宋体" w:hAnsi="Arial" w:cs="Arial"/>
                <w:color w:val="333333"/>
                <w:sz w:val="18"/>
                <w:szCs w:val="18"/>
              </w:rPr>
              <w:t>, due July 2045</w:t>
            </w:r>
          </w:p>
        </w:tc>
        <w:tc>
          <w:tcPr>
            <w:tcW w:w="0" w:type="auto"/>
            <w:gridSpan w:val="3"/>
            <w:shd w:val="clear" w:color="auto" w:fill="auto"/>
            <w:tcMar>
              <w:left w:w="20" w:type="dxa"/>
              <w:right w:w="20" w:type="dxa"/>
            </w:tcMar>
            <w:vAlign w:val="bottom"/>
          </w:tcPr>
          <w:p w14:paraId="36CA34CC"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34CD" w14:textId="77777777" w:rsidR="00787570" w:rsidRDefault="000D56E2">
            <w:pPr>
              <w:jc w:val="right"/>
              <w:textAlignment w:val="bottom"/>
            </w:pPr>
            <w:r>
              <w:rPr>
                <w:rFonts w:ascii="Arial" w:eastAsia="宋体" w:hAnsi="Arial" w:cs="Arial"/>
                <w:color w:val="026DCE"/>
                <w:sz w:val="18"/>
                <w:szCs w:val="18"/>
              </w:rPr>
              <w:t>3.11 </w:t>
            </w:r>
          </w:p>
        </w:tc>
        <w:tc>
          <w:tcPr>
            <w:tcW w:w="0" w:type="auto"/>
            <w:shd w:val="clear" w:color="auto" w:fill="auto"/>
            <w:tcMar>
              <w:top w:w="40" w:type="dxa"/>
              <w:bottom w:w="40" w:type="dxa"/>
              <w:right w:w="20" w:type="dxa"/>
            </w:tcMar>
            <w:vAlign w:val="bottom"/>
          </w:tcPr>
          <w:p w14:paraId="36CA34CE" w14:textId="77777777" w:rsidR="00787570" w:rsidRDefault="000D56E2">
            <w:pPr>
              <w:jc w:val="right"/>
              <w:textAlignment w:val="bottom"/>
            </w:pPr>
            <w:r>
              <w:rPr>
                <w:rFonts w:ascii="Arial" w:eastAsia="宋体" w:hAnsi="Arial" w:cs="Arial"/>
                <w:color w:val="026DCE"/>
                <w:sz w:val="18"/>
                <w:szCs w:val="18"/>
              </w:rPr>
              <w:t>%</w:t>
            </w:r>
          </w:p>
        </w:tc>
        <w:tc>
          <w:tcPr>
            <w:tcW w:w="0" w:type="auto"/>
            <w:gridSpan w:val="3"/>
            <w:shd w:val="clear" w:color="auto" w:fill="auto"/>
            <w:tcMar>
              <w:left w:w="20" w:type="dxa"/>
              <w:right w:w="20" w:type="dxa"/>
            </w:tcMar>
            <w:vAlign w:val="bottom"/>
          </w:tcPr>
          <w:p w14:paraId="36CA34CF"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34D0" w14:textId="77777777" w:rsidR="00787570" w:rsidRDefault="000D56E2">
            <w:pPr>
              <w:jc w:val="right"/>
              <w:textAlignment w:val="bottom"/>
            </w:pPr>
            <w:r>
              <w:rPr>
                <w:rFonts w:ascii="Arial" w:eastAsia="宋体" w:hAnsi="Arial" w:cs="Arial"/>
                <w:color w:val="026DCE"/>
                <w:sz w:val="18"/>
                <w:szCs w:val="18"/>
              </w:rPr>
              <w:t>772 </w:t>
            </w:r>
          </w:p>
        </w:tc>
        <w:tc>
          <w:tcPr>
            <w:tcW w:w="0" w:type="auto"/>
            <w:shd w:val="clear" w:color="auto" w:fill="auto"/>
            <w:tcMar>
              <w:top w:w="40" w:type="dxa"/>
              <w:bottom w:w="40" w:type="dxa"/>
              <w:right w:w="20" w:type="dxa"/>
            </w:tcMar>
            <w:vAlign w:val="bottom"/>
          </w:tcPr>
          <w:p w14:paraId="36CA34D1"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34D2"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34D3" w14:textId="77777777" w:rsidR="00787570" w:rsidRDefault="000D56E2">
            <w:pPr>
              <w:jc w:val="right"/>
              <w:textAlignment w:val="bottom"/>
            </w:pPr>
            <w:r>
              <w:rPr>
                <w:rFonts w:ascii="Arial" w:eastAsia="宋体" w:hAnsi="Arial" w:cs="Arial"/>
                <w:color w:val="333333"/>
                <w:sz w:val="18"/>
                <w:szCs w:val="18"/>
              </w:rPr>
              <w:t>772 </w:t>
            </w:r>
          </w:p>
        </w:tc>
        <w:tc>
          <w:tcPr>
            <w:tcW w:w="0" w:type="auto"/>
            <w:shd w:val="clear" w:color="auto" w:fill="auto"/>
            <w:tcMar>
              <w:top w:w="40" w:type="dxa"/>
              <w:bottom w:w="40" w:type="dxa"/>
              <w:right w:w="20" w:type="dxa"/>
            </w:tcMar>
            <w:vAlign w:val="bottom"/>
          </w:tcPr>
          <w:p w14:paraId="36CA34D4" w14:textId="77777777" w:rsidR="00787570" w:rsidRDefault="00787570">
            <w:pPr>
              <w:jc w:val="right"/>
              <w:rPr>
                <w:rFonts w:ascii="宋体"/>
              </w:rPr>
            </w:pPr>
          </w:p>
        </w:tc>
        <w:tc>
          <w:tcPr>
            <w:tcW w:w="0" w:type="auto"/>
            <w:shd w:val="clear" w:color="auto" w:fill="auto"/>
          </w:tcPr>
          <w:p w14:paraId="36CA34D5" w14:textId="77777777" w:rsidR="00787570" w:rsidRDefault="00787570">
            <w:pPr>
              <w:rPr>
                <w:rFonts w:ascii="宋体"/>
              </w:rPr>
            </w:pPr>
          </w:p>
        </w:tc>
        <w:tc>
          <w:tcPr>
            <w:tcW w:w="0" w:type="auto"/>
            <w:shd w:val="clear" w:color="auto" w:fill="auto"/>
          </w:tcPr>
          <w:p w14:paraId="36CA34D6" w14:textId="77777777" w:rsidR="00787570" w:rsidRDefault="00787570">
            <w:pPr>
              <w:rPr>
                <w:rFonts w:ascii="宋体"/>
              </w:rPr>
            </w:pPr>
          </w:p>
        </w:tc>
        <w:tc>
          <w:tcPr>
            <w:tcW w:w="0" w:type="auto"/>
            <w:shd w:val="clear" w:color="auto" w:fill="auto"/>
          </w:tcPr>
          <w:p w14:paraId="36CA34D7" w14:textId="77777777" w:rsidR="00787570" w:rsidRDefault="00787570">
            <w:pPr>
              <w:rPr>
                <w:rFonts w:ascii="宋体"/>
              </w:rPr>
            </w:pPr>
          </w:p>
        </w:tc>
        <w:tc>
          <w:tcPr>
            <w:tcW w:w="0" w:type="auto"/>
            <w:shd w:val="clear" w:color="auto" w:fill="auto"/>
          </w:tcPr>
          <w:p w14:paraId="36CA34D8" w14:textId="77777777" w:rsidR="00787570" w:rsidRDefault="00787570">
            <w:pPr>
              <w:rPr>
                <w:rFonts w:ascii="宋体"/>
              </w:rPr>
            </w:pPr>
          </w:p>
        </w:tc>
        <w:tc>
          <w:tcPr>
            <w:tcW w:w="0" w:type="auto"/>
            <w:shd w:val="clear" w:color="auto" w:fill="auto"/>
          </w:tcPr>
          <w:p w14:paraId="36CA34D9" w14:textId="77777777" w:rsidR="00787570" w:rsidRDefault="00787570">
            <w:pPr>
              <w:rPr>
                <w:rFonts w:ascii="宋体"/>
              </w:rPr>
            </w:pPr>
          </w:p>
        </w:tc>
        <w:tc>
          <w:tcPr>
            <w:tcW w:w="0" w:type="auto"/>
            <w:shd w:val="clear" w:color="auto" w:fill="auto"/>
          </w:tcPr>
          <w:p w14:paraId="36CA34DA" w14:textId="77777777" w:rsidR="00787570" w:rsidRDefault="00787570">
            <w:pPr>
              <w:rPr>
                <w:rFonts w:ascii="宋体"/>
              </w:rPr>
            </w:pPr>
          </w:p>
        </w:tc>
      </w:tr>
      <w:tr w:rsidR="00787570" w14:paraId="36CA34EC" w14:textId="77777777">
        <w:tc>
          <w:tcPr>
            <w:tcW w:w="0" w:type="auto"/>
            <w:gridSpan w:val="3"/>
            <w:shd w:val="clear" w:color="auto" w:fill="auto"/>
            <w:tcMar>
              <w:top w:w="40" w:type="dxa"/>
              <w:left w:w="135" w:type="dxa"/>
              <w:bottom w:w="40" w:type="dxa"/>
              <w:right w:w="20" w:type="dxa"/>
            </w:tcMar>
            <w:vAlign w:val="center"/>
          </w:tcPr>
          <w:p w14:paraId="36CA34DC" w14:textId="77777777" w:rsidR="00787570" w:rsidRDefault="000D56E2">
            <w:pPr>
              <w:textAlignment w:val="center"/>
            </w:pPr>
            <w:r>
              <w:rPr>
                <w:rFonts w:ascii="Arial" w:eastAsia="宋体" w:hAnsi="Arial" w:cs="Arial"/>
                <w:color w:val="333333"/>
                <w:sz w:val="18"/>
                <w:szCs w:val="18"/>
              </w:rPr>
              <w:t>4.10%</w:t>
            </w:r>
            <w:r>
              <w:rPr>
                <w:rFonts w:ascii="Arial" w:eastAsia="宋体" w:hAnsi="Arial" w:cs="Arial"/>
                <w:color w:val="333333"/>
                <w:sz w:val="18"/>
                <w:szCs w:val="18"/>
              </w:rPr>
              <w:t>, due May 2046</w:t>
            </w:r>
          </w:p>
        </w:tc>
        <w:tc>
          <w:tcPr>
            <w:tcW w:w="0" w:type="auto"/>
            <w:gridSpan w:val="3"/>
            <w:shd w:val="clear" w:color="auto" w:fill="auto"/>
            <w:tcMar>
              <w:left w:w="20" w:type="dxa"/>
              <w:right w:w="20" w:type="dxa"/>
            </w:tcMar>
            <w:vAlign w:val="bottom"/>
          </w:tcPr>
          <w:p w14:paraId="36CA34DD"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34DE" w14:textId="77777777" w:rsidR="00787570" w:rsidRDefault="000D56E2">
            <w:pPr>
              <w:jc w:val="right"/>
              <w:textAlignment w:val="bottom"/>
            </w:pPr>
            <w:r>
              <w:rPr>
                <w:rFonts w:ascii="Arial" w:eastAsia="宋体" w:hAnsi="Arial" w:cs="Arial"/>
                <w:color w:val="026DCE"/>
                <w:sz w:val="18"/>
                <w:szCs w:val="18"/>
              </w:rPr>
              <w:t>2.34 </w:t>
            </w:r>
          </w:p>
        </w:tc>
        <w:tc>
          <w:tcPr>
            <w:tcW w:w="0" w:type="auto"/>
            <w:shd w:val="clear" w:color="auto" w:fill="auto"/>
            <w:tcMar>
              <w:top w:w="40" w:type="dxa"/>
              <w:bottom w:w="40" w:type="dxa"/>
              <w:right w:w="20" w:type="dxa"/>
            </w:tcMar>
            <w:vAlign w:val="bottom"/>
          </w:tcPr>
          <w:p w14:paraId="36CA34DF" w14:textId="77777777" w:rsidR="00787570" w:rsidRDefault="000D56E2">
            <w:pPr>
              <w:jc w:val="right"/>
              <w:textAlignment w:val="bottom"/>
            </w:pPr>
            <w:r>
              <w:rPr>
                <w:rFonts w:ascii="Arial" w:eastAsia="宋体" w:hAnsi="Arial" w:cs="Arial"/>
                <w:color w:val="026DCE"/>
                <w:sz w:val="18"/>
                <w:szCs w:val="18"/>
              </w:rPr>
              <w:t>%</w:t>
            </w:r>
          </w:p>
        </w:tc>
        <w:tc>
          <w:tcPr>
            <w:tcW w:w="0" w:type="auto"/>
            <w:gridSpan w:val="3"/>
            <w:shd w:val="clear" w:color="auto" w:fill="auto"/>
            <w:tcMar>
              <w:left w:w="20" w:type="dxa"/>
              <w:right w:w="20" w:type="dxa"/>
            </w:tcMar>
            <w:vAlign w:val="bottom"/>
          </w:tcPr>
          <w:p w14:paraId="36CA34E0"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34E1" w14:textId="77777777" w:rsidR="00787570" w:rsidRDefault="000D56E2">
            <w:pPr>
              <w:jc w:val="right"/>
              <w:textAlignment w:val="bottom"/>
            </w:pPr>
            <w:r>
              <w:rPr>
                <w:rFonts w:ascii="Arial" w:eastAsia="宋体" w:hAnsi="Arial" w:cs="Arial"/>
                <w:color w:val="026DCE"/>
                <w:sz w:val="18"/>
                <w:szCs w:val="18"/>
              </w:rPr>
              <w:t>1,250 </w:t>
            </w:r>
          </w:p>
        </w:tc>
        <w:tc>
          <w:tcPr>
            <w:tcW w:w="0" w:type="auto"/>
            <w:shd w:val="clear" w:color="auto" w:fill="auto"/>
            <w:tcMar>
              <w:top w:w="40" w:type="dxa"/>
              <w:bottom w:w="40" w:type="dxa"/>
              <w:right w:w="20" w:type="dxa"/>
            </w:tcMar>
            <w:vAlign w:val="bottom"/>
          </w:tcPr>
          <w:p w14:paraId="36CA34E2"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34E3"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34E4" w14:textId="77777777" w:rsidR="00787570" w:rsidRDefault="000D56E2">
            <w:pPr>
              <w:jc w:val="right"/>
              <w:textAlignment w:val="bottom"/>
            </w:pPr>
            <w:r>
              <w:rPr>
                <w:rFonts w:ascii="Arial" w:eastAsia="宋体" w:hAnsi="Arial" w:cs="Arial"/>
                <w:color w:val="333333"/>
                <w:sz w:val="18"/>
                <w:szCs w:val="18"/>
              </w:rPr>
              <w:t>1,250 </w:t>
            </w:r>
          </w:p>
        </w:tc>
        <w:tc>
          <w:tcPr>
            <w:tcW w:w="0" w:type="auto"/>
            <w:shd w:val="clear" w:color="auto" w:fill="auto"/>
            <w:tcMar>
              <w:top w:w="40" w:type="dxa"/>
              <w:bottom w:w="40" w:type="dxa"/>
              <w:right w:w="20" w:type="dxa"/>
            </w:tcMar>
            <w:vAlign w:val="bottom"/>
          </w:tcPr>
          <w:p w14:paraId="36CA34E5" w14:textId="77777777" w:rsidR="00787570" w:rsidRDefault="00787570">
            <w:pPr>
              <w:jc w:val="right"/>
              <w:rPr>
                <w:rFonts w:ascii="宋体"/>
              </w:rPr>
            </w:pPr>
          </w:p>
        </w:tc>
        <w:tc>
          <w:tcPr>
            <w:tcW w:w="0" w:type="auto"/>
            <w:shd w:val="clear" w:color="auto" w:fill="auto"/>
          </w:tcPr>
          <w:p w14:paraId="36CA34E6" w14:textId="77777777" w:rsidR="00787570" w:rsidRDefault="00787570">
            <w:pPr>
              <w:rPr>
                <w:rFonts w:ascii="宋体"/>
              </w:rPr>
            </w:pPr>
          </w:p>
        </w:tc>
        <w:tc>
          <w:tcPr>
            <w:tcW w:w="0" w:type="auto"/>
            <w:shd w:val="clear" w:color="auto" w:fill="auto"/>
          </w:tcPr>
          <w:p w14:paraId="36CA34E7" w14:textId="77777777" w:rsidR="00787570" w:rsidRDefault="00787570">
            <w:pPr>
              <w:rPr>
                <w:rFonts w:ascii="宋体"/>
              </w:rPr>
            </w:pPr>
          </w:p>
        </w:tc>
        <w:tc>
          <w:tcPr>
            <w:tcW w:w="0" w:type="auto"/>
            <w:shd w:val="clear" w:color="auto" w:fill="auto"/>
          </w:tcPr>
          <w:p w14:paraId="36CA34E8" w14:textId="77777777" w:rsidR="00787570" w:rsidRDefault="00787570">
            <w:pPr>
              <w:rPr>
                <w:rFonts w:ascii="宋体"/>
              </w:rPr>
            </w:pPr>
          </w:p>
        </w:tc>
        <w:tc>
          <w:tcPr>
            <w:tcW w:w="0" w:type="auto"/>
            <w:shd w:val="clear" w:color="auto" w:fill="auto"/>
          </w:tcPr>
          <w:p w14:paraId="36CA34E9" w14:textId="77777777" w:rsidR="00787570" w:rsidRDefault="00787570">
            <w:pPr>
              <w:rPr>
                <w:rFonts w:ascii="宋体"/>
              </w:rPr>
            </w:pPr>
          </w:p>
        </w:tc>
        <w:tc>
          <w:tcPr>
            <w:tcW w:w="0" w:type="auto"/>
            <w:shd w:val="clear" w:color="auto" w:fill="auto"/>
          </w:tcPr>
          <w:p w14:paraId="36CA34EA" w14:textId="77777777" w:rsidR="00787570" w:rsidRDefault="00787570">
            <w:pPr>
              <w:rPr>
                <w:rFonts w:ascii="宋体"/>
              </w:rPr>
            </w:pPr>
          </w:p>
        </w:tc>
        <w:tc>
          <w:tcPr>
            <w:tcW w:w="0" w:type="auto"/>
            <w:shd w:val="clear" w:color="auto" w:fill="auto"/>
          </w:tcPr>
          <w:p w14:paraId="36CA34EB" w14:textId="77777777" w:rsidR="00787570" w:rsidRDefault="00787570">
            <w:pPr>
              <w:rPr>
                <w:rFonts w:ascii="宋体"/>
              </w:rPr>
            </w:pPr>
          </w:p>
        </w:tc>
      </w:tr>
      <w:tr w:rsidR="00787570" w14:paraId="36CA34FD" w14:textId="77777777">
        <w:tc>
          <w:tcPr>
            <w:tcW w:w="0" w:type="auto"/>
            <w:gridSpan w:val="3"/>
            <w:shd w:val="clear" w:color="auto" w:fill="auto"/>
            <w:tcMar>
              <w:top w:w="40" w:type="dxa"/>
              <w:left w:w="135" w:type="dxa"/>
              <w:bottom w:w="40" w:type="dxa"/>
              <w:right w:w="20" w:type="dxa"/>
            </w:tcMar>
            <w:vAlign w:val="center"/>
          </w:tcPr>
          <w:p w14:paraId="36CA34ED" w14:textId="77777777" w:rsidR="00787570" w:rsidRDefault="000D56E2">
            <w:pPr>
              <w:textAlignment w:val="center"/>
            </w:pPr>
            <w:r>
              <w:rPr>
                <w:rFonts w:ascii="Arial" w:eastAsia="宋体" w:hAnsi="Arial" w:cs="Arial"/>
                <w:color w:val="333333"/>
                <w:sz w:val="18"/>
                <w:szCs w:val="18"/>
              </w:rPr>
              <w:t>4.10%</w:t>
            </w:r>
            <w:r>
              <w:rPr>
                <w:rFonts w:ascii="Arial" w:eastAsia="宋体" w:hAnsi="Arial" w:cs="Arial"/>
                <w:color w:val="333333"/>
                <w:sz w:val="18"/>
                <w:szCs w:val="18"/>
              </w:rPr>
              <w:t>, due May 2047</w:t>
            </w:r>
          </w:p>
        </w:tc>
        <w:tc>
          <w:tcPr>
            <w:tcW w:w="0" w:type="auto"/>
            <w:gridSpan w:val="3"/>
            <w:shd w:val="clear" w:color="auto" w:fill="auto"/>
            <w:tcMar>
              <w:left w:w="20" w:type="dxa"/>
              <w:right w:w="20" w:type="dxa"/>
            </w:tcMar>
            <w:vAlign w:val="bottom"/>
          </w:tcPr>
          <w:p w14:paraId="36CA34EE"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34EF" w14:textId="77777777" w:rsidR="00787570" w:rsidRDefault="000D56E2">
            <w:pPr>
              <w:jc w:val="right"/>
              <w:textAlignment w:val="bottom"/>
            </w:pPr>
            <w:r>
              <w:rPr>
                <w:rFonts w:ascii="Arial" w:eastAsia="宋体" w:hAnsi="Arial" w:cs="Arial"/>
                <w:color w:val="026DCE"/>
                <w:sz w:val="18"/>
                <w:szCs w:val="18"/>
              </w:rPr>
              <w:t>2.29 </w:t>
            </w:r>
          </w:p>
        </w:tc>
        <w:tc>
          <w:tcPr>
            <w:tcW w:w="0" w:type="auto"/>
            <w:shd w:val="clear" w:color="auto" w:fill="auto"/>
            <w:tcMar>
              <w:top w:w="40" w:type="dxa"/>
              <w:bottom w:w="40" w:type="dxa"/>
              <w:right w:w="20" w:type="dxa"/>
            </w:tcMar>
            <w:vAlign w:val="bottom"/>
          </w:tcPr>
          <w:p w14:paraId="36CA34F0" w14:textId="77777777" w:rsidR="00787570" w:rsidRDefault="000D56E2">
            <w:pPr>
              <w:jc w:val="right"/>
              <w:textAlignment w:val="bottom"/>
            </w:pPr>
            <w:r>
              <w:rPr>
                <w:rFonts w:ascii="Arial" w:eastAsia="宋体" w:hAnsi="Arial" w:cs="Arial"/>
                <w:color w:val="026DCE"/>
                <w:sz w:val="18"/>
                <w:szCs w:val="18"/>
              </w:rPr>
              <w:t>%</w:t>
            </w:r>
          </w:p>
        </w:tc>
        <w:tc>
          <w:tcPr>
            <w:tcW w:w="0" w:type="auto"/>
            <w:gridSpan w:val="3"/>
            <w:shd w:val="clear" w:color="auto" w:fill="auto"/>
            <w:tcMar>
              <w:left w:w="20" w:type="dxa"/>
              <w:right w:w="20" w:type="dxa"/>
            </w:tcMar>
            <w:vAlign w:val="bottom"/>
          </w:tcPr>
          <w:p w14:paraId="36CA34F1"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34F2" w14:textId="77777777" w:rsidR="00787570" w:rsidRDefault="000D56E2">
            <w:pPr>
              <w:jc w:val="right"/>
              <w:textAlignment w:val="bottom"/>
            </w:pPr>
            <w:r>
              <w:rPr>
                <w:rFonts w:ascii="Arial" w:eastAsia="宋体" w:hAnsi="Arial" w:cs="Arial"/>
                <w:color w:val="026DCE"/>
                <w:sz w:val="18"/>
                <w:szCs w:val="18"/>
              </w:rPr>
              <w:t>1,000 </w:t>
            </w:r>
          </w:p>
        </w:tc>
        <w:tc>
          <w:tcPr>
            <w:tcW w:w="0" w:type="auto"/>
            <w:shd w:val="clear" w:color="auto" w:fill="auto"/>
            <w:tcMar>
              <w:top w:w="40" w:type="dxa"/>
              <w:bottom w:w="40" w:type="dxa"/>
              <w:right w:w="20" w:type="dxa"/>
            </w:tcMar>
            <w:vAlign w:val="bottom"/>
          </w:tcPr>
          <w:p w14:paraId="36CA34F3"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34F4"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34F5" w14:textId="77777777" w:rsidR="00787570" w:rsidRDefault="000D56E2">
            <w:pPr>
              <w:jc w:val="right"/>
              <w:textAlignment w:val="bottom"/>
            </w:pPr>
            <w:r>
              <w:rPr>
                <w:rFonts w:ascii="Arial" w:eastAsia="宋体" w:hAnsi="Arial" w:cs="Arial"/>
                <w:color w:val="333333"/>
                <w:sz w:val="18"/>
                <w:szCs w:val="18"/>
              </w:rPr>
              <w:t>1,000 </w:t>
            </w:r>
          </w:p>
        </w:tc>
        <w:tc>
          <w:tcPr>
            <w:tcW w:w="0" w:type="auto"/>
            <w:shd w:val="clear" w:color="auto" w:fill="auto"/>
            <w:tcMar>
              <w:top w:w="40" w:type="dxa"/>
              <w:bottom w:w="40" w:type="dxa"/>
              <w:right w:w="20" w:type="dxa"/>
            </w:tcMar>
            <w:vAlign w:val="bottom"/>
          </w:tcPr>
          <w:p w14:paraId="36CA34F6" w14:textId="77777777" w:rsidR="00787570" w:rsidRDefault="00787570">
            <w:pPr>
              <w:jc w:val="right"/>
              <w:rPr>
                <w:rFonts w:ascii="宋体"/>
              </w:rPr>
            </w:pPr>
          </w:p>
        </w:tc>
        <w:tc>
          <w:tcPr>
            <w:tcW w:w="0" w:type="auto"/>
            <w:shd w:val="clear" w:color="auto" w:fill="auto"/>
          </w:tcPr>
          <w:p w14:paraId="36CA34F7" w14:textId="77777777" w:rsidR="00787570" w:rsidRDefault="00787570">
            <w:pPr>
              <w:rPr>
                <w:rFonts w:ascii="宋体"/>
              </w:rPr>
            </w:pPr>
          </w:p>
        </w:tc>
        <w:tc>
          <w:tcPr>
            <w:tcW w:w="0" w:type="auto"/>
            <w:shd w:val="clear" w:color="auto" w:fill="auto"/>
          </w:tcPr>
          <w:p w14:paraId="36CA34F8" w14:textId="77777777" w:rsidR="00787570" w:rsidRDefault="00787570">
            <w:pPr>
              <w:rPr>
                <w:rFonts w:ascii="宋体"/>
              </w:rPr>
            </w:pPr>
          </w:p>
        </w:tc>
        <w:tc>
          <w:tcPr>
            <w:tcW w:w="0" w:type="auto"/>
            <w:shd w:val="clear" w:color="auto" w:fill="auto"/>
          </w:tcPr>
          <w:p w14:paraId="36CA34F9" w14:textId="77777777" w:rsidR="00787570" w:rsidRDefault="00787570">
            <w:pPr>
              <w:rPr>
                <w:rFonts w:ascii="宋体"/>
              </w:rPr>
            </w:pPr>
          </w:p>
        </w:tc>
        <w:tc>
          <w:tcPr>
            <w:tcW w:w="0" w:type="auto"/>
            <w:shd w:val="clear" w:color="auto" w:fill="auto"/>
          </w:tcPr>
          <w:p w14:paraId="36CA34FA" w14:textId="77777777" w:rsidR="00787570" w:rsidRDefault="00787570">
            <w:pPr>
              <w:rPr>
                <w:rFonts w:ascii="宋体"/>
              </w:rPr>
            </w:pPr>
          </w:p>
        </w:tc>
        <w:tc>
          <w:tcPr>
            <w:tcW w:w="0" w:type="auto"/>
            <w:shd w:val="clear" w:color="auto" w:fill="auto"/>
          </w:tcPr>
          <w:p w14:paraId="36CA34FB" w14:textId="77777777" w:rsidR="00787570" w:rsidRDefault="00787570">
            <w:pPr>
              <w:rPr>
                <w:rFonts w:ascii="宋体"/>
              </w:rPr>
            </w:pPr>
          </w:p>
        </w:tc>
        <w:tc>
          <w:tcPr>
            <w:tcW w:w="0" w:type="auto"/>
            <w:shd w:val="clear" w:color="auto" w:fill="auto"/>
          </w:tcPr>
          <w:p w14:paraId="36CA34FC" w14:textId="77777777" w:rsidR="00787570" w:rsidRDefault="00787570">
            <w:pPr>
              <w:rPr>
                <w:rFonts w:ascii="宋体"/>
              </w:rPr>
            </w:pPr>
          </w:p>
        </w:tc>
      </w:tr>
      <w:tr w:rsidR="00787570" w14:paraId="36CA350E" w14:textId="77777777">
        <w:tc>
          <w:tcPr>
            <w:tcW w:w="0" w:type="auto"/>
            <w:gridSpan w:val="3"/>
            <w:shd w:val="clear" w:color="auto" w:fill="auto"/>
            <w:tcMar>
              <w:top w:w="40" w:type="dxa"/>
              <w:left w:w="135" w:type="dxa"/>
              <w:bottom w:w="40" w:type="dxa"/>
              <w:right w:w="20" w:type="dxa"/>
            </w:tcMar>
            <w:vAlign w:val="center"/>
          </w:tcPr>
          <w:p w14:paraId="36CA34FE" w14:textId="77777777" w:rsidR="00787570" w:rsidRDefault="000D56E2">
            <w:pPr>
              <w:textAlignment w:val="center"/>
            </w:pPr>
            <w:r>
              <w:rPr>
                <w:rFonts w:ascii="Arial" w:eastAsia="宋体" w:hAnsi="Arial" w:cs="Arial"/>
                <w:color w:val="333333"/>
                <w:sz w:val="18"/>
                <w:szCs w:val="18"/>
              </w:rPr>
              <w:t>4.10%</w:t>
            </w:r>
            <w:r>
              <w:rPr>
                <w:rFonts w:ascii="Arial" w:eastAsia="宋体" w:hAnsi="Arial" w:cs="Arial"/>
                <w:color w:val="333333"/>
                <w:sz w:val="18"/>
                <w:szCs w:val="18"/>
              </w:rPr>
              <w:t>, due August 2047</w:t>
            </w:r>
          </w:p>
        </w:tc>
        <w:tc>
          <w:tcPr>
            <w:tcW w:w="0" w:type="auto"/>
            <w:gridSpan w:val="3"/>
            <w:shd w:val="clear" w:color="auto" w:fill="auto"/>
            <w:tcMar>
              <w:left w:w="20" w:type="dxa"/>
              <w:right w:w="20" w:type="dxa"/>
            </w:tcMar>
            <w:vAlign w:val="bottom"/>
          </w:tcPr>
          <w:p w14:paraId="36CA34FF"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3500" w14:textId="77777777" w:rsidR="00787570" w:rsidRDefault="000D56E2">
            <w:pPr>
              <w:jc w:val="right"/>
              <w:textAlignment w:val="bottom"/>
            </w:pPr>
            <w:r>
              <w:rPr>
                <w:rFonts w:ascii="Arial" w:eastAsia="宋体" w:hAnsi="Arial" w:cs="Arial"/>
                <w:color w:val="026DCE"/>
                <w:sz w:val="18"/>
                <w:szCs w:val="18"/>
              </w:rPr>
              <w:t>1.84 </w:t>
            </w:r>
          </w:p>
        </w:tc>
        <w:tc>
          <w:tcPr>
            <w:tcW w:w="0" w:type="auto"/>
            <w:shd w:val="clear" w:color="auto" w:fill="auto"/>
            <w:tcMar>
              <w:top w:w="40" w:type="dxa"/>
              <w:bottom w:w="40" w:type="dxa"/>
              <w:right w:w="20" w:type="dxa"/>
            </w:tcMar>
            <w:vAlign w:val="bottom"/>
          </w:tcPr>
          <w:p w14:paraId="36CA3501" w14:textId="77777777" w:rsidR="00787570" w:rsidRDefault="000D56E2">
            <w:pPr>
              <w:jc w:val="right"/>
              <w:textAlignment w:val="bottom"/>
            </w:pPr>
            <w:r>
              <w:rPr>
                <w:rFonts w:ascii="Arial" w:eastAsia="宋体" w:hAnsi="Arial" w:cs="Arial"/>
                <w:color w:val="026DCE"/>
                <w:sz w:val="18"/>
                <w:szCs w:val="18"/>
              </w:rPr>
              <w:t>%</w:t>
            </w:r>
          </w:p>
        </w:tc>
        <w:tc>
          <w:tcPr>
            <w:tcW w:w="0" w:type="auto"/>
            <w:gridSpan w:val="3"/>
            <w:shd w:val="clear" w:color="auto" w:fill="auto"/>
            <w:tcMar>
              <w:left w:w="20" w:type="dxa"/>
              <w:right w:w="20" w:type="dxa"/>
            </w:tcMar>
            <w:vAlign w:val="bottom"/>
          </w:tcPr>
          <w:p w14:paraId="36CA3502"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3503" w14:textId="77777777" w:rsidR="00787570" w:rsidRDefault="000D56E2">
            <w:pPr>
              <w:jc w:val="right"/>
              <w:textAlignment w:val="bottom"/>
            </w:pPr>
            <w:r>
              <w:rPr>
                <w:rFonts w:ascii="Arial" w:eastAsia="宋体" w:hAnsi="Arial" w:cs="Arial"/>
                <w:color w:val="026DCE"/>
                <w:sz w:val="18"/>
                <w:szCs w:val="18"/>
              </w:rPr>
              <w:t>640 </w:t>
            </w:r>
          </w:p>
        </w:tc>
        <w:tc>
          <w:tcPr>
            <w:tcW w:w="0" w:type="auto"/>
            <w:shd w:val="clear" w:color="auto" w:fill="auto"/>
            <w:tcMar>
              <w:top w:w="40" w:type="dxa"/>
              <w:bottom w:w="40" w:type="dxa"/>
              <w:right w:w="20" w:type="dxa"/>
            </w:tcMar>
            <w:vAlign w:val="bottom"/>
          </w:tcPr>
          <w:p w14:paraId="36CA3504"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3505"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3506" w14:textId="77777777" w:rsidR="00787570" w:rsidRDefault="000D56E2">
            <w:pPr>
              <w:jc w:val="right"/>
              <w:textAlignment w:val="bottom"/>
            </w:pPr>
            <w:r>
              <w:rPr>
                <w:rFonts w:ascii="Arial" w:eastAsia="宋体" w:hAnsi="Arial" w:cs="Arial"/>
                <w:color w:val="333333"/>
                <w:sz w:val="18"/>
                <w:szCs w:val="18"/>
              </w:rPr>
              <w:t>640 </w:t>
            </w:r>
          </w:p>
        </w:tc>
        <w:tc>
          <w:tcPr>
            <w:tcW w:w="0" w:type="auto"/>
            <w:shd w:val="clear" w:color="auto" w:fill="auto"/>
            <w:tcMar>
              <w:top w:w="40" w:type="dxa"/>
              <w:bottom w:w="40" w:type="dxa"/>
              <w:right w:w="20" w:type="dxa"/>
            </w:tcMar>
            <w:vAlign w:val="bottom"/>
          </w:tcPr>
          <w:p w14:paraId="36CA3507" w14:textId="77777777" w:rsidR="00787570" w:rsidRDefault="00787570">
            <w:pPr>
              <w:jc w:val="right"/>
              <w:rPr>
                <w:rFonts w:ascii="宋体"/>
              </w:rPr>
            </w:pPr>
          </w:p>
        </w:tc>
        <w:tc>
          <w:tcPr>
            <w:tcW w:w="0" w:type="auto"/>
            <w:shd w:val="clear" w:color="auto" w:fill="auto"/>
          </w:tcPr>
          <w:p w14:paraId="36CA3508" w14:textId="77777777" w:rsidR="00787570" w:rsidRDefault="00787570">
            <w:pPr>
              <w:rPr>
                <w:rFonts w:ascii="宋体"/>
              </w:rPr>
            </w:pPr>
          </w:p>
        </w:tc>
        <w:tc>
          <w:tcPr>
            <w:tcW w:w="0" w:type="auto"/>
            <w:shd w:val="clear" w:color="auto" w:fill="auto"/>
          </w:tcPr>
          <w:p w14:paraId="36CA3509" w14:textId="77777777" w:rsidR="00787570" w:rsidRDefault="00787570">
            <w:pPr>
              <w:rPr>
                <w:rFonts w:ascii="宋体"/>
              </w:rPr>
            </w:pPr>
          </w:p>
        </w:tc>
        <w:tc>
          <w:tcPr>
            <w:tcW w:w="0" w:type="auto"/>
            <w:shd w:val="clear" w:color="auto" w:fill="auto"/>
          </w:tcPr>
          <w:p w14:paraId="36CA350A" w14:textId="77777777" w:rsidR="00787570" w:rsidRDefault="00787570">
            <w:pPr>
              <w:rPr>
                <w:rFonts w:ascii="宋体"/>
              </w:rPr>
            </w:pPr>
          </w:p>
        </w:tc>
        <w:tc>
          <w:tcPr>
            <w:tcW w:w="0" w:type="auto"/>
            <w:shd w:val="clear" w:color="auto" w:fill="auto"/>
          </w:tcPr>
          <w:p w14:paraId="36CA350B" w14:textId="77777777" w:rsidR="00787570" w:rsidRDefault="00787570">
            <w:pPr>
              <w:rPr>
                <w:rFonts w:ascii="宋体"/>
              </w:rPr>
            </w:pPr>
          </w:p>
        </w:tc>
        <w:tc>
          <w:tcPr>
            <w:tcW w:w="0" w:type="auto"/>
            <w:shd w:val="clear" w:color="auto" w:fill="auto"/>
          </w:tcPr>
          <w:p w14:paraId="36CA350C" w14:textId="77777777" w:rsidR="00787570" w:rsidRDefault="00787570">
            <w:pPr>
              <w:rPr>
                <w:rFonts w:ascii="宋体"/>
              </w:rPr>
            </w:pPr>
          </w:p>
        </w:tc>
        <w:tc>
          <w:tcPr>
            <w:tcW w:w="0" w:type="auto"/>
            <w:shd w:val="clear" w:color="auto" w:fill="auto"/>
          </w:tcPr>
          <w:p w14:paraId="36CA350D" w14:textId="77777777" w:rsidR="00787570" w:rsidRDefault="00787570">
            <w:pPr>
              <w:rPr>
                <w:rFonts w:ascii="宋体"/>
              </w:rPr>
            </w:pPr>
          </w:p>
        </w:tc>
      </w:tr>
      <w:tr w:rsidR="00787570" w14:paraId="36CA351F" w14:textId="77777777">
        <w:tc>
          <w:tcPr>
            <w:tcW w:w="0" w:type="auto"/>
            <w:gridSpan w:val="3"/>
            <w:shd w:val="clear" w:color="auto" w:fill="auto"/>
            <w:tcMar>
              <w:top w:w="40" w:type="dxa"/>
              <w:left w:w="135" w:type="dxa"/>
              <w:bottom w:w="40" w:type="dxa"/>
              <w:right w:w="20" w:type="dxa"/>
            </w:tcMar>
            <w:vAlign w:val="center"/>
          </w:tcPr>
          <w:p w14:paraId="36CA350F" w14:textId="77777777" w:rsidR="00787570" w:rsidRDefault="000D56E2">
            <w:pPr>
              <w:textAlignment w:val="center"/>
            </w:pPr>
            <w:r>
              <w:rPr>
                <w:rFonts w:ascii="Arial" w:eastAsia="宋体" w:hAnsi="Arial" w:cs="Arial"/>
                <w:color w:val="333333"/>
                <w:sz w:val="18"/>
                <w:szCs w:val="18"/>
              </w:rPr>
              <w:t>3.73%</w:t>
            </w:r>
            <w:r>
              <w:rPr>
                <w:rFonts w:ascii="Arial" w:eastAsia="宋体" w:hAnsi="Arial" w:cs="Arial"/>
                <w:color w:val="333333"/>
                <w:sz w:val="18"/>
                <w:szCs w:val="18"/>
              </w:rPr>
              <w:t>, due December 2047</w:t>
            </w:r>
          </w:p>
        </w:tc>
        <w:tc>
          <w:tcPr>
            <w:tcW w:w="0" w:type="auto"/>
            <w:gridSpan w:val="3"/>
            <w:shd w:val="clear" w:color="auto" w:fill="auto"/>
            <w:tcMar>
              <w:left w:w="20" w:type="dxa"/>
              <w:right w:w="20" w:type="dxa"/>
            </w:tcMar>
            <w:vAlign w:val="bottom"/>
          </w:tcPr>
          <w:p w14:paraId="36CA3510"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3511" w14:textId="77777777" w:rsidR="00787570" w:rsidRDefault="000D56E2">
            <w:pPr>
              <w:jc w:val="right"/>
              <w:textAlignment w:val="bottom"/>
            </w:pPr>
            <w:r>
              <w:rPr>
                <w:rFonts w:ascii="Arial" w:eastAsia="宋体" w:hAnsi="Arial" w:cs="Arial"/>
                <w:color w:val="026DCE"/>
                <w:sz w:val="18"/>
                <w:szCs w:val="18"/>
              </w:rPr>
              <w:t>2.57 </w:t>
            </w:r>
          </w:p>
        </w:tc>
        <w:tc>
          <w:tcPr>
            <w:tcW w:w="0" w:type="auto"/>
            <w:shd w:val="clear" w:color="auto" w:fill="auto"/>
            <w:tcMar>
              <w:top w:w="40" w:type="dxa"/>
              <w:bottom w:w="40" w:type="dxa"/>
              <w:right w:w="20" w:type="dxa"/>
            </w:tcMar>
            <w:vAlign w:val="bottom"/>
          </w:tcPr>
          <w:p w14:paraId="36CA3512" w14:textId="77777777" w:rsidR="00787570" w:rsidRDefault="000D56E2">
            <w:pPr>
              <w:jc w:val="right"/>
              <w:textAlignment w:val="bottom"/>
            </w:pPr>
            <w:r>
              <w:rPr>
                <w:rFonts w:ascii="Arial" w:eastAsia="宋体" w:hAnsi="Arial" w:cs="Arial"/>
                <w:color w:val="026DCE"/>
                <w:sz w:val="18"/>
                <w:szCs w:val="18"/>
              </w:rPr>
              <w:t>%</w:t>
            </w:r>
          </w:p>
        </w:tc>
        <w:tc>
          <w:tcPr>
            <w:tcW w:w="0" w:type="auto"/>
            <w:gridSpan w:val="3"/>
            <w:shd w:val="clear" w:color="auto" w:fill="auto"/>
            <w:tcMar>
              <w:left w:w="20" w:type="dxa"/>
              <w:right w:w="20" w:type="dxa"/>
            </w:tcMar>
            <w:vAlign w:val="bottom"/>
          </w:tcPr>
          <w:p w14:paraId="36CA3513"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3514" w14:textId="77777777" w:rsidR="00787570" w:rsidRDefault="000D56E2">
            <w:pPr>
              <w:jc w:val="right"/>
              <w:textAlignment w:val="bottom"/>
            </w:pPr>
            <w:r>
              <w:rPr>
                <w:rFonts w:ascii="Arial" w:eastAsia="宋体" w:hAnsi="Arial" w:cs="Arial"/>
                <w:color w:val="026DCE"/>
                <w:sz w:val="18"/>
                <w:szCs w:val="18"/>
              </w:rPr>
              <w:t>1,967 </w:t>
            </w:r>
          </w:p>
        </w:tc>
        <w:tc>
          <w:tcPr>
            <w:tcW w:w="0" w:type="auto"/>
            <w:shd w:val="clear" w:color="auto" w:fill="auto"/>
            <w:tcMar>
              <w:top w:w="40" w:type="dxa"/>
              <w:bottom w:w="40" w:type="dxa"/>
              <w:right w:w="20" w:type="dxa"/>
            </w:tcMar>
            <w:vAlign w:val="bottom"/>
          </w:tcPr>
          <w:p w14:paraId="36CA3515"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3516"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3517" w14:textId="77777777" w:rsidR="00787570" w:rsidRDefault="000D56E2">
            <w:pPr>
              <w:jc w:val="right"/>
              <w:textAlignment w:val="bottom"/>
            </w:pPr>
            <w:r>
              <w:rPr>
                <w:rFonts w:ascii="Arial" w:eastAsia="宋体" w:hAnsi="Arial" w:cs="Arial"/>
                <w:color w:val="333333"/>
                <w:sz w:val="18"/>
                <w:szCs w:val="18"/>
              </w:rPr>
              <w:t>1,967 </w:t>
            </w:r>
          </w:p>
        </w:tc>
        <w:tc>
          <w:tcPr>
            <w:tcW w:w="0" w:type="auto"/>
            <w:shd w:val="clear" w:color="auto" w:fill="auto"/>
            <w:tcMar>
              <w:top w:w="40" w:type="dxa"/>
              <w:bottom w:w="40" w:type="dxa"/>
              <w:right w:w="20" w:type="dxa"/>
            </w:tcMar>
            <w:vAlign w:val="bottom"/>
          </w:tcPr>
          <w:p w14:paraId="36CA3518" w14:textId="77777777" w:rsidR="00787570" w:rsidRDefault="00787570">
            <w:pPr>
              <w:jc w:val="right"/>
              <w:rPr>
                <w:rFonts w:ascii="宋体"/>
              </w:rPr>
            </w:pPr>
          </w:p>
        </w:tc>
        <w:tc>
          <w:tcPr>
            <w:tcW w:w="0" w:type="auto"/>
            <w:shd w:val="clear" w:color="auto" w:fill="auto"/>
          </w:tcPr>
          <w:p w14:paraId="36CA3519" w14:textId="77777777" w:rsidR="00787570" w:rsidRDefault="00787570">
            <w:pPr>
              <w:rPr>
                <w:rFonts w:ascii="宋体"/>
              </w:rPr>
            </w:pPr>
          </w:p>
        </w:tc>
        <w:tc>
          <w:tcPr>
            <w:tcW w:w="0" w:type="auto"/>
            <w:shd w:val="clear" w:color="auto" w:fill="auto"/>
          </w:tcPr>
          <w:p w14:paraId="36CA351A" w14:textId="77777777" w:rsidR="00787570" w:rsidRDefault="00787570">
            <w:pPr>
              <w:rPr>
                <w:rFonts w:ascii="宋体"/>
              </w:rPr>
            </w:pPr>
          </w:p>
        </w:tc>
        <w:tc>
          <w:tcPr>
            <w:tcW w:w="0" w:type="auto"/>
            <w:shd w:val="clear" w:color="auto" w:fill="auto"/>
          </w:tcPr>
          <w:p w14:paraId="36CA351B" w14:textId="77777777" w:rsidR="00787570" w:rsidRDefault="00787570">
            <w:pPr>
              <w:rPr>
                <w:rFonts w:ascii="宋体"/>
              </w:rPr>
            </w:pPr>
          </w:p>
        </w:tc>
        <w:tc>
          <w:tcPr>
            <w:tcW w:w="0" w:type="auto"/>
            <w:shd w:val="clear" w:color="auto" w:fill="auto"/>
          </w:tcPr>
          <w:p w14:paraId="36CA351C" w14:textId="77777777" w:rsidR="00787570" w:rsidRDefault="00787570">
            <w:pPr>
              <w:rPr>
                <w:rFonts w:ascii="宋体"/>
              </w:rPr>
            </w:pPr>
          </w:p>
        </w:tc>
        <w:tc>
          <w:tcPr>
            <w:tcW w:w="0" w:type="auto"/>
            <w:shd w:val="clear" w:color="auto" w:fill="auto"/>
          </w:tcPr>
          <w:p w14:paraId="36CA351D" w14:textId="77777777" w:rsidR="00787570" w:rsidRDefault="00787570">
            <w:pPr>
              <w:rPr>
                <w:rFonts w:ascii="宋体"/>
              </w:rPr>
            </w:pPr>
          </w:p>
        </w:tc>
        <w:tc>
          <w:tcPr>
            <w:tcW w:w="0" w:type="auto"/>
            <w:shd w:val="clear" w:color="auto" w:fill="auto"/>
          </w:tcPr>
          <w:p w14:paraId="36CA351E" w14:textId="77777777" w:rsidR="00787570" w:rsidRDefault="00787570">
            <w:pPr>
              <w:rPr>
                <w:rFonts w:ascii="宋体"/>
              </w:rPr>
            </w:pPr>
          </w:p>
        </w:tc>
      </w:tr>
      <w:tr w:rsidR="00787570" w14:paraId="36CA3530" w14:textId="77777777">
        <w:tc>
          <w:tcPr>
            <w:tcW w:w="0" w:type="auto"/>
            <w:gridSpan w:val="3"/>
            <w:shd w:val="clear" w:color="auto" w:fill="auto"/>
            <w:tcMar>
              <w:top w:w="40" w:type="dxa"/>
              <w:left w:w="135" w:type="dxa"/>
              <w:bottom w:w="40" w:type="dxa"/>
              <w:right w:w="20" w:type="dxa"/>
            </w:tcMar>
            <w:vAlign w:val="center"/>
          </w:tcPr>
          <w:p w14:paraId="36CA3520" w14:textId="77777777" w:rsidR="00787570" w:rsidRDefault="000D56E2">
            <w:pPr>
              <w:textAlignment w:val="center"/>
            </w:pPr>
            <w:r>
              <w:rPr>
                <w:rFonts w:ascii="Arial" w:eastAsia="宋体" w:hAnsi="Arial" w:cs="Arial"/>
                <w:color w:val="333333"/>
                <w:sz w:val="18"/>
                <w:szCs w:val="18"/>
              </w:rPr>
              <w:t>3.25%</w:t>
            </w:r>
            <w:r>
              <w:rPr>
                <w:rFonts w:ascii="Arial" w:eastAsia="宋体" w:hAnsi="Arial" w:cs="Arial"/>
                <w:color w:val="333333"/>
                <w:sz w:val="18"/>
                <w:szCs w:val="18"/>
              </w:rPr>
              <w:t>, due November 2049</w:t>
            </w:r>
          </w:p>
        </w:tc>
        <w:tc>
          <w:tcPr>
            <w:tcW w:w="0" w:type="auto"/>
            <w:gridSpan w:val="3"/>
            <w:shd w:val="clear" w:color="auto" w:fill="auto"/>
            <w:tcMar>
              <w:left w:w="20" w:type="dxa"/>
              <w:right w:w="20" w:type="dxa"/>
            </w:tcMar>
            <w:vAlign w:val="bottom"/>
          </w:tcPr>
          <w:p w14:paraId="36CA3521"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3522" w14:textId="77777777" w:rsidR="00787570" w:rsidRDefault="000D56E2">
            <w:pPr>
              <w:jc w:val="right"/>
              <w:textAlignment w:val="bottom"/>
            </w:pPr>
            <w:r>
              <w:rPr>
                <w:rFonts w:ascii="Arial" w:eastAsia="宋体" w:hAnsi="Arial" w:cs="Arial"/>
                <w:color w:val="026DCE"/>
                <w:sz w:val="18"/>
                <w:szCs w:val="18"/>
              </w:rPr>
              <w:t>3.20 </w:t>
            </w:r>
          </w:p>
        </w:tc>
        <w:tc>
          <w:tcPr>
            <w:tcW w:w="0" w:type="auto"/>
            <w:shd w:val="clear" w:color="auto" w:fill="auto"/>
            <w:tcMar>
              <w:top w:w="40" w:type="dxa"/>
              <w:bottom w:w="40" w:type="dxa"/>
              <w:right w:w="20" w:type="dxa"/>
            </w:tcMar>
            <w:vAlign w:val="bottom"/>
          </w:tcPr>
          <w:p w14:paraId="36CA3523" w14:textId="77777777" w:rsidR="00787570" w:rsidRDefault="000D56E2">
            <w:pPr>
              <w:jc w:val="right"/>
              <w:textAlignment w:val="bottom"/>
            </w:pPr>
            <w:r>
              <w:rPr>
                <w:rFonts w:ascii="Arial" w:eastAsia="宋体" w:hAnsi="Arial" w:cs="Arial"/>
                <w:color w:val="026DCE"/>
                <w:sz w:val="18"/>
                <w:szCs w:val="18"/>
              </w:rPr>
              <w:t>%</w:t>
            </w:r>
          </w:p>
        </w:tc>
        <w:tc>
          <w:tcPr>
            <w:tcW w:w="0" w:type="auto"/>
            <w:gridSpan w:val="3"/>
            <w:shd w:val="clear" w:color="auto" w:fill="auto"/>
            <w:tcMar>
              <w:left w:w="20" w:type="dxa"/>
              <w:right w:w="20" w:type="dxa"/>
            </w:tcMar>
            <w:vAlign w:val="bottom"/>
          </w:tcPr>
          <w:p w14:paraId="36CA3524"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3525" w14:textId="77777777" w:rsidR="00787570" w:rsidRDefault="000D56E2">
            <w:pPr>
              <w:jc w:val="right"/>
              <w:textAlignment w:val="bottom"/>
            </w:pPr>
            <w:r>
              <w:rPr>
                <w:rFonts w:ascii="Arial" w:eastAsia="宋体" w:hAnsi="Arial" w:cs="Arial"/>
                <w:color w:val="026DCE"/>
                <w:sz w:val="18"/>
                <w:szCs w:val="18"/>
              </w:rPr>
              <w:t>2,000 </w:t>
            </w:r>
          </w:p>
        </w:tc>
        <w:tc>
          <w:tcPr>
            <w:tcW w:w="0" w:type="auto"/>
            <w:shd w:val="clear" w:color="auto" w:fill="auto"/>
            <w:tcMar>
              <w:top w:w="40" w:type="dxa"/>
              <w:bottom w:w="40" w:type="dxa"/>
              <w:right w:w="20" w:type="dxa"/>
            </w:tcMar>
            <w:vAlign w:val="bottom"/>
          </w:tcPr>
          <w:p w14:paraId="36CA3526"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3527"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3528" w14:textId="77777777" w:rsidR="00787570" w:rsidRDefault="000D56E2">
            <w:pPr>
              <w:jc w:val="right"/>
              <w:textAlignment w:val="bottom"/>
            </w:pPr>
            <w:r>
              <w:rPr>
                <w:rFonts w:ascii="Arial" w:eastAsia="宋体" w:hAnsi="Arial" w:cs="Arial"/>
                <w:color w:val="333333"/>
                <w:sz w:val="18"/>
                <w:szCs w:val="18"/>
              </w:rPr>
              <w:t>1,500 </w:t>
            </w:r>
          </w:p>
        </w:tc>
        <w:tc>
          <w:tcPr>
            <w:tcW w:w="0" w:type="auto"/>
            <w:shd w:val="clear" w:color="auto" w:fill="auto"/>
            <w:tcMar>
              <w:top w:w="40" w:type="dxa"/>
              <w:bottom w:w="40" w:type="dxa"/>
              <w:right w:w="20" w:type="dxa"/>
            </w:tcMar>
            <w:vAlign w:val="bottom"/>
          </w:tcPr>
          <w:p w14:paraId="36CA3529" w14:textId="77777777" w:rsidR="00787570" w:rsidRDefault="00787570">
            <w:pPr>
              <w:jc w:val="right"/>
              <w:rPr>
                <w:rFonts w:ascii="宋体"/>
              </w:rPr>
            </w:pPr>
          </w:p>
        </w:tc>
        <w:tc>
          <w:tcPr>
            <w:tcW w:w="0" w:type="auto"/>
            <w:shd w:val="clear" w:color="auto" w:fill="auto"/>
          </w:tcPr>
          <w:p w14:paraId="36CA352A" w14:textId="77777777" w:rsidR="00787570" w:rsidRDefault="00787570">
            <w:pPr>
              <w:rPr>
                <w:rFonts w:ascii="宋体"/>
              </w:rPr>
            </w:pPr>
          </w:p>
        </w:tc>
        <w:tc>
          <w:tcPr>
            <w:tcW w:w="0" w:type="auto"/>
            <w:shd w:val="clear" w:color="auto" w:fill="auto"/>
          </w:tcPr>
          <w:p w14:paraId="36CA352B" w14:textId="77777777" w:rsidR="00787570" w:rsidRDefault="00787570">
            <w:pPr>
              <w:rPr>
                <w:rFonts w:ascii="宋体"/>
              </w:rPr>
            </w:pPr>
          </w:p>
        </w:tc>
        <w:tc>
          <w:tcPr>
            <w:tcW w:w="0" w:type="auto"/>
            <w:shd w:val="clear" w:color="auto" w:fill="auto"/>
          </w:tcPr>
          <w:p w14:paraId="36CA352C" w14:textId="77777777" w:rsidR="00787570" w:rsidRDefault="00787570">
            <w:pPr>
              <w:rPr>
                <w:rFonts w:ascii="宋体"/>
              </w:rPr>
            </w:pPr>
          </w:p>
        </w:tc>
        <w:tc>
          <w:tcPr>
            <w:tcW w:w="0" w:type="auto"/>
            <w:shd w:val="clear" w:color="auto" w:fill="auto"/>
          </w:tcPr>
          <w:p w14:paraId="36CA352D" w14:textId="77777777" w:rsidR="00787570" w:rsidRDefault="00787570">
            <w:pPr>
              <w:rPr>
                <w:rFonts w:ascii="宋体"/>
              </w:rPr>
            </w:pPr>
          </w:p>
        </w:tc>
        <w:tc>
          <w:tcPr>
            <w:tcW w:w="0" w:type="auto"/>
            <w:shd w:val="clear" w:color="auto" w:fill="auto"/>
          </w:tcPr>
          <w:p w14:paraId="36CA352E" w14:textId="77777777" w:rsidR="00787570" w:rsidRDefault="00787570">
            <w:pPr>
              <w:rPr>
                <w:rFonts w:ascii="宋体"/>
              </w:rPr>
            </w:pPr>
          </w:p>
        </w:tc>
        <w:tc>
          <w:tcPr>
            <w:tcW w:w="0" w:type="auto"/>
            <w:shd w:val="clear" w:color="auto" w:fill="auto"/>
          </w:tcPr>
          <w:p w14:paraId="36CA352F" w14:textId="77777777" w:rsidR="00787570" w:rsidRDefault="00787570">
            <w:pPr>
              <w:rPr>
                <w:rFonts w:ascii="宋体"/>
              </w:rPr>
            </w:pPr>
          </w:p>
        </w:tc>
      </w:tr>
      <w:tr w:rsidR="00787570" w14:paraId="36CA3541" w14:textId="77777777">
        <w:tc>
          <w:tcPr>
            <w:tcW w:w="0" w:type="auto"/>
            <w:gridSpan w:val="3"/>
            <w:shd w:val="clear" w:color="auto" w:fill="auto"/>
            <w:tcMar>
              <w:top w:w="40" w:type="dxa"/>
              <w:left w:w="135" w:type="dxa"/>
              <w:bottom w:w="40" w:type="dxa"/>
              <w:right w:w="20" w:type="dxa"/>
            </w:tcMar>
            <w:vAlign w:val="center"/>
          </w:tcPr>
          <w:p w14:paraId="36CA3531" w14:textId="77777777" w:rsidR="00787570" w:rsidRDefault="000D56E2">
            <w:pPr>
              <w:textAlignment w:val="center"/>
            </w:pPr>
            <w:r>
              <w:rPr>
                <w:rFonts w:ascii="Arial" w:eastAsia="宋体" w:hAnsi="Arial" w:cs="Arial"/>
                <w:color w:val="333333"/>
                <w:sz w:val="18"/>
                <w:szCs w:val="18"/>
              </w:rPr>
              <w:t>4.75%</w:t>
            </w:r>
            <w:r>
              <w:rPr>
                <w:rFonts w:ascii="Arial" w:eastAsia="宋体" w:hAnsi="Arial" w:cs="Arial"/>
                <w:color w:val="333333"/>
                <w:sz w:val="18"/>
                <w:szCs w:val="18"/>
              </w:rPr>
              <w:t>, due March 2050</w:t>
            </w:r>
          </w:p>
        </w:tc>
        <w:tc>
          <w:tcPr>
            <w:tcW w:w="0" w:type="auto"/>
            <w:gridSpan w:val="3"/>
            <w:shd w:val="clear" w:color="auto" w:fill="auto"/>
            <w:tcMar>
              <w:left w:w="20" w:type="dxa"/>
              <w:right w:w="20" w:type="dxa"/>
            </w:tcMar>
            <w:vAlign w:val="bottom"/>
          </w:tcPr>
          <w:p w14:paraId="36CA3532"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3533" w14:textId="77777777" w:rsidR="00787570" w:rsidRDefault="000D56E2">
            <w:pPr>
              <w:jc w:val="right"/>
              <w:textAlignment w:val="bottom"/>
            </w:pPr>
            <w:r>
              <w:rPr>
                <w:rFonts w:ascii="Arial" w:eastAsia="宋体" w:hAnsi="Arial" w:cs="Arial"/>
                <w:color w:val="026DCE"/>
                <w:sz w:val="18"/>
                <w:szCs w:val="18"/>
              </w:rPr>
              <w:t>4.76 </w:t>
            </w:r>
          </w:p>
        </w:tc>
        <w:tc>
          <w:tcPr>
            <w:tcW w:w="0" w:type="auto"/>
            <w:shd w:val="clear" w:color="auto" w:fill="auto"/>
            <w:tcMar>
              <w:top w:w="40" w:type="dxa"/>
              <w:bottom w:w="40" w:type="dxa"/>
              <w:right w:w="20" w:type="dxa"/>
            </w:tcMar>
            <w:vAlign w:val="bottom"/>
          </w:tcPr>
          <w:p w14:paraId="36CA3534" w14:textId="77777777" w:rsidR="00787570" w:rsidRDefault="000D56E2">
            <w:pPr>
              <w:jc w:val="right"/>
              <w:textAlignment w:val="bottom"/>
            </w:pPr>
            <w:r>
              <w:rPr>
                <w:rFonts w:ascii="Arial" w:eastAsia="宋体" w:hAnsi="Arial" w:cs="Arial"/>
                <w:color w:val="026DCE"/>
                <w:sz w:val="18"/>
                <w:szCs w:val="18"/>
              </w:rPr>
              <w:t>%</w:t>
            </w:r>
          </w:p>
        </w:tc>
        <w:tc>
          <w:tcPr>
            <w:tcW w:w="0" w:type="auto"/>
            <w:gridSpan w:val="3"/>
            <w:shd w:val="clear" w:color="auto" w:fill="auto"/>
            <w:tcMar>
              <w:left w:w="20" w:type="dxa"/>
              <w:right w:w="20" w:type="dxa"/>
            </w:tcMar>
            <w:vAlign w:val="bottom"/>
          </w:tcPr>
          <w:p w14:paraId="36CA3535"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3536" w14:textId="77777777" w:rsidR="00787570" w:rsidRDefault="000D56E2">
            <w:pPr>
              <w:jc w:val="right"/>
              <w:textAlignment w:val="bottom"/>
            </w:pPr>
            <w:r>
              <w:rPr>
                <w:rFonts w:ascii="Arial" w:eastAsia="宋体" w:hAnsi="Arial" w:cs="Arial"/>
                <w:color w:val="026DCE"/>
                <w:sz w:val="18"/>
                <w:szCs w:val="18"/>
              </w:rPr>
              <w:t>2,250 </w:t>
            </w:r>
          </w:p>
        </w:tc>
        <w:tc>
          <w:tcPr>
            <w:tcW w:w="0" w:type="auto"/>
            <w:shd w:val="clear" w:color="auto" w:fill="auto"/>
            <w:tcMar>
              <w:top w:w="40" w:type="dxa"/>
              <w:bottom w:w="40" w:type="dxa"/>
              <w:right w:w="20" w:type="dxa"/>
            </w:tcMar>
            <w:vAlign w:val="bottom"/>
          </w:tcPr>
          <w:p w14:paraId="36CA3537"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3538"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3539" w14:textId="77777777" w:rsidR="00787570" w:rsidRDefault="000D56E2">
            <w:pPr>
              <w:jc w:val="right"/>
              <w:textAlignment w:val="bottom"/>
            </w:pPr>
            <w:r>
              <w:rPr>
                <w:rFonts w:ascii="Arial" w:eastAsia="宋体" w:hAnsi="Arial" w:cs="Arial"/>
                <w:color w:val="333333"/>
                <w:sz w:val="18"/>
                <w:szCs w:val="18"/>
              </w:rPr>
              <w:t>— </w:t>
            </w:r>
          </w:p>
        </w:tc>
        <w:tc>
          <w:tcPr>
            <w:tcW w:w="0" w:type="auto"/>
            <w:shd w:val="clear" w:color="auto" w:fill="auto"/>
            <w:tcMar>
              <w:top w:w="40" w:type="dxa"/>
              <w:bottom w:w="40" w:type="dxa"/>
              <w:right w:w="20" w:type="dxa"/>
            </w:tcMar>
            <w:vAlign w:val="bottom"/>
          </w:tcPr>
          <w:p w14:paraId="36CA353A" w14:textId="77777777" w:rsidR="00787570" w:rsidRDefault="00787570">
            <w:pPr>
              <w:jc w:val="right"/>
              <w:rPr>
                <w:rFonts w:ascii="宋体"/>
              </w:rPr>
            </w:pPr>
          </w:p>
        </w:tc>
        <w:tc>
          <w:tcPr>
            <w:tcW w:w="0" w:type="auto"/>
            <w:shd w:val="clear" w:color="auto" w:fill="auto"/>
          </w:tcPr>
          <w:p w14:paraId="36CA353B" w14:textId="77777777" w:rsidR="00787570" w:rsidRDefault="00787570">
            <w:pPr>
              <w:rPr>
                <w:rFonts w:ascii="宋体"/>
              </w:rPr>
            </w:pPr>
          </w:p>
        </w:tc>
        <w:tc>
          <w:tcPr>
            <w:tcW w:w="0" w:type="auto"/>
            <w:shd w:val="clear" w:color="auto" w:fill="auto"/>
          </w:tcPr>
          <w:p w14:paraId="36CA353C" w14:textId="77777777" w:rsidR="00787570" w:rsidRDefault="00787570">
            <w:pPr>
              <w:rPr>
                <w:rFonts w:ascii="宋体"/>
              </w:rPr>
            </w:pPr>
          </w:p>
        </w:tc>
        <w:tc>
          <w:tcPr>
            <w:tcW w:w="0" w:type="auto"/>
            <w:shd w:val="clear" w:color="auto" w:fill="auto"/>
          </w:tcPr>
          <w:p w14:paraId="36CA353D" w14:textId="77777777" w:rsidR="00787570" w:rsidRDefault="00787570">
            <w:pPr>
              <w:rPr>
                <w:rFonts w:ascii="宋体"/>
              </w:rPr>
            </w:pPr>
          </w:p>
        </w:tc>
        <w:tc>
          <w:tcPr>
            <w:tcW w:w="0" w:type="auto"/>
            <w:shd w:val="clear" w:color="auto" w:fill="auto"/>
          </w:tcPr>
          <w:p w14:paraId="36CA353E" w14:textId="77777777" w:rsidR="00787570" w:rsidRDefault="00787570">
            <w:pPr>
              <w:rPr>
                <w:rFonts w:ascii="宋体"/>
              </w:rPr>
            </w:pPr>
          </w:p>
        </w:tc>
        <w:tc>
          <w:tcPr>
            <w:tcW w:w="0" w:type="auto"/>
            <w:shd w:val="clear" w:color="auto" w:fill="auto"/>
          </w:tcPr>
          <w:p w14:paraId="36CA353F" w14:textId="77777777" w:rsidR="00787570" w:rsidRDefault="00787570">
            <w:pPr>
              <w:rPr>
                <w:rFonts w:ascii="宋体"/>
              </w:rPr>
            </w:pPr>
          </w:p>
        </w:tc>
        <w:tc>
          <w:tcPr>
            <w:tcW w:w="0" w:type="auto"/>
            <w:shd w:val="clear" w:color="auto" w:fill="auto"/>
          </w:tcPr>
          <w:p w14:paraId="36CA3540" w14:textId="77777777" w:rsidR="00787570" w:rsidRDefault="00787570">
            <w:pPr>
              <w:rPr>
                <w:rFonts w:ascii="宋体"/>
              </w:rPr>
            </w:pPr>
          </w:p>
        </w:tc>
      </w:tr>
      <w:tr w:rsidR="00787570" w14:paraId="36CA3552" w14:textId="77777777">
        <w:tc>
          <w:tcPr>
            <w:tcW w:w="0" w:type="auto"/>
            <w:gridSpan w:val="3"/>
            <w:shd w:val="clear" w:color="auto" w:fill="auto"/>
            <w:tcMar>
              <w:top w:w="40" w:type="dxa"/>
              <w:left w:w="135" w:type="dxa"/>
              <w:bottom w:w="40" w:type="dxa"/>
              <w:right w:w="20" w:type="dxa"/>
            </w:tcMar>
            <w:vAlign w:val="center"/>
          </w:tcPr>
          <w:p w14:paraId="36CA3542" w14:textId="77777777" w:rsidR="00787570" w:rsidRDefault="000D56E2">
            <w:pPr>
              <w:textAlignment w:val="center"/>
            </w:pPr>
            <w:r>
              <w:rPr>
                <w:rFonts w:ascii="Arial" w:eastAsia="宋体" w:hAnsi="Arial" w:cs="Arial"/>
                <w:color w:val="333333"/>
                <w:sz w:val="18"/>
                <w:szCs w:val="18"/>
              </w:rPr>
              <w:t>3.10%</w:t>
            </w:r>
            <w:r>
              <w:rPr>
                <w:rFonts w:ascii="Arial" w:eastAsia="宋体" w:hAnsi="Arial" w:cs="Arial"/>
                <w:color w:val="333333"/>
                <w:sz w:val="18"/>
                <w:szCs w:val="18"/>
              </w:rPr>
              <w:t>, due February 2060</w:t>
            </w:r>
          </w:p>
        </w:tc>
        <w:tc>
          <w:tcPr>
            <w:tcW w:w="0" w:type="auto"/>
            <w:gridSpan w:val="3"/>
            <w:shd w:val="clear" w:color="auto" w:fill="auto"/>
            <w:tcMar>
              <w:left w:w="20" w:type="dxa"/>
              <w:right w:w="20" w:type="dxa"/>
            </w:tcMar>
            <w:vAlign w:val="bottom"/>
          </w:tcPr>
          <w:p w14:paraId="36CA3543"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3544" w14:textId="77777777" w:rsidR="00787570" w:rsidRDefault="000D56E2">
            <w:pPr>
              <w:jc w:val="right"/>
              <w:textAlignment w:val="bottom"/>
            </w:pPr>
            <w:r>
              <w:rPr>
                <w:rFonts w:ascii="Arial" w:eastAsia="宋体" w:hAnsi="Arial" w:cs="Arial"/>
                <w:color w:val="026DCE"/>
                <w:sz w:val="18"/>
                <w:szCs w:val="18"/>
              </w:rPr>
              <w:t>3.12 </w:t>
            </w:r>
          </w:p>
        </w:tc>
        <w:tc>
          <w:tcPr>
            <w:tcW w:w="0" w:type="auto"/>
            <w:shd w:val="clear" w:color="auto" w:fill="auto"/>
            <w:tcMar>
              <w:top w:w="40" w:type="dxa"/>
              <w:bottom w:w="40" w:type="dxa"/>
              <w:right w:w="20" w:type="dxa"/>
            </w:tcMar>
            <w:vAlign w:val="bottom"/>
          </w:tcPr>
          <w:p w14:paraId="36CA3545" w14:textId="77777777" w:rsidR="00787570" w:rsidRDefault="000D56E2">
            <w:pPr>
              <w:jc w:val="right"/>
              <w:textAlignment w:val="bottom"/>
            </w:pPr>
            <w:r>
              <w:rPr>
                <w:rFonts w:ascii="Arial" w:eastAsia="宋体" w:hAnsi="Arial" w:cs="Arial"/>
                <w:color w:val="026DCE"/>
                <w:sz w:val="18"/>
                <w:szCs w:val="18"/>
              </w:rPr>
              <w:t>%</w:t>
            </w:r>
          </w:p>
        </w:tc>
        <w:tc>
          <w:tcPr>
            <w:tcW w:w="0" w:type="auto"/>
            <w:gridSpan w:val="3"/>
            <w:shd w:val="clear" w:color="auto" w:fill="auto"/>
            <w:tcMar>
              <w:left w:w="20" w:type="dxa"/>
              <w:right w:w="20" w:type="dxa"/>
            </w:tcMar>
            <w:vAlign w:val="bottom"/>
          </w:tcPr>
          <w:p w14:paraId="36CA3546"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3547" w14:textId="77777777" w:rsidR="00787570" w:rsidRDefault="000D56E2">
            <w:pPr>
              <w:jc w:val="right"/>
              <w:textAlignment w:val="bottom"/>
            </w:pPr>
            <w:r>
              <w:rPr>
                <w:rFonts w:ascii="Arial" w:eastAsia="宋体" w:hAnsi="Arial" w:cs="Arial"/>
                <w:color w:val="026DCE"/>
                <w:sz w:val="18"/>
                <w:szCs w:val="18"/>
              </w:rPr>
              <w:t>1,000 </w:t>
            </w:r>
          </w:p>
        </w:tc>
        <w:tc>
          <w:tcPr>
            <w:tcW w:w="0" w:type="auto"/>
            <w:shd w:val="clear" w:color="auto" w:fill="auto"/>
            <w:tcMar>
              <w:top w:w="40" w:type="dxa"/>
              <w:bottom w:w="40" w:type="dxa"/>
              <w:right w:w="20" w:type="dxa"/>
            </w:tcMar>
            <w:vAlign w:val="bottom"/>
          </w:tcPr>
          <w:p w14:paraId="36CA3548"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3549"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354A" w14:textId="77777777" w:rsidR="00787570" w:rsidRDefault="000D56E2">
            <w:pPr>
              <w:jc w:val="right"/>
              <w:textAlignment w:val="bottom"/>
            </w:pPr>
            <w:r>
              <w:rPr>
                <w:rFonts w:ascii="Arial" w:eastAsia="宋体" w:hAnsi="Arial" w:cs="Arial"/>
                <w:color w:val="333333"/>
                <w:sz w:val="18"/>
                <w:szCs w:val="18"/>
              </w:rPr>
              <w:t>— </w:t>
            </w:r>
          </w:p>
        </w:tc>
        <w:tc>
          <w:tcPr>
            <w:tcW w:w="0" w:type="auto"/>
            <w:shd w:val="clear" w:color="auto" w:fill="auto"/>
            <w:tcMar>
              <w:top w:w="40" w:type="dxa"/>
              <w:bottom w:w="40" w:type="dxa"/>
              <w:right w:w="20" w:type="dxa"/>
            </w:tcMar>
            <w:vAlign w:val="bottom"/>
          </w:tcPr>
          <w:p w14:paraId="36CA354B" w14:textId="77777777" w:rsidR="00787570" w:rsidRDefault="00787570">
            <w:pPr>
              <w:jc w:val="right"/>
              <w:rPr>
                <w:rFonts w:ascii="宋体"/>
              </w:rPr>
            </w:pPr>
          </w:p>
        </w:tc>
        <w:tc>
          <w:tcPr>
            <w:tcW w:w="0" w:type="auto"/>
            <w:shd w:val="clear" w:color="auto" w:fill="auto"/>
          </w:tcPr>
          <w:p w14:paraId="36CA354C" w14:textId="77777777" w:rsidR="00787570" w:rsidRDefault="00787570">
            <w:pPr>
              <w:rPr>
                <w:rFonts w:ascii="宋体"/>
              </w:rPr>
            </w:pPr>
          </w:p>
        </w:tc>
        <w:tc>
          <w:tcPr>
            <w:tcW w:w="0" w:type="auto"/>
            <w:shd w:val="clear" w:color="auto" w:fill="auto"/>
          </w:tcPr>
          <w:p w14:paraId="36CA354D" w14:textId="77777777" w:rsidR="00787570" w:rsidRDefault="00787570">
            <w:pPr>
              <w:rPr>
                <w:rFonts w:ascii="宋体"/>
              </w:rPr>
            </w:pPr>
          </w:p>
        </w:tc>
        <w:tc>
          <w:tcPr>
            <w:tcW w:w="0" w:type="auto"/>
            <w:shd w:val="clear" w:color="auto" w:fill="auto"/>
          </w:tcPr>
          <w:p w14:paraId="36CA354E" w14:textId="77777777" w:rsidR="00787570" w:rsidRDefault="00787570">
            <w:pPr>
              <w:rPr>
                <w:rFonts w:ascii="宋体"/>
              </w:rPr>
            </w:pPr>
          </w:p>
        </w:tc>
        <w:tc>
          <w:tcPr>
            <w:tcW w:w="0" w:type="auto"/>
            <w:shd w:val="clear" w:color="auto" w:fill="auto"/>
          </w:tcPr>
          <w:p w14:paraId="36CA354F" w14:textId="77777777" w:rsidR="00787570" w:rsidRDefault="00787570">
            <w:pPr>
              <w:rPr>
                <w:rFonts w:ascii="宋体"/>
              </w:rPr>
            </w:pPr>
          </w:p>
        </w:tc>
        <w:tc>
          <w:tcPr>
            <w:tcW w:w="0" w:type="auto"/>
            <w:shd w:val="clear" w:color="auto" w:fill="auto"/>
          </w:tcPr>
          <w:p w14:paraId="36CA3550" w14:textId="77777777" w:rsidR="00787570" w:rsidRDefault="00787570">
            <w:pPr>
              <w:rPr>
                <w:rFonts w:ascii="宋体"/>
              </w:rPr>
            </w:pPr>
          </w:p>
        </w:tc>
        <w:tc>
          <w:tcPr>
            <w:tcW w:w="0" w:type="auto"/>
            <w:shd w:val="clear" w:color="auto" w:fill="auto"/>
          </w:tcPr>
          <w:p w14:paraId="36CA3551" w14:textId="77777777" w:rsidR="00787570" w:rsidRDefault="00787570">
            <w:pPr>
              <w:rPr>
                <w:rFonts w:ascii="宋体"/>
              </w:rPr>
            </w:pPr>
          </w:p>
        </w:tc>
      </w:tr>
      <w:tr w:rsidR="00787570" w14:paraId="36CA3563" w14:textId="77777777">
        <w:tc>
          <w:tcPr>
            <w:tcW w:w="0" w:type="auto"/>
            <w:gridSpan w:val="3"/>
            <w:shd w:val="clear" w:color="auto" w:fill="auto"/>
            <w:tcMar>
              <w:top w:w="40" w:type="dxa"/>
              <w:left w:w="135" w:type="dxa"/>
              <w:bottom w:w="40" w:type="dxa"/>
              <w:right w:w="20" w:type="dxa"/>
            </w:tcMar>
            <w:vAlign w:val="center"/>
          </w:tcPr>
          <w:p w14:paraId="36CA3553" w14:textId="77777777" w:rsidR="00787570" w:rsidRDefault="000D56E2">
            <w:pPr>
              <w:textAlignment w:val="center"/>
            </w:pPr>
            <w:r>
              <w:rPr>
                <w:rFonts w:ascii="Arial" w:eastAsia="宋体" w:hAnsi="Arial" w:cs="Arial"/>
                <w:color w:val="333333"/>
                <w:sz w:val="18"/>
                <w:szCs w:val="18"/>
              </w:rPr>
              <w:t>4.95%, due March 2060</w:t>
            </w:r>
          </w:p>
        </w:tc>
        <w:tc>
          <w:tcPr>
            <w:tcW w:w="0" w:type="auto"/>
            <w:gridSpan w:val="3"/>
            <w:shd w:val="clear" w:color="auto" w:fill="auto"/>
            <w:tcMar>
              <w:left w:w="20" w:type="dxa"/>
              <w:right w:w="20" w:type="dxa"/>
            </w:tcMar>
            <w:vAlign w:val="bottom"/>
          </w:tcPr>
          <w:p w14:paraId="36CA3554"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3555" w14:textId="77777777" w:rsidR="00787570" w:rsidRDefault="000D56E2">
            <w:pPr>
              <w:jc w:val="right"/>
              <w:textAlignment w:val="bottom"/>
            </w:pPr>
            <w:r>
              <w:rPr>
                <w:rFonts w:ascii="Arial" w:eastAsia="宋体" w:hAnsi="Arial" w:cs="Arial"/>
                <w:color w:val="026DCE"/>
                <w:sz w:val="18"/>
                <w:szCs w:val="18"/>
              </w:rPr>
              <w:t>5.00 </w:t>
            </w:r>
          </w:p>
        </w:tc>
        <w:tc>
          <w:tcPr>
            <w:tcW w:w="0" w:type="auto"/>
            <w:shd w:val="clear" w:color="auto" w:fill="auto"/>
            <w:tcMar>
              <w:top w:w="40" w:type="dxa"/>
              <w:bottom w:w="40" w:type="dxa"/>
              <w:right w:w="20" w:type="dxa"/>
            </w:tcMar>
            <w:vAlign w:val="bottom"/>
          </w:tcPr>
          <w:p w14:paraId="36CA3556" w14:textId="77777777" w:rsidR="00787570" w:rsidRDefault="000D56E2">
            <w:pPr>
              <w:jc w:val="right"/>
              <w:textAlignment w:val="bottom"/>
            </w:pPr>
            <w:r>
              <w:rPr>
                <w:rFonts w:ascii="Arial" w:eastAsia="宋体" w:hAnsi="Arial" w:cs="Arial"/>
                <w:color w:val="026DCE"/>
                <w:sz w:val="18"/>
                <w:szCs w:val="18"/>
              </w:rPr>
              <w:t>%</w:t>
            </w:r>
          </w:p>
        </w:tc>
        <w:tc>
          <w:tcPr>
            <w:tcW w:w="0" w:type="auto"/>
            <w:gridSpan w:val="3"/>
            <w:shd w:val="clear" w:color="auto" w:fill="auto"/>
            <w:tcMar>
              <w:left w:w="20" w:type="dxa"/>
              <w:right w:w="20" w:type="dxa"/>
            </w:tcMar>
            <w:vAlign w:val="bottom"/>
          </w:tcPr>
          <w:p w14:paraId="36CA3557"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3558" w14:textId="77777777" w:rsidR="00787570" w:rsidRDefault="000D56E2">
            <w:pPr>
              <w:jc w:val="right"/>
              <w:textAlignment w:val="bottom"/>
            </w:pPr>
            <w:r>
              <w:rPr>
                <w:rFonts w:ascii="Arial" w:eastAsia="宋体" w:hAnsi="Arial" w:cs="Arial"/>
                <w:color w:val="026DCE"/>
                <w:sz w:val="18"/>
                <w:szCs w:val="18"/>
              </w:rPr>
              <w:t>1,000 </w:t>
            </w:r>
          </w:p>
        </w:tc>
        <w:tc>
          <w:tcPr>
            <w:tcW w:w="0" w:type="auto"/>
            <w:shd w:val="clear" w:color="auto" w:fill="auto"/>
            <w:tcMar>
              <w:top w:w="40" w:type="dxa"/>
              <w:bottom w:w="40" w:type="dxa"/>
              <w:right w:w="20" w:type="dxa"/>
            </w:tcMar>
            <w:vAlign w:val="bottom"/>
          </w:tcPr>
          <w:p w14:paraId="36CA3559"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355A"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355B" w14:textId="77777777" w:rsidR="00787570" w:rsidRDefault="000D56E2">
            <w:pPr>
              <w:jc w:val="right"/>
              <w:textAlignment w:val="bottom"/>
            </w:pPr>
            <w:r>
              <w:rPr>
                <w:rFonts w:ascii="Arial" w:eastAsia="宋体" w:hAnsi="Arial" w:cs="Arial"/>
                <w:color w:val="333333"/>
                <w:sz w:val="18"/>
                <w:szCs w:val="18"/>
              </w:rPr>
              <w:t>— </w:t>
            </w:r>
          </w:p>
        </w:tc>
        <w:tc>
          <w:tcPr>
            <w:tcW w:w="0" w:type="auto"/>
            <w:shd w:val="clear" w:color="auto" w:fill="auto"/>
            <w:tcMar>
              <w:top w:w="40" w:type="dxa"/>
              <w:bottom w:w="40" w:type="dxa"/>
              <w:right w:w="20" w:type="dxa"/>
            </w:tcMar>
            <w:vAlign w:val="bottom"/>
          </w:tcPr>
          <w:p w14:paraId="36CA355C" w14:textId="77777777" w:rsidR="00787570" w:rsidRDefault="00787570">
            <w:pPr>
              <w:jc w:val="right"/>
              <w:rPr>
                <w:rFonts w:ascii="宋体"/>
              </w:rPr>
            </w:pPr>
          </w:p>
        </w:tc>
        <w:tc>
          <w:tcPr>
            <w:tcW w:w="0" w:type="auto"/>
            <w:shd w:val="clear" w:color="auto" w:fill="auto"/>
          </w:tcPr>
          <w:p w14:paraId="36CA355D" w14:textId="77777777" w:rsidR="00787570" w:rsidRDefault="00787570">
            <w:pPr>
              <w:rPr>
                <w:rFonts w:ascii="宋体"/>
              </w:rPr>
            </w:pPr>
          </w:p>
        </w:tc>
        <w:tc>
          <w:tcPr>
            <w:tcW w:w="0" w:type="auto"/>
            <w:shd w:val="clear" w:color="auto" w:fill="auto"/>
          </w:tcPr>
          <w:p w14:paraId="36CA355E" w14:textId="77777777" w:rsidR="00787570" w:rsidRDefault="00787570">
            <w:pPr>
              <w:rPr>
                <w:rFonts w:ascii="宋体"/>
              </w:rPr>
            </w:pPr>
          </w:p>
        </w:tc>
        <w:tc>
          <w:tcPr>
            <w:tcW w:w="0" w:type="auto"/>
            <w:shd w:val="clear" w:color="auto" w:fill="auto"/>
          </w:tcPr>
          <w:p w14:paraId="36CA355F" w14:textId="77777777" w:rsidR="00787570" w:rsidRDefault="00787570">
            <w:pPr>
              <w:rPr>
                <w:rFonts w:ascii="宋体"/>
              </w:rPr>
            </w:pPr>
          </w:p>
        </w:tc>
        <w:tc>
          <w:tcPr>
            <w:tcW w:w="0" w:type="auto"/>
            <w:shd w:val="clear" w:color="auto" w:fill="auto"/>
          </w:tcPr>
          <w:p w14:paraId="36CA3560" w14:textId="77777777" w:rsidR="00787570" w:rsidRDefault="00787570">
            <w:pPr>
              <w:rPr>
                <w:rFonts w:ascii="宋体"/>
              </w:rPr>
            </w:pPr>
          </w:p>
        </w:tc>
        <w:tc>
          <w:tcPr>
            <w:tcW w:w="0" w:type="auto"/>
            <w:shd w:val="clear" w:color="auto" w:fill="auto"/>
          </w:tcPr>
          <w:p w14:paraId="36CA3561" w14:textId="77777777" w:rsidR="00787570" w:rsidRDefault="00787570">
            <w:pPr>
              <w:rPr>
                <w:rFonts w:ascii="宋体"/>
              </w:rPr>
            </w:pPr>
          </w:p>
        </w:tc>
        <w:tc>
          <w:tcPr>
            <w:tcW w:w="0" w:type="auto"/>
            <w:shd w:val="clear" w:color="auto" w:fill="auto"/>
          </w:tcPr>
          <w:p w14:paraId="36CA3562" w14:textId="77777777" w:rsidR="00787570" w:rsidRDefault="00787570">
            <w:pPr>
              <w:rPr>
                <w:rFonts w:ascii="宋体"/>
              </w:rPr>
            </w:pPr>
          </w:p>
        </w:tc>
      </w:tr>
      <w:tr w:rsidR="00787570" w14:paraId="36CA3571" w14:textId="77777777">
        <w:tc>
          <w:tcPr>
            <w:tcW w:w="0" w:type="auto"/>
            <w:gridSpan w:val="3"/>
            <w:shd w:val="clear" w:color="auto" w:fill="auto"/>
            <w:tcMar>
              <w:top w:w="40" w:type="dxa"/>
              <w:left w:w="20" w:type="dxa"/>
              <w:bottom w:w="40" w:type="dxa"/>
              <w:right w:w="20" w:type="dxa"/>
            </w:tcMar>
            <w:vAlign w:val="center"/>
          </w:tcPr>
          <w:p w14:paraId="36CA3564" w14:textId="77777777" w:rsidR="00787570" w:rsidRDefault="000D56E2">
            <w:pPr>
              <w:textAlignment w:val="center"/>
            </w:pPr>
            <w:r>
              <w:rPr>
                <w:rFonts w:ascii="Arial" w:eastAsia="宋体" w:hAnsi="Arial" w:cs="Arial"/>
                <w:color w:val="333333"/>
                <w:sz w:val="18"/>
                <w:szCs w:val="18"/>
              </w:rPr>
              <w:t>Orego</w:t>
            </w:r>
            <w:r>
              <w:rPr>
                <w:rFonts w:ascii="Arial" w:eastAsia="宋体" w:hAnsi="Arial" w:cs="Arial"/>
                <w:color w:val="333333"/>
                <w:sz w:val="18"/>
                <w:szCs w:val="18"/>
              </w:rPr>
              <w:t>n and Arizona bonds:</w:t>
            </w:r>
          </w:p>
        </w:tc>
        <w:tc>
          <w:tcPr>
            <w:tcW w:w="0" w:type="auto"/>
            <w:gridSpan w:val="3"/>
            <w:shd w:val="clear" w:color="auto" w:fill="auto"/>
            <w:tcMar>
              <w:left w:w="20" w:type="dxa"/>
              <w:right w:w="20" w:type="dxa"/>
            </w:tcMar>
            <w:vAlign w:val="bottom"/>
          </w:tcPr>
          <w:p w14:paraId="36CA3565"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3566"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3567"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3568"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3569"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356A" w14:textId="77777777" w:rsidR="00787570" w:rsidRDefault="00787570">
            <w:pPr>
              <w:rPr>
                <w:rFonts w:ascii="宋体"/>
              </w:rPr>
            </w:pPr>
          </w:p>
        </w:tc>
        <w:tc>
          <w:tcPr>
            <w:tcW w:w="0" w:type="auto"/>
            <w:shd w:val="clear" w:color="auto" w:fill="auto"/>
          </w:tcPr>
          <w:p w14:paraId="36CA356B" w14:textId="77777777" w:rsidR="00787570" w:rsidRDefault="00787570">
            <w:pPr>
              <w:rPr>
                <w:rFonts w:ascii="宋体"/>
              </w:rPr>
            </w:pPr>
          </w:p>
        </w:tc>
        <w:tc>
          <w:tcPr>
            <w:tcW w:w="0" w:type="auto"/>
            <w:shd w:val="clear" w:color="auto" w:fill="auto"/>
          </w:tcPr>
          <w:p w14:paraId="36CA356C" w14:textId="77777777" w:rsidR="00787570" w:rsidRDefault="00787570">
            <w:pPr>
              <w:rPr>
                <w:rFonts w:ascii="宋体"/>
              </w:rPr>
            </w:pPr>
          </w:p>
        </w:tc>
        <w:tc>
          <w:tcPr>
            <w:tcW w:w="0" w:type="auto"/>
            <w:shd w:val="clear" w:color="auto" w:fill="auto"/>
          </w:tcPr>
          <w:p w14:paraId="36CA356D" w14:textId="77777777" w:rsidR="00787570" w:rsidRDefault="00787570">
            <w:pPr>
              <w:rPr>
                <w:rFonts w:ascii="宋体"/>
              </w:rPr>
            </w:pPr>
          </w:p>
        </w:tc>
        <w:tc>
          <w:tcPr>
            <w:tcW w:w="0" w:type="auto"/>
            <w:shd w:val="clear" w:color="auto" w:fill="auto"/>
          </w:tcPr>
          <w:p w14:paraId="36CA356E" w14:textId="77777777" w:rsidR="00787570" w:rsidRDefault="00787570">
            <w:pPr>
              <w:rPr>
                <w:rFonts w:ascii="宋体"/>
              </w:rPr>
            </w:pPr>
          </w:p>
        </w:tc>
        <w:tc>
          <w:tcPr>
            <w:tcW w:w="0" w:type="auto"/>
            <w:shd w:val="clear" w:color="auto" w:fill="auto"/>
          </w:tcPr>
          <w:p w14:paraId="36CA356F" w14:textId="77777777" w:rsidR="00787570" w:rsidRDefault="00787570">
            <w:pPr>
              <w:rPr>
                <w:rFonts w:ascii="宋体"/>
              </w:rPr>
            </w:pPr>
          </w:p>
        </w:tc>
        <w:tc>
          <w:tcPr>
            <w:tcW w:w="0" w:type="auto"/>
            <w:shd w:val="clear" w:color="auto" w:fill="auto"/>
          </w:tcPr>
          <w:p w14:paraId="36CA3570" w14:textId="77777777" w:rsidR="00787570" w:rsidRDefault="00787570">
            <w:pPr>
              <w:rPr>
                <w:rFonts w:ascii="宋体"/>
              </w:rPr>
            </w:pPr>
          </w:p>
        </w:tc>
      </w:tr>
      <w:tr w:rsidR="00787570" w14:paraId="36CA3582" w14:textId="77777777">
        <w:tc>
          <w:tcPr>
            <w:tcW w:w="0" w:type="auto"/>
            <w:gridSpan w:val="3"/>
            <w:shd w:val="clear" w:color="auto" w:fill="auto"/>
            <w:tcMar>
              <w:top w:w="40" w:type="dxa"/>
              <w:left w:w="20" w:type="dxa"/>
              <w:bottom w:w="40" w:type="dxa"/>
              <w:right w:w="20" w:type="dxa"/>
            </w:tcMar>
            <w:vAlign w:val="center"/>
          </w:tcPr>
          <w:p w14:paraId="36CA3572" w14:textId="77777777" w:rsidR="00787570" w:rsidRDefault="000D56E2">
            <w:pPr>
              <w:spacing w:after="180"/>
              <w:textAlignment w:val="center"/>
            </w:pPr>
            <w:r>
              <w:rPr>
                <w:rFonts w:ascii="Arial" w:eastAsia="宋体" w:hAnsi="Arial" w:cs="Arial"/>
                <w:color w:val="333333"/>
                <w:sz w:val="18"/>
                <w:szCs w:val="18"/>
              </w:rPr>
              <w:t>2.40%-2.70%, due December 2035 - 2040</w:t>
            </w:r>
          </w:p>
        </w:tc>
        <w:tc>
          <w:tcPr>
            <w:tcW w:w="0" w:type="auto"/>
            <w:gridSpan w:val="3"/>
            <w:shd w:val="clear" w:color="auto" w:fill="auto"/>
            <w:tcMar>
              <w:left w:w="20" w:type="dxa"/>
              <w:right w:w="20" w:type="dxa"/>
            </w:tcMar>
            <w:vAlign w:val="bottom"/>
          </w:tcPr>
          <w:p w14:paraId="36CA3573"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3574" w14:textId="77777777" w:rsidR="00787570" w:rsidRDefault="000D56E2">
            <w:pPr>
              <w:jc w:val="right"/>
              <w:textAlignment w:val="bottom"/>
            </w:pPr>
            <w:r>
              <w:rPr>
                <w:rFonts w:ascii="Arial" w:eastAsia="宋体" w:hAnsi="Arial" w:cs="Arial"/>
                <w:color w:val="026DCE"/>
                <w:sz w:val="18"/>
                <w:szCs w:val="18"/>
              </w:rPr>
              <w:t>2.49 </w:t>
            </w:r>
          </w:p>
        </w:tc>
        <w:tc>
          <w:tcPr>
            <w:tcW w:w="0" w:type="auto"/>
            <w:shd w:val="clear" w:color="auto" w:fill="auto"/>
            <w:tcMar>
              <w:top w:w="40" w:type="dxa"/>
              <w:bottom w:w="40" w:type="dxa"/>
              <w:right w:w="20" w:type="dxa"/>
            </w:tcMar>
            <w:vAlign w:val="bottom"/>
          </w:tcPr>
          <w:p w14:paraId="36CA3575" w14:textId="77777777" w:rsidR="00787570" w:rsidRDefault="000D56E2">
            <w:pPr>
              <w:jc w:val="right"/>
              <w:textAlignment w:val="bottom"/>
            </w:pPr>
            <w:r>
              <w:rPr>
                <w:rFonts w:ascii="Arial" w:eastAsia="宋体" w:hAnsi="Arial" w:cs="Arial"/>
                <w:color w:val="026DCE"/>
                <w:sz w:val="18"/>
                <w:szCs w:val="18"/>
              </w:rPr>
              <w:t>%</w:t>
            </w:r>
          </w:p>
        </w:tc>
        <w:tc>
          <w:tcPr>
            <w:tcW w:w="0" w:type="auto"/>
            <w:gridSpan w:val="3"/>
            <w:shd w:val="clear" w:color="auto" w:fill="auto"/>
            <w:tcMar>
              <w:left w:w="20" w:type="dxa"/>
              <w:right w:w="20" w:type="dxa"/>
            </w:tcMar>
            <w:vAlign w:val="bottom"/>
          </w:tcPr>
          <w:p w14:paraId="36CA3576"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3577" w14:textId="77777777" w:rsidR="00787570" w:rsidRDefault="000D56E2">
            <w:pPr>
              <w:jc w:val="right"/>
              <w:textAlignment w:val="bottom"/>
            </w:pPr>
            <w:r>
              <w:rPr>
                <w:rFonts w:ascii="Arial" w:eastAsia="宋体" w:hAnsi="Arial" w:cs="Arial"/>
                <w:color w:val="026DCE"/>
                <w:sz w:val="18"/>
                <w:szCs w:val="18"/>
              </w:rPr>
              <w:t>423 </w:t>
            </w:r>
          </w:p>
        </w:tc>
        <w:tc>
          <w:tcPr>
            <w:tcW w:w="0" w:type="auto"/>
            <w:shd w:val="clear" w:color="auto" w:fill="auto"/>
            <w:tcMar>
              <w:top w:w="40" w:type="dxa"/>
              <w:bottom w:w="40" w:type="dxa"/>
              <w:right w:w="20" w:type="dxa"/>
            </w:tcMar>
            <w:vAlign w:val="bottom"/>
          </w:tcPr>
          <w:p w14:paraId="36CA3578"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3579"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357A" w14:textId="77777777" w:rsidR="00787570" w:rsidRDefault="000D56E2">
            <w:pPr>
              <w:jc w:val="right"/>
              <w:textAlignment w:val="bottom"/>
            </w:pPr>
            <w:r>
              <w:rPr>
                <w:rFonts w:ascii="Arial" w:eastAsia="宋体" w:hAnsi="Arial" w:cs="Arial"/>
                <w:color w:val="333333"/>
                <w:sz w:val="18"/>
                <w:szCs w:val="18"/>
              </w:rPr>
              <w:t>423 </w:t>
            </w:r>
          </w:p>
        </w:tc>
        <w:tc>
          <w:tcPr>
            <w:tcW w:w="0" w:type="auto"/>
            <w:shd w:val="clear" w:color="auto" w:fill="auto"/>
            <w:tcMar>
              <w:top w:w="40" w:type="dxa"/>
              <w:bottom w:w="40" w:type="dxa"/>
              <w:right w:w="20" w:type="dxa"/>
            </w:tcMar>
            <w:vAlign w:val="bottom"/>
          </w:tcPr>
          <w:p w14:paraId="36CA357B" w14:textId="77777777" w:rsidR="00787570" w:rsidRDefault="00787570">
            <w:pPr>
              <w:jc w:val="right"/>
              <w:rPr>
                <w:rFonts w:ascii="宋体"/>
              </w:rPr>
            </w:pPr>
          </w:p>
        </w:tc>
        <w:tc>
          <w:tcPr>
            <w:tcW w:w="0" w:type="auto"/>
            <w:shd w:val="clear" w:color="auto" w:fill="auto"/>
          </w:tcPr>
          <w:p w14:paraId="36CA357C" w14:textId="77777777" w:rsidR="00787570" w:rsidRDefault="00787570">
            <w:pPr>
              <w:rPr>
                <w:rFonts w:ascii="宋体"/>
              </w:rPr>
            </w:pPr>
          </w:p>
        </w:tc>
        <w:tc>
          <w:tcPr>
            <w:tcW w:w="0" w:type="auto"/>
            <w:shd w:val="clear" w:color="auto" w:fill="auto"/>
          </w:tcPr>
          <w:p w14:paraId="36CA357D" w14:textId="77777777" w:rsidR="00787570" w:rsidRDefault="00787570">
            <w:pPr>
              <w:rPr>
                <w:rFonts w:ascii="宋体"/>
              </w:rPr>
            </w:pPr>
          </w:p>
        </w:tc>
        <w:tc>
          <w:tcPr>
            <w:tcW w:w="0" w:type="auto"/>
            <w:shd w:val="clear" w:color="auto" w:fill="auto"/>
          </w:tcPr>
          <w:p w14:paraId="36CA357E" w14:textId="77777777" w:rsidR="00787570" w:rsidRDefault="00787570">
            <w:pPr>
              <w:rPr>
                <w:rFonts w:ascii="宋体"/>
              </w:rPr>
            </w:pPr>
          </w:p>
        </w:tc>
        <w:tc>
          <w:tcPr>
            <w:tcW w:w="0" w:type="auto"/>
            <w:shd w:val="clear" w:color="auto" w:fill="auto"/>
          </w:tcPr>
          <w:p w14:paraId="36CA357F" w14:textId="77777777" w:rsidR="00787570" w:rsidRDefault="00787570">
            <w:pPr>
              <w:rPr>
                <w:rFonts w:ascii="宋体"/>
              </w:rPr>
            </w:pPr>
          </w:p>
        </w:tc>
        <w:tc>
          <w:tcPr>
            <w:tcW w:w="0" w:type="auto"/>
            <w:shd w:val="clear" w:color="auto" w:fill="auto"/>
          </w:tcPr>
          <w:p w14:paraId="36CA3580" w14:textId="77777777" w:rsidR="00787570" w:rsidRDefault="00787570">
            <w:pPr>
              <w:rPr>
                <w:rFonts w:ascii="宋体"/>
              </w:rPr>
            </w:pPr>
          </w:p>
        </w:tc>
        <w:tc>
          <w:tcPr>
            <w:tcW w:w="0" w:type="auto"/>
            <w:shd w:val="clear" w:color="auto" w:fill="auto"/>
          </w:tcPr>
          <w:p w14:paraId="36CA3581" w14:textId="77777777" w:rsidR="00787570" w:rsidRDefault="00787570">
            <w:pPr>
              <w:rPr>
                <w:rFonts w:ascii="宋体"/>
              </w:rPr>
            </w:pPr>
          </w:p>
        </w:tc>
      </w:tr>
      <w:tr w:rsidR="00787570" w14:paraId="36CA3593" w14:textId="77777777">
        <w:tc>
          <w:tcPr>
            <w:tcW w:w="0" w:type="auto"/>
            <w:gridSpan w:val="3"/>
            <w:shd w:val="clear" w:color="auto" w:fill="auto"/>
            <w:tcMar>
              <w:top w:w="40" w:type="dxa"/>
              <w:left w:w="135" w:type="dxa"/>
              <w:bottom w:w="40" w:type="dxa"/>
              <w:right w:w="20" w:type="dxa"/>
            </w:tcMar>
            <w:vAlign w:val="center"/>
          </w:tcPr>
          <w:p w14:paraId="36CA3583" w14:textId="77777777" w:rsidR="00787570" w:rsidRDefault="000D56E2">
            <w:pPr>
              <w:textAlignment w:val="center"/>
            </w:pPr>
            <w:r>
              <w:rPr>
                <w:rFonts w:ascii="Arial" w:eastAsia="宋体" w:hAnsi="Arial" w:cs="Arial"/>
                <w:color w:val="333333"/>
                <w:sz w:val="18"/>
                <w:szCs w:val="18"/>
              </w:rPr>
              <w:t>5.00%, due</w:t>
            </w:r>
            <w:r>
              <w:rPr>
                <w:rFonts w:ascii="Arial" w:eastAsia="宋体" w:hAnsi="Arial" w:cs="Arial"/>
                <w:color w:val="333333"/>
                <w:sz w:val="18"/>
                <w:szCs w:val="18"/>
              </w:rPr>
              <w:t xml:space="preserve"> March 2049</w:t>
            </w:r>
          </w:p>
        </w:tc>
        <w:tc>
          <w:tcPr>
            <w:tcW w:w="0" w:type="auto"/>
            <w:gridSpan w:val="3"/>
            <w:shd w:val="clear" w:color="auto" w:fill="auto"/>
            <w:tcMar>
              <w:left w:w="20" w:type="dxa"/>
              <w:right w:w="20" w:type="dxa"/>
            </w:tcMar>
            <w:vAlign w:val="bottom"/>
          </w:tcPr>
          <w:p w14:paraId="36CA3584"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3585" w14:textId="77777777" w:rsidR="00787570" w:rsidRDefault="000D56E2">
            <w:pPr>
              <w:jc w:val="right"/>
              <w:textAlignment w:val="bottom"/>
            </w:pPr>
            <w:r>
              <w:rPr>
                <w:rFonts w:ascii="Arial" w:eastAsia="宋体" w:hAnsi="Arial" w:cs="Arial"/>
                <w:color w:val="026DCE"/>
                <w:sz w:val="18"/>
                <w:szCs w:val="18"/>
              </w:rPr>
              <w:t>2.12 </w:t>
            </w:r>
          </w:p>
        </w:tc>
        <w:tc>
          <w:tcPr>
            <w:tcW w:w="0" w:type="auto"/>
            <w:shd w:val="clear" w:color="auto" w:fill="auto"/>
            <w:tcMar>
              <w:top w:w="40" w:type="dxa"/>
              <w:bottom w:w="40" w:type="dxa"/>
              <w:right w:w="20" w:type="dxa"/>
            </w:tcMar>
            <w:vAlign w:val="bottom"/>
          </w:tcPr>
          <w:p w14:paraId="36CA3586" w14:textId="77777777" w:rsidR="00787570" w:rsidRDefault="000D56E2">
            <w:pPr>
              <w:jc w:val="right"/>
              <w:textAlignment w:val="bottom"/>
            </w:pPr>
            <w:r>
              <w:rPr>
                <w:rFonts w:ascii="Arial" w:eastAsia="宋体" w:hAnsi="Arial" w:cs="Arial"/>
                <w:color w:val="026DCE"/>
                <w:sz w:val="18"/>
                <w:szCs w:val="18"/>
              </w:rPr>
              <w:t>%</w:t>
            </w:r>
          </w:p>
        </w:tc>
        <w:tc>
          <w:tcPr>
            <w:tcW w:w="0" w:type="auto"/>
            <w:gridSpan w:val="3"/>
            <w:shd w:val="clear" w:color="auto" w:fill="auto"/>
            <w:tcMar>
              <w:left w:w="20" w:type="dxa"/>
              <w:right w:w="20" w:type="dxa"/>
            </w:tcMar>
            <w:vAlign w:val="bottom"/>
          </w:tcPr>
          <w:p w14:paraId="36CA3587"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3588" w14:textId="77777777" w:rsidR="00787570" w:rsidRDefault="000D56E2">
            <w:pPr>
              <w:jc w:val="right"/>
              <w:textAlignment w:val="bottom"/>
            </w:pPr>
            <w:r>
              <w:rPr>
                <w:rFonts w:ascii="Arial" w:eastAsia="宋体" w:hAnsi="Arial" w:cs="Arial"/>
                <w:color w:val="026DCE"/>
                <w:sz w:val="18"/>
                <w:szCs w:val="18"/>
              </w:rPr>
              <w:t>138 </w:t>
            </w:r>
          </w:p>
        </w:tc>
        <w:tc>
          <w:tcPr>
            <w:tcW w:w="0" w:type="auto"/>
            <w:shd w:val="clear" w:color="auto" w:fill="auto"/>
            <w:tcMar>
              <w:top w:w="40" w:type="dxa"/>
              <w:bottom w:w="40" w:type="dxa"/>
              <w:right w:w="20" w:type="dxa"/>
            </w:tcMar>
            <w:vAlign w:val="bottom"/>
          </w:tcPr>
          <w:p w14:paraId="36CA3589"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358A"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358B" w14:textId="77777777" w:rsidR="00787570" w:rsidRDefault="000D56E2">
            <w:pPr>
              <w:jc w:val="right"/>
              <w:textAlignment w:val="bottom"/>
            </w:pPr>
            <w:r>
              <w:rPr>
                <w:rFonts w:ascii="Arial" w:eastAsia="宋体" w:hAnsi="Arial" w:cs="Arial"/>
                <w:color w:val="333333"/>
                <w:sz w:val="18"/>
                <w:szCs w:val="18"/>
              </w:rPr>
              <w:t>138 </w:t>
            </w:r>
          </w:p>
        </w:tc>
        <w:tc>
          <w:tcPr>
            <w:tcW w:w="0" w:type="auto"/>
            <w:shd w:val="clear" w:color="auto" w:fill="auto"/>
            <w:tcMar>
              <w:top w:w="40" w:type="dxa"/>
              <w:bottom w:w="40" w:type="dxa"/>
              <w:right w:w="20" w:type="dxa"/>
            </w:tcMar>
            <w:vAlign w:val="bottom"/>
          </w:tcPr>
          <w:p w14:paraId="36CA358C" w14:textId="77777777" w:rsidR="00787570" w:rsidRDefault="00787570">
            <w:pPr>
              <w:jc w:val="right"/>
              <w:rPr>
                <w:rFonts w:ascii="宋体"/>
              </w:rPr>
            </w:pPr>
          </w:p>
        </w:tc>
        <w:tc>
          <w:tcPr>
            <w:tcW w:w="0" w:type="auto"/>
            <w:shd w:val="clear" w:color="auto" w:fill="auto"/>
          </w:tcPr>
          <w:p w14:paraId="36CA358D" w14:textId="77777777" w:rsidR="00787570" w:rsidRDefault="00787570">
            <w:pPr>
              <w:rPr>
                <w:rFonts w:ascii="宋体"/>
              </w:rPr>
            </w:pPr>
          </w:p>
        </w:tc>
        <w:tc>
          <w:tcPr>
            <w:tcW w:w="0" w:type="auto"/>
            <w:shd w:val="clear" w:color="auto" w:fill="auto"/>
          </w:tcPr>
          <w:p w14:paraId="36CA358E" w14:textId="77777777" w:rsidR="00787570" w:rsidRDefault="00787570">
            <w:pPr>
              <w:rPr>
                <w:rFonts w:ascii="宋体"/>
              </w:rPr>
            </w:pPr>
          </w:p>
        </w:tc>
        <w:tc>
          <w:tcPr>
            <w:tcW w:w="0" w:type="auto"/>
            <w:shd w:val="clear" w:color="auto" w:fill="auto"/>
          </w:tcPr>
          <w:p w14:paraId="36CA358F" w14:textId="77777777" w:rsidR="00787570" w:rsidRDefault="00787570">
            <w:pPr>
              <w:rPr>
                <w:rFonts w:ascii="宋体"/>
              </w:rPr>
            </w:pPr>
          </w:p>
        </w:tc>
        <w:tc>
          <w:tcPr>
            <w:tcW w:w="0" w:type="auto"/>
            <w:shd w:val="clear" w:color="auto" w:fill="auto"/>
          </w:tcPr>
          <w:p w14:paraId="36CA3590" w14:textId="77777777" w:rsidR="00787570" w:rsidRDefault="00787570">
            <w:pPr>
              <w:rPr>
                <w:rFonts w:ascii="宋体"/>
              </w:rPr>
            </w:pPr>
          </w:p>
        </w:tc>
        <w:tc>
          <w:tcPr>
            <w:tcW w:w="0" w:type="auto"/>
            <w:shd w:val="clear" w:color="auto" w:fill="auto"/>
          </w:tcPr>
          <w:p w14:paraId="36CA3591" w14:textId="77777777" w:rsidR="00787570" w:rsidRDefault="00787570">
            <w:pPr>
              <w:rPr>
                <w:rFonts w:ascii="宋体"/>
              </w:rPr>
            </w:pPr>
          </w:p>
        </w:tc>
        <w:tc>
          <w:tcPr>
            <w:tcW w:w="0" w:type="auto"/>
            <w:shd w:val="clear" w:color="auto" w:fill="auto"/>
          </w:tcPr>
          <w:p w14:paraId="36CA3592" w14:textId="77777777" w:rsidR="00787570" w:rsidRDefault="00787570">
            <w:pPr>
              <w:rPr>
                <w:rFonts w:ascii="宋体"/>
              </w:rPr>
            </w:pPr>
          </w:p>
        </w:tc>
      </w:tr>
      <w:tr w:rsidR="00787570" w14:paraId="36CA35A4" w14:textId="77777777">
        <w:tc>
          <w:tcPr>
            <w:tcW w:w="0" w:type="auto"/>
            <w:gridSpan w:val="3"/>
            <w:shd w:val="clear" w:color="auto" w:fill="auto"/>
            <w:tcMar>
              <w:top w:w="40" w:type="dxa"/>
              <w:left w:w="135" w:type="dxa"/>
              <w:bottom w:w="40" w:type="dxa"/>
              <w:right w:w="20" w:type="dxa"/>
            </w:tcMar>
            <w:vAlign w:val="center"/>
          </w:tcPr>
          <w:p w14:paraId="36CA3594" w14:textId="77777777" w:rsidR="00787570" w:rsidRDefault="000D56E2">
            <w:pPr>
              <w:textAlignment w:val="center"/>
            </w:pPr>
            <w:r>
              <w:rPr>
                <w:rFonts w:ascii="Arial" w:eastAsia="宋体" w:hAnsi="Arial" w:cs="Arial"/>
                <w:color w:val="333333"/>
                <w:sz w:val="18"/>
                <w:szCs w:val="18"/>
              </w:rPr>
              <w:t>5.00%</w:t>
            </w:r>
            <w:r>
              <w:rPr>
                <w:rFonts w:ascii="Arial" w:eastAsia="宋体" w:hAnsi="Arial" w:cs="Arial"/>
                <w:color w:val="333333"/>
                <w:sz w:val="18"/>
                <w:szCs w:val="18"/>
              </w:rPr>
              <w:t>, due June 2049</w:t>
            </w:r>
          </w:p>
        </w:tc>
        <w:tc>
          <w:tcPr>
            <w:tcW w:w="0" w:type="auto"/>
            <w:gridSpan w:val="3"/>
            <w:shd w:val="clear" w:color="auto" w:fill="auto"/>
            <w:tcMar>
              <w:left w:w="20" w:type="dxa"/>
              <w:right w:w="20" w:type="dxa"/>
            </w:tcMar>
            <w:vAlign w:val="bottom"/>
          </w:tcPr>
          <w:p w14:paraId="36CA3595"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3596" w14:textId="77777777" w:rsidR="00787570" w:rsidRDefault="000D56E2">
            <w:pPr>
              <w:jc w:val="right"/>
              <w:textAlignment w:val="bottom"/>
            </w:pPr>
            <w:r>
              <w:rPr>
                <w:rFonts w:ascii="Arial" w:eastAsia="宋体" w:hAnsi="Arial" w:cs="Arial"/>
                <w:color w:val="026DCE"/>
                <w:sz w:val="18"/>
                <w:szCs w:val="18"/>
              </w:rPr>
              <w:t>2.15 </w:t>
            </w:r>
          </w:p>
        </w:tc>
        <w:tc>
          <w:tcPr>
            <w:tcW w:w="0" w:type="auto"/>
            <w:shd w:val="clear" w:color="auto" w:fill="auto"/>
            <w:tcMar>
              <w:top w:w="40" w:type="dxa"/>
              <w:bottom w:w="40" w:type="dxa"/>
              <w:right w:w="20" w:type="dxa"/>
            </w:tcMar>
            <w:vAlign w:val="bottom"/>
          </w:tcPr>
          <w:p w14:paraId="36CA3597" w14:textId="77777777" w:rsidR="00787570" w:rsidRDefault="000D56E2">
            <w:pPr>
              <w:jc w:val="right"/>
              <w:textAlignment w:val="bottom"/>
            </w:pPr>
            <w:r>
              <w:rPr>
                <w:rFonts w:ascii="Arial" w:eastAsia="宋体" w:hAnsi="Arial" w:cs="Arial"/>
                <w:color w:val="026DCE"/>
                <w:sz w:val="18"/>
                <w:szCs w:val="18"/>
              </w:rPr>
              <w:t>%</w:t>
            </w:r>
          </w:p>
        </w:tc>
        <w:tc>
          <w:tcPr>
            <w:tcW w:w="0" w:type="auto"/>
            <w:gridSpan w:val="3"/>
            <w:shd w:val="clear" w:color="auto" w:fill="auto"/>
            <w:tcMar>
              <w:left w:w="20" w:type="dxa"/>
              <w:right w:w="20" w:type="dxa"/>
            </w:tcMar>
            <w:vAlign w:val="bottom"/>
          </w:tcPr>
          <w:p w14:paraId="36CA3598"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3599" w14:textId="77777777" w:rsidR="00787570" w:rsidRDefault="000D56E2">
            <w:pPr>
              <w:jc w:val="right"/>
              <w:textAlignment w:val="bottom"/>
            </w:pPr>
            <w:r>
              <w:rPr>
                <w:rFonts w:ascii="Arial" w:eastAsia="宋体" w:hAnsi="Arial" w:cs="Arial"/>
                <w:color w:val="026DCE"/>
                <w:sz w:val="18"/>
                <w:szCs w:val="18"/>
              </w:rPr>
              <w:t>438 </w:t>
            </w:r>
          </w:p>
        </w:tc>
        <w:tc>
          <w:tcPr>
            <w:tcW w:w="0" w:type="auto"/>
            <w:shd w:val="clear" w:color="auto" w:fill="auto"/>
            <w:tcMar>
              <w:top w:w="40" w:type="dxa"/>
              <w:bottom w:w="40" w:type="dxa"/>
              <w:right w:w="20" w:type="dxa"/>
            </w:tcMar>
            <w:vAlign w:val="bottom"/>
          </w:tcPr>
          <w:p w14:paraId="36CA359A"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359B"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359C" w14:textId="77777777" w:rsidR="00787570" w:rsidRDefault="000D56E2">
            <w:pPr>
              <w:jc w:val="right"/>
              <w:textAlignment w:val="bottom"/>
            </w:pPr>
            <w:r>
              <w:rPr>
                <w:rFonts w:ascii="Arial" w:eastAsia="宋体" w:hAnsi="Arial" w:cs="Arial"/>
                <w:color w:val="333333"/>
                <w:sz w:val="18"/>
                <w:szCs w:val="18"/>
              </w:rPr>
              <w:t>438 </w:t>
            </w:r>
          </w:p>
        </w:tc>
        <w:tc>
          <w:tcPr>
            <w:tcW w:w="0" w:type="auto"/>
            <w:shd w:val="clear" w:color="auto" w:fill="auto"/>
            <w:tcMar>
              <w:top w:w="40" w:type="dxa"/>
              <w:bottom w:w="40" w:type="dxa"/>
              <w:right w:w="20" w:type="dxa"/>
            </w:tcMar>
            <w:vAlign w:val="bottom"/>
          </w:tcPr>
          <w:p w14:paraId="36CA359D" w14:textId="77777777" w:rsidR="00787570" w:rsidRDefault="00787570">
            <w:pPr>
              <w:jc w:val="right"/>
              <w:rPr>
                <w:rFonts w:ascii="宋体"/>
              </w:rPr>
            </w:pPr>
          </w:p>
        </w:tc>
        <w:tc>
          <w:tcPr>
            <w:tcW w:w="0" w:type="auto"/>
            <w:shd w:val="clear" w:color="auto" w:fill="auto"/>
          </w:tcPr>
          <w:p w14:paraId="36CA359E" w14:textId="77777777" w:rsidR="00787570" w:rsidRDefault="00787570">
            <w:pPr>
              <w:rPr>
                <w:rFonts w:ascii="宋体"/>
              </w:rPr>
            </w:pPr>
          </w:p>
        </w:tc>
        <w:tc>
          <w:tcPr>
            <w:tcW w:w="0" w:type="auto"/>
            <w:shd w:val="clear" w:color="auto" w:fill="auto"/>
          </w:tcPr>
          <w:p w14:paraId="36CA359F" w14:textId="77777777" w:rsidR="00787570" w:rsidRDefault="00787570">
            <w:pPr>
              <w:rPr>
                <w:rFonts w:ascii="宋体"/>
              </w:rPr>
            </w:pPr>
          </w:p>
        </w:tc>
        <w:tc>
          <w:tcPr>
            <w:tcW w:w="0" w:type="auto"/>
            <w:shd w:val="clear" w:color="auto" w:fill="auto"/>
          </w:tcPr>
          <w:p w14:paraId="36CA35A0" w14:textId="77777777" w:rsidR="00787570" w:rsidRDefault="00787570">
            <w:pPr>
              <w:rPr>
                <w:rFonts w:ascii="宋体"/>
              </w:rPr>
            </w:pPr>
          </w:p>
        </w:tc>
        <w:tc>
          <w:tcPr>
            <w:tcW w:w="0" w:type="auto"/>
            <w:shd w:val="clear" w:color="auto" w:fill="auto"/>
          </w:tcPr>
          <w:p w14:paraId="36CA35A1" w14:textId="77777777" w:rsidR="00787570" w:rsidRDefault="00787570">
            <w:pPr>
              <w:rPr>
                <w:rFonts w:ascii="宋体"/>
              </w:rPr>
            </w:pPr>
          </w:p>
        </w:tc>
        <w:tc>
          <w:tcPr>
            <w:tcW w:w="0" w:type="auto"/>
            <w:shd w:val="clear" w:color="auto" w:fill="auto"/>
          </w:tcPr>
          <w:p w14:paraId="36CA35A2" w14:textId="77777777" w:rsidR="00787570" w:rsidRDefault="00787570">
            <w:pPr>
              <w:rPr>
                <w:rFonts w:ascii="宋体"/>
              </w:rPr>
            </w:pPr>
          </w:p>
        </w:tc>
        <w:tc>
          <w:tcPr>
            <w:tcW w:w="0" w:type="auto"/>
            <w:shd w:val="clear" w:color="auto" w:fill="auto"/>
          </w:tcPr>
          <w:p w14:paraId="36CA35A3" w14:textId="77777777" w:rsidR="00787570" w:rsidRDefault="00787570">
            <w:pPr>
              <w:rPr>
                <w:rFonts w:ascii="宋体"/>
              </w:rPr>
            </w:pPr>
          </w:p>
        </w:tc>
      </w:tr>
      <w:tr w:rsidR="00787570" w14:paraId="36CA35B2" w14:textId="77777777">
        <w:tc>
          <w:tcPr>
            <w:tcW w:w="0" w:type="auto"/>
            <w:gridSpan w:val="3"/>
            <w:shd w:val="clear" w:color="auto" w:fill="auto"/>
            <w:tcMar>
              <w:top w:w="40" w:type="dxa"/>
              <w:left w:w="20" w:type="dxa"/>
              <w:bottom w:w="40" w:type="dxa"/>
              <w:right w:w="20" w:type="dxa"/>
            </w:tcMar>
            <w:vAlign w:val="center"/>
          </w:tcPr>
          <w:p w14:paraId="36CA35A5" w14:textId="77777777" w:rsidR="00787570" w:rsidRDefault="000D56E2">
            <w:pPr>
              <w:textAlignment w:val="center"/>
            </w:pPr>
            <w:r>
              <w:rPr>
                <w:rFonts w:ascii="Arial" w:eastAsia="宋体" w:hAnsi="Arial" w:cs="Arial"/>
                <w:color w:val="333333"/>
                <w:sz w:val="18"/>
                <w:szCs w:val="18"/>
              </w:rPr>
              <w:t>Junio</w:t>
            </w:r>
            <w:r>
              <w:rPr>
                <w:rFonts w:ascii="Arial" w:eastAsia="宋体" w:hAnsi="Arial" w:cs="Arial"/>
                <w:color w:val="333333"/>
                <w:sz w:val="18"/>
                <w:szCs w:val="18"/>
              </w:rPr>
              <w:t>r Subordinated Convertible Debentures:</w:t>
            </w:r>
          </w:p>
        </w:tc>
        <w:tc>
          <w:tcPr>
            <w:tcW w:w="0" w:type="auto"/>
            <w:gridSpan w:val="3"/>
            <w:shd w:val="clear" w:color="auto" w:fill="auto"/>
            <w:tcMar>
              <w:left w:w="20" w:type="dxa"/>
              <w:right w:w="20" w:type="dxa"/>
            </w:tcMar>
            <w:vAlign w:val="bottom"/>
          </w:tcPr>
          <w:p w14:paraId="36CA35A6"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35A7"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35A8"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35A9"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35AA"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35AB" w14:textId="77777777" w:rsidR="00787570" w:rsidRDefault="00787570">
            <w:pPr>
              <w:rPr>
                <w:rFonts w:ascii="宋体"/>
              </w:rPr>
            </w:pPr>
          </w:p>
        </w:tc>
        <w:tc>
          <w:tcPr>
            <w:tcW w:w="0" w:type="auto"/>
            <w:shd w:val="clear" w:color="auto" w:fill="auto"/>
          </w:tcPr>
          <w:p w14:paraId="36CA35AC" w14:textId="77777777" w:rsidR="00787570" w:rsidRDefault="00787570">
            <w:pPr>
              <w:rPr>
                <w:rFonts w:ascii="宋体"/>
              </w:rPr>
            </w:pPr>
          </w:p>
        </w:tc>
        <w:tc>
          <w:tcPr>
            <w:tcW w:w="0" w:type="auto"/>
            <w:shd w:val="clear" w:color="auto" w:fill="auto"/>
          </w:tcPr>
          <w:p w14:paraId="36CA35AD" w14:textId="77777777" w:rsidR="00787570" w:rsidRDefault="00787570">
            <w:pPr>
              <w:rPr>
                <w:rFonts w:ascii="宋体"/>
              </w:rPr>
            </w:pPr>
          </w:p>
        </w:tc>
        <w:tc>
          <w:tcPr>
            <w:tcW w:w="0" w:type="auto"/>
            <w:shd w:val="clear" w:color="auto" w:fill="auto"/>
          </w:tcPr>
          <w:p w14:paraId="36CA35AE" w14:textId="77777777" w:rsidR="00787570" w:rsidRDefault="00787570">
            <w:pPr>
              <w:rPr>
                <w:rFonts w:ascii="宋体"/>
              </w:rPr>
            </w:pPr>
          </w:p>
        </w:tc>
        <w:tc>
          <w:tcPr>
            <w:tcW w:w="0" w:type="auto"/>
            <w:shd w:val="clear" w:color="auto" w:fill="auto"/>
          </w:tcPr>
          <w:p w14:paraId="36CA35AF" w14:textId="77777777" w:rsidR="00787570" w:rsidRDefault="00787570">
            <w:pPr>
              <w:rPr>
                <w:rFonts w:ascii="宋体"/>
              </w:rPr>
            </w:pPr>
          </w:p>
        </w:tc>
        <w:tc>
          <w:tcPr>
            <w:tcW w:w="0" w:type="auto"/>
            <w:shd w:val="clear" w:color="auto" w:fill="auto"/>
          </w:tcPr>
          <w:p w14:paraId="36CA35B0" w14:textId="77777777" w:rsidR="00787570" w:rsidRDefault="00787570">
            <w:pPr>
              <w:rPr>
                <w:rFonts w:ascii="宋体"/>
              </w:rPr>
            </w:pPr>
          </w:p>
        </w:tc>
        <w:tc>
          <w:tcPr>
            <w:tcW w:w="0" w:type="auto"/>
            <w:shd w:val="clear" w:color="auto" w:fill="auto"/>
          </w:tcPr>
          <w:p w14:paraId="36CA35B1" w14:textId="77777777" w:rsidR="00787570" w:rsidRDefault="00787570">
            <w:pPr>
              <w:rPr>
                <w:rFonts w:ascii="宋体"/>
              </w:rPr>
            </w:pPr>
          </w:p>
        </w:tc>
      </w:tr>
      <w:tr w:rsidR="00787570" w14:paraId="36CA35C3" w14:textId="77777777">
        <w:tc>
          <w:tcPr>
            <w:tcW w:w="0" w:type="auto"/>
            <w:gridSpan w:val="3"/>
            <w:shd w:val="clear" w:color="auto" w:fill="auto"/>
            <w:tcMar>
              <w:top w:w="40" w:type="dxa"/>
              <w:left w:w="135" w:type="dxa"/>
              <w:bottom w:w="40" w:type="dxa"/>
              <w:right w:w="20" w:type="dxa"/>
            </w:tcMar>
            <w:vAlign w:val="center"/>
          </w:tcPr>
          <w:p w14:paraId="36CA35B3" w14:textId="77777777" w:rsidR="00787570" w:rsidRDefault="000D56E2">
            <w:pPr>
              <w:textAlignment w:val="center"/>
            </w:pPr>
            <w:r>
              <w:rPr>
                <w:rFonts w:ascii="Arial" w:eastAsia="宋体" w:hAnsi="Arial" w:cs="Arial"/>
                <w:color w:val="333333"/>
                <w:sz w:val="18"/>
                <w:szCs w:val="18"/>
              </w:rPr>
              <w:t>3.25%, due August 2039</w:t>
            </w:r>
          </w:p>
        </w:tc>
        <w:tc>
          <w:tcPr>
            <w:tcW w:w="0" w:type="auto"/>
            <w:gridSpan w:val="3"/>
            <w:shd w:val="clear" w:color="auto" w:fill="auto"/>
            <w:tcMar>
              <w:left w:w="20" w:type="dxa"/>
              <w:right w:w="20" w:type="dxa"/>
            </w:tcMar>
            <w:vAlign w:val="bottom"/>
          </w:tcPr>
          <w:p w14:paraId="36CA35B4"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35B5" w14:textId="77777777" w:rsidR="00787570" w:rsidRDefault="000D56E2">
            <w:pPr>
              <w:jc w:val="right"/>
              <w:textAlignment w:val="bottom"/>
            </w:pPr>
            <w:r>
              <w:rPr>
                <w:rFonts w:ascii="Arial" w:eastAsia="宋体" w:hAnsi="Arial" w:cs="Arial"/>
                <w:color w:val="026DCE"/>
                <w:sz w:val="18"/>
                <w:szCs w:val="18"/>
              </w:rPr>
              <w:t>— </w:t>
            </w:r>
          </w:p>
        </w:tc>
        <w:tc>
          <w:tcPr>
            <w:tcW w:w="0" w:type="auto"/>
            <w:shd w:val="clear" w:color="auto" w:fill="auto"/>
            <w:tcMar>
              <w:top w:w="40" w:type="dxa"/>
              <w:bottom w:w="40" w:type="dxa"/>
              <w:right w:w="20" w:type="dxa"/>
            </w:tcMar>
            <w:vAlign w:val="bottom"/>
          </w:tcPr>
          <w:p w14:paraId="36CA35B6"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35B7"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35B8" w14:textId="77777777" w:rsidR="00787570" w:rsidRDefault="000D56E2">
            <w:pPr>
              <w:jc w:val="right"/>
              <w:textAlignment w:val="bottom"/>
            </w:pPr>
            <w:r>
              <w:rPr>
                <w:rFonts w:ascii="Arial" w:eastAsia="宋体" w:hAnsi="Arial" w:cs="Arial"/>
                <w:color w:val="026DCE"/>
                <w:sz w:val="18"/>
                <w:szCs w:val="18"/>
              </w:rPr>
              <w:t>— </w:t>
            </w:r>
          </w:p>
        </w:tc>
        <w:tc>
          <w:tcPr>
            <w:tcW w:w="0" w:type="auto"/>
            <w:shd w:val="clear" w:color="auto" w:fill="auto"/>
            <w:tcMar>
              <w:top w:w="40" w:type="dxa"/>
              <w:bottom w:w="40" w:type="dxa"/>
              <w:right w:w="20" w:type="dxa"/>
            </w:tcMar>
            <w:vAlign w:val="bottom"/>
          </w:tcPr>
          <w:p w14:paraId="36CA35B9"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35BA"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35BB" w14:textId="77777777" w:rsidR="00787570" w:rsidRDefault="000D56E2">
            <w:pPr>
              <w:jc w:val="right"/>
              <w:textAlignment w:val="bottom"/>
            </w:pPr>
            <w:r>
              <w:rPr>
                <w:rFonts w:ascii="Arial" w:eastAsia="宋体" w:hAnsi="Arial" w:cs="Arial"/>
                <w:color w:val="333333"/>
                <w:sz w:val="18"/>
                <w:szCs w:val="18"/>
              </w:rPr>
              <w:t>372 </w:t>
            </w:r>
          </w:p>
        </w:tc>
        <w:tc>
          <w:tcPr>
            <w:tcW w:w="0" w:type="auto"/>
            <w:shd w:val="clear" w:color="auto" w:fill="auto"/>
            <w:tcMar>
              <w:top w:w="40" w:type="dxa"/>
              <w:bottom w:w="40" w:type="dxa"/>
              <w:right w:w="20" w:type="dxa"/>
            </w:tcMar>
            <w:vAlign w:val="bottom"/>
          </w:tcPr>
          <w:p w14:paraId="36CA35BC" w14:textId="77777777" w:rsidR="00787570" w:rsidRDefault="00787570">
            <w:pPr>
              <w:jc w:val="right"/>
              <w:rPr>
                <w:rFonts w:ascii="宋体"/>
              </w:rPr>
            </w:pPr>
          </w:p>
        </w:tc>
        <w:tc>
          <w:tcPr>
            <w:tcW w:w="0" w:type="auto"/>
            <w:shd w:val="clear" w:color="auto" w:fill="auto"/>
          </w:tcPr>
          <w:p w14:paraId="36CA35BD" w14:textId="77777777" w:rsidR="00787570" w:rsidRDefault="00787570">
            <w:pPr>
              <w:rPr>
                <w:rFonts w:ascii="宋体"/>
              </w:rPr>
            </w:pPr>
          </w:p>
        </w:tc>
        <w:tc>
          <w:tcPr>
            <w:tcW w:w="0" w:type="auto"/>
            <w:shd w:val="clear" w:color="auto" w:fill="auto"/>
          </w:tcPr>
          <w:p w14:paraId="36CA35BE" w14:textId="77777777" w:rsidR="00787570" w:rsidRDefault="00787570">
            <w:pPr>
              <w:rPr>
                <w:rFonts w:ascii="宋体"/>
              </w:rPr>
            </w:pPr>
          </w:p>
        </w:tc>
        <w:tc>
          <w:tcPr>
            <w:tcW w:w="0" w:type="auto"/>
            <w:shd w:val="clear" w:color="auto" w:fill="auto"/>
          </w:tcPr>
          <w:p w14:paraId="36CA35BF" w14:textId="77777777" w:rsidR="00787570" w:rsidRDefault="00787570">
            <w:pPr>
              <w:rPr>
                <w:rFonts w:ascii="宋体"/>
              </w:rPr>
            </w:pPr>
          </w:p>
        </w:tc>
        <w:tc>
          <w:tcPr>
            <w:tcW w:w="0" w:type="auto"/>
            <w:shd w:val="clear" w:color="auto" w:fill="auto"/>
          </w:tcPr>
          <w:p w14:paraId="36CA35C0" w14:textId="77777777" w:rsidR="00787570" w:rsidRDefault="00787570">
            <w:pPr>
              <w:rPr>
                <w:rFonts w:ascii="宋体"/>
              </w:rPr>
            </w:pPr>
          </w:p>
        </w:tc>
        <w:tc>
          <w:tcPr>
            <w:tcW w:w="0" w:type="auto"/>
            <w:shd w:val="clear" w:color="auto" w:fill="auto"/>
          </w:tcPr>
          <w:p w14:paraId="36CA35C1" w14:textId="77777777" w:rsidR="00787570" w:rsidRDefault="00787570">
            <w:pPr>
              <w:rPr>
                <w:rFonts w:ascii="宋体"/>
              </w:rPr>
            </w:pPr>
          </w:p>
        </w:tc>
        <w:tc>
          <w:tcPr>
            <w:tcW w:w="0" w:type="auto"/>
            <w:shd w:val="clear" w:color="auto" w:fill="auto"/>
          </w:tcPr>
          <w:p w14:paraId="36CA35C2" w14:textId="77777777" w:rsidR="00787570" w:rsidRDefault="00787570">
            <w:pPr>
              <w:rPr>
                <w:rFonts w:ascii="宋体"/>
              </w:rPr>
            </w:pPr>
          </w:p>
        </w:tc>
      </w:tr>
      <w:tr w:rsidR="00787570" w14:paraId="36CA35D3" w14:textId="77777777">
        <w:tc>
          <w:tcPr>
            <w:tcW w:w="0" w:type="auto"/>
            <w:gridSpan w:val="3"/>
            <w:shd w:val="clear" w:color="auto" w:fill="auto"/>
            <w:tcMar>
              <w:top w:w="40" w:type="dxa"/>
              <w:left w:w="20" w:type="dxa"/>
              <w:bottom w:w="40" w:type="dxa"/>
              <w:right w:w="20" w:type="dxa"/>
            </w:tcMar>
            <w:vAlign w:val="center"/>
          </w:tcPr>
          <w:p w14:paraId="36CA35C4" w14:textId="77777777" w:rsidR="00787570" w:rsidRDefault="000D56E2">
            <w:pPr>
              <w:textAlignment w:val="center"/>
            </w:pPr>
            <w:r>
              <w:rPr>
                <w:rFonts w:ascii="Arial" w:eastAsia="宋体" w:hAnsi="Arial" w:cs="Arial"/>
                <w:b/>
                <w:bCs/>
                <w:color w:val="333333"/>
                <w:sz w:val="18"/>
                <w:szCs w:val="18"/>
              </w:rPr>
              <w:t>Total</w:t>
            </w:r>
            <w:r>
              <w:rPr>
                <w:rFonts w:ascii="Arial" w:eastAsia="宋体" w:hAnsi="Arial" w:cs="Arial"/>
                <w:b/>
                <w:bCs/>
                <w:color w:val="333333"/>
                <w:sz w:val="18"/>
                <w:szCs w:val="18"/>
              </w:rPr>
              <w:t xml:space="preserve"> Senior Notes and Other Borrowings</w:t>
            </w:r>
          </w:p>
        </w:tc>
        <w:tc>
          <w:tcPr>
            <w:tcW w:w="0" w:type="auto"/>
            <w:gridSpan w:val="3"/>
            <w:shd w:val="clear" w:color="auto" w:fill="auto"/>
            <w:tcMar>
              <w:left w:w="20" w:type="dxa"/>
              <w:right w:w="20" w:type="dxa"/>
            </w:tcMar>
            <w:vAlign w:val="bottom"/>
          </w:tcPr>
          <w:p w14:paraId="36CA35C5"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35C6"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35C7" w14:textId="77777777" w:rsidR="00787570" w:rsidRDefault="00787570">
            <w:pPr>
              <w:rPr>
                <w:rFonts w:ascii="宋体"/>
              </w:rPr>
            </w:pPr>
          </w:p>
        </w:tc>
        <w:tc>
          <w:tcPr>
            <w:tcW w:w="0" w:type="auto"/>
            <w:gridSpan w:val="2"/>
            <w:tcBorders>
              <w:top w:val="single" w:sz="8" w:space="0" w:color="333333"/>
            </w:tcBorders>
            <w:shd w:val="clear" w:color="auto" w:fill="auto"/>
            <w:tcMar>
              <w:top w:w="40" w:type="dxa"/>
              <w:left w:w="20" w:type="dxa"/>
              <w:bottom w:w="40" w:type="dxa"/>
              <w:right w:w="0" w:type="dxa"/>
            </w:tcMar>
            <w:vAlign w:val="bottom"/>
          </w:tcPr>
          <w:p w14:paraId="36CA35C8" w14:textId="77777777" w:rsidR="00787570" w:rsidRDefault="000D56E2">
            <w:pPr>
              <w:jc w:val="right"/>
              <w:textAlignment w:val="bottom"/>
            </w:pPr>
            <w:r>
              <w:rPr>
                <w:rFonts w:ascii="Arial" w:eastAsia="宋体" w:hAnsi="Arial" w:cs="Arial"/>
                <w:b/>
                <w:bCs/>
                <w:color w:val="026DCE"/>
                <w:sz w:val="18"/>
                <w:szCs w:val="18"/>
              </w:rPr>
              <w:t>35,185</w:t>
            </w:r>
            <w:r>
              <w:rPr>
                <w:rFonts w:ascii="Arial" w:eastAsia="宋体" w:hAnsi="Arial" w:cs="Arial"/>
                <w:color w:val="026DCE"/>
                <w:sz w:val="18"/>
                <w:szCs w:val="18"/>
              </w:rPr>
              <w:t> </w:t>
            </w:r>
          </w:p>
        </w:tc>
        <w:tc>
          <w:tcPr>
            <w:tcW w:w="0" w:type="auto"/>
            <w:tcBorders>
              <w:top w:val="single" w:sz="8" w:space="0" w:color="333333"/>
            </w:tcBorders>
            <w:shd w:val="clear" w:color="auto" w:fill="auto"/>
            <w:tcMar>
              <w:top w:w="40" w:type="dxa"/>
              <w:bottom w:w="40" w:type="dxa"/>
              <w:right w:w="20" w:type="dxa"/>
            </w:tcMar>
            <w:vAlign w:val="bottom"/>
          </w:tcPr>
          <w:p w14:paraId="36CA35C9"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35CA" w14:textId="77777777" w:rsidR="00787570" w:rsidRDefault="00787570">
            <w:pPr>
              <w:rPr>
                <w:rFonts w:ascii="宋体"/>
              </w:rPr>
            </w:pPr>
          </w:p>
        </w:tc>
        <w:tc>
          <w:tcPr>
            <w:tcW w:w="0" w:type="auto"/>
            <w:gridSpan w:val="2"/>
            <w:tcBorders>
              <w:top w:val="single" w:sz="8" w:space="0" w:color="333333"/>
            </w:tcBorders>
            <w:shd w:val="clear" w:color="auto" w:fill="auto"/>
            <w:tcMar>
              <w:top w:w="40" w:type="dxa"/>
              <w:left w:w="20" w:type="dxa"/>
              <w:bottom w:w="40" w:type="dxa"/>
              <w:right w:w="0" w:type="dxa"/>
            </w:tcMar>
            <w:vAlign w:val="bottom"/>
          </w:tcPr>
          <w:p w14:paraId="36CA35CB" w14:textId="77777777" w:rsidR="00787570" w:rsidRDefault="000D56E2">
            <w:pPr>
              <w:jc w:val="right"/>
              <w:textAlignment w:val="bottom"/>
            </w:pPr>
            <w:r>
              <w:rPr>
                <w:rFonts w:ascii="Arial" w:eastAsia="宋体" w:hAnsi="Arial" w:cs="Arial"/>
                <w:b/>
                <w:bCs/>
                <w:color w:val="333333"/>
                <w:sz w:val="18"/>
                <w:szCs w:val="18"/>
              </w:rPr>
              <w:t>28,751</w:t>
            </w:r>
            <w:r>
              <w:rPr>
                <w:rFonts w:ascii="Arial" w:eastAsia="宋体" w:hAnsi="Arial" w:cs="Arial"/>
                <w:color w:val="333333"/>
                <w:sz w:val="18"/>
                <w:szCs w:val="18"/>
              </w:rPr>
              <w:t> </w:t>
            </w:r>
          </w:p>
        </w:tc>
        <w:tc>
          <w:tcPr>
            <w:tcW w:w="0" w:type="auto"/>
            <w:tcBorders>
              <w:top w:val="single" w:sz="8" w:space="0" w:color="333333"/>
            </w:tcBorders>
            <w:shd w:val="clear" w:color="auto" w:fill="auto"/>
            <w:tcMar>
              <w:top w:w="40" w:type="dxa"/>
              <w:bottom w:w="40" w:type="dxa"/>
              <w:right w:w="20" w:type="dxa"/>
            </w:tcMar>
            <w:vAlign w:val="bottom"/>
          </w:tcPr>
          <w:p w14:paraId="36CA35CC" w14:textId="77777777" w:rsidR="00787570" w:rsidRDefault="00787570">
            <w:pPr>
              <w:jc w:val="right"/>
              <w:rPr>
                <w:rFonts w:ascii="宋体"/>
              </w:rPr>
            </w:pPr>
          </w:p>
        </w:tc>
        <w:tc>
          <w:tcPr>
            <w:tcW w:w="0" w:type="auto"/>
            <w:shd w:val="clear" w:color="auto" w:fill="auto"/>
          </w:tcPr>
          <w:p w14:paraId="36CA35CD" w14:textId="77777777" w:rsidR="00787570" w:rsidRDefault="00787570">
            <w:pPr>
              <w:rPr>
                <w:rFonts w:ascii="宋体"/>
              </w:rPr>
            </w:pPr>
          </w:p>
        </w:tc>
        <w:tc>
          <w:tcPr>
            <w:tcW w:w="0" w:type="auto"/>
            <w:shd w:val="clear" w:color="auto" w:fill="auto"/>
          </w:tcPr>
          <w:p w14:paraId="36CA35CE" w14:textId="77777777" w:rsidR="00787570" w:rsidRDefault="00787570">
            <w:pPr>
              <w:rPr>
                <w:rFonts w:ascii="宋体"/>
              </w:rPr>
            </w:pPr>
          </w:p>
        </w:tc>
        <w:tc>
          <w:tcPr>
            <w:tcW w:w="0" w:type="auto"/>
            <w:shd w:val="clear" w:color="auto" w:fill="auto"/>
          </w:tcPr>
          <w:p w14:paraId="36CA35CF" w14:textId="77777777" w:rsidR="00787570" w:rsidRDefault="00787570">
            <w:pPr>
              <w:rPr>
                <w:rFonts w:ascii="宋体"/>
              </w:rPr>
            </w:pPr>
          </w:p>
        </w:tc>
        <w:tc>
          <w:tcPr>
            <w:tcW w:w="0" w:type="auto"/>
            <w:shd w:val="clear" w:color="auto" w:fill="auto"/>
          </w:tcPr>
          <w:p w14:paraId="36CA35D0" w14:textId="77777777" w:rsidR="00787570" w:rsidRDefault="00787570">
            <w:pPr>
              <w:rPr>
                <w:rFonts w:ascii="宋体"/>
              </w:rPr>
            </w:pPr>
          </w:p>
        </w:tc>
        <w:tc>
          <w:tcPr>
            <w:tcW w:w="0" w:type="auto"/>
            <w:shd w:val="clear" w:color="auto" w:fill="auto"/>
          </w:tcPr>
          <w:p w14:paraId="36CA35D1" w14:textId="77777777" w:rsidR="00787570" w:rsidRDefault="00787570">
            <w:pPr>
              <w:rPr>
                <w:rFonts w:ascii="宋体"/>
              </w:rPr>
            </w:pPr>
          </w:p>
        </w:tc>
        <w:tc>
          <w:tcPr>
            <w:tcW w:w="0" w:type="auto"/>
            <w:shd w:val="clear" w:color="auto" w:fill="auto"/>
          </w:tcPr>
          <w:p w14:paraId="36CA35D2" w14:textId="77777777" w:rsidR="00787570" w:rsidRDefault="00787570">
            <w:pPr>
              <w:rPr>
                <w:rFonts w:ascii="宋体"/>
              </w:rPr>
            </w:pPr>
          </w:p>
        </w:tc>
      </w:tr>
      <w:tr w:rsidR="00787570" w14:paraId="36CA35E3" w14:textId="77777777">
        <w:tc>
          <w:tcPr>
            <w:tcW w:w="0" w:type="auto"/>
            <w:gridSpan w:val="3"/>
            <w:shd w:val="clear" w:color="auto" w:fill="auto"/>
            <w:tcMar>
              <w:top w:w="40" w:type="dxa"/>
              <w:left w:w="20" w:type="dxa"/>
              <w:bottom w:w="40" w:type="dxa"/>
              <w:right w:w="20" w:type="dxa"/>
            </w:tcMar>
            <w:vAlign w:val="center"/>
          </w:tcPr>
          <w:p w14:paraId="36CA35D4" w14:textId="77777777" w:rsidR="00787570" w:rsidRDefault="000D56E2">
            <w:pPr>
              <w:textAlignment w:val="center"/>
            </w:pPr>
            <w:r>
              <w:rPr>
                <w:rFonts w:ascii="Arial" w:eastAsia="宋体" w:hAnsi="Arial" w:cs="Arial"/>
                <w:color w:val="333333"/>
                <w:sz w:val="18"/>
                <w:szCs w:val="18"/>
              </w:rPr>
              <w:t>Unamortized Premium/Discount and Issuance Costs</w:t>
            </w:r>
          </w:p>
        </w:tc>
        <w:tc>
          <w:tcPr>
            <w:tcW w:w="0" w:type="auto"/>
            <w:gridSpan w:val="3"/>
            <w:shd w:val="clear" w:color="auto" w:fill="auto"/>
            <w:tcMar>
              <w:left w:w="20" w:type="dxa"/>
              <w:right w:w="20" w:type="dxa"/>
            </w:tcMar>
            <w:vAlign w:val="bottom"/>
          </w:tcPr>
          <w:p w14:paraId="36CA35D5"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35D6"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35D7" w14:textId="77777777" w:rsidR="00787570" w:rsidRDefault="00787570">
            <w:pPr>
              <w:rPr>
                <w:rFonts w:ascii="宋体"/>
              </w:rPr>
            </w:pPr>
          </w:p>
        </w:tc>
        <w:tc>
          <w:tcPr>
            <w:tcW w:w="0" w:type="auto"/>
            <w:gridSpan w:val="2"/>
            <w:tcBorders>
              <w:top w:val="single" w:sz="8" w:space="0" w:color="333333"/>
            </w:tcBorders>
            <w:shd w:val="clear" w:color="auto" w:fill="auto"/>
            <w:tcMar>
              <w:top w:w="40" w:type="dxa"/>
              <w:left w:w="20" w:type="dxa"/>
              <w:bottom w:w="40" w:type="dxa"/>
              <w:right w:w="0" w:type="dxa"/>
            </w:tcMar>
            <w:vAlign w:val="bottom"/>
          </w:tcPr>
          <w:p w14:paraId="36CA35D8" w14:textId="77777777" w:rsidR="00787570" w:rsidRDefault="000D56E2">
            <w:pPr>
              <w:jc w:val="right"/>
              <w:textAlignment w:val="bottom"/>
            </w:pPr>
            <w:r>
              <w:rPr>
                <w:rFonts w:ascii="Arial" w:eastAsia="宋体" w:hAnsi="Arial" w:cs="Arial"/>
                <w:color w:val="026DCE"/>
                <w:sz w:val="18"/>
                <w:szCs w:val="18"/>
              </w:rPr>
              <w:t>(374)</w:t>
            </w:r>
          </w:p>
        </w:tc>
        <w:tc>
          <w:tcPr>
            <w:tcW w:w="0" w:type="auto"/>
            <w:tcBorders>
              <w:top w:val="single" w:sz="8" w:space="0" w:color="333333"/>
            </w:tcBorders>
            <w:shd w:val="clear" w:color="auto" w:fill="auto"/>
            <w:tcMar>
              <w:top w:w="40" w:type="dxa"/>
              <w:bottom w:w="40" w:type="dxa"/>
              <w:right w:w="20" w:type="dxa"/>
            </w:tcMar>
            <w:vAlign w:val="bottom"/>
          </w:tcPr>
          <w:p w14:paraId="36CA35D9"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35DA" w14:textId="77777777" w:rsidR="00787570" w:rsidRDefault="00787570">
            <w:pPr>
              <w:rPr>
                <w:rFonts w:ascii="宋体"/>
              </w:rPr>
            </w:pPr>
          </w:p>
        </w:tc>
        <w:tc>
          <w:tcPr>
            <w:tcW w:w="0" w:type="auto"/>
            <w:gridSpan w:val="2"/>
            <w:tcBorders>
              <w:top w:val="single" w:sz="8" w:space="0" w:color="333333"/>
            </w:tcBorders>
            <w:shd w:val="clear" w:color="auto" w:fill="auto"/>
            <w:tcMar>
              <w:top w:w="40" w:type="dxa"/>
              <w:left w:w="20" w:type="dxa"/>
              <w:bottom w:w="40" w:type="dxa"/>
              <w:right w:w="0" w:type="dxa"/>
            </w:tcMar>
            <w:vAlign w:val="bottom"/>
          </w:tcPr>
          <w:p w14:paraId="36CA35DB" w14:textId="77777777" w:rsidR="00787570" w:rsidRDefault="000D56E2">
            <w:pPr>
              <w:jc w:val="right"/>
              <w:textAlignment w:val="bottom"/>
            </w:pPr>
            <w:r>
              <w:rPr>
                <w:rFonts w:ascii="Arial" w:eastAsia="宋体" w:hAnsi="Arial" w:cs="Arial"/>
                <w:color w:val="333333"/>
                <w:sz w:val="18"/>
                <w:szCs w:val="18"/>
              </w:rPr>
              <w:t>(529)</w:t>
            </w:r>
          </w:p>
        </w:tc>
        <w:tc>
          <w:tcPr>
            <w:tcW w:w="0" w:type="auto"/>
            <w:tcBorders>
              <w:top w:val="single" w:sz="8" w:space="0" w:color="333333"/>
            </w:tcBorders>
            <w:shd w:val="clear" w:color="auto" w:fill="auto"/>
            <w:tcMar>
              <w:top w:w="40" w:type="dxa"/>
              <w:bottom w:w="40" w:type="dxa"/>
              <w:right w:w="20" w:type="dxa"/>
            </w:tcMar>
            <w:vAlign w:val="bottom"/>
          </w:tcPr>
          <w:p w14:paraId="36CA35DC" w14:textId="77777777" w:rsidR="00787570" w:rsidRDefault="00787570">
            <w:pPr>
              <w:jc w:val="right"/>
              <w:rPr>
                <w:rFonts w:ascii="宋体"/>
              </w:rPr>
            </w:pPr>
          </w:p>
        </w:tc>
        <w:tc>
          <w:tcPr>
            <w:tcW w:w="0" w:type="auto"/>
            <w:shd w:val="clear" w:color="auto" w:fill="auto"/>
          </w:tcPr>
          <w:p w14:paraId="36CA35DD" w14:textId="77777777" w:rsidR="00787570" w:rsidRDefault="00787570">
            <w:pPr>
              <w:rPr>
                <w:rFonts w:ascii="宋体"/>
              </w:rPr>
            </w:pPr>
          </w:p>
        </w:tc>
        <w:tc>
          <w:tcPr>
            <w:tcW w:w="0" w:type="auto"/>
            <w:shd w:val="clear" w:color="auto" w:fill="auto"/>
          </w:tcPr>
          <w:p w14:paraId="36CA35DE" w14:textId="77777777" w:rsidR="00787570" w:rsidRDefault="00787570">
            <w:pPr>
              <w:rPr>
                <w:rFonts w:ascii="宋体"/>
              </w:rPr>
            </w:pPr>
          </w:p>
        </w:tc>
        <w:tc>
          <w:tcPr>
            <w:tcW w:w="0" w:type="auto"/>
            <w:shd w:val="clear" w:color="auto" w:fill="auto"/>
          </w:tcPr>
          <w:p w14:paraId="36CA35DF" w14:textId="77777777" w:rsidR="00787570" w:rsidRDefault="00787570">
            <w:pPr>
              <w:rPr>
                <w:rFonts w:ascii="宋体"/>
              </w:rPr>
            </w:pPr>
          </w:p>
        </w:tc>
        <w:tc>
          <w:tcPr>
            <w:tcW w:w="0" w:type="auto"/>
            <w:shd w:val="clear" w:color="auto" w:fill="auto"/>
          </w:tcPr>
          <w:p w14:paraId="36CA35E0" w14:textId="77777777" w:rsidR="00787570" w:rsidRDefault="00787570">
            <w:pPr>
              <w:rPr>
                <w:rFonts w:ascii="宋体"/>
              </w:rPr>
            </w:pPr>
          </w:p>
        </w:tc>
        <w:tc>
          <w:tcPr>
            <w:tcW w:w="0" w:type="auto"/>
            <w:shd w:val="clear" w:color="auto" w:fill="auto"/>
          </w:tcPr>
          <w:p w14:paraId="36CA35E1" w14:textId="77777777" w:rsidR="00787570" w:rsidRDefault="00787570">
            <w:pPr>
              <w:rPr>
                <w:rFonts w:ascii="宋体"/>
              </w:rPr>
            </w:pPr>
          </w:p>
        </w:tc>
        <w:tc>
          <w:tcPr>
            <w:tcW w:w="0" w:type="auto"/>
            <w:shd w:val="clear" w:color="auto" w:fill="auto"/>
          </w:tcPr>
          <w:p w14:paraId="36CA35E2" w14:textId="77777777" w:rsidR="00787570" w:rsidRDefault="00787570">
            <w:pPr>
              <w:rPr>
                <w:rFonts w:ascii="宋体"/>
              </w:rPr>
            </w:pPr>
          </w:p>
        </w:tc>
      </w:tr>
      <w:tr w:rsidR="00787570" w14:paraId="36CA35F3" w14:textId="77777777">
        <w:tc>
          <w:tcPr>
            <w:tcW w:w="0" w:type="auto"/>
            <w:gridSpan w:val="3"/>
            <w:shd w:val="clear" w:color="auto" w:fill="auto"/>
            <w:tcMar>
              <w:top w:w="40" w:type="dxa"/>
              <w:left w:w="20" w:type="dxa"/>
              <w:bottom w:w="40" w:type="dxa"/>
              <w:right w:w="20" w:type="dxa"/>
            </w:tcMar>
            <w:vAlign w:val="center"/>
          </w:tcPr>
          <w:p w14:paraId="36CA35E4" w14:textId="77777777" w:rsidR="00787570" w:rsidRDefault="000D56E2">
            <w:pPr>
              <w:textAlignment w:val="center"/>
            </w:pPr>
            <w:r>
              <w:rPr>
                <w:rFonts w:ascii="Arial" w:eastAsia="宋体" w:hAnsi="Arial" w:cs="Arial"/>
                <w:color w:val="333333"/>
                <w:sz w:val="18"/>
                <w:szCs w:val="18"/>
              </w:rPr>
              <w:t>Hedge Accounting Fair Value Adjustments</w:t>
            </w:r>
          </w:p>
        </w:tc>
        <w:tc>
          <w:tcPr>
            <w:tcW w:w="0" w:type="auto"/>
            <w:gridSpan w:val="3"/>
            <w:shd w:val="clear" w:color="auto" w:fill="auto"/>
            <w:tcMar>
              <w:left w:w="20" w:type="dxa"/>
              <w:right w:w="20" w:type="dxa"/>
            </w:tcMar>
            <w:vAlign w:val="bottom"/>
          </w:tcPr>
          <w:p w14:paraId="36CA35E5"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35E6"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35E7"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35E8" w14:textId="77777777" w:rsidR="00787570" w:rsidRDefault="000D56E2">
            <w:pPr>
              <w:jc w:val="right"/>
              <w:textAlignment w:val="bottom"/>
            </w:pPr>
            <w:r>
              <w:rPr>
                <w:rFonts w:ascii="Arial" w:eastAsia="宋体" w:hAnsi="Arial" w:cs="Arial"/>
                <w:color w:val="026DCE"/>
                <w:sz w:val="18"/>
                <w:szCs w:val="18"/>
              </w:rPr>
              <w:t>1,752 </w:t>
            </w:r>
          </w:p>
        </w:tc>
        <w:tc>
          <w:tcPr>
            <w:tcW w:w="0" w:type="auto"/>
            <w:shd w:val="clear" w:color="auto" w:fill="auto"/>
            <w:tcMar>
              <w:top w:w="40" w:type="dxa"/>
              <w:bottom w:w="40" w:type="dxa"/>
              <w:right w:w="20" w:type="dxa"/>
            </w:tcMar>
            <w:vAlign w:val="bottom"/>
          </w:tcPr>
          <w:p w14:paraId="36CA35E9"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35EA"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35EB" w14:textId="77777777" w:rsidR="00787570" w:rsidRDefault="000D56E2">
            <w:pPr>
              <w:jc w:val="right"/>
              <w:textAlignment w:val="bottom"/>
            </w:pPr>
            <w:r>
              <w:rPr>
                <w:rFonts w:ascii="Arial" w:eastAsia="宋体" w:hAnsi="Arial" w:cs="Arial"/>
                <w:color w:val="333333"/>
                <w:sz w:val="18"/>
                <w:szCs w:val="18"/>
              </w:rPr>
              <w:t>781 </w:t>
            </w:r>
          </w:p>
        </w:tc>
        <w:tc>
          <w:tcPr>
            <w:tcW w:w="0" w:type="auto"/>
            <w:shd w:val="clear" w:color="auto" w:fill="auto"/>
            <w:tcMar>
              <w:top w:w="40" w:type="dxa"/>
              <w:bottom w:w="40" w:type="dxa"/>
              <w:right w:w="20" w:type="dxa"/>
            </w:tcMar>
            <w:vAlign w:val="bottom"/>
          </w:tcPr>
          <w:p w14:paraId="36CA35EC" w14:textId="77777777" w:rsidR="00787570" w:rsidRDefault="00787570">
            <w:pPr>
              <w:jc w:val="right"/>
              <w:rPr>
                <w:rFonts w:ascii="宋体"/>
              </w:rPr>
            </w:pPr>
          </w:p>
        </w:tc>
        <w:tc>
          <w:tcPr>
            <w:tcW w:w="0" w:type="auto"/>
            <w:shd w:val="clear" w:color="auto" w:fill="auto"/>
          </w:tcPr>
          <w:p w14:paraId="36CA35ED" w14:textId="77777777" w:rsidR="00787570" w:rsidRDefault="00787570">
            <w:pPr>
              <w:rPr>
                <w:rFonts w:ascii="宋体"/>
              </w:rPr>
            </w:pPr>
          </w:p>
        </w:tc>
        <w:tc>
          <w:tcPr>
            <w:tcW w:w="0" w:type="auto"/>
            <w:shd w:val="clear" w:color="auto" w:fill="auto"/>
          </w:tcPr>
          <w:p w14:paraId="36CA35EE" w14:textId="77777777" w:rsidR="00787570" w:rsidRDefault="00787570">
            <w:pPr>
              <w:rPr>
                <w:rFonts w:ascii="宋体"/>
              </w:rPr>
            </w:pPr>
          </w:p>
        </w:tc>
        <w:tc>
          <w:tcPr>
            <w:tcW w:w="0" w:type="auto"/>
            <w:shd w:val="clear" w:color="auto" w:fill="auto"/>
          </w:tcPr>
          <w:p w14:paraId="36CA35EF" w14:textId="77777777" w:rsidR="00787570" w:rsidRDefault="00787570">
            <w:pPr>
              <w:rPr>
                <w:rFonts w:ascii="宋体"/>
              </w:rPr>
            </w:pPr>
          </w:p>
        </w:tc>
        <w:tc>
          <w:tcPr>
            <w:tcW w:w="0" w:type="auto"/>
            <w:shd w:val="clear" w:color="auto" w:fill="auto"/>
          </w:tcPr>
          <w:p w14:paraId="36CA35F0" w14:textId="77777777" w:rsidR="00787570" w:rsidRDefault="00787570">
            <w:pPr>
              <w:rPr>
                <w:rFonts w:ascii="宋体"/>
              </w:rPr>
            </w:pPr>
          </w:p>
        </w:tc>
        <w:tc>
          <w:tcPr>
            <w:tcW w:w="0" w:type="auto"/>
            <w:shd w:val="clear" w:color="auto" w:fill="auto"/>
          </w:tcPr>
          <w:p w14:paraId="36CA35F1" w14:textId="77777777" w:rsidR="00787570" w:rsidRDefault="00787570">
            <w:pPr>
              <w:rPr>
                <w:rFonts w:ascii="宋体"/>
              </w:rPr>
            </w:pPr>
          </w:p>
        </w:tc>
        <w:tc>
          <w:tcPr>
            <w:tcW w:w="0" w:type="auto"/>
            <w:shd w:val="clear" w:color="auto" w:fill="auto"/>
          </w:tcPr>
          <w:p w14:paraId="36CA35F2" w14:textId="77777777" w:rsidR="00787570" w:rsidRDefault="00787570">
            <w:pPr>
              <w:rPr>
                <w:rFonts w:ascii="宋体"/>
              </w:rPr>
            </w:pPr>
          </w:p>
        </w:tc>
      </w:tr>
      <w:tr w:rsidR="00787570" w14:paraId="36CA3603" w14:textId="77777777">
        <w:tc>
          <w:tcPr>
            <w:tcW w:w="0" w:type="auto"/>
            <w:gridSpan w:val="3"/>
            <w:shd w:val="clear" w:color="auto" w:fill="auto"/>
            <w:tcMar>
              <w:top w:w="40" w:type="dxa"/>
              <w:left w:w="20" w:type="dxa"/>
              <w:bottom w:w="40" w:type="dxa"/>
              <w:right w:w="20" w:type="dxa"/>
            </w:tcMar>
            <w:vAlign w:val="center"/>
          </w:tcPr>
          <w:p w14:paraId="36CA35F4" w14:textId="77777777" w:rsidR="00787570" w:rsidRDefault="000D56E2">
            <w:pPr>
              <w:textAlignment w:val="center"/>
            </w:pPr>
            <w:r>
              <w:rPr>
                <w:rFonts w:ascii="Arial" w:eastAsia="宋体" w:hAnsi="Arial" w:cs="Arial"/>
                <w:b/>
                <w:bCs/>
                <w:color w:val="333333"/>
                <w:sz w:val="18"/>
                <w:szCs w:val="18"/>
              </w:rPr>
              <w:t>Long-term debt</w:t>
            </w:r>
          </w:p>
        </w:tc>
        <w:tc>
          <w:tcPr>
            <w:tcW w:w="0" w:type="auto"/>
            <w:gridSpan w:val="3"/>
            <w:shd w:val="clear" w:color="auto" w:fill="auto"/>
            <w:tcMar>
              <w:left w:w="20" w:type="dxa"/>
              <w:right w:w="20" w:type="dxa"/>
            </w:tcMar>
            <w:vAlign w:val="bottom"/>
          </w:tcPr>
          <w:p w14:paraId="36CA35F5"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35F6"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35F7" w14:textId="77777777" w:rsidR="00787570" w:rsidRDefault="00787570">
            <w:pPr>
              <w:rPr>
                <w:rFonts w:ascii="宋体"/>
              </w:rPr>
            </w:pPr>
          </w:p>
        </w:tc>
        <w:tc>
          <w:tcPr>
            <w:tcW w:w="0" w:type="auto"/>
            <w:gridSpan w:val="2"/>
            <w:tcBorders>
              <w:top w:val="single" w:sz="8" w:space="0" w:color="333333"/>
            </w:tcBorders>
            <w:shd w:val="clear" w:color="auto" w:fill="auto"/>
            <w:tcMar>
              <w:top w:w="40" w:type="dxa"/>
              <w:left w:w="20" w:type="dxa"/>
              <w:bottom w:w="40" w:type="dxa"/>
              <w:right w:w="0" w:type="dxa"/>
            </w:tcMar>
            <w:vAlign w:val="bottom"/>
          </w:tcPr>
          <w:p w14:paraId="36CA35F8" w14:textId="77777777" w:rsidR="00787570" w:rsidRDefault="000D56E2">
            <w:pPr>
              <w:jc w:val="right"/>
              <w:textAlignment w:val="bottom"/>
            </w:pPr>
            <w:r>
              <w:rPr>
                <w:rFonts w:ascii="Arial" w:eastAsia="宋体" w:hAnsi="Arial" w:cs="Arial"/>
                <w:b/>
                <w:bCs/>
                <w:color w:val="026DCE"/>
                <w:sz w:val="18"/>
                <w:szCs w:val="18"/>
              </w:rPr>
              <w:t>36,563</w:t>
            </w:r>
            <w:r>
              <w:rPr>
                <w:rFonts w:ascii="Arial" w:eastAsia="宋体" w:hAnsi="Arial" w:cs="Arial"/>
                <w:color w:val="026DCE"/>
                <w:sz w:val="18"/>
                <w:szCs w:val="18"/>
              </w:rPr>
              <w:t> </w:t>
            </w:r>
          </w:p>
        </w:tc>
        <w:tc>
          <w:tcPr>
            <w:tcW w:w="0" w:type="auto"/>
            <w:tcBorders>
              <w:top w:val="single" w:sz="8" w:space="0" w:color="333333"/>
            </w:tcBorders>
            <w:shd w:val="clear" w:color="auto" w:fill="auto"/>
            <w:tcMar>
              <w:top w:w="40" w:type="dxa"/>
              <w:bottom w:w="40" w:type="dxa"/>
              <w:right w:w="20" w:type="dxa"/>
            </w:tcMar>
            <w:vAlign w:val="bottom"/>
          </w:tcPr>
          <w:p w14:paraId="36CA35F9"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35FA" w14:textId="77777777" w:rsidR="00787570" w:rsidRDefault="00787570">
            <w:pPr>
              <w:rPr>
                <w:rFonts w:ascii="宋体"/>
              </w:rPr>
            </w:pPr>
          </w:p>
        </w:tc>
        <w:tc>
          <w:tcPr>
            <w:tcW w:w="0" w:type="auto"/>
            <w:gridSpan w:val="2"/>
            <w:tcBorders>
              <w:top w:val="single" w:sz="8" w:space="0" w:color="333333"/>
            </w:tcBorders>
            <w:shd w:val="clear" w:color="auto" w:fill="auto"/>
            <w:tcMar>
              <w:top w:w="40" w:type="dxa"/>
              <w:left w:w="20" w:type="dxa"/>
              <w:bottom w:w="40" w:type="dxa"/>
              <w:right w:w="0" w:type="dxa"/>
            </w:tcMar>
            <w:vAlign w:val="bottom"/>
          </w:tcPr>
          <w:p w14:paraId="36CA35FB" w14:textId="77777777" w:rsidR="00787570" w:rsidRDefault="000D56E2">
            <w:pPr>
              <w:jc w:val="right"/>
              <w:textAlignment w:val="bottom"/>
            </w:pPr>
            <w:r>
              <w:rPr>
                <w:rFonts w:ascii="Arial" w:eastAsia="宋体" w:hAnsi="Arial" w:cs="Arial"/>
                <w:b/>
                <w:bCs/>
                <w:color w:val="333333"/>
                <w:sz w:val="18"/>
                <w:szCs w:val="18"/>
              </w:rPr>
              <w:t>29,003</w:t>
            </w:r>
            <w:r>
              <w:rPr>
                <w:rFonts w:ascii="Arial" w:eastAsia="宋体" w:hAnsi="Arial" w:cs="Arial"/>
                <w:color w:val="333333"/>
                <w:sz w:val="18"/>
                <w:szCs w:val="18"/>
              </w:rPr>
              <w:t> </w:t>
            </w:r>
          </w:p>
        </w:tc>
        <w:tc>
          <w:tcPr>
            <w:tcW w:w="0" w:type="auto"/>
            <w:tcBorders>
              <w:top w:val="single" w:sz="8" w:space="0" w:color="333333"/>
            </w:tcBorders>
            <w:shd w:val="clear" w:color="auto" w:fill="auto"/>
            <w:tcMar>
              <w:top w:w="40" w:type="dxa"/>
              <w:bottom w:w="40" w:type="dxa"/>
              <w:right w:w="20" w:type="dxa"/>
            </w:tcMar>
            <w:vAlign w:val="bottom"/>
          </w:tcPr>
          <w:p w14:paraId="36CA35FC" w14:textId="77777777" w:rsidR="00787570" w:rsidRDefault="00787570">
            <w:pPr>
              <w:jc w:val="right"/>
              <w:rPr>
                <w:rFonts w:ascii="宋体"/>
              </w:rPr>
            </w:pPr>
          </w:p>
        </w:tc>
        <w:tc>
          <w:tcPr>
            <w:tcW w:w="0" w:type="auto"/>
            <w:shd w:val="clear" w:color="auto" w:fill="auto"/>
          </w:tcPr>
          <w:p w14:paraId="36CA35FD" w14:textId="77777777" w:rsidR="00787570" w:rsidRDefault="00787570">
            <w:pPr>
              <w:rPr>
                <w:rFonts w:ascii="宋体"/>
              </w:rPr>
            </w:pPr>
          </w:p>
        </w:tc>
        <w:tc>
          <w:tcPr>
            <w:tcW w:w="0" w:type="auto"/>
            <w:shd w:val="clear" w:color="auto" w:fill="auto"/>
          </w:tcPr>
          <w:p w14:paraId="36CA35FE" w14:textId="77777777" w:rsidR="00787570" w:rsidRDefault="00787570">
            <w:pPr>
              <w:rPr>
                <w:rFonts w:ascii="宋体"/>
              </w:rPr>
            </w:pPr>
          </w:p>
        </w:tc>
        <w:tc>
          <w:tcPr>
            <w:tcW w:w="0" w:type="auto"/>
            <w:shd w:val="clear" w:color="auto" w:fill="auto"/>
          </w:tcPr>
          <w:p w14:paraId="36CA35FF" w14:textId="77777777" w:rsidR="00787570" w:rsidRDefault="00787570">
            <w:pPr>
              <w:rPr>
                <w:rFonts w:ascii="宋体"/>
              </w:rPr>
            </w:pPr>
          </w:p>
        </w:tc>
        <w:tc>
          <w:tcPr>
            <w:tcW w:w="0" w:type="auto"/>
            <w:shd w:val="clear" w:color="auto" w:fill="auto"/>
          </w:tcPr>
          <w:p w14:paraId="36CA3600" w14:textId="77777777" w:rsidR="00787570" w:rsidRDefault="00787570">
            <w:pPr>
              <w:rPr>
                <w:rFonts w:ascii="宋体"/>
              </w:rPr>
            </w:pPr>
          </w:p>
        </w:tc>
        <w:tc>
          <w:tcPr>
            <w:tcW w:w="0" w:type="auto"/>
            <w:shd w:val="clear" w:color="auto" w:fill="auto"/>
          </w:tcPr>
          <w:p w14:paraId="36CA3601" w14:textId="77777777" w:rsidR="00787570" w:rsidRDefault="00787570">
            <w:pPr>
              <w:rPr>
                <w:rFonts w:ascii="宋体"/>
              </w:rPr>
            </w:pPr>
          </w:p>
        </w:tc>
        <w:tc>
          <w:tcPr>
            <w:tcW w:w="0" w:type="auto"/>
            <w:shd w:val="clear" w:color="auto" w:fill="auto"/>
          </w:tcPr>
          <w:p w14:paraId="36CA3602" w14:textId="77777777" w:rsidR="00787570" w:rsidRDefault="00787570">
            <w:pPr>
              <w:rPr>
                <w:rFonts w:ascii="宋体"/>
              </w:rPr>
            </w:pPr>
          </w:p>
        </w:tc>
      </w:tr>
      <w:tr w:rsidR="00787570" w14:paraId="36CA3613" w14:textId="77777777">
        <w:tc>
          <w:tcPr>
            <w:tcW w:w="0" w:type="auto"/>
            <w:gridSpan w:val="3"/>
            <w:shd w:val="clear" w:color="auto" w:fill="auto"/>
            <w:tcMar>
              <w:top w:w="40" w:type="dxa"/>
              <w:left w:w="20" w:type="dxa"/>
              <w:bottom w:w="40" w:type="dxa"/>
              <w:right w:w="20" w:type="dxa"/>
            </w:tcMar>
            <w:vAlign w:val="center"/>
          </w:tcPr>
          <w:p w14:paraId="36CA3604" w14:textId="77777777" w:rsidR="00787570" w:rsidRDefault="000D56E2">
            <w:pPr>
              <w:textAlignment w:val="center"/>
            </w:pPr>
            <w:r>
              <w:rPr>
                <w:rFonts w:ascii="Arial" w:eastAsia="宋体" w:hAnsi="Arial" w:cs="Arial"/>
                <w:color w:val="333333"/>
                <w:sz w:val="18"/>
                <w:szCs w:val="18"/>
              </w:rPr>
              <w:t>Current portion of long-term debt</w:t>
            </w:r>
          </w:p>
        </w:tc>
        <w:tc>
          <w:tcPr>
            <w:tcW w:w="0" w:type="auto"/>
            <w:gridSpan w:val="3"/>
            <w:shd w:val="clear" w:color="auto" w:fill="auto"/>
            <w:tcMar>
              <w:left w:w="20" w:type="dxa"/>
              <w:right w:w="20" w:type="dxa"/>
            </w:tcMar>
            <w:vAlign w:val="bottom"/>
          </w:tcPr>
          <w:p w14:paraId="36CA3605"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3606"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3607"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3608" w14:textId="77777777" w:rsidR="00787570" w:rsidRDefault="000D56E2">
            <w:pPr>
              <w:jc w:val="right"/>
              <w:textAlignment w:val="bottom"/>
            </w:pPr>
            <w:r>
              <w:rPr>
                <w:rFonts w:ascii="Arial" w:eastAsia="宋体" w:hAnsi="Arial" w:cs="Arial"/>
                <w:color w:val="026DCE"/>
                <w:sz w:val="18"/>
                <w:szCs w:val="18"/>
              </w:rPr>
              <w:t>(504)</w:t>
            </w:r>
          </w:p>
        </w:tc>
        <w:tc>
          <w:tcPr>
            <w:tcW w:w="0" w:type="auto"/>
            <w:shd w:val="clear" w:color="auto" w:fill="auto"/>
            <w:tcMar>
              <w:top w:w="40" w:type="dxa"/>
              <w:bottom w:w="40" w:type="dxa"/>
              <w:right w:w="20" w:type="dxa"/>
            </w:tcMar>
            <w:vAlign w:val="bottom"/>
          </w:tcPr>
          <w:p w14:paraId="36CA3609"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360A"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360B" w14:textId="77777777" w:rsidR="00787570" w:rsidRDefault="000D56E2">
            <w:pPr>
              <w:jc w:val="right"/>
              <w:textAlignment w:val="bottom"/>
            </w:pPr>
            <w:r>
              <w:rPr>
                <w:rFonts w:ascii="Arial" w:eastAsia="宋体" w:hAnsi="Arial" w:cs="Arial"/>
                <w:color w:val="333333"/>
                <w:sz w:val="18"/>
                <w:szCs w:val="18"/>
              </w:rPr>
              <w:t>(3,695)</w:t>
            </w:r>
          </w:p>
        </w:tc>
        <w:tc>
          <w:tcPr>
            <w:tcW w:w="0" w:type="auto"/>
            <w:shd w:val="clear" w:color="auto" w:fill="auto"/>
            <w:tcMar>
              <w:top w:w="40" w:type="dxa"/>
              <w:bottom w:w="40" w:type="dxa"/>
              <w:right w:w="20" w:type="dxa"/>
            </w:tcMar>
            <w:vAlign w:val="bottom"/>
          </w:tcPr>
          <w:p w14:paraId="36CA360C" w14:textId="77777777" w:rsidR="00787570" w:rsidRDefault="00787570">
            <w:pPr>
              <w:jc w:val="right"/>
              <w:rPr>
                <w:rFonts w:ascii="宋体"/>
              </w:rPr>
            </w:pPr>
          </w:p>
        </w:tc>
        <w:tc>
          <w:tcPr>
            <w:tcW w:w="0" w:type="auto"/>
            <w:shd w:val="clear" w:color="auto" w:fill="auto"/>
          </w:tcPr>
          <w:p w14:paraId="36CA360D" w14:textId="77777777" w:rsidR="00787570" w:rsidRDefault="00787570">
            <w:pPr>
              <w:rPr>
                <w:rFonts w:ascii="宋体"/>
              </w:rPr>
            </w:pPr>
          </w:p>
        </w:tc>
        <w:tc>
          <w:tcPr>
            <w:tcW w:w="0" w:type="auto"/>
            <w:shd w:val="clear" w:color="auto" w:fill="auto"/>
          </w:tcPr>
          <w:p w14:paraId="36CA360E" w14:textId="77777777" w:rsidR="00787570" w:rsidRDefault="00787570">
            <w:pPr>
              <w:rPr>
                <w:rFonts w:ascii="宋体"/>
              </w:rPr>
            </w:pPr>
          </w:p>
        </w:tc>
        <w:tc>
          <w:tcPr>
            <w:tcW w:w="0" w:type="auto"/>
            <w:shd w:val="clear" w:color="auto" w:fill="auto"/>
          </w:tcPr>
          <w:p w14:paraId="36CA360F" w14:textId="77777777" w:rsidR="00787570" w:rsidRDefault="00787570">
            <w:pPr>
              <w:rPr>
                <w:rFonts w:ascii="宋体"/>
              </w:rPr>
            </w:pPr>
          </w:p>
        </w:tc>
        <w:tc>
          <w:tcPr>
            <w:tcW w:w="0" w:type="auto"/>
            <w:shd w:val="clear" w:color="auto" w:fill="auto"/>
          </w:tcPr>
          <w:p w14:paraId="36CA3610" w14:textId="77777777" w:rsidR="00787570" w:rsidRDefault="00787570">
            <w:pPr>
              <w:rPr>
                <w:rFonts w:ascii="宋体"/>
              </w:rPr>
            </w:pPr>
          </w:p>
        </w:tc>
        <w:tc>
          <w:tcPr>
            <w:tcW w:w="0" w:type="auto"/>
            <w:shd w:val="clear" w:color="auto" w:fill="auto"/>
          </w:tcPr>
          <w:p w14:paraId="36CA3611" w14:textId="77777777" w:rsidR="00787570" w:rsidRDefault="00787570">
            <w:pPr>
              <w:rPr>
                <w:rFonts w:ascii="宋体"/>
              </w:rPr>
            </w:pPr>
          </w:p>
        </w:tc>
        <w:tc>
          <w:tcPr>
            <w:tcW w:w="0" w:type="auto"/>
            <w:shd w:val="clear" w:color="auto" w:fill="auto"/>
          </w:tcPr>
          <w:p w14:paraId="36CA3612" w14:textId="77777777" w:rsidR="00787570" w:rsidRDefault="00787570">
            <w:pPr>
              <w:rPr>
                <w:rFonts w:ascii="宋体"/>
              </w:rPr>
            </w:pPr>
          </w:p>
        </w:tc>
      </w:tr>
      <w:tr w:rsidR="00787570" w14:paraId="36CA3621" w14:textId="77777777">
        <w:trPr>
          <w:hidden/>
        </w:trPr>
        <w:tc>
          <w:tcPr>
            <w:tcW w:w="0" w:type="auto"/>
            <w:gridSpan w:val="3"/>
            <w:shd w:val="clear" w:color="auto" w:fill="auto"/>
          </w:tcPr>
          <w:p w14:paraId="36CA3614" w14:textId="77777777" w:rsidR="00787570" w:rsidRDefault="00787570">
            <w:pPr>
              <w:rPr>
                <w:rFonts w:ascii="宋体"/>
                <w:vanish/>
              </w:rPr>
            </w:pPr>
          </w:p>
        </w:tc>
        <w:tc>
          <w:tcPr>
            <w:tcW w:w="0" w:type="auto"/>
            <w:gridSpan w:val="3"/>
            <w:shd w:val="clear" w:color="auto" w:fill="auto"/>
          </w:tcPr>
          <w:p w14:paraId="36CA3615" w14:textId="77777777" w:rsidR="00787570" w:rsidRDefault="00787570">
            <w:pPr>
              <w:rPr>
                <w:rFonts w:ascii="宋体"/>
                <w:vanish/>
              </w:rPr>
            </w:pPr>
          </w:p>
        </w:tc>
        <w:tc>
          <w:tcPr>
            <w:tcW w:w="0" w:type="auto"/>
            <w:gridSpan w:val="3"/>
            <w:shd w:val="clear" w:color="auto" w:fill="auto"/>
          </w:tcPr>
          <w:p w14:paraId="36CA3616" w14:textId="77777777" w:rsidR="00787570" w:rsidRDefault="00787570">
            <w:pPr>
              <w:rPr>
                <w:rFonts w:ascii="宋体"/>
                <w:vanish/>
              </w:rPr>
            </w:pPr>
          </w:p>
        </w:tc>
        <w:tc>
          <w:tcPr>
            <w:tcW w:w="0" w:type="auto"/>
            <w:gridSpan w:val="3"/>
            <w:shd w:val="clear" w:color="auto" w:fill="auto"/>
          </w:tcPr>
          <w:p w14:paraId="36CA3617" w14:textId="77777777" w:rsidR="00787570" w:rsidRDefault="00787570">
            <w:pPr>
              <w:rPr>
                <w:rFonts w:ascii="宋体"/>
                <w:vanish/>
              </w:rPr>
            </w:pPr>
          </w:p>
        </w:tc>
        <w:tc>
          <w:tcPr>
            <w:tcW w:w="0" w:type="auto"/>
            <w:gridSpan w:val="3"/>
            <w:shd w:val="clear" w:color="auto" w:fill="auto"/>
          </w:tcPr>
          <w:p w14:paraId="36CA3618" w14:textId="77777777" w:rsidR="00787570" w:rsidRDefault="00787570">
            <w:pPr>
              <w:rPr>
                <w:rFonts w:ascii="宋体"/>
                <w:vanish/>
              </w:rPr>
            </w:pPr>
          </w:p>
        </w:tc>
        <w:tc>
          <w:tcPr>
            <w:tcW w:w="0" w:type="auto"/>
            <w:gridSpan w:val="3"/>
            <w:shd w:val="clear" w:color="auto" w:fill="auto"/>
          </w:tcPr>
          <w:p w14:paraId="36CA3619" w14:textId="77777777" w:rsidR="00787570" w:rsidRDefault="00787570">
            <w:pPr>
              <w:rPr>
                <w:rFonts w:ascii="宋体"/>
                <w:vanish/>
              </w:rPr>
            </w:pPr>
          </w:p>
        </w:tc>
        <w:tc>
          <w:tcPr>
            <w:tcW w:w="0" w:type="auto"/>
            <w:gridSpan w:val="3"/>
            <w:shd w:val="clear" w:color="auto" w:fill="auto"/>
          </w:tcPr>
          <w:p w14:paraId="36CA361A" w14:textId="77777777" w:rsidR="00787570" w:rsidRDefault="00787570">
            <w:pPr>
              <w:rPr>
                <w:rFonts w:ascii="宋体"/>
                <w:vanish/>
              </w:rPr>
            </w:pPr>
          </w:p>
        </w:tc>
        <w:tc>
          <w:tcPr>
            <w:tcW w:w="0" w:type="auto"/>
            <w:shd w:val="clear" w:color="auto" w:fill="auto"/>
          </w:tcPr>
          <w:p w14:paraId="36CA361B" w14:textId="77777777" w:rsidR="00787570" w:rsidRDefault="00787570">
            <w:pPr>
              <w:rPr>
                <w:rFonts w:ascii="宋体"/>
              </w:rPr>
            </w:pPr>
          </w:p>
        </w:tc>
        <w:tc>
          <w:tcPr>
            <w:tcW w:w="0" w:type="auto"/>
            <w:shd w:val="clear" w:color="auto" w:fill="auto"/>
          </w:tcPr>
          <w:p w14:paraId="36CA361C" w14:textId="77777777" w:rsidR="00787570" w:rsidRDefault="00787570">
            <w:pPr>
              <w:rPr>
                <w:rFonts w:ascii="宋体"/>
              </w:rPr>
            </w:pPr>
          </w:p>
        </w:tc>
        <w:tc>
          <w:tcPr>
            <w:tcW w:w="0" w:type="auto"/>
            <w:shd w:val="clear" w:color="auto" w:fill="auto"/>
          </w:tcPr>
          <w:p w14:paraId="36CA361D" w14:textId="77777777" w:rsidR="00787570" w:rsidRDefault="00787570">
            <w:pPr>
              <w:rPr>
                <w:rFonts w:ascii="宋体"/>
              </w:rPr>
            </w:pPr>
          </w:p>
        </w:tc>
        <w:tc>
          <w:tcPr>
            <w:tcW w:w="0" w:type="auto"/>
            <w:shd w:val="clear" w:color="auto" w:fill="auto"/>
          </w:tcPr>
          <w:p w14:paraId="36CA361E" w14:textId="77777777" w:rsidR="00787570" w:rsidRDefault="00787570">
            <w:pPr>
              <w:rPr>
                <w:rFonts w:ascii="宋体"/>
              </w:rPr>
            </w:pPr>
          </w:p>
        </w:tc>
        <w:tc>
          <w:tcPr>
            <w:tcW w:w="0" w:type="auto"/>
            <w:shd w:val="clear" w:color="auto" w:fill="auto"/>
          </w:tcPr>
          <w:p w14:paraId="36CA361F" w14:textId="77777777" w:rsidR="00787570" w:rsidRDefault="00787570">
            <w:pPr>
              <w:rPr>
                <w:rFonts w:ascii="宋体"/>
              </w:rPr>
            </w:pPr>
          </w:p>
        </w:tc>
        <w:tc>
          <w:tcPr>
            <w:tcW w:w="0" w:type="auto"/>
            <w:shd w:val="clear" w:color="auto" w:fill="auto"/>
          </w:tcPr>
          <w:p w14:paraId="36CA3620" w14:textId="77777777" w:rsidR="00787570" w:rsidRDefault="00787570">
            <w:pPr>
              <w:rPr>
                <w:rFonts w:ascii="宋体"/>
              </w:rPr>
            </w:pPr>
          </w:p>
        </w:tc>
      </w:tr>
      <w:tr w:rsidR="00787570" w14:paraId="36CA3633" w14:textId="77777777">
        <w:tc>
          <w:tcPr>
            <w:tcW w:w="0" w:type="auto"/>
            <w:gridSpan w:val="3"/>
            <w:shd w:val="clear" w:color="auto" w:fill="auto"/>
            <w:tcMar>
              <w:top w:w="40" w:type="dxa"/>
              <w:left w:w="20" w:type="dxa"/>
              <w:bottom w:w="40" w:type="dxa"/>
              <w:right w:w="20" w:type="dxa"/>
            </w:tcMar>
            <w:vAlign w:val="center"/>
          </w:tcPr>
          <w:p w14:paraId="36CA3622" w14:textId="77777777" w:rsidR="00787570" w:rsidRDefault="000D56E2">
            <w:pPr>
              <w:textAlignment w:val="center"/>
            </w:pPr>
            <w:r>
              <w:rPr>
                <w:rFonts w:ascii="Arial" w:eastAsia="宋体" w:hAnsi="Arial" w:cs="Arial"/>
                <w:b/>
                <w:bCs/>
                <w:color w:val="333333"/>
                <w:sz w:val="18"/>
                <w:szCs w:val="18"/>
              </w:rPr>
              <w:t>Total long-term debt</w:t>
            </w:r>
          </w:p>
        </w:tc>
        <w:tc>
          <w:tcPr>
            <w:tcW w:w="0" w:type="auto"/>
            <w:gridSpan w:val="3"/>
            <w:shd w:val="clear" w:color="auto" w:fill="auto"/>
            <w:tcMar>
              <w:left w:w="20" w:type="dxa"/>
              <w:right w:w="20" w:type="dxa"/>
            </w:tcMar>
            <w:vAlign w:val="bottom"/>
          </w:tcPr>
          <w:p w14:paraId="36CA3623"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3624"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3625" w14:textId="77777777" w:rsidR="00787570" w:rsidRDefault="00787570">
            <w:pPr>
              <w:rPr>
                <w:rFonts w:ascii="宋体"/>
              </w:rPr>
            </w:pPr>
          </w:p>
        </w:tc>
        <w:tc>
          <w:tcPr>
            <w:tcW w:w="0" w:type="auto"/>
            <w:tcBorders>
              <w:top w:val="single" w:sz="8" w:space="0" w:color="333333"/>
              <w:bottom w:val="double" w:sz="6" w:space="0" w:color="333333"/>
            </w:tcBorders>
            <w:shd w:val="clear" w:color="auto" w:fill="auto"/>
            <w:tcMar>
              <w:top w:w="40" w:type="dxa"/>
              <w:left w:w="20" w:type="dxa"/>
              <w:bottom w:w="40" w:type="dxa"/>
            </w:tcMar>
            <w:vAlign w:val="bottom"/>
          </w:tcPr>
          <w:p w14:paraId="36CA3626" w14:textId="77777777" w:rsidR="00787570" w:rsidRDefault="000D56E2">
            <w:pPr>
              <w:textAlignment w:val="bottom"/>
            </w:pPr>
            <w:r>
              <w:rPr>
                <w:rFonts w:ascii="Arial" w:eastAsia="宋体" w:hAnsi="Arial" w:cs="Arial"/>
                <w:b/>
                <w:bCs/>
                <w:color w:val="026DCE"/>
                <w:sz w:val="18"/>
                <w:szCs w:val="18"/>
              </w:rPr>
              <w:t>$</w:t>
            </w:r>
          </w:p>
        </w:tc>
        <w:tc>
          <w:tcPr>
            <w:tcW w:w="0" w:type="auto"/>
            <w:tcBorders>
              <w:top w:val="single" w:sz="8" w:space="0" w:color="333333"/>
              <w:bottom w:val="double" w:sz="6" w:space="0" w:color="333333"/>
            </w:tcBorders>
            <w:shd w:val="clear" w:color="auto" w:fill="auto"/>
            <w:tcMar>
              <w:top w:w="40" w:type="dxa"/>
              <w:bottom w:w="40" w:type="dxa"/>
              <w:right w:w="0" w:type="dxa"/>
            </w:tcMar>
            <w:vAlign w:val="bottom"/>
          </w:tcPr>
          <w:p w14:paraId="36CA3627" w14:textId="77777777" w:rsidR="00787570" w:rsidRDefault="000D56E2">
            <w:pPr>
              <w:jc w:val="right"/>
              <w:textAlignment w:val="bottom"/>
            </w:pPr>
            <w:r>
              <w:rPr>
                <w:rFonts w:ascii="Arial" w:eastAsia="宋体" w:hAnsi="Arial" w:cs="Arial"/>
                <w:b/>
                <w:bCs/>
                <w:color w:val="026DCE"/>
                <w:sz w:val="18"/>
                <w:szCs w:val="18"/>
              </w:rPr>
              <w:t>36,059</w:t>
            </w:r>
            <w:r>
              <w:rPr>
                <w:rFonts w:ascii="Arial" w:eastAsia="宋体" w:hAnsi="Arial" w:cs="Arial"/>
                <w:color w:val="026DCE"/>
                <w:sz w:val="18"/>
                <w:szCs w:val="18"/>
              </w:rPr>
              <w:t> </w:t>
            </w:r>
          </w:p>
        </w:tc>
        <w:tc>
          <w:tcPr>
            <w:tcW w:w="0" w:type="auto"/>
            <w:tcBorders>
              <w:top w:val="single" w:sz="8" w:space="0" w:color="333333"/>
              <w:bottom w:val="double" w:sz="6" w:space="0" w:color="333333"/>
            </w:tcBorders>
            <w:shd w:val="clear" w:color="auto" w:fill="auto"/>
            <w:tcMar>
              <w:top w:w="40" w:type="dxa"/>
              <w:bottom w:w="40" w:type="dxa"/>
              <w:right w:w="20" w:type="dxa"/>
            </w:tcMar>
            <w:vAlign w:val="bottom"/>
          </w:tcPr>
          <w:p w14:paraId="36CA3628"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3629" w14:textId="77777777" w:rsidR="00787570" w:rsidRDefault="00787570">
            <w:pPr>
              <w:rPr>
                <w:rFonts w:ascii="宋体"/>
              </w:rPr>
            </w:pPr>
          </w:p>
        </w:tc>
        <w:tc>
          <w:tcPr>
            <w:tcW w:w="0" w:type="auto"/>
            <w:tcBorders>
              <w:top w:val="single" w:sz="8" w:space="0" w:color="333333"/>
              <w:bottom w:val="double" w:sz="6" w:space="0" w:color="333333"/>
            </w:tcBorders>
            <w:shd w:val="clear" w:color="auto" w:fill="auto"/>
            <w:tcMar>
              <w:top w:w="40" w:type="dxa"/>
              <w:left w:w="20" w:type="dxa"/>
              <w:bottom w:w="40" w:type="dxa"/>
            </w:tcMar>
            <w:vAlign w:val="bottom"/>
          </w:tcPr>
          <w:p w14:paraId="36CA362A" w14:textId="77777777" w:rsidR="00787570" w:rsidRDefault="000D56E2">
            <w:pPr>
              <w:textAlignment w:val="bottom"/>
            </w:pPr>
            <w:r>
              <w:rPr>
                <w:rFonts w:ascii="Arial" w:eastAsia="宋体" w:hAnsi="Arial" w:cs="Arial"/>
                <w:b/>
                <w:bCs/>
                <w:color w:val="333333"/>
                <w:sz w:val="18"/>
                <w:szCs w:val="18"/>
              </w:rPr>
              <w:t>$</w:t>
            </w:r>
          </w:p>
        </w:tc>
        <w:tc>
          <w:tcPr>
            <w:tcW w:w="0" w:type="auto"/>
            <w:tcBorders>
              <w:top w:val="single" w:sz="8" w:space="0" w:color="333333"/>
              <w:bottom w:val="double" w:sz="6" w:space="0" w:color="333333"/>
            </w:tcBorders>
            <w:shd w:val="clear" w:color="auto" w:fill="auto"/>
            <w:tcMar>
              <w:top w:w="40" w:type="dxa"/>
              <w:bottom w:w="40" w:type="dxa"/>
              <w:right w:w="0" w:type="dxa"/>
            </w:tcMar>
            <w:vAlign w:val="bottom"/>
          </w:tcPr>
          <w:p w14:paraId="36CA362B" w14:textId="77777777" w:rsidR="00787570" w:rsidRDefault="000D56E2">
            <w:pPr>
              <w:jc w:val="right"/>
              <w:textAlignment w:val="bottom"/>
            </w:pPr>
            <w:r>
              <w:rPr>
                <w:rFonts w:ascii="Arial" w:eastAsia="宋体" w:hAnsi="Arial" w:cs="Arial"/>
                <w:b/>
                <w:bCs/>
                <w:color w:val="333333"/>
                <w:sz w:val="18"/>
                <w:szCs w:val="18"/>
              </w:rPr>
              <w:t>25,308</w:t>
            </w:r>
            <w:r>
              <w:rPr>
                <w:rFonts w:ascii="Arial" w:eastAsia="宋体" w:hAnsi="Arial" w:cs="Arial"/>
                <w:color w:val="333333"/>
                <w:sz w:val="18"/>
                <w:szCs w:val="18"/>
              </w:rPr>
              <w:t> </w:t>
            </w:r>
          </w:p>
        </w:tc>
        <w:tc>
          <w:tcPr>
            <w:tcW w:w="0" w:type="auto"/>
            <w:tcBorders>
              <w:top w:val="single" w:sz="8" w:space="0" w:color="333333"/>
              <w:bottom w:val="double" w:sz="6" w:space="0" w:color="333333"/>
            </w:tcBorders>
            <w:shd w:val="clear" w:color="auto" w:fill="auto"/>
            <w:tcMar>
              <w:top w:w="40" w:type="dxa"/>
              <w:bottom w:w="40" w:type="dxa"/>
              <w:right w:w="20" w:type="dxa"/>
            </w:tcMar>
            <w:vAlign w:val="bottom"/>
          </w:tcPr>
          <w:p w14:paraId="36CA362C" w14:textId="77777777" w:rsidR="00787570" w:rsidRDefault="00787570">
            <w:pPr>
              <w:jc w:val="right"/>
              <w:rPr>
                <w:rFonts w:ascii="宋体"/>
              </w:rPr>
            </w:pPr>
          </w:p>
        </w:tc>
        <w:tc>
          <w:tcPr>
            <w:tcW w:w="0" w:type="auto"/>
            <w:shd w:val="clear" w:color="auto" w:fill="auto"/>
          </w:tcPr>
          <w:p w14:paraId="36CA362D" w14:textId="77777777" w:rsidR="00787570" w:rsidRDefault="00787570">
            <w:pPr>
              <w:rPr>
                <w:rFonts w:ascii="宋体"/>
              </w:rPr>
            </w:pPr>
          </w:p>
        </w:tc>
        <w:tc>
          <w:tcPr>
            <w:tcW w:w="0" w:type="auto"/>
            <w:shd w:val="clear" w:color="auto" w:fill="auto"/>
          </w:tcPr>
          <w:p w14:paraId="36CA362E" w14:textId="77777777" w:rsidR="00787570" w:rsidRDefault="00787570">
            <w:pPr>
              <w:rPr>
                <w:rFonts w:ascii="宋体"/>
              </w:rPr>
            </w:pPr>
          </w:p>
        </w:tc>
        <w:tc>
          <w:tcPr>
            <w:tcW w:w="0" w:type="auto"/>
            <w:shd w:val="clear" w:color="auto" w:fill="auto"/>
          </w:tcPr>
          <w:p w14:paraId="36CA362F" w14:textId="77777777" w:rsidR="00787570" w:rsidRDefault="00787570">
            <w:pPr>
              <w:rPr>
                <w:rFonts w:ascii="宋体"/>
              </w:rPr>
            </w:pPr>
          </w:p>
        </w:tc>
        <w:tc>
          <w:tcPr>
            <w:tcW w:w="0" w:type="auto"/>
            <w:shd w:val="clear" w:color="auto" w:fill="auto"/>
          </w:tcPr>
          <w:p w14:paraId="36CA3630" w14:textId="77777777" w:rsidR="00787570" w:rsidRDefault="00787570">
            <w:pPr>
              <w:rPr>
                <w:rFonts w:ascii="宋体"/>
              </w:rPr>
            </w:pPr>
          </w:p>
        </w:tc>
        <w:tc>
          <w:tcPr>
            <w:tcW w:w="0" w:type="auto"/>
            <w:shd w:val="clear" w:color="auto" w:fill="auto"/>
          </w:tcPr>
          <w:p w14:paraId="36CA3631" w14:textId="77777777" w:rsidR="00787570" w:rsidRDefault="00787570">
            <w:pPr>
              <w:rPr>
                <w:rFonts w:ascii="宋体"/>
              </w:rPr>
            </w:pPr>
          </w:p>
        </w:tc>
        <w:tc>
          <w:tcPr>
            <w:tcW w:w="0" w:type="auto"/>
            <w:shd w:val="clear" w:color="auto" w:fill="auto"/>
          </w:tcPr>
          <w:p w14:paraId="36CA3632" w14:textId="77777777" w:rsidR="00787570" w:rsidRDefault="00787570">
            <w:pPr>
              <w:rPr>
                <w:rFonts w:ascii="宋体"/>
              </w:rPr>
            </w:pPr>
          </w:p>
        </w:tc>
      </w:tr>
    </w:tbl>
    <w:p w14:paraId="36CA3634" w14:textId="77777777" w:rsidR="00787570" w:rsidRDefault="000D56E2">
      <w:pPr>
        <w:spacing w:after="120"/>
        <w:ind w:hanging="180"/>
      </w:pPr>
      <w:r>
        <w:rPr>
          <w:rFonts w:ascii="Arial" w:eastAsia="宋体" w:hAnsi="Arial" w:cs="Arial"/>
          <w:i/>
          <w:iCs/>
          <w:color w:val="333333"/>
          <w:sz w:val="10"/>
          <w:szCs w:val="10"/>
        </w:rPr>
        <w:t>1    </w:t>
      </w:r>
      <w:r>
        <w:rPr>
          <w:rFonts w:ascii="Arial" w:eastAsia="宋体" w:hAnsi="Arial" w:cs="Arial"/>
          <w:i/>
          <w:iCs/>
          <w:color w:val="333333"/>
          <w:sz w:val="16"/>
          <w:szCs w:val="16"/>
        </w:rPr>
        <w:t>To manage foreign currency risk associated with the Australian-dollar-denominated notes issued in 2015, we entered into currency interest rate swaps with an aggregate notional amount of $396 million, which effectively converted these notes to U.S.-dollar-d</w:t>
      </w:r>
      <w:r>
        <w:rPr>
          <w:rFonts w:ascii="Arial" w:eastAsia="宋体" w:hAnsi="Arial" w:cs="Arial"/>
          <w:i/>
          <w:iCs/>
          <w:color w:val="333333"/>
          <w:sz w:val="16"/>
          <w:szCs w:val="16"/>
        </w:rPr>
        <w:t xml:space="preserve">enominated notes. For further discussion on our currency interest rate swaps, see "Note 12: Derivative Financial Instruments." </w:t>
      </w:r>
    </w:p>
    <w:p w14:paraId="36CA3635" w14:textId="77777777" w:rsidR="00787570" w:rsidRDefault="00787570">
      <w:pPr>
        <w:spacing w:after="180"/>
      </w:pPr>
    </w:p>
    <w:p w14:paraId="36CA3636" w14:textId="77777777" w:rsidR="00787570" w:rsidRDefault="00787570">
      <w:pPr>
        <w:spacing w:after="180"/>
      </w:pPr>
    </w:p>
    <w:p w14:paraId="36CA3637" w14:textId="77777777" w:rsidR="00787570" w:rsidRDefault="00787570">
      <w:pPr>
        <w:spacing w:after="180"/>
      </w:pPr>
    </w:p>
    <w:p w14:paraId="36CA3638" w14:textId="77777777" w:rsidR="00787570" w:rsidRDefault="00787570">
      <w:pPr>
        <w:spacing w:after="180"/>
      </w:pPr>
    </w:p>
    <w:p w14:paraId="36CA3639" w14:textId="77777777" w:rsidR="00787570" w:rsidRDefault="00787570">
      <w:pPr>
        <w:spacing w:after="180"/>
      </w:pPr>
    </w:p>
    <w:p w14:paraId="36CA363A" w14:textId="77777777" w:rsidR="00787570" w:rsidRDefault="00787570">
      <w:pPr>
        <w:spacing w:after="180"/>
      </w:pPr>
    </w:p>
    <w:p w14:paraId="36CA363B" w14:textId="77777777" w:rsidR="00787570" w:rsidRDefault="00787570">
      <w:pPr>
        <w:spacing w:after="180"/>
      </w:pPr>
    </w:p>
    <w:tbl>
      <w:tblPr>
        <w:tblW w:w="5000" w:type="pct"/>
        <w:tblCellMar>
          <w:top w:w="15" w:type="dxa"/>
          <w:left w:w="15" w:type="dxa"/>
          <w:bottom w:w="15" w:type="dxa"/>
          <w:right w:w="15" w:type="dxa"/>
        </w:tblCellMar>
        <w:tblLook w:val="04A0" w:firstRow="1" w:lastRow="0" w:firstColumn="1" w:lastColumn="0" w:noHBand="0" w:noVBand="1"/>
      </w:tblPr>
      <w:tblGrid>
        <w:gridCol w:w="86"/>
        <w:gridCol w:w="426"/>
        <w:gridCol w:w="36"/>
        <w:gridCol w:w="62"/>
        <w:gridCol w:w="1676"/>
        <w:gridCol w:w="36"/>
        <w:gridCol w:w="62"/>
        <w:gridCol w:w="3655"/>
        <w:gridCol w:w="36"/>
        <w:gridCol w:w="63"/>
        <w:gridCol w:w="2162"/>
        <w:gridCol w:w="36"/>
      </w:tblGrid>
      <w:tr w:rsidR="00787570" w14:paraId="36CA3648" w14:textId="77777777">
        <w:tc>
          <w:tcPr>
            <w:tcW w:w="50" w:type="pct"/>
            <w:shd w:val="clear" w:color="auto" w:fill="auto"/>
            <w:vAlign w:val="bottom"/>
          </w:tcPr>
          <w:p w14:paraId="36CA363C" w14:textId="77777777" w:rsidR="00787570" w:rsidRDefault="00787570">
            <w:pPr>
              <w:rPr>
                <w:rFonts w:ascii="宋体"/>
              </w:rPr>
            </w:pPr>
          </w:p>
        </w:tc>
        <w:tc>
          <w:tcPr>
            <w:tcW w:w="248" w:type="pct"/>
            <w:shd w:val="clear" w:color="auto" w:fill="auto"/>
            <w:vAlign w:val="bottom"/>
          </w:tcPr>
          <w:p w14:paraId="36CA363D" w14:textId="77777777" w:rsidR="00787570" w:rsidRDefault="00787570">
            <w:pPr>
              <w:rPr>
                <w:rFonts w:ascii="宋体"/>
              </w:rPr>
            </w:pPr>
          </w:p>
        </w:tc>
        <w:tc>
          <w:tcPr>
            <w:tcW w:w="5" w:type="pct"/>
            <w:shd w:val="clear" w:color="auto" w:fill="auto"/>
            <w:vAlign w:val="bottom"/>
          </w:tcPr>
          <w:p w14:paraId="36CA363E" w14:textId="77777777" w:rsidR="00787570" w:rsidRDefault="00787570">
            <w:pPr>
              <w:rPr>
                <w:rFonts w:ascii="宋体"/>
              </w:rPr>
            </w:pPr>
          </w:p>
        </w:tc>
        <w:tc>
          <w:tcPr>
            <w:tcW w:w="50" w:type="pct"/>
            <w:shd w:val="clear" w:color="auto" w:fill="auto"/>
            <w:vAlign w:val="bottom"/>
          </w:tcPr>
          <w:p w14:paraId="36CA363F" w14:textId="77777777" w:rsidR="00787570" w:rsidRDefault="00787570">
            <w:pPr>
              <w:rPr>
                <w:rFonts w:ascii="宋体"/>
              </w:rPr>
            </w:pPr>
          </w:p>
        </w:tc>
        <w:tc>
          <w:tcPr>
            <w:tcW w:w="1018" w:type="pct"/>
            <w:shd w:val="clear" w:color="auto" w:fill="auto"/>
            <w:vAlign w:val="bottom"/>
          </w:tcPr>
          <w:p w14:paraId="36CA3640" w14:textId="77777777" w:rsidR="00787570" w:rsidRDefault="00787570">
            <w:pPr>
              <w:rPr>
                <w:rFonts w:ascii="宋体"/>
              </w:rPr>
            </w:pPr>
          </w:p>
        </w:tc>
        <w:tc>
          <w:tcPr>
            <w:tcW w:w="5" w:type="pct"/>
            <w:shd w:val="clear" w:color="auto" w:fill="auto"/>
            <w:vAlign w:val="bottom"/>
          </w:tcPr>
          <w:p w14:paraId="36CA3641" w14:textId="77777777" w:rsidR="00787570" w:rsidRDefault="00787570">
            <w:pPr>
              <w:rPr>
                <w:rFonts w:ascii="宋体"/>
              </w:rPr>
            </w:pPr>
          </w:p>
        </w:tc>
        <w:tc>
          <w:tcPr>
            <w:tcW w:w="50" w:type="pct"/>
            <w:shd w:val="clear" w:color="auto" w:fill="auto"/>
            <w:vAlign w:val="bottom"/>
          </w:tcPr>
          <w:p w14:paraId="36CA3642" w14:textId="77777777" w:rsidR="00787570" w:rsidRDefault="00787570">
            <w:pPr>
              <w:rPr>
                <w:rFonts w:ascii="宋体"/>
              </w:rPr>
            </w:pPr>
          </w:p>
        </w:tc>
        <w:tc>
          <w:tcPr>
            <w:tcW w:w="2204" w:type="pct"/>
            <w:shd w:val="clear" w:color="auto" w:fill="auto"/>
            <w:vAlign w:val="bottom"/>
          </w:tcPr>
          <w:p w14:paraId="36CA3643" w14:textId="77777777" w:rsidR="00787570" w:rsidRDefault="00787570">
            <w:pPr>
              <w:rPr>
                <w:rFonts w:ascii="宋体"/>
              </w:rPr>
            </w:pPr>
          </w:p>
        </w:tc>
        <w:tc>
          <w:tcPr>
            <w:tcW w:w="5" w:type="pct"/>
            <w:shd w:val="clear" w:color="auto" w:fill="auto"/>
            <w:vAlign w:val="bottom"/>
          </w:tcPr>
          <w:p w14:paraId="36CA3644" w14:textId="77777777" w:rsidR="00787570" w:rsidRDefault="00787570">
            <w:pPr>
              <w:rPr>
                <w:rFonts w:ascii="宋体"/>
              </w:rPr>
            </w:pPr>
          </w:p>
        </w:tc>
        <w:tc>
          <w:tcPr>
            <w:tcW w:w="50" w:type="pct"/>
            <w:shd w:val="clear" w:color="auto" w:fill="auto"/>
            <w:vAlign w:val="bottom"/>
          </w:tcPr>
          <w:p w14:paraId="36CA3645" w14:textId="77777777" w:rsidR="00787570" w:rsidRDefault="00787570">
            <w:pPr>
              <w:rPr>
                <w:rFonts w:ascii="宋体"/>
              </w:rPr>
            </w:pPr>
          </w:p>
        </w:tc>
        <w:tc>
          <w:tcPr>
            <w:tcW w:w="1308" w:type="pct"/>
            <w:shd w:val="clear" w:color="auto" w:fill="auto"/>
            <w:vAlign w:val="bottom"/>
          </w:tcPr>
          <w:p w14:paraId="36CA3646" w14:textId="77777777" w:rsidR="00787570" w:rsidRDefault="00787570">
            <w:pPr>
              <w:rPr>
                <w:rFonts w:ascii="宋体"/>
              </w:rPr>
            </w:pPr>
          </w:p>
        </w:tc>
        <w:tc>
          <w:tcPr>
            <w:tcW w:w="5" w:type="pct"/>
            <w:shd w:val="clear" w:color="auto" w:fill="auto"/>
            <w:vAlign w:val="bottom"/>
          </w:tcPr>
          <w:p w14:paraId="36CA3647" w14:textId="77777777" w:rsidR="00787570" w:rsidRDefault="00787570">
            <w:pPr>
              <w:rPr>
                <w:rFonts w:ascii="宋体"/>
              </w:rPr>
            </w:pPr>
          </w:p>
        </w:tc>
      </w:tr>
      <w:tr w:rsidR="00787570" w14:paraId="36CA364D" w14:textId="77777777">
        <w:tc>
          <w:tcPr>
            <w:tcW w:w="0" w:type="auto"/>
            <w:gridSpan w:val="3"/>
            <w:tcBorders>
              <w:top w:val="single" w:sz="8" w:space="0" w:color="0071C5"/>
            </w:tcBorders>
            <w:shd w:val="clear" w:color="auto" w:fill="auto"/>
            <w:tcMar>
              <w:left w:w="20" w:type="dxa"/>
              <w:right w:w="20" w:type="dxa"/>
            </w:tcMar>
            <w:vAlign w:val="center"/>
          </w:tcPr>
          <w:p w14:paraId="36CA3649" w14:textId="77777777" w:rsidR="00787570" w:rsidRDefault="000D56E2">
            <w:pPr>
              <w:textAlignment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Viewer9_files/intc-20200926_g2.jpg"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36CA5C18" wp14:editId="36CA5C19">
                  <wp:extent cx="304800" cy="304800"/>
                  <wp:effectExtent l="0" t="0" r="0" b="0"/>
                  <wp:docPr id="24" name="图片 73" descr="IMG_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73" descr="IMG_329"/>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8" w:space="0" w:color="0071C5"/>
            </w:tcBorders>
            <w:shd w:val="clear" w:color="auto" w:fill="auto"/>
            <w:tcMar>
              <w:top w:w="40" w:type="dxa"/>
              <w:left w:w="20" w:type="dxa"/>
              <w:bottom w:w="40" w:type="dxa"/>
              <w:right w:w="20" w:type="dxa"/>
            </w:tcMar>
            <w:vAlign w:val="center"/>
          </w:tcPr>
          <w:p w14:paraId="36CA364A" w14:textId="77777777" w:rsidR="00787570" w:rsidRDefault="000D56E2">
            <w:pPr>
              <w:textAlignment w:val="center"/>
            </w:pPr>
            <w:r>
              <w:rPr>
                <w:rFonts w:ascii="Arial" w:eastAsia="宋体" w:hAnsi="Arial" w:cs="Arial"/>
                <w:color w:val="333333"/>
                <w:sz w:val="16"/>
                <w:szCs w:val="16"/>
              </w:rPr>
              <w:t> FINANCIAL STATEMENTS</w:t>
            </w:r>
          </w:p>
        </w:tc>
        <w:tc>
          <w:tcPr>
            <w:tcW w:w="0" w:type="auto"/>
            <w:gridSpan w:val="3"/>
            <w:tcBorders>
              <w:top w:val="single" w:sz="8" w:space="0" w:color="0071C5"/>
              <w:left w:val="single" w:sz="24" w:space="0" w:color="0071C5"/>
            </w:tcBorders>
            <w:shd w:val="clear" w:color="auto" w:fill="auto"/>
            <w:tcMar>
              <w:top w:w="40" w:type="dxa"/>
              <w:left w:w="20" w:type="dxa"/>
              <w:bottom w:w="40" w:type="dxa"/>
              <w:right w:w="20" w:type="dxa"/>
            </w:tcMar>
            <w:vAlign w:val="center"/>
          </w:tcPr>
          <w:p w14:paraId="36CA364B" w14:textId="77777777" w:rsidR="00787570" w:rsidRDefault="000D56E2">
            <w:pPr>
              <w:textAlignment w:val="center"/>
            </w:pPr>
            <w:r>
              <w:rPr>
                <w:rFonts w:ascii="Arial" w:eastAsia="宋体" w:hAnsi="Arial" w:cs="Arial"/>
                <w:color w:val="333333"/>
                <w:sz w:val="16"/>
                <w:szCs w:val="16"/>
              </w:rPr>
              <w:t>  Notes to Financial Statements</w:t>
            </w:r>
          </w:p>
        </w:tc>
        <w:tc>
          <w:tcPr>
            <w:tcW w:w="0" w:type="auto"/>
            <w:gridSpan w:val="3"/>
            <w:tcBorders>
              <w:top w:val="single" w:sz="8" w:space="0" w:color="0071C5"/>
            </w:tcBorders>
            <w:shd w:val="clear" w:color="auto" w:fill="auto"/>
            <w:tcMar>
              <w:top w:w="40" w:type="dxa"/>
              <w:left w:w="20" w:type="dxa"/>
              <w:bottom w:w="40" w:type="dxa"/>
              <w:right w:w="20" w:type="dxa"/>
            </w:tcMar>
            <w:vAlign w:val="center"/>
          </w:tcPr>
          <w:p w14:paraId="36CA364C" w14:textId="77777777" w:rsidR="00787570" w:rsidRDefault="000D56E2">
            <w:pPr>
              <w:jc w:val="right"/>
              <w:textAlignment w:val="center"/>
            </w:pPr>
            <w:r>
              <w:rPr>
                <w:rFonts w:ascii="Arial" w:eastAsia="宋体" w:hAnsi="Arial" w:cs="Arial"/>
                <w:color w:val="333333"/>
                <w:sz w:val="16"/>
                <w:szCs w:val="16"/>
              </w:rPr>
              <w:t>17</w:t>
            </w:r>
          </w:p>
        </w:tc>
      </w:tr>
    </w:tbl>
    <w:p w14:paraId="36CA364E" w14:textId="77777777" w:rsidR="00787570" w:rsidRDefault="000D56E2">
      <w:r>
        <w:pict w14:anchorId="36CA5C1A">
          <v:rect id="_x0000_i1043" style="width:415.3pt;height:1.5pt" o:hralign="center" o:hrstd="t" o:hr="t" fillcolor="#a0a0a0" stroked="f"/>
        </w:pict>
      </w:r>
    </w:p>
    <w:p w14:paraId="36CA364F" w14:textId="77777777" w:rsidR="00787570" w:rsidRDefault="000D56E2">
      <w:pPr>
        <w:spacing w:after="180"/>
        <w:jc w:val="right"/>
      </w:pPr>
      <w:hyperlink r:id="rId45" w:anchor="i32771df14e9449d2bec5be911426bf04_7" w:history="1">
        <w:r>
          <w:rPr>
            <w:rStyle w:val="a5"/>
            <w:rFonts w:ascii="Arial" w:eastAsia="宋体" w:hAnsi="Arial" w:cs="Arial"/>
            <w:b/>
            <w:bCs/>
            <w:sz w:val="16"/>
            <w:szCs w:val="16"/>
          </w:rPr>
          <w:t>Table of Contents</w:t>
        </w:r>
      </w:hyperlink>
    </w:p>
    <w:p w14:paraId="36CA3650" w14:textId="77777777" w:rsidR="00787570" w:rsidRDefault="00787570">
      <w:pPr>
        <w:spacing w:after="180"/>
        <w:jc w:val="right"/>
      </w:pPr>
    </w:p>
    <w:p w14:paraId="36CA3651" w14:textId="77777777" w:rsidR="00787570" w:rsidRDefault="000D56E2">
      <w:pPr>
        <w:spacing w:after="180"/>
      </w:pPr>
      <w:r>
        <w:rPr>
          <w:rFonts w:ascii="Arial" w:eastAsia="宋体" w:hAnsi="Arial" w:cs="Arial"/>
          <w:color w:val="333333"/>
          <w:sz w:val="18"/>
          <w:szCs w:val="18"/>
        </w:rPr>
        <w:t xml:space="preserve">In the first nine months of 2020, we settled $3.8 billion in short-term debt. In </w:t>
      </w:r>
      <w:r>
        <w:rPr>
          <w:rFonts w:ascii="Arial" w:eastAsia="宋体" w:hAnsi="Arial" w:cs="Arial"/>
          <w:color w:val="333333"/>
          <w:sz w:val="18"/>
          <w:szCs w:val="18"/>
        </w:rPr>
        <w:t>the first quarter of 2020, the remaining $372 million of our 2009 Debentures were converted or redeemed, in the second quarter of 2020, we settled $1.7 billion of our notes due May 2020, and in the third quarter of 2020, we settled $1.8 billion of our note</w:t>
      </w:r>
      <w:r>
        <w:rPr>
          <w:rFonts w:ascii="Arial" w:eastAsia="宋体" w:hAnsi="Arial" w:cs="Arial"/>
          <w:color w:val="333333"/>
          <w:sz w:val="18"/>
          <w:szCs w:val="18"/>
        </w:rPr>
        <w:t>s due July 2020.</w:t>
      </w:r>
    </w:p>
    <w:p w14:paraId="36CA3652" w14:textId="77777777" w:rsidR="00787570" w:rsidRDefault="000D56E2">
      <w:pPr>
        <w:spacing w:after="180"/>
      </w:pPr>
      <w:r>
        <w:rPr>
          <w:rFonts w:ascii="Arial" w:eastAsia="宋体" w:hAnsi="Arial" w:cs="Arial"/>
          <w:color w:val="333333"/>
          <w:sz w:val="18"/>
          <w:szCs w:val="18"/>
        </w:rPr>
        <w:t xml:space="preserve">In the first nine months of 2020, we issued a total of $10.3 billion aggregate principal amount of senior notes. We intend to use the net proceeds from the offering for general corporate purposes, which may include refinancing outstanding </w:t>
      </w:r>
      <w:r>
        <w:rPr>
          <w:rFonts w:ascii="Arial" w:eastAsia="宋体" w:hAnsi="Arial" w:cs="Arial"/>
          <w:color w:val="333333"/>
          <w:sz w:val="18"/>
          <w:szCs w:val="18"/>
        </w:rPr>
        <w:t>debt, funding for working capital and capital expenditures, and repurchasing shares of our common stock. </w:t>
      </w:r>
    </w:p>
    <w:p w14:paraId="36CA3653" w14:textId="77777777" w:rsidR="00787570" w:rsidRDefault="000D56E2">
      <w:pPr>
        <w:spacing w:after="180"/>
      </w:pPr>
      <w:r>
        <w:rPr>
          <w:rFonts w:ascii="Arial" w:eastAsia="宋体" w:hAnsi="Arial" w:cs="Arial"/>
          <w:color w:val="333333"/>
          <w:sz w:val="18"/>
          <w:szCs w:val="18"/>
        </w:rPr>
        <w:t>Our senior floating rate notes pay interest quarterly and our senior fixed rate notes pay interest semiannually. We may redeem the fixed rate notes pr</w:t>
      </w:r>
      <w:r>
        <w:rPr>
          <w:rFonts w:ascii="Arial" w:eastAsia="宋体" w:hAnsi="Arial" w:cs="Arial"/>
          <w:color w:val="333333"/>
          <w:sz w:val="18"/>
          <w:szCs w:val="18"/>
        </w:rPr>
        <w:t>ior to their maturity at our option at specified redemption prices and subject to certain restrictions. The obligations under the notes rank equally in right of payment with all of our other existing and future senior unsecured indebtedness and effectively</w:t>
      </w:r>
      <w:r>
        <w:rPr>
          <w:rFonts w:ascii="Arial" w:eastAsia="宋体" w:hAnsi="Arial" w:cs="Arial"/>
          <w:color w:val="333333"/>
          <w:sz w:val="18"/>
          <w:szCs w:val="18"/>
        </w:rPr>
        <w:t xml:space="preserve"> rank junior to all liabilities of our subsidiaries.</w:t>
      </w:r>
    </w:p>
    <w:p w14:paraId="36CA3654" w14:textId="77777777" w:rsidR="00787570" w:rsidRDefault="00787570">
      <w:pPr>
        <w:spacing w:after="180"/>
      </w:pPr>
    </w:p>
    <w:p w14:paraId="36CA3655" w14:textId="77777777" w:rsidR="00787570" w:rsidRDefault="00787570">
      <w:pPr>
        <w:spacing w:after="180"/>
      </w:pPr>
    </w:p>
    <w:p w14:paraId="36CA3656" w14:textId="77777777" w:rsidR="00787570" w:rsidRDefault="00787570">
      <w:pPr>
        <w:spacing w:after="180"/>
      </w:pPr>
    </w:p>
    <w:p w14:paraId="36CA3657" w14:textId="77777777" w:rsidR="00787570" w:rsidRDefault="00787570">
      <w:pPr>
        <w:spacing w:after="180"/>
      </w:pPr>
    </w:p>
    <w:p w14:paraId="36CA3658" w14:textId="77777777" w:rsidR="00787570" w:rsidRDefault="00787570">
      <w:pPr>
        <w:spacing w:after="180"/>
      </w:pPr>
    </w:p>
    <w:p w14:paraId="36CA3659" w14:textId="77777777" w:rsidR="00787570" w:rsidRDefault="00787570">
      <w:pPr>
        <w:spacing w:after="180"/>
      </w:pPr>
    </w:p>
    <w:p w14:paraId="36CA365A" w14:textId="77777777" w:rsidR="00787570" w:rsidRDefault="00787570">
      <w:pPr>
        <w:spacing w:after="180"/>
      </w:pPr>
    </w:p>
    <w:tbl>
      <w:tblPr>
        <w:tblW w:w="5000" w:type="pct"/>
        <w:tblCellMar>
          <w:top w:w="15" w:type="dxa"/>
          <w:left w:w="15" w:type="dxa"/>
          <w:bottom w:w="15" w:type="dxa"/>
          <w:right w:w="15" w:type="dxa"/>
        </w:tblCellMar>
        <w:tblLook w:val="04A0" w:firstRow="1" w:lastRow="0" w:firstColumn="1" w:lastColumn="0" w:noHBand="0" w:noVBand="1"/>
      </w:tblPr>
      <w:tblGrid>
        <w:gridCol w:w="86"/>
        <w:gridCol w:w="426"/>
        <w:gridCol w:w="36"/>
        <w:gridCol w:w="62"/>
        <w:gridCol w:w="1676"/>
        <w:gridCol w:w="36"/>
        <w:gridCol w:w="62"/>
        <w:gridCol w:w="3655"/>
        <w:gridCol w:w="36"/>
        <w:gridCol w:w="63"/>
        <w:gridCol w:w="2162"/>
        <w:gridCol w:w="36"/>
      </w:tblGrid>
      <w:tr w:rsidR="00787570" w14:paraId="36CA3667" w14:textId="77777777">
        <w:tc>
          <w:tcPr>
            <w:tcW w:w="50" w:type="pct"/>
            <w:shd w:val="clear" w:color="auto" w:fill="auto"/>
            <w:vAlign w:val="bottom"/>
          </w:tcPr>
          <w:p w14:paraId="36CA365B" w14:textId="77777777" w:rsidR="00787570" w:rsidRDefault="00787570">
            <w:pPr>
              <w:rPr>
                <w:rFonts w:ascii="宋体"/>
              </w:rPr>
            </w:pPr>
          </w:p>
        </w:tc>
        <w:tc>
          <w:tcPr>
            <w:tcW w:w="248" w:type="pct"/>
            <w:shd w:val="clear" w:color="auto" w:fill="auto"/>
            <w:vAlign w:val="bottom"/>
          </w:tcPr>
          <w:p w14:paraId="36CA365C" w14:textId="77777777" w:rsidR="00787570" w:rsidRDefault="00787570">
            <w:pPr>
              <w:rPr>
                <w:rFonts w:ascii="宋体"/>
              </w:rPr>
            </w:pPr>
          </w:p>
        </w:tc>
        <w:tc>
          <w:tcPr>
            <w:tcW w:w="5" w:type="pct"/>
            <w:shd w:val="clear" w:color="auto" w:fill="auto"/>
            <w:vAlign w:val="bottom"/>
          </w:tcPr>
          <w:p w14:paraId="36CA365D" w14:textId="77777777" w:rsidR="00787570" w:rsidRDefault="00787570">
            <w:pPr>
              <w:rPr>
                <w:rFonts w:ascii="宋体"/>
              </w:rPr>
            </w:pPr>
          </w:p>
        </w:tc>
        <w:tc>
          <w:tcPr>
            <w:tcW w:w="50" w:type="pct"/>
            <w:shd w:val="clear" w:color="auto" w:fill="auto"/>
            <w:vAlign w:val="bottom"/>
          </w:tcPr>
          <w:p w14:paraId="36CA365E" w14:textId="77777777" w:rsidR="00787570" w:rsidRDefault="00787570">
            <w:pPr>
              <w:rPr>
                <w:rFonts w:ascii="宋体"/>
              </w:rPr>
            </w:pPr>
          </w:p>
        </w:tc>
        <w:tc>
          <w:tcPr>
            <w:tcW w:w="1018" w:type="pct"/>
            <w:shd w:val="clear" w:color="auto" w:fill="auto"/>
            <w:vAlign w:val="bottom"/>
          </w:tcPr>
          <w:p w14:paraId="36CA365F" w14:textId="77777777" w:rsidR="00787570" w:rsidRDefault="00787570">
            <w:pPr>
              <w:rPr>
                <w:rFonts w:ascii="宋体"/>
              </w:rPr>
            </w:pPr>
          </w:p>
        </w:tc>
        <w:tc>
          <w:tcPr>
            <w:tcW w:w="5" w:type="pct"/>
            <w:shd w:val="clear" w:color="auto" w:fill="auto"/>
            <w:vAlign w:val="bottom"/>
          </w:tcPr>
          <w:p w14:paraId="36CA3660" w14:textId="77777777" w:rsidR="00787570" w:rsidRDefault="00787570">
            <w:pPr>
              <w:rPr>
                <w:rFonts w:ascii="宋体"/>
              </w:rPr>
            </w:pPr>
          </w:p>
        </w:tc>
        <w:tc>
          <w:tcPr>
            <w:tcW w:w="50" w:type="pct"/>
            <w:shd w:val="clear" w:color="auto" w:fill="auto"/>
            <w:vAlign w:val="bottom"/>
          </w:tcPr>
          <w:p w14:paraId="36CA3661" w14:textId="77777777" w:rsidR="00787570" w:rsidRDefault="00787570">
            <w:pPr>
              <w:rPr>
                <w:rFonts w:ascii="宋体"/>
              </w:rPr>
            </w:pPr>
          </w:p>
        </w:tc>
        <w:tc>
          <w:tcPr>
            <w:tcW w:w="2204" w:type="pct"/>
            <w:shd w:val="clear" w:color="auto" w:fill="auto"/>
            <w:vAlign w:val="bottom"/>
          </w:tcPr>
          <w:p w14:paraId="36CA3662" w14:textId="77777777" w:rsidR="00787570" w:rsidRDefault="00787570">
            <w:pPr>
              <w:rPr>
                <w:rFonts w:ascii="宋体"/>
              </w:rPr>
            </w:pPr>
          </w:p>
        </w:tc>
        <w:tc>
          <w:tcPr>
            <w:tcW w:w="5" w:type="pct"/>
            <w:shd w:val="clear" w:color="auto" w:fill="auto"/>
            <w:vAlign w:val="bottom"/>
          </w:tcPr>
          <w:p w14:paraId="36CA3663" w14:textId="77777777" w:rsidR="00787570" w:rsidRDefault="00787570">
            <w:pPr>
              <w:rPr>
                <w:rFonts w:ascii="宋体"/>
              </w:rPr>
            </w:pPr>
          </w:p>
        </w:tc>
        <w:tc>
          <w:tcPr>
            <w:tcW w:w="50" w:type="pct"/>
            <w:shd w:val="clear" w:color="auto" w:fill="auto"/>
            <w:vAlign w:val="bottom"/>
          </w:tcPr>
          <w:p w14:paraId="36CA3664" w14:textId="77777777" w:rsidR="00787570" w:rsidRDefault="00787570">
            <w:pPr>
              <w:rPr>
                <w:rFonts w:ascii="宋体"/>
              </w:rPr>
            </w:pPr>
          </w:p>
        </w:tc>
        <w:tc>
          <w:tcPr>
            <w:tcW w:w="1308" w:type="pct"/>
            <w:shd w:val="clear" w:color="auto" w:fill="auto"/>
            <w:vAlign w:val="bottom"/>
          </w:tcPr>
          <w:p w14:paraId="36CA3665" w14:textId="77777777" w:rsidR="00787570" w:rsidRDefault="00787570">
            <w:pPr>
              <w:rPr>
                <w:rFonts w:ascii="宋体"/>
              </w:rPr>
            </w:pPr>
          </w:p>
        </w:tc>
        <w:tc>
          <w:tcPr>
            <w:tcW w:w="5" w:type="pct"/>
            <w:shd w:val="clear" w:color="auto" w:fill="auto"/>
            <w:vAlign w:val="bottom"/>
          </w:tcPr>
          <w:p w14:paraId="36CA3666" w14:textId="77777777" w:rsidR="00787570" w:rsidRDefault="00787570">
            <w:pPr>
              <w:rPr>
                <w:rFonts w:ascii="宋体"/>
              </w:rPr>
            </w:pPr>
          </w:p>
        </w:tc>
      </w:tr>
      <w:tr w:rsidR="00787570" w14:paraId="36CA366C" w14:textId="77777777">
        <w:tc>
          <w:tcPr>
            <w:tcW w:w="0" w:type="auto"/>
            <w:gridSpan w:val="3"/>
            <w:tcBorders>
              <w:top w:val="single" w:sz="8" w:space="0" w:color="0071C5"/>
            </w:tcBorders>
            <w:shd w:val="clear" w:color="auto" w:fill="auto"/>
            <w:tcMar>
              <w:left w:w="20" w:type="dxa"/>
              <w:right w:w="20" w:type="dxa"/>
            </w:tcMar>
            <w:vAlign w:val="center"/>
          </w:tcPr>
          <w:p w14:paraId="36CA3668" w14:textId="77777777" w:rsidR="00787570" w:rsidRDefault="000D56E2">
            <w:pPr>
              <w:textAlignment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Viewer9_files/intc-20200926_g2.jpg"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36CA5C1B" wp14:editId="36CA5C1C">
                  <wp:extent cx="304800" cy="304800"/>
                  <wp:effectExtent l="0" t="0" r="0" b="0"/>
                  <wp:docPr id="22" name="图片 75" descr="IMG_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75" descr="IMG_329"/>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8" w:space="0" w:color="0071C5"/>
            </w:tcBorders>
            <w:shd w:val="clear" w:color="auto" w:fill="auto"/>
            <w:tcMar>
              <w:top w:w="40" w:type="dxa"/>
              <w:left w:w="20" w:type="dxa"/>
              <w:bottom w:w="40" w:type="dxa"/>
              <w:right w:w="20" w:type="dxa"/>
            </w:tcMar>
            <w:vAlign w:val="center"/>
          </w:tcPr>
          <w:p w14:paraId="36CA3669" w14:textId="77777777" w:rsidR="00787570" w:rsidRDefault="000D56E2">
            <w:pPr>
              <w:textAlignment w:val="center"/>
            </w:pPr>
            <w:r>
              <w:rPr>
                <w:rFonts w:ascii="Arial" w:eastAsia="宋体" w:hAnsi="Arial" w:cs="Arial"/>
                <w:color w:val="333333"/>
                <w:sz w:val="16"/>
                <w:szCs w:val="16"/>
              </w:rPr>
              <w:t> FINANCIAL STATEMENTS</w:t>
            </w:r>
          </w:p>
        </w:tc>
        <w:tc>
          <w:tcPr>
            <w:tcW w:w="0" w:type="auto"/>
            <w:gridSpan w:val="3"/>
            <w:tcBorders>
              <w:top w:val="single" w:sz="8" w:space="0" w:color="0071C5"/>
              <w:left w:val="single" w:sz="24" w:space="0" w:color="0071C5"/>
            </w:tcBorders>
            <w:shd w:val="clear" w:color="auto" w:fill="auto"/>
            <w:tcMar>
              <w:top w:w="40" w:type="dxa"/>
              <w:left w:w="20" w:type="dxa"/>
              <w:bottom w:w="40" w:type="dxa"/>
              <w:right w:w="20" w:type="dxa"/>
            </w:tcMar>
            <w:vAlign w:val="center"/>
          </w:tcPr>
          <w:p w14:paraId="36CA366A" w14:textId="77777777" w:rsidR="00787570" w:rsidRDefault="000D56E2">
            <w:pPr>
              <w:textAlignment w:val="center"/>
            </w:pPr>
            <w:r>
              <w:rPr>
                <w:rFonts w:ascii="Arial" w:eastAsia="宋体" w:hAnsi="Arial" w:cs="Arial"/>
                <w:color w:val="333333"/>
                <w:sz w:val="16"/>
                <w:szCs w:val="16"/>
              </w:rPr>
              <w:t>  Notes to Financial Statements</w:t>
            </w:r>
          </w:p>
        </w:tc>
        <w:tc>
          <w:tcPr>
            <w:tcW w:w="0" w:type="auto"/>
            <w:gridSpan w:val="3"/>
            <w:tcBorders>
              <w:top w:val="single" w:sz="8" w:space="0" w:color="0071C5"/>
            </w:tcBorders>
            <w:shd w:val="clear" w:color="auto" w:fill="auto"/>
            <w:tcMar>
              <w:top w:w="40" w:type="dxa"/>
              <w:left w:w="20" w:type="dxa"/>
              <w:bottom w:w="40" w:type="dxa"/>
              <w:right w:w="20" w:type="dxa"/>
            </w:tcMar>
            <w:vAlign w:val="center"/>
          </w:tcPr>
          <w:p w14:paraId="36CA366B" w14:textId="77777777" w:rsidR="00787570" w:rsidRDefault="000D56E2">
            <w:pPr>
              <w:jc w:val="right"/>
              <w:textAlignment w:val="center"/>
            </w:pPr>
            <w:r>
              <w:rPr>
                <w:rFonts w:ascii="Arial" w:eastAsia="宋体" w:hAnsi="Arial" w:cs="Arial"/>
                <w:color w:val="333333"/>
                <w:sz w:val="16"/>
                <w:szCs w:val="16"/>
              </w:rPr>
              <w:t>18</w:t>
            </w:r>
          </w:p>
        </w:tc>
      </w:tr>
    </w:tbl>
    <w:p w14:paraId="36CA366D" w14:textId="77777777" w:rsidR="00787570" w:rsidRDefault="000D56E2">
      <w:r>
        <w:pict w14:anchorId="36CA5C1D">
          <v:rect id="_x0000_i1044" style="width:415.3pt;height:1.5pt" o:hralign="center" o:hrstd="t" o:hr="t" fillcolor="#a0a0a0" stroked="f"/>
        </w:pict>
      </w:r>
    </w:p>
    <w:p w14:paraId="36CA366E" w14:textId="77777777" w:rsidR="00787570" w:rsidRDefault="000D56E2">
      <w:pPr>
        <w:spacing w:after="180"/>
        <w:jc w:val="right"/>
      </w:pPr>
      <w:hyperlink r:id="rId46" w:anchor="i32771df14e9449d2bec5be911426bf04_7" w:history="1">
        <w:r>
          <w:rPr>
            <w:rStyle w:val="a5"/>
            <w:rFonts w:ascii="Arial" w:eastAsia="宋体" w:hAnsi="Arial" w:cs="Arial"/>
            <w:b/>
            <w:bCs/>
            <w:sz w:val="16"/>
            <w:szCs w:val="16"/>
          </w:rPr>
          <w:t>Table of Contents</w:t>
        </w:r>
      </w:hyperlink>
    </w:p>
    <w:p w14:paraId="36CA366F" w14:textId="77777777" w:rsidR="00787570" w:rsidRDefault="00787570">
      <w:pPr>
        <w:spacing w:after="180"/>
        <w:jc w:val="right"/>
      </w:pPr>
    </w:p>
    <w:tbl>
      <w:tblPr>
        <w:tblW w:w="5000" w:type="pct"/>
        <w:tblCellMar>
          <w:top w:w="15" w:type="dxa"/>
          <w:left w:w="15" w:type="dxa"/>
          <w:bottom w:w="15" w:type="dxa"/>
          <w:right w:w="15" w:type="dxa"/>
        </w:tblCellMar>
        <w:tblLook w:val="04A0" w:firstRow="1" w:lastRow="0" w:firstColumn="1" w:lastColumn="0" w:noHBand="0" w:noVBand="1"/>
      </w:tblPr>
      <w:tblGrid>
        <w:gridCol w:w="69"/>
        <w:gridCol w:w="998"/>
        <w:gridCol w:w="36"/>
        <w:gridCol w:w="69"/>
        <w:gridCol w:w="7128"/>
        <w:gridCol w:w="36"/>
      </w:tblGrid>
      <w:tr w:rsidR="00787570" w14:paraId="36CA3676" w14:textId="77777777">
        <w:tc>
          <w:tcPr>
            <w:tcW w:w="50" w:type="pct"/>
            <w:shd w:val="clear" w:color="auto" w:fill="auto"/>
          </w:tcPr>
          <w:p w14:paraId="36CA3670" w14:textId="77777777" w:rsidR="00787570" w:rsidRDefault="00787570">
            <w:pPr>
              <w:rPr>
                <w:rFonts w:ascii="宋体"/>
              </w:rPr>
            </w:pPr>
          </w:p>
        </w:tc>
        <w:tc>
          <w:tcPr>
            <w:tcW w:w="607" w:type="pct"/>
            <w:shd w:val="clear" w:color="auto" w:fill="auto"/>
          </w:tcPr>
          <w:p w14:paraId="36CA3671" w14:textId="77777777" w:rsidR="00787570" w:rsidRDefault="00787570">
            <w:pPr>
              <w:rPr>
                <w:rFonts w:ascii="宋体"/>
              </w:rPr>
            </w:pPr>
          </w:p>
        </w:tc>
        <w:tc>
          <w:tcPr>
            <w:tcW w:w="5" w:type="pct"/>
            <w:shd w:val="clear" w:color="auto" w:fill="auto"/>
          </w:tcPr>
          <w:p w14:paraId="36CA3672" w14:textId="77777777" w:rsidR="00787570" w:rsidRDefault="00787570">
            <w:pPr>
              <w:rPr>
                <w:rFonts w:ascii="宋体"/>
              </w:rPr>
            </w:pPr>
          </w:p>
        </w:tc>
        <w:tc>
          <w:tcPr>
            <w:tcW w:w="50" w:type="pct"/>
            <w:shd w:val="clear" w:color="auto" w:fill="auto"/>
          </w:tcPr>
          <w:p w14:paraId="36CA3673" w14:textId="77777777" w:rsidR="00787570" w:rsidRDefault="00787570">
            <w:pPr>
              <w:rPr>
                <w:rFonts w:ascii="宋体"/>
              </w:rPr>
            </w:pPr>
          </w:p>
        </w:tc>
        <w:tc>
          <w:tcPr>
            <w:tcW w:w="4282" w:type="pct"/>
            <w:shd w:val="clear" w:color="auto" w:fill="auto"/>
          </w:tcPr>
          <w:p w14:paraId="36CA3674" w14:textId="77777777" w:rsidR="00787570" w:rsidRDefault="00787570">
            <w:pPr>
              <w:rPr>
                <w:rFonts w:ascii="宋体"/>
              </w:rPr>
            </w:pPr>
          </w:p>
        </w:tc>
        <w:tc>
          <w:tcPr>
            <w:tcW w:w="5" w:type="pct"/>
            <w:shd w:val="clear" w:color="auto" w:fill="auto"/>
          </w:tcPr>
          <w:p w14:paraId="36CA3675" w14:textId="77777777" w:rsidR="00787570" w:rsidRDefault="00787570">
            <w:pPr>
              <w:rPr>
                <w:rFonts w:ascii="宋体"/>
              </w:rPr>
            </w:pPr>
          </w:p>
        </w:tc>
      </w:tr>
      <w:tr w:rsidR="00787570" w14:paraId="36CA3679" w14:textId="77777777">
        <w:tc>
          <w:tcPr>
            <w:tcW w:w="0" w:type="auto"/>
            <w:gridSpan w:val="3"/>
            <w:tcBorders>
              <w:bottom w:val="single" w:sz="8" w:space="0" w:color="0071C5"/>
            </w:tcBorders>
            <w:shd w:val="clear" w:color="auto" w:fill="0071C5"/>
            <w:tcMar>
              <w:top w:w="40" w:type="dxa"/>
              <w:left w:w="20" w:type="dxa"/>
              <w:bottom w:w="40" w:type="dxa"/>
              <w:right w:w="20" w:type="dxa"/>
            </w:tcMar>
            <w:vAlign w:val="bottom"/>
          </w:tcPr>
          <w:p w14:paraId="36CA3677" w14:textId="77777777" w:rsidR="00787570" w:rsidRDefault="000D56E2">
            <w:pPr>
              <w:textAlignment w:val="bottom"/>
            </w:pPr>
            <w:r>
              <w:rPr>
                <w:rFonts w:ascii="Arial" w:eastAsia="宋体" w:hAnsi="Arial" w:cs="Arial"/>
                <w:b/>
                <w:bCs/>
                <w:color w:val="FFFFFF"/>
                <w:sz w:val="28"/>
                <w:szCs w:val="28"/>
              </w:rPr>
              <w:t xml:space="preserve">NOTE 10 : </w:t>
            </w:r>
          </w:p>
        </w:tc>
        <w:tc>
          <w:tcPr>
            <w:tcW w:w="0" w:type="auto"/>
            <w:gridSpan w:val="3"/>
            <w:tcBorders>
              <w:bottom w:val="single" w:sz="8" w:space="0" w:color="0071C5"/>
            </w:tcBorders>
            <w:shd w:val="clear" w:color="auto" w:fill="auto"/>
            <w:tcMar>
              <w:top w:w="40" w:type="dxa"/>
              <w:left w:w="20" w:type="dxa"/>
              <w:bottom w:w="40" w:type="dxa"/>
              <w:right w:w="20" w:type="dxa"/>
            </w:tcMar>
            <w:vAlign w:val="bottom"/>
          </w:tcPr>
          <w:p w14:paraId="36CA3678" w14:textId="77777777" w:rsidR="00787570" w:rsidRDefault="000D56E2">
            <w:pPr>
              <w:textAlignment w:val="bottom"/>
            </w:pPr>
            <w:r>
              <w:rPr>
                <w:rFonts w:ascii="Arial" w:eastAsia="宋体" w:hAnsi="Arial" w:cs="Arial"/>
                <w:b/>
                <w:bCs/>
                <w:color w:val="0071C5"/>
                <w:sz w:val="28"/>
                <w:szCs w:val="28"/>
              </w:rPr>
              <w:t>FAIR VALUE</w:t>
            </w:r>
          </w:p>
        </w:tc>
      </w:tr>
    </w:tbl>
    <w:p w14:paraId="36CA367A" w14:textId="77777777" w:rsidR="00787570" w:rsidRDefault="000D56E2">
      <w:pPr>
        <w:spacing w:before="300" w:after="180"/>
      </w:pPr>
      <w:r>
        <w:rPr>
          <w:rFonts w:ascii="Arial" w:eastAsia="宋体" w:hAnsi="Arial" w:cs="Arial"/>
          <w:b/>
          <w:bCs/>
          <w:color w:val="0071C5"/>
        </w:rPr>
        <w:t xml:space="preserve">ASSETS AND LIABILITIES MEASURED AND RECORDED AT </w:t>
      </w:r>
      <w:r>
        <w:rPr>
          <w:rFonts w:ascii="Arial" w:eastAsia="宋体" w:hAnsi="Arial" w:cs="Arial"/>
          <w:b/>
          <w:bCs/>
          <w:color w:val="0071C5"/>
        </w:rPr>
        <w:t>FAIR VALUE ON A RECURRING BASIS</w:t>
      </w:r>
    </w:p>
    <w:tbl>
      <w:tblPr>
        <w:tblW w:w="5000" w:type="pct"/>
        <w:tblCellMar>
          <w:top w:w="15" w:type="dxa"/>
          <w:left w:w="15" w:type="dxa"/>
          <w:bottom w:w="15" w:type="dxa"/>
          <w:right w:w="15" w:type="dxa"/>
        </w:tblCellMar>
        <w:tblLook w:val="04A0" w:firstRow="1" w:lastRow="0" w:firstColumn="1" w:lastColumn="0" w:noHBand="0" w:noVBand="1"/>
      </w:tblPr>
      <w:tblGrid>
        <w:gridCol w:w="67"/>
        <w:gridCol w:w="844"/>
        <w:gridCol w:w="35"/>
        <w:gridCol w:w="37"/>
        <w:gridCol w:w="34"/>
        <w:gridCol w:w="34"/>
        <w:gridCol w:w="113"/>
        <w:gridCol w:w="435"/>
        <w:gridCol w:w="39"/>
        <w:gridCol w:w="38"/>
        <w:gridCol w:w="43"/>
        <w:gridCol w:w="34"/>
        <w:gridCol w:w="112"/>
        <w:gridCol w:w="475"/>
        <w:gridCol w:w="39"/>
        <w:gridCol w:w="37"/>
        <w:gridCol w:w="44"/>
        <w:gridCol w:w="35"/>
        <w:gridCol w:w="113"/>
        <w:gridCol w:w="436"/>
        <w:gridCol w:w="40"/>
        <w:gridCol w:w="37"/>
        <w:gridCol w:w="35"/>
        <w:gridCol w:w="35"/>
        <w:gridCol w:w="113"/>
        <w:gridCol w:w="476"/>
        <w:gridCol w:w="40"/>
        <w:gridCol w:w="37"/>
        <w:gridCol w:w="35"/>
        <w:gridCol w:w="35"/>
        <w:gridCol w:w="113"/>
        <w:gridCol w:w="400"/>
        <w:gridCol w:w="40"/>
        <w:gridCol w:w="37"/>
        <w:gridCol w:w="35"/>
        <w:gridCol w:w="35"/>
        <w:gridCol w:w="113"/>
        <w:gridCol w:w="476"/>
        <w:gridCol w:w="40"/>
        <w:gridCol w:w="37"/>
        <w:gridCol w:w="35"/>
        <w:gridCol w:w="35"/>
        <w:gridCol w:w="114"/>
        <w:gridCol w:w="421"/>
        <w:gridCol w:w="40"/>
        <w:gridCol w:w="37"/>
        <w:gridCol w:w="35"/>
        <w:gridCol w:w="35"/>
        <w:gridCol w:w="113"/>
        <w:gridCol w:w="476"/>
        <w:gridCol w:w="40"/>
        <w:gridCol w:w="243"/>
        <w:gridCol w:w="243"/>
        <w:gridCol w:w="243"/>
        <w:gridCol w:w="243"/>
        <w:gridCol w:w="243"/>
        <w:gridCol w:w="243"/>
        <w:gridCol w:w="35"/>
        <w:gridCol w:w="35"/>
        <w:gridCol w:w="35"/>
        <w:gridCol w:w="35"/>
        <w:gridCol w:w="35"/>
        <w:gridCol w:w="69"/>
      </w:tblGrid>
      <w:tr w:rsidR="00787570" w14:paraId="36CA36AE" w14:textId="77777777">
        <w:trPr>
          <w:gridAfter w:val="12"/>
        </w:trPr>
        <w:tc>
          <w:tcPr>
            <w:tcW w:w="50" w:type="pct"/>
            <w:shd w:val="clear" w:color="auto" w:fill="auto"/>
          </w:tcPr>
          <w:p w14:paraId="36CA367B" w14:textId="77777777" w:rsidR="00787570" w:rsidRDefault="00787570">
            <w:pPr>
              <w:rPr>
                <w:rFonts w:ascii="宋体"/>
              </w:rPr>
            </w:pPr>
          </w:p>
        </w:tc>
        <w:tc>
          <w:tcPr>
            <w:tcW w:w="1994" w:type="pct"/>
            <w:shd w:val="clear" w:color="auto" w:fill="auto"/>
          </w:tcPr>
          <w:p w14:paraId="36CA367C" w14:textId="77777777" w:rsidR="00787570" w:rsidRDefault="00787570">
            <w:pPr>
              <w:rPr>
                <w:rFonts w:ascii="宋体"/>
              </w:rPr>
            </w:pPr>
          </w:p>
        </w:tc>
        <w:tc>
          <w:tcPr>
            <w:tcW w:w="5" w:type="pct"/>
            <w:shd w:val="clear" w:color="auto" w:fill="auto"/>
          </w:tcPr>
          <w:p w14:paraId="36CA367D" w14:textId="77777777" w:rsidR="00787570" w:rsidRDefault="00787570">
            <w:pPr>
              <w:rPr>
                <w:rFonts w:ascii="宋体"/>
              </w:rPr>
            </w:pPr>
          </w:p>
        </w:tc>
        <w:tc>
          <w:tcPr>
            <w:tcW w:w="5" w:type="pct"/>
            <w:shd w:val="clear" w:color="auto" w:fill="auto"/>
          </w:tcPr>
          <w:p w14:paraId="36CA367E" w14:textId="77777777" w:rsidR="00787570" w:rsidRDefault="00787570">
            <w:pPr>
              <w:rPr>
                <w:rFonts w:ascii="宋体"/>
              </w:rPr>
            </w:pPr>
          </w:p>
        </w:tc>
        <w:tc>
          <w:tcPr>
            <w:tcW w:w="24" w:type="pct"/>
            <w:shd w:val="clear" w:color="auto" w:fill="auto"/>
          </w:tcPr>
          <w:p w14:paraId="36CA367F" w14:textId="77777777" w:rsidR="00787570" w:rsidRDefault="00787570">
            <w:pPr>
              <w:rPr>
                <w:rFonts w:ascii="宋体"/>
              </w:rPr>
            </w:pPr>
          </w:p>
        </w:tc>
        <w:tc>
          <w:tcPr>
            <w:tcW w:w="5" w:type="pct"/>
            <w:shd w:val="clear" w:color="auto" w:fill="auto"/>
          </w:tcPr>
          <w:p w14:paraId="36CA3680" w14:textId="77777777" w:rsidR="00787570" w:rsidRDefault="00787570">
            <w:pPr>
              <w:rPr>
                <w:rFonts w:ascii="宋体"/>
              </w:rPr>
            </w:pPr>
          </w:p>
        </w:tc>
        <w:tc>
          <w:tcPr>
            <w:tcW w:w="50" w:type="pct"/>
            <w:shd w:val="clear" w:color="auto" w:fill="auto"/>
          </w:tcPr>
          <w:p w14:paraId="36CA3681" w14:textId="77777777" w:rsidR="00787570" w:rsidRDefault="00787570">
            <w:pPr>
              <w:rPr>
                <w:rFonts w:ascii="宋体"/>
              </w:rPr>
            </w:pPr>
          </w:p>
        </w:tc>
        <w:tc>
          <w:tcPr>
            <w:tcW w:w="279" w:type="pct"/>
            <w:shd w:val="clear" w:color="auto" w:fill="auto"/>
          </w:tcPr>
          <w:p w14:paraId="36CA3682" w14:textId="77777777" w:rsidR="00787570" w:rsidRDefault="00787570">
            <w:pPr>
              <w:rPr>
                <w:rFonts w:ascii="宋体"/>
              </w:rPr>
            </w:pPr>
          </w:p>
        </w:tc>
        <w:tc>
          <w:tcPr>
            <w:tcW w:w="5" w:type="pct"/>
            <w:shd w:val="clear" w:color="auto" w:fill="auto"/>
          </w:tcPr>
          <w:p w14:paraId="36CA3683" w14:textId="77777777" w:rsidR="00787570" w:rsidRDefault="00787570">
            <w:pPr>
              <w:rPr>
                <w:rFonts w:ascii="宋体"/>
              </w:rPr>
            </w:pPr>
          </w:p>
        </w:tc>
        <w:tc>
          <w:tcPr>
            <w:tcW w:w="5" w:type="pct"/>
            <w:shd w:val="clear" w:color="auto" w:fill="auto"/>
          </w:tcPr>
          <w:p w14:paraId="36CA3684" w14:textId="77777777" w:rsidR="00787570" w:rsidRDefault="00787570">
            <w:pPr>
              <w:rPr>
                <w:rFonts w:ascii="宋体"/>
              </w:rPr>
            </w:pPr>
          </w:p>
        </w:tc>
        <w:tc>
          <w:tcPr>
            <w:tcW w:w="24" w:type="pct"/>
            <w:shd w:val="clear" w:color="auto" w:fill="auto"/>
          </w:tcPr>
          <w:p w14:paraId="36CA3685" w14:textId="77777777" w:rsidR="00787570" w:rsidRDefault="00787570">
            <w:pPr>
              <w:rPr>
                <w:rFonts w:ascii="宋体"/>
              </w:rPr>
            </w:pPr>
          </w:p>
        </w:tc>
        <w:tc>
          <w:tcPr>
            <w:tcW w:w="5" w:type="pct"/>
            <w:shd w:val="clear" w:color="auto" w:fill="auto"/>
          </w:tcPr>
          <w:p w14:paraId="36CA3686" w14:textId="77777777" w:rsidR="00787570" w:rsidRDefault="00787570">
            <w:pPr>
              <w:rPr>
                <w:rFonts w:ascii="宋体"/>
              </w:rPr>
            </w:pPr>
          </w:p>
        </w:tc>
        <w:tc>
          <w:tcPr>
            <w:tcW w:w="50" w:type="pct"/>
            <w:shd w:val="clear" w:color="auto" w:fill="auto"/>
          </w:tcPr>
          <w:p w14:paraId="36CA3687" w14:textId="77777777" w:rsidR="00787570" w:rsidRDefault="00787570">
            <w:pPr>
              <w:rPr>
                <w:rFonts w:ascii="宋体"/>
              </w:rPr>
            </w:pPr>
          </w:p>
        </w:tc>
        <w:tc>
          <w:tcPr>
            <w:tcW w:w="279" w:type="pct"/>
            <w:shd w:val="clear" w:color="auto" w:fill="auto"/>
          </w:tcPr>
          <w:p w14:paraId="36CA3688" w14:textId="77777777" w:rsidR="00787570" w:rsidRDefault="00787570">
            <w:pPr>
              <w:rPr>
                <w:rFonts w:ascii="宋体"/>
              </w:rPr>
            </w:pPr>
          </w:p>
        </w:tc>
        <w:tc>
          <w:tcPr>
            <w:tcW w:w="5" w:type="pct"/>
            <w:shd w:val="clear" w:color="auto" w:fill="auto"/>
          </w:tcPr>
          <w:p w14:paraId="36CA3689" w14:textId="77777777" w:rsidR="00787570" w:rsidRDefault="00787570">
            <w:pPr>
              <w:rPr>
                <w:rFonts w:ascii="宋体"/>
              </w:rPr>
            </w:pPr>
          </w:p>
        </w:tc>
        <w:tc>
          <w:tcPr>
            <w:tcW w:w="5" w:type="pct"/>
            <w:shd w:val="clear" w:color="auto" w:fill="auto"/>
          </w:tcPr>
          <w:p w14:paraId="36CA368A" w14:textId="77777777" w:rsidR="00787570" w:rsidRDefault="00787570">
            <w:pPr>
              <w:rPr>
                <w:rFonts w:ascii="宋体"/>
              </w:rPr>
            </w:pPr>
          </w:p>
        </w:tc>
        <w:tc>
          <w:tcPr>
            <w:tcW w:w="24" w:type="pct"/>
            <w:shd w:val="clear" w:color="auto" w:fill="auto"/>
          </w:tcPr>
          <w:p w14:paraId="36CA368B" w14:textId="77777777" w:rsidR="00787570" w:rsidRDefault="00787570">
            <w:pPr>
              <w:rPr>
                <w:rFonts w:ascii="宋体"/>
              </w:rPr>
            </w:pPr>
          </w:p>
        </w:tc>
        <w:tc>
          <w:tcPr>
            <w:tcW w:w="5" w:type="pct"/>
            <w:shd w:val="clear" w:color="auto" w:fill="auto"/>
          </w:tcPr>
          <w:p w14:paraId="36CA368C" w14:textId="77777777" w:rsidR="00787570" w:rsidRDefault="00787570">
            <w:pPr>
              <w:rPr>
                <w:rFonts w:ascii="宋体"/>
              </w:rPr>
            </w:pPr>
          </w:p>
        </w:tc>
        <w:tc>
          <w:tcPr>
            <w:tcW w:w="50" w:type="pct"/>
            <w:shd w:val="clear" w:color="auto" w:fill="auto"/>
          </w:tcPr>
          <w:p w14:paraId="36CA368D" w14:textId="77777777" w:rsidR="00787570" w:rsidRDefault="00787570">
            <w:pPr>
              <w:rPr>
                <w:rFonts w:ascii="宋体"/>
              </w:rPr>
            </w:pPr>
          </w:p>
        </w:tc>
        <w:tc>
          <w:tcPr>
            <w:tcW w:w="279" w:type="pct"/>
            <w:shd w:val="clear" w:color="auto" w:fill="auto"/>
          </w:tcPr>
          <w:p w14:paraId="36CA368E" w14:textId="77777777" w:rsidR="00787570" w:rsidRDefault="00787570">
            <w:pPr>
              <w:rPr>
                <w:rFonts w:ascii="宋体"/>
              </w:rPr>
            </w:pPr>
          </w:p>
        </w:tc>
        <w:tc>
          <w:tcPr>
            <w:tcW w:w="5" w:type="pct"/>
            <w:shd w:val="clear" w:color="auto" w:fill="auto"/>
          </w:tcPr>
          <w:p w14:paraId="36CA368F" w14:textId="77777777" w:rsidR="00787570" w:rsidRDefault="00787570">
            <w:pPr>
              <w:rPr>
                <w:rFonts w:ascii="宋体"/>
              </w:rPr>
            </w:pPr>
          </w:p>
        </w:tc>
        <w:tc>
          <w:tcPr>
            <w:tcW w:w="5" w:type="pct"/>
            <w:shd w:val="clear" w:color="auto" w:fill="auto"/>
          </w:tcPr>
          <w:p w14:paraId="36CA3690" w14:textId="77777777" w:rsidR="00787570" w:rsidRDefault="00787570">
            <w:pPr>
              <w:rPr>
                <w:rFonts w:ascii="宋体"/>
              </w:rPr>
            </w:pPr>
          </w:p>
        </w:tc>
        <w:tc>
          <w:tcPr>
            <w:tcW w:w="24" w:type="pct"/>
            <w:shd w:val="clear" w:color="auto" w:fill="auto"/>
          </w:tcPr>
          <w:p w14:paraId="36CA3691" w14:textId="77777777" w:rsidR="00787570" w:rsidRDefault="00787570">
            <w:pPr>
              <w:rPr>
                <w:rFonts w:ascii="宋体"/>
              </w:rPr>
            </w:pPr>
          </w:p>
        </w:tc>
        <w:tc>
          <w:tcPr>
            <w:tcW w:w="5" w:type="pct"/>
            <w:shd w:val="clear" w:color="auto" w:fill="auto"/>
          </w:tcPr>
          <w:p w14:paraId="36CA3692" w14:textId="77777777" w:rsidR="00787570" w:rsidRDefault="00787570">
            <w:pPr>
              <w:rPr>
                <w:rFonts w:ascii="宋体"/>
              </w:rPr>
            </w:pPr>
          </w:p>
        </w:tc>
        <w:tc>
          <w:tcPr>
            <w:tcW w:w="50" w:type="pct"/>
            <w:shd w:val="clear" w:color="auto" w:fill="auto"/>
          </w:tcPr>
          <w:p w14:paraId="36CA3693" w14:textId="77777777" w:rsidR="00787570" w:rsidRDefault="00787570">
            <w:pPr>
              <w:rPr>
                <w:rFonts w:ascii="宋体"/>
              </w:rPr>
            </w:pPr>
          </w:p>
        </w:tc>
        <w:tc>
          <w:tcPr>
            <w:tcW w:w="279" w:type="pct"/>
            <w:shd w:val="clear" w:color="auto" w:fill="auto"/>
          </w:tcPr>
          <w:p w14:paraId="36CA3694" w14:textId="77777777" w:rsidR="00787570" w:rsidRDefault="00787570">
            <w:pPr>
              <w:rPr>
                <w:rFonts w:ascii="宋体"/>
              </w:rPr>
            </w:pPr>
          </w:p>
        </w:tc>
        <w:tc>
          <w:tcPr>
            <w:tcW w:w="5" w:type="pct"/>
            <w:shd w:val="clear" w:color="auto" w:fill="auto"/>
          </w:tcPr>
          <w:p w14:paraId="36CA3695" w14:textId="77777777" w:rsidR="00787570" w:rsidRDefault="00787570">
            <w:pPr>
              <w:rPr>
                <w:rFonts w:ascii="宋体"/>
              </w:rPr>
            </w:pPr>
          </w:p>
        </w:tc>
        <w:tc>
          <w:tcPr>
            <w:tcW w:w="5" w:type="pct"/>
            <w:shd w:val="clear" w:color="auto" w:fill="auto"/>
          </w:tcPr>
          <w:p w14:paraId="36CA3696" w14:textId="77777777" w:rsidR="00787570" w:rsidRDefault="00787570">
            <w:pPr>
              <w:rPr>
                <w:rFonts w:ascii="宋体"/>
              </w:rPr>
            </w:pPr>
          </w:p>
        </w:tc>
        <w:tc>
          <w:tcPr>
            <w:tcW w:w="24" w:type="pct"/>
            <w:shd w:val="clear" w:color="auto" w:fill="auto"/>
          </w:tcPr>
          <w:p w14:paraId="36CA3697" w14:textId="77777777" w:rsidR="00787570" w:rsidRDefault="00787570">
            <w:pPr>
              <w:rPr>
                <w:rFonts w:ascii="宋体"/>
              </w:rPr>
            </w:pPr>
          </w:p>
        </w:tc>
        <w:tc>
          <w:tcPr>
            <w:tcW w:w="5" w:type="pct"/>
            <w:shd w:val="clear" w:color="auto" w:fill="auto"/>
          </w:tcPr>
          <w:p w14:paraId="36CA3698" w14:textId="77777777" w:rsidR="00787570" w:rsidRDefault="00787570">
            <w:pPr>
              <w:rPr>
                <w:rFonts w:ascii="宋体"/>
              </w:rPr>
            </w:pPr>
          </w:p>
        </w:tc>
        <w:tc>
          <w:tcPr>
            <w:tcW w:w="50" w:type="pct"/>
            <w:shd w:val="clear" w:color="auto" w:fill="auto"/>
          </w:tcPr>
          <w:p w14:paraId="36CA3699" w14:textId="77777777" w:rsidR="00787570" w:rsidRDefault="00787570">
            <w:pPr>
              <w:rPr>
                <w:rFonts w:ascii="宋体"/>
              </w:rPr>
            </w:pPr>
          </w:p>
        </w:tc>
        <w:tc>
          <w:tcPr>
            <w:tcW w:w="279" w:type="pct"/>
            <w:shd w:val="clear" w:color="auto" w:fill="auto"/>
          </w:tcPr>
          <w:p w14:paraId="36CA369A" w14:textId="77777777" w:rsidR="00787570" w:rsidRDefault="00787570">
            <w:pPr>
              <w:rPr>
                <w:rFonts w:ascii="宋体"/>
              </w:rPr>
            </w:pPr>
          </w:p>
        </w:tc>
        <w:tc>
          <w:tcPr>
            <w:tcW w:w="5" w:type="pct"/>
            <w:shd w:val="clear" w:color="auto" w:fill="auto"/>
          </w:tcPr>
          <w:p w14:paraId="36CA369B" w14:textId="77777777" w:rsidR="00787570" w:rsidRDefault="00787570">
            <w:pPr>
              <w:rPr>
                <w:rFonts w:ascii="宋体"/>
              </w:rPr>
            </w:pPr>
          </w:p>
        </w:tc>
        <w:tc>
          <w:tcPr>
            <w:tcW w:w="5" w:type="pct"/>
            <w:shd w:val="clear" w:color="auto" w:fill="auto"/>
          </w:tcPr>
          <w:p w14:paraId="36CA369C" w14:textId="77777777" w:rsidR="00787570" w:rsidRDefault="00787570">
            <w:pPr>
              <w:rPr>
                <w:rFonts w:ascii="宋体"/>
              </w:rPr>
            </w:pPr>
          </w:p>
        </w:tc>
        <w:tc>
          <w:tcPr>
            <w:tcW w:w="24" w:type="pct"/>
            <w:shd w:val="clear" w:color="auto" w:fill="auto"/>
          </w:tcPr>
          <w:p w14:paraId="36CA369D" w14:textId="77777777" w:rsidR="00787570" w:rsidRDefault="00787570">
            <w:pPr>
              <w:rPr>
                <w:rFonts w:ascii="宋体"/>
              </w:rPr>
            </w:pPr>
          </w:p>
        </w:tc>
        <w:tc>
          <w:tcPr>
            <w:tcW w:w="5" w:type="pct"/>
            <w:shd w:val="clear" w:color="auto" w:fill="auto"/>
          </w:tcPr>
          <w:p w14:paraId="36CA369E" w14:textId="77777777" w:rsidR="00787570" w:rsidRDefault="00787570">
            <w:pPr>
              <w:rPr>
                <w:rFonts w:ascii="宋体"/>
              </w:rPr>
            </w:pPr>
          </w:p>
        </w:tc>
        <w:tc>
          <w:tcPr>
            <w:tcW w:w="50" w:type="pct"/>
            <w:shd w:val="clear" w:color="auto" w:fill="auto"/>
          </w:tcPr>
          <w:p w14:paraId="36CA369F" w14:textId="77777777" w:rsidR="00787570" w:rsidRDefault="00787570">
            <w:pPr>
              <w:rPr>
                <w:rFonts w:ascii="宋体"/>
              </w:rPr>
            </w:pPr>
          </w:p>
        </w:tc>
        <w:tc>
          <w:tcPr>
            <w:tcW w:w="279" w:type="pct"/>
            <w:shd w:val="clear" w:color="auto" w:fill="auto"/>
          </w:tcPr>
          <w:p w14:paraId="36CA36A0" w14:textId="77777777" w:rsidR="00787570" w:rsidRDefault="00787570">
            <w:pPr>
              <w:rPr>
                <w:rFonts w:ascii="宋体"/>
              </w:rPr>
            </w:pPr>
          </w:p>
        </w:tc>
        <w:tc>
          <w:tcPr>
            <w:tcW w:w="5" w:type="pct"/>
            <w:shd w:val="clear" w:color="auto" w:fill="auto"/>
          </w:tcPr>
          <w:p w14:paraId="36CA36A1" w14:textId="77777777" w:rsidR="00787570" w:rsidRDefault="00787570">
            <w:pPr>
              <w:rPr>
                <w:rFonts w:ascii="宋体"/>
              </w:rPr>
            </w:pPr>
          </w:p>
        </w:tc>
        <w:tc>
          <w:tcPr>
            <w:tcW w:w="5" w:type="pct"/>
            <w:shd w:val="clear" w:color="auto" w:fill="auto"/>
          </w:tcPr>
          <w:p w14:paraId="36CA36A2" w14:textId="77777777" w:rsidR="00787570" w:rsidRDefault="00787570">
            <w:pPr>
              <w:rPr>
                <w:rFonts w:ascii="宋体"/>
              </w:rPr>
            </w:pPr>
          </w:p>
        </w:tc>
        <w:tc>
          <w:tcPr>
            <w:tcW w:w="24" w:type="pct"/>
            <w:shd w:val="clear" w:color="auto" w:fill="auto"/>
          </w:tcPr>
          <w:p w14:paraId="36CA36A3" w14:textId="77777777" w:rsidR="00787570" w:rsidRDefault="00787570">
            <w:pPr>
              <w:rPr>
                <w:rFonts w:ascii="宋体"/>
              </w:rPr>
            </w:pPr>
          </w:p>
        </w:tc>
        <w:tc>
          <w:tcPr>
            <w:tcW w:w="5" w:type="pct"/>
            <w:shd w:val="clear" w:color="auto" w:fill="auto"/>
          </w:tcPr>
          <w:p w14:paraId="36CA36A4" w14:textId="77777777" w:rsidR="00787570" w:rsidRDefault="00787570">
            <w:pPr>
              <w:rPr>
                <w:rFonts w:ascii="宋体"/>
              </w:rPr>
            </w:pPr>
          </w:p>
        </w:tc>
        <w:tc>
          <w:tcPr>
            <w:tcW w:w="50" w:type="pct"/>
            <w:shd w:val="clear" w:color="auto" w:fill="auto"/>
          </w:tcPr>
          <w:p w14:paraId="36CA36A5" w14:textId="77777777" w:rsidR="00787570" w:rsidRDefault="00787570">
            <w:pPr>
              <w:rPr>
                <w:rFonts w:ascii="宋体"/>
              </w:rPr>
            </w:pPr>
          </w:p>
        </w:tc>
        <w:tc>
          <w:tcPr>
            <w:tcW w:w="279" w:type="pct"/>
            <w:shd w:val="clear" w:color="auto" w:fill="auto"/>
          </w:tcPr>
          <w:p w14:paraId="36CA36A6" w14:textId="77777777" w:rsidR="00787570" w:rsidRDefault="00787570">
            <w:pPr>
              <w:rPr>
                <w:rFonts w:ascii="宋体"/>
              </w:rPr>
            </w:pPr>
          </w:p>
        </w:tc>
        <w:tc>
          <w:tcPr>
            <w:tcW w:w="5" w:type="pct"/>
            <w:shd w:val="clear" w:color="auto" w:fill="auto"/>
          </w:tcPr>
          <w:p w14:paraId="36CA36A7" w14:textId="77777777" w:rsidR="00787570" w:rsidRDefault="00787570">
            <w:pPr>
              <w:rPr>
                <w:rFonts w:ascii="宋体"/>
              </w:rPr>
            </w:pPr>
          </w:p>
        </w:tc>
        <w:tc>
          <w:tcPr>
            <w:tcW w:w="5" w:type="pct"/>
            <w:shd w:val="clear" w:color="auto" w:fill="auto"/>
          </w:tcPr>
          <w:p w14:paraId="36CA36A8" w14:textId="77777777" w:rsidR="00787570" w:rsidRDefault="00787570">
            <w:pPr>
              <w:rPr>
                <w:rFonts w:ascii="宋体"/>
              </w:rPr>
            </w:pPr>
          </w:p>
        </w:tc>
        <w:tc>
          <w:tcPr>
            <w:tcW w:w="24" w:type="pct"/>
            <w:shd w:val="clear" w:color="auto" w:fill="auto"/>
          </w:tcPr>
          <w:p w14:paraId="36CA36A9" w14:textId="77777777" w:rsidR="00787570" w:rsidRDefault="00787570">
            <w:pPr>
              <w:rPr>
                <w:rFonts w:ascii="宋体"/>
              </w:rPr>
            </w:pPr>
          </w:p>
        </w:tc>
        <w:tc>
          <w:tcPr>
            <w:tcW w:w="5" w:type="pct"/>
            <w:shd w:val="clear" w:color="auto" w:fill="auto"/>
          </w:tcPr>
          <w:p w14:paraId="36CA36AA" w14:textId="77777777" w:rsidR="00787570" w:rsidRDefault="00787570">
            <w:pPr>
              <w:rPr>
                <w:rFonts w:ascii="宋体"/>
              </w:rPr>
            </w:pPr>
          </w:p>
        </w:tc>
        <w:tc>
          <w:tcPr>
            <w:tcW w:w="50" w:type="pct"/>
            <w:shd w:val="clear" w:color="auto" w:fill="auto"/>
          </w:tcPr>
          <w:p w14:paraId="36CA36AB" w14:textId="77777777" w:rsidR="00787570" w:rsidRDefault="00787570">
            <w:pPr>
              <w:rPr>
                <w:rFonts w:ascii="宋体"/>
              </w:rPr>
            </w:pPr>
          </w:p>
        </w:tc>
        <w:tc>
          <w:tcPr>
            <w:tcW w:w="280" w:type="pct"/>
            <w:shd w:val="clear" w:color="auto" w:fill="auto"/>
          </w:tcPr>
          <w:p w14:paraId="36CA36AC" w14:textId="77777777" w:rsidR="00787570" w:rsidRDefault="00787570">
            <w:pPr>
              <w:rPr>
                <w:rFonts w:ascii="宋体"/>
              </w:rPr>
            </w:pPr>
          </w:p>
        </w:tc>
        <w:tc>
          <w:tcPr>
            <w:tcW w:w="5" w:type="pct"/>
            <w:shd w:val="clear" w:color="auto" w:fill="auto"/>
          </w:tcPr>
          <w:p w14:paraId="36CA36AD" w14:textId="77777777" w:rsidR="00787570" w:rsidRDefault="00787570">
            <w:pPr>
              <w:rPr>
                <w:rFonts w:ascii="宋体"/>
              </w:rPr>
            </w:pPr>
          </w:p>
        </w:tc>
      </w:tr>
      <w:tr w:rsidR="00787570" w14:paraId="36CA36BB" w14:textId="77777777">
        <w:tc>
          <w:tcPr>
            <w:tcW w:w="0" w:type="auto"/>
            <w:gridSpan w:val="3"/>
            <w:shd w:val="clear" w:color="auto" w:fill="auto"/>
            <w:tcMar>
              <w:left w:w="20" w:type="dxa"/>
              <w:right w:w="20" w:type="dxa"/>
            </w:tcMar>
            <w:vAlign w:val="bottom"/>
          </w:tcPr>
          <w:p w14:paraId="36CA36AF"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36B0" w14:textId="77777777" w:rsidR="00787570" w:rsidRDefault="00787570">
            <w:pPr>
              <w:rPr>
                <w:rFonts w:ascii="宋体"/>
              </w:rPr>
            </w:pPr>
          </w:p>
        </w:tc>
        <w:tc>
          <w:tcPr>
            <w:tcW w:w="0" w:type="auto"/>
            <w:gridSpan w:val="21"/>
            <w:shd w:val="clear" w:color="auto" w:fill="auto"/>
            <w:tcMar>
              <w:top w:w="40" w:type="dxa"/>
              <w:left w:w="20" w:type="dxa"/>
              <w:bottom w:w="40" w:type="dxa"/>
              <w:right w:w="20" w:type="dxa"/>
            </w:tcMar>
            <w:vAlign w:val="bottom"/>
          </w:tcPr>
          <w:p w14:paraId="36CA36B1" w14:textId="77777777" w:rsidR="00787570" w:rsidRDefault="000D56E2">
            <w:pPr>
              <w:jc w:val="center"/>
              <w:textAlignment w:val="bottom"/>
            </w:pPr>
            <w:r>
              <w:rPr>
                <w:rFonts w:ascii="Arial" w:eastAsia="宋体" w:hAnsi="Arial" w:cs="Arial"/>
                <w:b/>
                <w:bCs/>
                <w:color w:val="333333"/>
                <w:sz w:val="18"/>
                <w:szCs w:val="18"/>
              </w:rPr>
              <w:t>Sep 26, 2020</w:t>
            </w:r>
          </w:p>
        </w:tc>
        <w:tc>
          <w:tcPr>
            <w:tcW w:w="0" w:type="auto"/>
            <w:gridSpan w:val="3"/>
            <w:shd w:val="clear" w:color="auto" w:fill="auto"/>
          </w:tcPr>
          <w:p w14:paraId="36CA36B2" w14:textId="77777777" w:rsidR="00787570" w:rsidRDefault="00787570">
            <w:pPr>
              <w:rPr>
                <w:rFonts w:ascii="宋体"/>
                <w:vanish/>
              </w:rPr>
            </w:pPr>
          </w:p>
        </w:tc>
        <w:tc>
          <w:tcPr>
            <w:tcW w:w="0" w:type="auto"/>
            <w:gridSpan w:val="3"/>
            <w:shd w:val="clear" w:color="auto" w:fill="auto"/>
          </w:tcPr>
          <w:p w14:paraId="36CA36B3" w14:textId="77777777" w:rsidR="00787570" w:rsidRDefault="00787570">
            <w:pPr>
              <w:rPr>
                <w:rFonts w:ascii="宋体"/>
                <w:vanish/>
              </w:rPr>
            </w:pPr>
          </w:p>
        </w:tc>
        <w:tc>
          <w:tcPr>
            <w:tcW w:w="0" w:type="auto"/>
            <w:gridSpan w:val="3"/>
            <w:shd w:val="clear" w:color="auto" w:fill="auto"/>
          </w:tcPr>
          <w:p w14:paraId="36CA36B4" w14:textId="77777777" w:rsidR="00787570" w:rsidRDefault="00787570">
            <w:pPr>
              <w:rPr>
                <w:rFonts w:ascii="宋体"/>
                <w:vanish/>
              </w:rPr>
            </w:pPr>
          </w:p>
        </w:tc>
        <w:tc>
          <w:tcPr>
            <w:tcW w:w="0" w:type="auto"/>
            <w:gridSpan w:val="3"/>
            <w:shd w:val="clear" w:color="auto" w:fill="auto"/>
          </w:tcPr>
          <w:p w14:paraId="36CA36B5" w14:textId="77777777" w:rsidR="00787570" w:rsidRDefault="00787570">
            <w:pPr>
              <w:rPr>
                <w:rFonts w:ascii="宋体"/>
                <w:vanish/>
              </w:rPr>
            </w:pPr>
          </w:p>
        </w:tc>
        <w:tc>
          <w:tcPr>
            <w:tcW w:w="0" w:type="auto"/>
            <w:gridSpan w:val="3"/>
            <w:shd w:val="clear" w:color="auto" w:fill="auto"/>
          </w:tcPr>
          <w:p w14:paraId="36CA36B6" w14:textId="77777777" w:rsidR="00787570" w:rsidRDefault="00787570">
            <w:pPr>
              <w:rPr>
                <w:rFonts w:ascii="宋体"/>
                <w:vanish/>
              </w:rPr>
            </w:pPr>
          </w:p>
        </w:tc>
        <w:tc>
          <w:tcPr>
            <w:tcW w:w="0" w:type="auto"/>
            <w:gridSpan w:val="3"/>
            <w:shd w:val="clear" w:color="auto" w:fill="auto"/>
          </w:tcPr>
          <w:p w14:paraId="36CA36B7" w14:textId="77777777" w:rsidR="00787570" w:rsidRDefault="00787570">
            <w:pPr>
              <w:rPr>
                <w:rFonts w:ascii="宋体"/>
                <w:vanish/>
              </w:rPr>
            </w:pPr>
          </w:p>
        </w:tc>
        <w:tc>
          <w:tcPr>
            <w:tcW w:w="0" w:type="auto"/>
            <w:gridSpan w:val="3"/>
            <w:shd w:val="clear" w:color="auto" w:fill="auto"/>
            <w:tcMar>
              <w:left w:w="20" w:type="dxa"/>
              <w:right w:w="20" w:type="dxa"/>
            </w:tcMar>
            <w:vAlign w:val="bottom"/>
          </w:tcPr>
          <w:p w14:paraId="36CA36B8" w14:textId="77777777" w:rsidR="00787570" w:rsidRDefault="00787570">
            <w:pPr>
              <w:rPr>
                <w:rFonts w:ascii="宋体"/>
              </w:rPr>
            </w:pPr>
          </w:p>
        </w:tc>
        <w:tc>
          <w:tcPr>
            <w:tcW w:w="0" w:type="auto"/>
            <w:gridSpan w:val="14"/>
            <w:shd w:val="clear" w:color="auto" w:fill="auto"/>
            <w:tcMar>
              <w:top w:w="40" w:type="dxa"/>
              <w:left w:w="20" w:type="dxa"/>
              <w:bottom w:w="40" w:type="dxa"/>
              <w:right w:w="20" w:type="dxa"/>
            </w:tcMar>
            <w:vAlign w:val="bottom"/>
          </w:tcPr>
          <w:p w14:paraId="36CA36B9" w14:textId="77777777" w:rsidR="00787570" w:rsidRDefault="000D56E2">
            <w:pPr>
              <w:jc w:val="center"/>
              <w:textAlignment w:val="bottom"/>
            </w:pPr>
            <w:r>
              <w:rPr>
                <w:rFonts w:ascii="Arial" w:eastAsia="宋体" w:hAnsi="Arial" w:cs="Arial"/>
                <w:b/>
                <w:bCs/>
                <w:color w:val="333333"/>
                <w:sz w:val="18"/>
                <w:szCs w:val="18"/>
              </w:rPr>
              <w:t>Dec 28, 2019</w:t>
            </w:r>
          </w:p>
        </w:tc>
        <w:tc>
          <w:tcPr>
            <w:tcW w:w="0" w:type="auto"/>
            <w:shd w:val="clear" w:color="auto" w:fill="auto"/>
          </w:tcPr>
          <w:p w14:paraId="36CA36BA" w14:textId="77777777" w:rsidR="00787570" w:rsidRDefault="00787570">
            <w:pPr>
              <w:rPr>
                <w:rFonts w:ascii="宋体"/>
                <w:vanish/>
              </w:rPr>
            </w:pPr>
          </w:p>
        </w:tc>
      </w:tr>
      <w:tr w:rsidR="00787570" w14:paraId="36CA36CC" w14:textId="77777777">
        <w:tc>
          <w:tcPr>
            <w:tcW w:w="0" w:type="auto"/>
            <w:gridSpan w:val="3"/>
            <w:shd w:val="clear" w:color="auto" w:fill="auto"/>
            <w:tcMar>
              <w:left w:w="20" w:type="dxa"/>
              <w:right w:w="20" w:type="dxa"/>
            </w:tcMar>
            <w:vAlign w:val="bottom"/>
          </w:tcPr>
          <w:p w14:paraId="36CA36BC"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36BD" w14:textId="77777777" w:rsidR="00787570" w:rsidRDefault="00787570">
            <w:pPr>
              <w:rPr>
                <w:rFonts w:ascii="宋体"/>
              </w:rPr>
            </w:pPr>
          </w:p>
        </w:tc>
        <w:tc>
          <w:tcPr>
            <w:tcW w:w="0" w:type="auto"/>
            <w:gridSpan w:val="15"/>
            <w:tcBorders>
              <w:top w:val="single" w:sz="8" w:space="0" w:color="0071C5"/>
            </w:tcBorders>
            <w:shd w:val="clear" w:color="auto" w:fill="auto"/>
            <w:tcMar>
              <w:top w:w="40" w:type="dxa"/>
              <w:left w:w="20" w:type="dxa"/>
              <w:bottom w:w="40" w:type="dxa"/>
              <w:right w:w="20" w:type="dxa"/>
            </w:tcMar>
            <w:vAlign w:val="bottom"/>
          </w:tcPr>
          <w:p w14:paraId="36CA36BE" w14:textId="77777777" w:rsidR="00787570" w:rsidRDefault="000D56E2">
            <w:pPr>
              <w:jc w:val="center"/>
              <w:textAlignment w:val="bottom"/>
            </w:pPr>
            <w:r>
              <w:rPr>
                <w:rFonts w:ascii="Arial" w:eastAsia="宋体" w:hAnsi="Arial" w:cs="Arial"/>
                <w:b/>
                <w:bCs/>
                <w:color w:val="333333"/>
                <w:sz w:val="18"/>
                <w:szCs w:val="18"/>
              </w:rPr>
              <w:t xml:space="preserve">Fair Value Measured and </w:t>
            </w:r>
          </w:p>
          <w:p w14:paraId="36CA36BF" w14:textId="77777777" w:rsidR="00787570" w:rsidRDefault="000D56E2">
            <w:pPr>
              <w:jc w:val="center"/>
              <w:textAlignment w:val="bottom"/>
            </w:pPr>
            <w:r>
              <w:rPr>
                <w:rFonts w:ascii="Arial" w:eastAsia="宋体" w:hAnsi="Arial" w:cs="Arial"/>
                <w:b/>
                <w:bCs/>
                <w:color w:val="333333"/>
                <w:sz w:val="18"/>
                <w:szCs w:val="18"/>
              </w:rPr>
              <w:t>Recorded at Reporting Date Using</w:t>
            </w:r>
          </w:p>
        </w:tc>
        <w:tc>
          <w:tcPr>
            <w:tcW w:w="0" w:type="auto"/>
            <w:gridSpan w:val="3"/>
            <w:shd w:val="clear" w:color="auto" w:fill="auto"/>
          </w:tcPr>
          <w:p w14:paraId="36CA36C0" w14:textId="77777777" w:rsidR="00787570" w:rsidRDefault="00787570">
            <w:pPr>
              <w:rPr>
                <w:rFonts w:ascii="宋体"/>
                <w:vanish/>
              </w:rPr>
            </w:pPr>
          </w:p>
        </w:tc>
        <w:tc>
          <w:tcPr>
            <w:tcW w:w="0" w:type="auto"/>
            <w:gridSpan w:val="3"/>
            <w:shd w:val="clear" w:color="auto" w:fill="auto"/>
          </w:tcPr>
          <w:p w14:paraId="36CA36C1" w14:textId="77777777" w:rsidR="00787570" w:rsidRDefault="00787570">
            <w:pPr>
              <w:rPr>
                <w:rFonts w:ascii="宋体"/>
                <w:vanish/>
              </w:rPr>
            </w:pPr>
          </w:p>
        </w:tc>
        <w:tc>
          <w:tcPr>
            <w:tcW w:w="0" w:type="auto"/>
            <w:gridSpan w:val="3"/>
            <w:shd w:val="clear" w:color="auto" w:fill="auto"/>
          </w:tcPr>
          <w:p w14:paraId="36CA36C2" w14:textId="77777777" w:rsidR="00787570" w:rsidRDefault="00787570">
            <w:pPr>
              <w:rPr>
                <w:rFonts w:ascii="宋体"/>
                <w:vanish/>
              </w:rPr>
            </w:pPr>
          </w:p>
        </w:tc>
        <w:tc>
          <w:tcPr>
            <w:tcW w:w="0" w:type="auto"/>
            <w:gridSpan w:val="3"/>
            <w:shd w:val="clear" w:color="auto" w:fill="auto"/>
          </w:tcPr>
          <w:p w14:paraId="36CA36C3" w14:textId="77777777" w:rsidR="00787570" w:rsidRDefault="00787570">
            <w:pPr>
              <w:rPr>
                <w:rFonts w:ascii="宋体"/>
                <w:vanish/>
              </w:rPr>
            </w:pPr>
          </w:p>
        </w:tc>
        <w:tc>
          <w:tcPr>
            <w:tcW w:w="0" w:type="auto"/>
            <w:gridSpan w:val="3"/>
            <w:tcBorders>
              <w:top w:val="single" w:sz="8" w:space="0" w:color="0071C5"/>
            </w:tcBorders>
            <w:shd w:val="clear" w:color="auto" w:fill="auto"/>
            <w:tcMar>
              <w:left w:w="20" w:type="dxa"/>
              <w:right w:w="20" w:type="dxa"/>
            </w:tcMar>
            <w:vAlign w:val="bottom"/>
          </w:tcPr>
          <w:p w14:paraId="36CA36C4" w14:textId="77777777" w:rsidR="00787570" w:rsidRDefault="00787570">
            <w:pPr>
              <w:rPr>
                <w:rFonts w:ascii="宋体"/>
              </w:rPr>
            </w:pPr>
          </w:p>
        </w:tc>
        <w:tc>
          <w:tcPr>
            <w:tcW w:w="0" w:type="auto"/>
            <w:gridSpan w:val="3"/>
            <w:tcBorders>
              <w:top w:val="single" w:sz="8" w:space="0" w:color="0071C5"/>
            </w:tcBorders>
            <w:shd w:val="clear" w:color="auto" w:fill="auto"/>
            <w:tcMar>
              <w:top w:w="40" w:type="dxa"/>
              <w:left w:w="20" w:type="dxa"/>
              <w:bottom w:w="40" w:type="dxa"/>
              <w:right w:w="20" w:type="dxa"/>
            </w:tcMar>
            <w:vAlign w:val="bottom"/>
          </w:tcPr>
          <w:p w14:paraId="36CA36C5" w14:textId="77777777" w:rsidR="00787570" w:rsidRDefault="000D56E2">
            <w:pPr>
              <w:textAlignment w:val="bottom"/>
            </w:pPr>
            <w:r>
              <w:rPr>
                <w:rFonts w:ascii="Arial" w:eastAsia="宋体" w:hAnsi="Arial" w:cs="Arial"/>
                <w:b/>
                <w:bCs/>
                <w:color w:val="333333"/>
                <w:sz w:val="18"/>
                <w:szCs w:val="18"/>
              </w:rPr>
              <w:t> </w:t>
            </w:r>
          </w:p>
        </w:tc>
        <w:tc>
          <w:tcPr>
            <w:tcW w:w="0" w:type="auto"/>
            <w:gridSpan w:val="3"/>
            <w:shd w:val="clear" w:color="auto" w:fill="auto"/>
            <w:tcMar>
              <w:left w:w="20" w:type="dxa"/>
              <w:right w:w="20" w:type="dxa"/>
            </w:tcMar>
            <w:vAlign w:val="bottom"/>
          </w:tcPr>
          <w:p w14:paraId="36CA36C6" w14:textId="77777777" w:rsidR="00787570" w:rsidRDefault="00787570">
            <w:pPr>
              <w:rPr>
                <w:rFonts w:ascii="宋体"/>
              </w:rPr>
            </w:pPr>
          </w:p>
        </w:tc>
        <w:tc>
          <w:tcPr>
            <w:tcW w:w="0" w:type="auto"/>
            <w:gridSpan w:val="15"/>
            <w:tcBorders>
              <w:top w:val="single" w:sz="8" w:space="0" w:color="0071C5"/>
            </w:tcBorders>
            <w:shd w:val="clear" w:color="auto" w:fill="auto"/>
            <w:tcMar>
              <w:top w:w="40" w:type="dxa"/>
              <w:left w:w="20" w:type="dxa"/>
              <w:bottom w:w="40" w:type="dxa"/>
              <w:right w:w="20" w:type="dxa"/>
            </w:tcMar>
            <w:vAlign w:val="bottom"/>
          </w:tcPr>
          <w:p w14:paraId="36CA36C7" w14:textId="77777777" w:rsidR="00787570" w:rsidRDefault="000D56E2">
            <w:pPr>
              <w:jc w:val="center"/>
              <w:textAlignment w:val="bottom"/>
            </w:pPr>
            <w:r>
              <w:rPr>
                <w:rFonts w:ascii="Arial" w:eastAsia="宋体" w:hAnsi="Arial" w:cs="Arial"/>
                <w:b/>
                <w:bCs/>
                <w:color w:val="333333"/>
                <w:sz w:val="18"/>
                <w:szCs w:val="18"/>
              </w:rPr>
              <w:t xml:space="preserve">Fair Value Measured and </w:t>
            </w:r>
          </w:p>
          <w:p w14:paraId="36CA36C8" w14:textId="77777777" w:rsidR="00787570" w:rsidRDefault="000D56E2">
            <w:pPr>
              <w:jc w:val="center"/>
              <w:textAlignment w:val="bottom"/>
            </w:pPr>
            <w:r>
              <w:rPr>
                <w:rFonts w:ascii="Arial" w:eastAsia="宋体" w:hAnsi="Arial" w:cs="Arial"/>
                <w:b/>
                <w:bCs/>
                <w:color w:val="333333"/>
                <w:sz w:val="18"/>
                <w:szCs w:val="18"/>
              </w:rPr>
              <w:t>Recorded at Reporting Date Using</w:t>
            </w:r>
          </w:p>
        </w:tc>
        <w:tc>
          <w:tcPr>
            <w:tcW w:w="0" w:type="auto"/>
            <w:gridSpan w:val="3"/>
            <w:shd w:val="clear" w:color="auto" w:fill="auto"/>
          </w:tcPr>
          <w:p w14:paraId="36CA36C9" w14:textId="77777777" w:rsidR="00787570" w:rsidRDefault="00787570">
            <w:pPr>
              <w:rPr>
                <w:rFonts w:ascii="宋体"/>
                <w:vanish/>
              </w:rPr>
            </w:pPr>
          </w:p>
        </w:tc>
        <w:tc>
          <w:tcPr>
            <w:tcW w:w="0" w:type="auto"/>
            <w:gridSpan w:val="2"/>
            <w:shd w:val="clear" w:color="auto" w:fill="auto"/>
          </w:tcPr>
          <w:p w14:paraId="36CA36CA" w14:textId="77777777" w:rsidR="00787570" w:rsidRDefault="00787570">
            <w:pPr>
              <w:rPr>
                <w:rFonts w:ascii="宋体"/>
                <w:vanish/>
              </w:rPr>
            </w:pPr>
          </w:p>
        </w:tc>
        <w:tc>
          <w:tcPr>
            <w:tcW w:w="0" w:type="auto"/>
            <w:shd w:val="clear" w:color="auto" w:fill="auto"/>
          </w:tcPr>
          <w:p w14:paraId="36CA36CB" w14:textId="77777777" w:rsidR="00787570" w:rsidRDefault="000D56E2">
            <w:pPr>
              <w:textAlignment w:val="bottom"/>
            </w:pPr>
            <w:r>
              <w:rPr>
                <w:rFonts w:ascii="Arial" w:eastAsia="宋体" w:hAnsi="Arial" w:cs="Arial"/>
                <w:b/>
                <w:bCs/>
                <w:color w:val="333333"/>
                <w:sz w:val="18"/>
                <w:szCs w:val="18"/>
              </w:rPr>
              <w:t> </w:t>
            </w:r>
          </w:p>
        </w:tc>
      </w:tr>
      <w:tr w:rsidR="00787570" w14:paraId="36CA36EA" w14:textId="77777777">
        <w:tc>
          <w:tcPr>
            <w:tcW w:w="0" w:type="auto"/>
            <w:gridSpan w:val="3"/>
            <w:shd w:val="clear" w:color="auto" w:fill="auto"/>
            <w:tcMar>
              <w:top w:w="40" w:type="dxa"/>
              <w:left w:w="20" w:type="dxa"/>
              <w:bottom w:w="40" w:type="dxa"/>
              <w:right w:w="20" w:type="dxa"/>
            </w:tcMar>
            <w:vAlign w:val="bottom"/>
          </w:tcPr>
          <w:p w14:paraId="36CA36CD" w14:textId="77777777" w:rsidR="00787570" w:rsidRDefault="000D56E2">
            <w:pPr>
              <w:textAlignment w:val="bottom"/>
            </w:pPr>
            <w:r>
              <w:rPr>
                <w:rFonts w:ascii="Arial" w:eastAsia="宋体" w:hAnsi="Arial" w:cs="Arial"/>
                <w:b/>
                <w:bCs/>
                <w:color w:val="333333"/>
                <w:sz w:val="18"/>
                <w:szCs w:val="18"/>
              </w:rPr>
              <w:t>(In Millions)</w:t>
            </w:r>
          </w:p>
        </w:tc>
        <w:tc>
          <w:tcPr>
            <w:tcW w:w="0" w:type="auto"/>
            <w:gridSpan w:val="3"/>
            <w:shd w:val="clear" w:color="auto" w:fill="auto"/>
            <w:tcMar>
              <w:left w:w="20" w:type="dxa"/>
              <w:right w:w="20" w:type="dxa"/>
            </w:tcMar>
            <w:vAlign w:val="bottom"/>
          </w:tcPr>
          <w:p w14:paraId="36CA36CE" w14:textId="77777777" w:rsidR="00787570" w:rsidRDefault="00787570">
            <w:pPr>
              <w:rPr>
                <w:rFonts w:ascii="宋体"/>
              </w:rPr>
            </w:pPr>
          </w:p>
        </w:tc>
        <w:tc>
          <w:tcPr>
            <w:tcW w:w="0" w:type="auto"/>
            <w:gridSpan w:val="3"/>
            <w:tcBorders>
              <w:top w:val="single" w:sz="8" w:space="0" w:color="0071C5"/>
            </w:tcBorders>
            <w:shd w:val="clear" w:color="auto" w:fill="auto"/>
            <w:tcMar>
              <w:top w:w="40" w:type="dxa"/>
              <w:left w:w="20" w:type="dxa"/>
              <w:bottom w:w="40" w:type="dxa"/>
              <w:right w:w="20" w:type="dxa"/>
            </w:tcMar>
            <w:vAlign w:val="bottom"/>
          </w:tcPr>
          <w:p w14:paraId="36CA36CF" w14:textId="77777777" w:rsidR="00787570" w:rsidRDefault="000D56E2">
            <w:pPr>
              <w:jc w:val="center"/>
              <w:textAlignment w:val="bottom"/>
            </w:pPr>
            <w:r>
              <w:rPr>
                <w:rFonts w:ascii="Arial" w:eastAsia="宋体" w:hAnsi="Arial" w:cs="Arial"/>
                <w:b/>
                <w:bCs/>
                <w:color w:val="333333"/>
                <w:sz w:val="18"/>
                <w:szCs w:val="18"/>
              </w:rPr>
              <w:t>Level 1</w:t>
            </w:r>
          </w:p>
        </w:tc>
        <w:tc>
          <w:tcPr>
            <w:tcW w:w="0" w:type="auto"/>
            <w:gridSpan w:val="3"/>
            <w:tcBorders>
              <w:top w:val="single" w:sz="8" w:space="0" w:color="0071C5"/>
            </w:tcBorders>
            <w:shd w:val="clear" w:color="auto" w:fill="auto"/>
            <w:tcMar>
              <w:left w:w="20" w:type="dxa"/>
              <w:right w:w="20" w:type="dxa"/>
            </w:tcMar>
            <w:vAlign w:val="bottom"/>
          </w:tcPr>
          <w:p w14:paraId="36CA36D0" w14:textId="77777777" w:rsidR="00787570" w:rsidRDefault="00787570">
            <w:pPr>
              <w:rPr>
                <w:rFonts w:ascii="宋体"/>
              </w:rPr>
            </w:pPr>
          </w:p>
        </w:tc>
        <w:tc>
          <w:tcPr>
            <w:tcW w:w="0" w:type="auto"/>
            <w:gridSpan w:val="3"/>
            <w:tcBorders>
              <w:top w:val="single" w:sz="8" w:space="0" w:color="0071C5"/>
            </w:tcBorders>
            <w:shd w:val="clear" w:color="auto" w:fill="auto"/>
            <w:tcMar>
              <w:top w:w="40" w:type="dxa"/>
              <w:left w:w="20" w:type="dxa"/>
              <w:bottom w:w="40" w:type="dxa"/>
              <w:right w:w="20" w:type="dxa"/>
            </w:tcMar>
            <w:vAlign w:val="bottom"/>
          </w:tcPr>
          <w:p w14:paraId="36CA36D1" w14:textId="77777777" w:rsidR="00787570" w:rsidRDefault="000D56E2">
            <w:pPr>
              <w:jc w:val="center"/>
              <w:textAlignment w:val="bottom"/>
            </w:pPr>
            <w:r>
              <w:rPr>
                <w:rFonts w:ascii="Arial" w:eastAsia="宋体" w:hAnsi="Arial" w:cs="Arial"/>
                <w:b/>
                <w:bCs/>
                <w:color w:val="333333"/>
                <w:sz w:val="18"/>
                <w:szCs w:val="18"/>
              </w:rPr>
              <w:t>Level 2</w:t>
            </w:r>
          </w:p>
        </w:tc>
        <w:tc>
          <w:tcPr>
            <w:tcW w:w="0" w:type="auto"/>
            <w:gridSpan w:val="3"/>
            <w:tcBorders>
              <w:top w:val="single" w:sz="8" w:space="0" w:color="0071C5"/>
            </w:tcBorders>
            <w:shd w:val="clear" w:color="auto" w:fill="auto"/>
            <w:tcMar>
              <w:left w:w="20" w:type="dxa"/>
              <w:right w:w="20" w:type="dxa"/>
            </w:tcMar>
            <w:vAlign w:val="bottom"/>
          </w:tcPr>
          <w:p w14:paraId="36CA36D2" w14:textId="77777777" w:rsidR="00787570" w:rsidRDefault="00787570">
            <w:pPr>
              <w:rPr>
                <w:rFonts w:ascii="宋体"/>
              </w:rPr>
            </w:pPr>
          </w:p>
        </w:tc>
        <w:tc>
          <w:tcPr>
            <w:tcW w:w="0" w:type="auto"/>
            <w:gridSpan w:val="3"/>
            <w:tcBorders>
              <w:top w:val="single" w:sz="8" w:space="0" w:color="0071C5"/>
            </w:tcBorders>
            <w:shd w:val="clear" w:color="auto" w:fill="auto"/>
            <w:tcMar>
              <w:top w:w="40" w:type="dxa"/>
              <w:left w:w="20" w:type="dxa"/>
              <w:bottom w:w="40" w:type="dxa"/>
              <w:right w:w="20" w:type="dxa"/>
            </w:tcMar>
            <w:vAlign w:val="bottom"/>
          </w:tcPr>
          <w:p w14:paraId="36CA36D3" w14:textId="77777777" w:rsidR="00787570" w:rsidRDefault="000D56E2">
            <w:pPr>
              <w:jc w:val="center"/>
              <w:textAlignment w:val="bottom"/>
            </w:pPr>
            <w:r>
              <w:rPr>
                <w:rFonts w:ascii="Arial" w:eastAsia="宋体" w:hAnsi="Arial" w:cs="Arial"/>
                <w:b/>
                <w:bCs/>
                <w:color w:val="333333"/>
                <w:sz w:val="18"/>
                <w:szCs w:val="18"/>
              </w:rPr>
              <w:t>Level 3</w:t>
            </w:r>
          </w:p>
        </w:tc>
        <w:tc>
          <w:tcPr>
            <w:tcW w:w="0" w:type="auto"/>
            <w:gridSpan w:val="3"/>
            <w:shd w:val="clear" w:color="auto" w:fill="auto"/>
            <w:tcMar>
              <w:left w:w="20" w:type="dxa"/>
              <w:right w:w="20" w:type="dxa"/>
            </w:tcMar>
            <w:vAlign w:val="bottom"/>
          </w:tcPr>
          <w:p w14:paraId="36CA36D4" w14:textId="77777777" w:rsidR="00787570" w:rsidRDefault="00787570">
            <w:pPr>
              <w:rPr>
                <w:rFonts w:ascii="宋体"/>
              </w:rPr>
            </w:pPr>
          </w:p>
        </w:tc>
        <w:tc>
          <w:tcPr>
            <w:tcW w:w="0" w:type="auto"/>
            <w:gridSpan w:val="3"/>
            <w:shd w:val="clear" w:color="auto" w:fill="auto"/>
            <w:tcMar>
              <w:top w:w="40" w:type="dxa"/>
              <w:left w:w="20" w:type="dxa"/>
              <w:bottom w:w="40" w:type="dxa"/>
              <w:right w:w="20" w:type="dxa"/>
            </w:tcMar>
            <w:vAlign w:val="bottom"/>
          </w:tcPr>
          <w:p w14:paraId="36CA36D5" w14:textId="77777777" w:rsidR="00787570" w:rsidRDefault="000D56E2">
            <w:pPr>
              <w:jc w:val="center"/>
              <w:textAlignment w:val="bottom"/>
            </w:pPr>
            <w:r>
              <w:rPr>
                <w:rFonts w:ascii="Arial" w:eastAsia="宋体" w:hAnsi="Arial" w:cs="Arial"/>
                <w:b/>
                <w:bCs/>
                <w:color w:val="333333"/>
                <w:sz w:val="18"/>
                <w:szCs w:val="18"/>
              </w:rPr>
              <w:t>Total</w:t>
            </w:r>
          </w:p>
        </w:tc>
        <w:tc>
          <w:tcPr>
            <w:tcW w:w="0" w:type="auto"/>
            <w:gridSpan w:val="3"/>
            <w:shd w:val="clear" w:color="auto" w:fill="auto"/>
            <w:tcMar>
              <w:left w:w="20" w:type="dxa"/>
              <w:right w:w="20" w:type="dxa"/>
            </w:tcMar>
            <w:vAlign w:val="bottom"/>
          </w:tcPr>
          <w:p w14:paraId="36CA36D6" w14:textId="77777777" w:rsidR="00787570" w:rsidRDefault="00787570">
            <w:pPr>
              <w:rPr>
                <w:rFonts w:ascii="宋体"/>
              </w:rPr>
            </w:pPr>
          </w:p>
        </w:tc>
        <w:tc>
          <w:tcPr>
            <w:tcW w:w="0" w:type="auto"/>
            <w:gridSpan w:val="3"/>
            <w:tcBorders>
              <w:top w:val="single" w:sz="8" w:space="0" w:color="0071C5"/>
            </w:tcBorders>
            <w:shd w:val="clear" w:color="auto" w:fill="auto"/>
            <w:tcMar>
              <w:top w:w="40" w:type="dxa"/>
              <w:left w:w="20" w:type="dxa"/>
              <w:bottom w:w="40" w:type="dxa"/>
              <w:right w:w="20" w:type="dxa"/>
            </w:tcMar>
            <w:vAlign w:val="bottom"/>
          </w:tcPr>
          <w:p w14:paraId="36CA36D7" w14:textId="77777777" w:rsidR="00787570" w:rsidRDefault="000D56E2">
            <w:pPr>
              <w:jc w:val="center"/>
              <w:textAlignment w:val="bottom"/>
            </w:pPr>
            <w:r>
              <w:rPr>
                <w:rFonts w:ascii="Arial" w:eastAsia="宋体" w:hAnsi="Arial" w:cs="Arial"/>
                <w:b/>
                <w:bCs/>
                <w:color w:val="333333"/>
                <w:sz w:val="18"/>
                <w:szCs w:val="18"/>
              </w:rPr>
              <w:t>Level 1</w:t>
            </w:r>
          </w:p>
        </w:tc>
        <w:tc>
          <w:tcPr>
            <w:tcW w:w="0" w:type="auto"/>
            <w:gridSpan w:val="3"/>
            <w:tcBorders>
              <w:top w:val="single" w:sz="8" w:space="0" w:color="0071C5"/>
            </w:tcBorders>
            <w:shd w:val="clear" w:color="auto" w:fill="auto"/>
            <w:tcMar>
              <w:left w:w="20" w:type="dxa"/>
              <w:right w:w="20" w:type="dxa"/>
            </w:tcMar>
            <w:vAlign w:val="bottom"/>
          </w:tcPr>
          <w:p w14:paraId="36CA36D8" w14:textId="77777777" w:rsidR="00787570" w:rsidRDefault="00787570">
            <w:pPr>
              <w:rPr>
                <w:rFonts w:ascii="宋体"/>
              </w:rPr>
            </w:pPr>
          </w:p>
        </w:tc>
        <w:tc>
          <w:tcPr>
            <w:tcW w:w="0" w:type="auto"/>
            <w:gridSpan w:val="3"/>
            <w:tcBorders>
              <w:top w:val="single" w:sz="8" w:space="0" w:color="0071C5"/>
            </w:tcBorders>
            <w:shd w:val="clear" w:color="auto" w:fill="auto"/>
            <w:tcMar>
              <w:top w:w="40" w:type="dxa"/>
              <w:left w:w="20" w:type="dxa"/>
              <w:bottom w:w="40" w:type="dxa"/>
              <w:right w:w="20" w:type="dxa"/>
            </w:tcMar>
            <w:vAlign w:val="bottom"/>
          </w:tcPr>
          <w:p w14:paraId="36CA36D9" w14:textId="77777777" w:rsidR="00787570" w:rsidRDefault="000D56E2">
            <w:pPr>
              <w:jc w:val="center"/>
              <w:textAlignment w:val="bottom"/>
            </w:pPr>
            <w:r>
              <w:rPr>
                <w:rFonts w:ascii="Arial" w:eastAsia="宋体" w:hAnsi="Arial" w:cs="Arial"/>
                <w:b/>
                <w:bCs/>
                <w:color w:val="333333"/>
                <w:sz w:val="18"/>
                <w:szCs w:val="18"/>
              </w:rPr>
              <w:t>Level 2</w:t>
            </w:r>
          </w:p>
        </w:tc>
        <w:tc>
          <w:tcPr>
            <w:tcW w:w="0" w:type="auto"/>
            <w:gridSpan w:val="3"/>
            <w:tcBorders>
              <w:top w:val="single" w:sz="8" w:space="0" w:color="0071C5"/>
            </w:tcBorders>
            <w:shd w:val="clear" w:color="auto" w:fill="auto"/>
            <w:tcMar>
              <w:left w:w="20" w:type="dxa"/>
              <w:right w:w="20" w:type="dxa"/>
            </w:tcMar>
            <w:vAlign w:val="bottom"/>
          </w:tcPr>
          <w:p w14:paraId="36CA36DA" w14:textId="77777777" w:rsidR="00787570" w:rsidRDefault="00787570">
            <w:pPr>
              <w:rPr>
                <w:rFonts w:ascii="宋体"/>
              </w:rPr>
            </w:pPr>
          </w:p>
        </w:tc>
        <w:tc>
          <w:tcPr>
            <w:tcW w:w="0" w:type="auto"/>
            <w:gridSpan w:val="3"/>
            <w:tcBorders>
              <w:top w:val="single" w:sz="8" w:space="0" w:color="0071C5"/>
            </w:tcBorders>
            <w:shd w:val="clear" w:color="auto" w:fill="auto"/>
            <w:tcMar>
              <w:top w:w="40" w:type="dxa"/>
              <w:left w:w="20" w:type="dxa"/>
              <w:bottom w:w="40" w:type="dxa"/>
              <w:right w:w="20" w:type="dxa"/>
            </w:tcMar>
            <w:vAlign w:val="bottom"/>
          </w:tcPr>
          <w:p w14:paraId="36CA36DB" w14:textId="77777777" w:rsidR="00787570" w:rsidRDefault="000D56E2">
            <w:pPr>
              <w:jc w:val="center"/>
              <w:textAlignment w:val="bottom"/>
            </w:pPr>
            <w:r>
              <w:rPr>
                <w:rFonts w:ascii="Arial" w:eastAsia="宋体" w:hAnsi="Arial" w:cs="Arial"/>
                <w:b/>
                <w:bCs/>
                <w:color w:val="333333"/>
                <w:sz w:val="18"/>
                <w:szCs w:val="18"/>
              </w:rPr>
              <w:t>Level 3</w:t>
            </w:r>
          </w:p>
        </w:tc>
        <w:tc>
          <w:tcPr>
            <w:tcW w:w="0" w:type="auto"/>
            <w:gridSpan w:val="3"/>
            <w:shd w:val="clear" w:color="auto" w:fill="auto"/>
            <w:tcMar>
              <w:left w:w="20" w:type="dxa"/>
              <w:right w:w="20" w:type="dxa"/>
            </w:tcMar>
            <w:vAlign w:val="bottom"/>
          </w:tcPr>
          <w:p w14:paraId="36CA36DC" w14:textId="77777777" w:rsidR="00787570" w:rsidRDefault="00787570">
            <w:pPr>
              <w:rPr>
                <w:rFonts w:ascii="宋体"/>
              </w:rPr>
            </w:pPr>
          </w:p>
        </w:tc>
        <w:tc>
          <w:tcPr>
            <w:tcW w:w="0" w:type="auto"/>
            <w:gridSpan w:val="3"/>
            <w:shd w:val="clear" w:color="auto" w:fill="auto"/>
            <w:tcMar>
              <w:top w:w="40" w:type="dxa"/>
              <w:left w:w="20" w:type="dxa"/>
              <w:bottom w:w="40" w:type="dxa"/>
              <w:right w:w="20" w:type="dxa"/>
            </w:tcMar>
            <w:vAlign w:val="bottom"/>
          </w:tcPr>
          <w:p w14:paraId="36CA36DD" w14:textId="77777777" w:rsidR="00787570" w:rsidRDefault="000D56E2">
            <w:pPr>
              <w:jc w:val="center"/>
              <w:textAlignment w:val="bottom"/>
            </w:pPr>
            <w:r>
              <w:rPr>
                <w:rFonts w:ascii="Arial" w:eastAsia="宋体" w:hAnsi="Arial" w:cs="Arial"/>
                <w:b/>
                <w:bCs/>
                <w:color w:val="333333"/>
                <w:sz w:val="18"/>
                <w:szCs w:val="18"/>
              </w:rPr>
              <w:t>Total</w:t>
            </w:r>
          </w:p>
        </w:tc>
        <w:tc>
          <w:tcPr>
            <w:tcW w:w="0" w:type="auto"/>
            <w:shd w:val="clear" w:color="auto" w:fill="auto"/>
          </w:tcPr>
          <w:p w14:paraId="36CA36DE" w14:textId="77777777" w:rsidR="00787570" w:rsidRDefault="00787570">
            <w:pPr>
              <w:rPr>
                <w:rFonts w:ascii="宋体"/>
              </w:rPr>
            </w:pPr>
          </w:p>
        </w:tc>
        <w:tc>
          <w:tcPr>
            <w:tcW w:w="0" w:type="auto"/>
            <w:shd w:val="clear" w:color="auto" w:fill="auto"/>
          </w:tcPr>
          <w:p w14:paraId="36CA36DF" w14:textId="77777777" w:rsidR="00787570" w:rsidRDefault="00787570">
            <w:pPr>
              <w:rPr>
                <w:rFonts w:ascii="宋体"/>
              </w:rPr>
            </w:pPr>
          </w:p>
        </w:tc>
        <w:tc>
          <w:tcPr>
            <w:tcW w:w="0" w:type="auto"/>
            <w:shd w:val="clear" w:color="auto" w:fill="auto"/>
          </w:tcPr>
          <w:p w14:paraId="36CA36E0" w14:textId="77777777" w:rsidR="00787570" w:rsidRDefault="00787570">
            <w:pPr>
              <w:rPr>
                <w:rFonts w:ascii="宋体"/>
              </w:rPr>
            </w:pPr>
          </w:p>
        </w:tc>
        <w:tc>
          <w:tcPr>
            <w:tcW w:w="0" w:type="auto"/>
            <w:shd w:val="clear" w:color="auto" w:fill="auto"/>
          </w:tcPr>
          <w:p w14:paraId="36CA36E1" w14:textId="77777777" w:rsidR="00787570" w:rsidRDefault="00787570">
            <w:pPr>
              <w:rPr>
                <w:rFonts w:ascii="宋体"/>
              </w:rPr>
            </w:pPr>
          </w:p>
        </w:tc>
        <w:tc>
          <w:tcPr>
            <w:tcW w:w="0" w:type="auto"/>
            <w:shd w:val="clear" w:color="auto" w:fill="auto"/>
          </w:tcPr>
          <w:p w14:paraId="36CA36E2" w14:textId="77777777" w:rsidR="00787570" w:rsidRDefault="00787570">
            <w:pPr>
              <w:rPr>
                <w:rFonts w:ascii="宋体"/>
              </w:rPr>
            </w:pPr>
          </w:p>
        </w:tc>
        <w:tc>
          <w:tcPr>
            <w:tcW w:w="0" w:type="auto"/>
            <w:shd w:val="clear" w:color="auto" w:fill="auto"/>
          </w:tcPr>
          <w:p w14:paraId="36CA36E3" w14:textId="77777777" w:rsidR="00787570" w:rsidRDefault="00787570">
            <w:pPr>
              <w:rPr>
                <w:rFonts w:ascii="宋体"/>
              </w:rPr>
            </w:pPr>
          </w:p>
        </w:tc>
        <w:tc>
          <w:tcPr>
            <w:tcW w:w="0" w:type="auto"/>
            <w:shd w:val="clear" w:color="auto" w:fill="auto"/>
          </w:tcPr>
          <w:p w14:paraId="36CA36E4" w14:textId="77777777" w:rsidR="00787570" w:rsidRDefault="00787570">
            <w:pPr>
              <w:rPr>
                <w:rFonts w:ascii="宋体"/>
              </w:rPr>
            </w:pPr>
          </w:p>
        </w:tc>
        <w:tc>
          <w:tcPr>
            <w:tcW w:w="0" w:type="auto"/>
            <w:shd w:val="clear" w:color="auto" w:fill="auto"/>
          </w:tcPr>
          <w:p w14:paraId="36CA36E5" w14:textId="77777777" w:rsidR="00787570" w:rsidRDefault="00787570">
            <w:pPr>
              <w:rPr>
                <w:rFonts w:ascii="宋体"/>
              </w:rPr>
            </w:pPr>
          </w:p>
        </w:tc>
        <w:tc>
          <w:tcPr>
            <w:tcW w:w="0" w:type="auto"/>
            <w:shd w:val="clear" w:color="auto" w:fill="auto"/>
          </w:tcPr>
          <w:p w14:paraId="36CA36E6" w14:textId="77777777" w:rsidR="00787570" w:rsidRDefault="00787570">
            <w:pPr>
              <w:rPr>
                <w:rFonts w:ascii="宋体"/>
              </w:rPr>
            </w:pPr>
          </w:p>
        </w:tc>
        <w:tc>
          <w:tcPr>
            <w:tcW w:w="0" w:type="auto"/>
            <w:shd w:val="clear" w:color="auto" w:fill="auto"/>
          </w:tcPr>
          <w:p w14:paraId="36CA36E7" w14:textId="77777777" w:rsidR="00787570" w:rsidRDefault="00787570">
            <w:pPr>
              <w:rPr>
                <w:rFonts w:ascii="宋体"/>
              </w:rPr>
            </w:pPr>
          </w:p>
        </w:tc>
        <w:tc>
          <w:tcPr>
            <w:tcW w:w="0" w:type="auto"/>
            <w:shd w:val="clear" w:color="auto" w:fill="auto"/>
          </w:tcPr>
          <w:p w14:paraId="36CA36E8" w14:textId="77777777" w:rsidR="00787570" w:rsidRDefault="00787570">
            <w:pPr>
              <w:rPr>
                <w:rFonts w:ascii="宋体"/>
              </w:rPr>
            </w:pPr>
          </w:p>
        </w:tc>
        <w:tc>
          <w:tcPr>
            <w:tcW w:w="0" w:type="auto"/>
            <w:shd w:val="clear" w:color="auto" w:fill="auto"/>
          </w:tcPr>
          <w:p w14:paraId="36CA36E9" w14:textId="77777777" w:rsidR="00787570" w:rsidRDefault="00787570">
            <w:pPr>
              <w:rPr>
                <w:rFonts w:ascii="宋体"/>
              </w:rPr>
            </w:pPr>
          </w:p>
        </w:tc>
      </w:tr>
      <w:tr w:rsidR="00787570" w14:paraId="36CA3708" w14:textId="77777777">
        <w:tc>
          <w:tcPr>
            <w:tcW w:w="0" w:type="auto"/>
            <w:gridSpan w:val="3"/>
            <w:tcBorders>
              <w:top w:val="single" w:sz="8" w:space="0" w:color="0071C5"/>
            </w:tcBorders>
            <w:shd w:val="clear" w:color="auto" w:fill="auto"/>
            <w:tcMar>
              <w:top w:w="40" w:type="dxa"/>
              <w:left w:w="20" w:type="dxa"/>
              <w:bottom w:w="40" w:type="dxa"/>
              <w:right w:w="20" w:type="dxa"/>
            </w:tcMar>
          </w:tcPr>
          <w:p w14:paraId="36CA36EB" w14:textId="77777777" w:rsidR="00787570" w:rsidRDefault="000D56E2">
            <w:pPr>
              <w:textAlignment w:val="top"/>
            </w:pPr>
            <w:r>
              <w:rPr>
                <w:rFonts w:ascii="Arial" w:eastAsia="宋体" w:hAnsi="Arial" w:cs="Arial"/>
                <w:b/>
                <w:bCs/>
                <w:color w:val="333333"/>
                <w:sz w:val="18"/>
                <w:szCs w:val="18"/>
              </w:rPr>
              <w:t>Assets</w:t>
            </w:r>
          </w:p>
        </w:tc>
        <w:tc>
          <w:tcPr>
            <w:tcW w:w="0" w:type="auto"/>
            <w:gridSpan w:val="3"/>
            <w:shd w:val="clear" w:color="auto" w:fill="auto"/>
            <w:tcMar>
              <w:left w:w="20" w:type="dxa"/>
              <w:right w:w="20" w:type="dxa"/>
            </w:tcMar>
            <w:vAlign w:val="bottom"/>
          </w:tcPr>
          <w:p w14:paraId="36CA36EC" w14:textId="77777777" w:rsidR="00787570" w:rsidRDefault="00787570">
            <w:pPr>
              <w:rPr>
                <w:rFonts w:ascii="宋体"/>
              </w:rPr>
            </w:pPr>
          </w:p>
        </w:tc>
        <w:tc>
          <w:tcPr>
            <w:tcW w:w="0" w:type="auto"/>
            <w:gridSpan w:val="3"/>
            <w:tcBorders>
              <w:top w:val="single" w:sz="8" w:space="0" w:color="0071C5"/>
            </w:tcBorders>
            <w:shd w:val="clear" w:color="auto" w:fill="auto"/>
            <w:tcMar>
              <w:left w:w="20" w:type="dxa"/>
              <w:right w:w="20" w:type="dxa"/>
            </w:tcMar>
            <w:vAlign w:val="bottom"/>
          </w:tcPr>
          <w:p w14:paraId="36CA36ED"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36EE" w14:textId="77777777" w:rsidR="00787570" w:rsidRDefault="00787570">
            <w:pPr>
              <w:rPr>
                <w:rFonts w:ascii="宋体"/>
              </w:rPr>
            </w:pPr>
          </w:p>
        </w:tc>
        <w:tc>
          <w:tcPr>
            <w:tcW w:w="0" w:type="auto"/>
            <w:gridSpan w:val="3"/>
            <w:tcBorders>
              <w:top w:val="single" w:sz="8" w:space="0" w:color="0071C5"/>
            </w:tcBorders>
            <w:shd w:val="clear" w:color="auto" w:fill="auto"/>
            <w:tcMar>
              <w:left w:w="20" w:type="dxa"/>
              <w:right w:w="20" w:type="dxa"/>
            </w:tcMar>
            <w:vAlign w:val="bottom"/>
          </w:tcPr>
          <w:p w14:paraId="36CA36EF"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36F0" w14:textId="77777777" w:rsidR="00787570" w:rsidRDefault="00787570">
            <w:pPr>
              <w:rPr>
                <w:rFonts w:ascii="宋体"/>
              </w:rPr>
            </w:pPr>
          </w:p>
        </w:tc>
        <w:tc>
          <w:tcPr>
            <w:tcW w:w="0" w:type="auto"/>
            <w:gridSpan w:val="3"/>
            <w:tcBorders>
              <w:top w:val="single" w:sz="8" w:space="0" w:color="0071C5"/>
            </w:tcBorders>
            <w:shd w:val="clear" w:color="auto" w:fill="auto"/>
            <w:tcMar>
              <w:left w:w="20" w:type="dxa"/>
              <w:right w:w="20" w:type="dxa"/>
            </w:tcMar>
            <w:vAlign w:val="bottom"/>
          </w:tcPr>
          <w:p w14:paraId="36CA36F1"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36F2" w14:textId="77777777" w:rsidR="00787570" w:rsidRDefault="00787570">
            <w:pPr>
              <w:rPr>
                <w:rFonts w:ascii="宋体"/>
              </w:rPr>
            </w:pPr>
          </w:p>
        </w:tc>
        <w:tc>
          <w:tcPr>
            <w:tcW w:w="0" w:type="auto"/>
            <w:gridSpan w:val="3"/>
            <w:tcBorders>
              <w:top w:val="single" w:sz="8" w:space="0" w:color="0071C5"/>
            </w:tcBorders>
            <w:shd w:val="clear" w:color="auto" w:fill="auto"/>
            <w:tcMar>
              <w:left w:w="20" w:type="dxa"/>
              <w:right w:w="20" w:type="dxa"/>
            </w:tcMar>
            <w:vAlign w:val="bottom"/>
          </w:tcPr>
          <w:p w14:paraId="36CA36F3"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36F4" w14:textId="77777777" w:rsidR="00787570" w:rsidRDefault="00787570">
            <w:pPr>
              <w:rPr>
                <w:rFonts w:ascii="宋体"/>
              </w:rPr>
            </w:pPr>
          </w:p>
        </w:tc>
        <w:tc>
          <w:tcPr>
            <w:tcW w:w="0" w:type="auto"/>
            <w:gridSpan w:val="3"/>
            <w:tcBorders>
              <w:top w:val="single" w:sz="8" w:space="0" w:color="0071C5"/>
            </w:tcBorders>
            <w:shd w:val="clear" w:color="auto" w:fill="auto"/>
            <w:tcMar>
              <w:left w:w="20" w:type="dxa"/>
              <w:right w:w="20" w:type="dxa"/>
            </w:tcMar>
            <w:vAlign w:val="bottom"/>
          </w:tcPr>
          <w:p w14:paraId="36CA36F5"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36F6" w14:textId="77777777" w:rsidR="00787570" w:rsidRDefault="00787570">
            <w:pPr>
              <w:rPr>
                <w:rFonts w:ascii="宋体"/>
              </w:rPr>
            </w:pPr>
          </w:p>
        </w:tc>
        <w:tc>
          <w:tcPr>
            <w:tcW w:w="0" w:type="auto"/>
            <w:gridSpan w:val="3"/>
            <w:tcBorders>
              <w:top w:val="single" w:sz="8" w:space="0" w:color="0071C5"/>
            </w:tcBorders>
            <w:shd w:val="clear" w:color="auto" w:fill="auto"/>
            <w:tcMar>
              <w:left w:w="20" w:type="dxa"/>
              <w:right w:w="20" w:type="dxa"/>
            </w:tcMar>
            <w:vAlign w:val="bottom"/>
          </w:tcPr>
          <w:p w14:paraId="36CA36F7"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36F8" w14:textId="77777777" w:rsidR="00787570" w:rsidRDefault="00787570">
            <w:pPr>
              <w:rPr>
                <w:rFonts w:ascii="宋体"/>
              </w:rPr>
            </w:pPr>
          </w:p>
        </w:tc>
        <w:tc>
          <w:tcPr>
            <w:tcW w:w="0" w:type="auto"/>
            <w:gridSpan w:val="3"/>
            <w:tcBorders>
              <w:top w:val="single" w:sz="8" w:space="0" w:color="0071C5"/>
            </w:tcBorders>
            <w:shd w:val="clear" w:color="auto" w:fill="auto"/>
            <w:tcMar>
              <w:left w:w="20" w:type="dxa"/>
              <w:right w:w="20" w:type="dxa"/>
            </w:tcMar>
            <w:vAlign w:val="bottom"/>
          </w:tcPr>
          <w:p w14:paraId="36CA36F9"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36FA" w14:textId="77777777" w:rsidR="00787570" w:rsidRDefault="00787570">
            <w:pPr>
              <w:rPr>
                <w:rFonts w:ascii="宋体"/>
              </w:rPr>
            </w:pPr>
          </w:p>
        </w:tc>
        <w:tc>
          <w:tcPr>
            <w:tcW w:w="0" w:type="auto"/>
            <w:gridSpan w:val="3"/>
            <w:tcBorders>
              <w:top w:val="single" w:sz="8" w:space="0" w:color="0071C5"/>
            </w:tcBorders>
            <w:shd w:val="clear" w:color="auto" w:fill="auto"/>
            <w:tcMar>
              <w:left w:w="20" w:type="dxa"/>
              <w:right w:w="20" w:type="dxa"/>
            </w:tcMar>
            <w:vAlign w:val="bottom"/>
          </w:tcPr>
          <w:p w14:paraId="36CA36FB" w14:textId="77777777" w:rsidR="00787570" w:rsidRDefault="00787570">
            <w:pPr>
              <w:rPr>
                <w:rFonts w:ascii="宋体"/>
              </w:rPr>
            </w:pPr>
          </w:p>
        </w:tc>
        <w:tc>
          <w:tcPr>
            <w:tcW w:w="0" w:type="auto"/>
            <w:shd w:val="clear" w:color="auto" w:fill="auto"/>
          </w:tcPr>
          <w:p w14:paraId="36CA36FC" w14:textId="77777777" w:rsidR="00787570" w:rsidRDefault="00787570">
            <w:pPr>
              <w:rPr>
                <w:rFonts w:ascii="宋体"/>
              </w:rPr>
            </w:pPr>
          </w:p>
        </w:tc>
        <w:tc>
          <w:tcPr>
            <w:tcW w:w="0" w:type="auto"/>
            <w:shd w:val="clear" w:color="auto" w:fill="auto"/>
          </w:tcPr>
          <w:p w14:paraId="36CA36FD" w14:textId="77777777" w:rsidR="00787570" w:rsidRDefault="00787570">
            <w:pPr>
              <w:rPr>
                <w:rFonts w:ascii="宋体"/>
              </w:rPr>
            </w:pPr>
          </w:p>
        </w:tc>
        <w:tc>
          <w:tcPr>
            <w:tcW w:w="0" w:type="auto"/>
            <w:shd w:val="clear" w:color="auto" w:fill="auto"/>
          </w:tcPr>
          <w:p w14:paraId="36CA36FE" w14:textId="77777777" w:rsidR="00787570" w:rsidRDefault="00787570">
            <w:pPr>
              <w:rPr>
                <w:rFonts w:ascii="宋体"/>
              </w:rPr>
            </w:pPr>
          </w:p>
        </w:tc>
        <w:tc>
          <w:tcPr>
            <w:tcW w:w="0" w:type="auto"/>
            <w:shd w:val="clear" w:color="auto" w:fill="auto"/>
          </w:tcPr>
          <w:p w14:paraId="36CA36FF" w14:textId="77777777" w:rsidR="00787570" w:rsidRDefault="00787570">
            <w:pPr>
              <w:rPr>
                <w:rFonts w:ascii="宋体"/>
              </w:rPr>
            </w:pPr>
          </w:p>
        </w:tc>
        <w:tc>
          <w:tcPr>
            <w:tcW w:w="0" w:type="auto"/>
            <w:shd w:val="clear" w:color="auto" w:fill="auto"/>
          </w:tcPr>
          <w:p w14:paraId="36CA3700" w14:textId="77777777" w:rsidR="00787570" w:rsidRDefault="00787570">
            <w:pPr>
              <w:rPr>
                <w:rFonts w:ascii="宋体"/>
              </w:rPr>
            </w:pPr>
          </w:p>
        </w:tc>
        <w:tc>
          <w:tcPr>
            <w:tcW w:w="0" w:type="auto"/>
            <w:shd w:val="clear" w:color="auto" w:fill="auto"/>
          </w:tcPr>
          <w:p w14:paraId="36CA3701" w14:textId="77777777" w:rsidR="00787570" w:rsidRDefault="00787570">
            <w:pPr>
              <w:rPr>
                <w:rFonts w:ascii="宋体"/>
              </w:rPr>
            </w:pPr>
          </w:p>
        </w:tc>
        <w:tc>
          <w:tcPr>
            <w:tcW w:w="0" w:type="auto"/>
            <w:shd w:val="clear" w:color="auto" w:fill="auto"/>
          </w:tcPr>
          <w:p w14:paraId="36CA3702" w14:textId="77777777" w:rsidR="00787570" w:rsidRDefault="00787570">
            <w:pPr>
              <w:rPr>
                <w:rFonts w:ascii="宋体"/>
              </w:rPr>
            </w:pPr>
          </w:p>
        </w:tc>
        <w:tc>
          <w:tcPr>
            <w:tcW w:w="0" w:type="auto"/>
            <w:shd w:val="clear" w:color="auto" w:fill="auto"/>
          </w:tcPr>
          <w:p w14:paraId="36CA3703" w14:textId="77777777" w:rsidR="00787570" w:rsidRDefault="00787570">
            <w:pPr>
              <w:rPr>
                <w:rFonts w:ascii="宋体"/>
              </w:rPr>
            </w:pPr>
          </w:p>
        </w:tc>
        <w:tc>
          <w:tcPr>
            <w:tcW w:w="0" w:type="auto"/>
            <w:shd w:val="clear" w:color="auto" w:fill="auto"/>
          </w:tcPr>
          <w:p w14:paraId="36CA3704" w14:textId="77777777" w:rsidR="00787570" w:rsidRDefault="00787570">
            <w:pPr>
              <w:rPr>
                <w:rFonts w:ascii="宋体"/>
              </w:rPr>
            </w:pPr>
          </w:p>
        </w:tc>
        <w:tc>
          <w:tcPr>
            <w:tcW w:w="0" w:type="auto"/>
            <w:shd w:val="clear" w:color="auto" w:fill="auto"/>
          </w:tcPr>
          <w:p w14:paraId="36CA3705" w14:textId="77777777" w:rsidR="00787570" w:rsidRDefault="00787570">
            <w:pPr>
              <w:rPr>
                <w:rFonts w:ascii="宋体"/>
              </w:rPr>
            </w:pPr>
          </w:p>
        </w:tc>
        <w:tc>
          <w:tcPr>
            <w:tcW w:w="0" w:type="auto"/>
            <w:shd w:val="clear" w:color="auto" w:fill="auto"/>
          </w:tcPr>
          <w:p w14:paraId="36CA3706" w14:textId="77777777" w:rsidR="00787570" w:rsidRDefault="00787570">
            <w:pPr>
              <w:rPr>
                <w:rFonts w:ascii="宋体"/>
              </w:rPr>
            </w:pPr>
          </w:p>
        </w:tc>
        <w:tc>
          <w:tcPr>
            <w:tcW w:w="0" w:type="auto"/>
            <w:shd w:val="clear" w:color="auto" w:fill="auto"/>
          </w:tcPr>
          <w:p w14:paraId="36CA3707" w14:textId="77777777" w:rsidR="00787570" w:rsidRDefault="00787570">
            <w:pPr>
              <w:rPr>
                <w:rFonts w:ascii="宋体"/>
              </w:rPr>
            </w:pPr>
          </w:p>
        </w:tc>
      </w:tr>
      <w:tr w:rsidR="00787570" w14:paraId="36CA3726" w14:textId="77777777">
        <w:tc>
          <w:tcPr>
            <w:tcW w:w="0" w:type="auto"/>
            <w:gridSpan w:val="3"/>
            <w:shd w:val="clear" w:color="auto" w:fill="auto"/>
            <w:tcMar>
              <w:top w:w="40" w:type="dxa"/>
              <w:left w:w="20" w:type="dxa"/>
              <w:bottom w:w="40" w:type="dxa"/>
              <w:right w:w="20" w:type="dxa"/>
            </w:tcMar>
          </w:tcPr>
          <w:p w14:paraId="36CA3709" w14:textId="77777777" w:rsidR="00787570" w:rsidRDefault="000D56E2">
            <w:pPr>
              <w:textAlignment w:val="top"/>
            </w:pPr>
            <w:r>
              <w:rPr>
                <w:rFonts w:ascii="Arial" w:eastAsia="宋体" w:hAnsi="Arial" w:cs="Arial"/>
                <w:color w:val="333333"/>
                <w:sz w:val="18"/>
                <w:szCs w:val="18"/>
              </w:rPr>
              <w:t>Cash equivalents:</w:t>
            </w:r>
          </w:p>
        </w:tc>
        <w:tc>
          <w:tcPr>
            <w:tcW w:w="0" w:type="auto"/>
            <w:gridSpan w:val="3"/>
            <w:shd w:val="clear" w:color="auto" w:fill="auto"/>
            <w:tcMar>
              <w:left w:w="20" w:type="dxa"/>
              <w:right w:w="20" w:type="dxa"/>
            </w:tcMar>
            <w:vAlign w:val="bottom"/>
          </w:tcPr>
          <w:p w14:paraId="36CA370A"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370B"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370C"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370D"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370E"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370F"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3710"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3711"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3712"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3713"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3714"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3715"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3716"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3717"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3718"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3719" w14:textId="77777777" w:rsidR="00787570" w:rsidRDefault="00787570">
            <w:pPr>
              <w:rPr>
                <w:rFonts w:ascii="宋体"/>
              </w:rPr>
            </w:pPr>
          </w:p>
        </w:tc>
        <w:tc>
          <w:tcPr>
            <w:tcW w:w="0" w:type="auto"/>
            <w:shd w:val="clear" w:color="auto" w:fill="auto"/>
          </w:tcPr>
          <w:p w14:paraId="36CA371A" w14:textId="77777777" w:rsidR="00787570" w:rsidRDefault="00787570">
            <w:pPr>
              <w:rPr>
                <w:rFonts w:ascii="宋体"/>
              </w:rPr>
            </w:pPr>
          </w:p>
        </w:tc>
        <w:tc>
          <w:tcPr>
            <w:tcW w:w="0" w:type="auto"/>
            <w:shd w:val="clear" w:color="auto" w:fill="auto"/>
          </w:tcPr>
          <w:p w14:paraId="36CA371B" w14:textId="77777777" w:rsidR="00787570" w:rsidRDefault="00787570">
            <w:pPr>
              <w:rPr>
                <w:rFonts w:ascii="宋体"/>
              </w:rPr>
            </w:pPr>
          </w:p>
        </w:tc>
        <w:tc>
          <w:tcPr>
            <w:tcW w:w="0" w:type="auto"/>
            <w:shd w:val="clear" w:color="auto" w:fill="auto"/>
          </w:tcPr>
          <w:p w14:paraId="36CA371C" w14:textId="77777777" w:rsidR="00787570" w:rsidRDefault="00787570">
            <w:pPr>
              <w:rPr>
                <w:rFonts w:ascii="宋体"/>
              </w:rPr>
            </w:pPr>
          </w:p>
        </w:tc>
        <w:tc>
          <w:tcPr>
            <w:tcW w:w="0" w:type="auto"/>
            <w:shd w:val="clear" w:color="auto" w:fill="auto"/>
          </w:tcPr>
          <w:p w14:paraId="36CA371D" w14:textId="77777777" w:rsidR="00787570" w:rsidRDefault="00787570">
            <w:pPr>
              <w:rPr>
                <w:rFonts w:ascii="宋体"/>
              </w:rPr>
            </w:pPr>
          </w:p>
        </w:tc>
        <w:tc>
          <w:tcPr>
            <w:tcW w:w="0" w:type="auto"/>
            <w:shd w:val="clear" w:color="auto" w:fill="auto"/>
          </w:tcPr>
          <w:p w14:paraId="36CA371E" w14:textId="77777777" w:rsidR="00787570" w:rsidRDefault="00787570">
            <w:pPr>
              <w:rPr>
                <w:rFonts w:ascii="宋体"/>
              </w:rPr>
            </w:pPr>
          </w:p>
        </w:tc>
        <w:tc>
          <w:tcPr>
            <w:tcW w:w="0" w:type="auto"/>
            <w:shd w:val="clear" w:color="auto" w:fill="auto"/>
          </w:tcPr>
          <w:p w14:paraId="36CA371F" w14:textId="77777777" w:rsidR="00787570" w:rsidRDefault="00787570">
            <w:pPr>
              <w:rPr>
                <w:rFonts w:ascii="宋体"/>
              </w:rPr>
            </w:pPr>
          </w:p>
        </w:tc>
        <w:tc>
          <w:tcPr>
            <w:tcW w:w="0" w:type="auto"/>
            <w:shd w:val="clear" w:color="auto" w:fill="auto"/>
          </w:tcPr>
          <w:p w14:paraId="36CA3720" w14:textId="77777777" w:rsidR="00787570" w:rsidRDefault="00787570">
            <w:pPr>
              <w:rPr>
                <w:rFonts w:ascii="宋体"/>
              </w:rPr>
            </w:pPr>
          </w:p>
        </w:tc>
        <w:tc>
          <w:tcPr>
            <w:tcW w:w="0" w:type="auto"/>
            <w:shd w:val="clear" w:color="auto" w:fill="auto"/>
          </w:tcPr>
          <w:p w14:paraId="36CA3721" w14:textId="77777777" w:rsidR="00787570" w:rsidRDefault="00787570">
            <w:pPr>
              <w:rPr>
                <w:rFonts w:ascii="宋体"/>
              </w:rPr>
            </w:pPr>
          </w:p>
        </w:tc>
        <w:tc>
          <w:tcPr>
            <w:tcW w:w="0" w:type="auto"/>
            <w:shd w:val="clear" w:color="auto" w:fill="auto"/>
          </w:tcPr>
          <w:p w14:paraId="36CA3722" w14:textId="77777777" w:rsidR="00787570" w:rsidRDefault="00787570">
            <w:pPr>
              <w:rPr>
                <w:rFonts w:ascii="宋体"/>
              </w:rPr>
            </w:pPr>
          </w:p>
        </w:tc>
        <w:tc>
          <w:tcPr>
            <w:tcW w:w="0" w:type="auto"/>
            <w:shd w:val="clear" w:color="auto" w:fill="auto"/>
          </w:tcPr>
          <w:p w14:paraId="36CA3723" w14:textId="77777777" w:rsidR="00787570" w:rsidRDefault="00787570">
            <w:pPr>
              <w:rPr>
                <w:rFonts w:ascii="宋体"/>
              </w:rPr>
            </w:pPr>
          </w:p>
        </w:tc>
        <w:tc>
          <w:tcPr>
            <w:tcW w:w="0" w:type="auto"/>
            <w:shd w:val="clear" w:color="auto" w:fill="auto"/>
          </w:tcPr>
          <w:p w14:paraId="36CA3724" w14:textId="77777777" w:rsidR="00787570" w:rsidRDefault="00787570">
            <w:pPr>
              <w:rPr>
                <w:rFonts w:ascii="宋体"/>
              </w:rPr>
            </w:pPr>
          </w:p>
        </w:tc>
        <w:tc>
          <w:tcPr>
            <w:tcW w:w="0" w:type="auto"/>
            <w:shd w:val="clear" w:color="auto" w:fill="auto"/>
          </w:tcPr>
          <w:p w14:paraId="36CA3725" w14:textId="77777777" w:rsidR="00787570" w:rsidRDefault="00787570">
            <w:pPr>
              <w:rPr>
                <w:rFonts w:ascii="宋体"/>
              </w:rPr>
            </w:pPr>
          </w:p>
        </w:tc>
      </w:tr>
      <w:tr w:rsidR="00787570" w14:paraId="36CA3754" w14:textId="77777777">
        <w:tc>
          <w:tcPr>
            <w:tcW w:w="0" w:type="auto"/>
            <w:gridSpan w:val="3"/>
            <w:shd w:val="clear" w:color="auto" w:fill="auto"/>
            <w:tcMar>
              <w:top w:w="40" w:type="dxa"/>
              <w:left w:w="120" w:type="dxa"/>
              <w:bottom w:w="40" w:type="dxa"/>
              <w:right w:w="20" w:type="dxa"/>
            </w:tcMar>
          </w:tcPr>
          <w:p w14:paraId="36CA3727" w14:textId="77777777" w:rsidR="00787570" w:rsidRDefault="000D56E2">
            <w:pPr>
              <w:textAlignment w:val="top"/>
            </w:pPr>
            <w:r>
              <w:rPr>
                <w:rFonts w:ascii="Arial" w:eastAsia="宋体" w:hAnsi="Arial" w:cs="Arial"/>
                <w:color w:val="333333"/>
                <w:sz w:val="18"/>
                <w:szCs w:val="18"/>
              </w:rPr>
              <w:t>Corporate debt</w:t>
            </w:r>
          </w:p>
        </w:tc>
        <w:tc>
          <w:tcPr>
            <w:tcW w:w="0" w:type="auto"/>
            <w:gridSpan w:val="3"/>
            <w:shd w:val="clear" w:color="auto" w:fill="auto"/>
            <w:tcMar>
              <w:left w:w="20" w:type="dxa"/>
              <w:right w:w="20" w:type="dxa"/>
            </w:tcMar>
            <w:vAlign w:val="bottom"/>
          </w:tcPr>
          <w:p w14:paraId="36CA3728" w14:textId="77777777" w:rsidR="00787570" w:rsidRDefault="00787570">
            <w:pPr>
              <w:rPr>
                <w:rFonts w:ascii="宋体"/>
              </w:rPr>
            </w:pPr>
          </w:p>
        </w:tc>
        <w:tc>
          <w:tcPr>
            <w:tcW w:w="0" w:type="auto"/>
            <w:shd w:val="clear" w:color="auto" w:fill="auto"/>
            <w:tcMar>
              <w:top w:w="40" w:type="dxa"/>
              <w:left w:w="20" w:type="dxa"/>
              <w:bottom w:w="40" w:type="dxa"/>
            </w:tcMar>
            <w:vAlign w:val="bottom"/>
          </w:tcPr>
          <w:p w14:paraId="36CA3729" w14:textId="77777777" w:rsidR="00787570" w:rsidRDefault="000D56E2">
            <w:pPr>
              <w:textAlignment w:val="bottom"/>
            </w:pPr>
            <w:r>
              <w:rPr>
                <w:rFonts w:ascii="Arial" w:eastAsia="宋体" w:hAnsi="Arial" w:cs="Arial"/>
                <w:color w:val="026DCE"/>
                <w:sz w:val="18"/>
                <w:szCs w:val="18"/>
              </w:rPr>
              <w:t>$</w:t>
            </w:r>
          </w:p>
        </w:tc>
        <w:tc>
          <w:tcPr>
            <w:tcW w:w="0" w:type="auto"/>
            <w:shd w:val="clear" w:color="auto" w:fill="auto"/>
            <w:tcMar>
              <w:top w:w="40" w:type="dxa"/>
              <w:bottom w:w="40" w:type="dxa"/>
              <w:right w:w="0" w:type="dxa"/>
            </w:tcMar>
            <w:vAlign w:val="bottom"/>
          </w:tcPr>
          <w:p w14:paraId="36CA372A" w14:textId="77777777" w:rsidR="00787570" w:rsidRDefault="000D56E2">
            <w:pPr>
              <w:jc w:val="right"/>
              <w:textAlignment w:val="bottom"/>
            </w:pPr>
            <w:r>
              <w:rPr>
                <w:rFonts w:ascii="Arial" w:eastAsia="宋体" w:hAnsi="Arial" w:cs="Arial"/>
                <w:color w:val="026DCE"/>
                <w:sz w:val="18"/>
                <w:szCs w:val="18"/>
              </w:rPr>
              <w:t>— </w:t>
            </w:r>
          </w:p>
        </w:tc>
        <w:tc>
          <w:tcPr>
            <w:tcW w:w="0" w:type="auto"/>
            <w:shd w:val="clear" w:color="auto" w:fill="auto"/>
            <w:tcMar>
              <w:top w:w="40" w:type="dxa"/>
              <w:bottom w:w="40" w:type="dxa"/>
              <w:right w:w="20" w:type="dxa"/>
            </w:tcMar>
            <w:vAlign w:val="bottom"/>
          </w:tcPr>
          <w:p w14:paraId="36CA372B"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372C" w14:textId="77777777" w:rsidR="00787570" w:rsidRDefault="00787570">
            <w:pPr>
              <w:rPr>
                <w:rFonts w:ascii="宋体"/>
              </w:rPr>
            </w:pPr>
          </w:p>
        </w:tc>
        <w:tc>
          <w:tcPr>
            <w:tcW w:w="0" w:type="auto"/>
            <w:shd w:val="clear" w:color="auto" w:fill="auto"/>
            <w:tcMar>
              <w:top w:w="40" w:type="dxa"/>
              <w:left w:w="20" w:type="dxa"/>
              <w:bottom w:w="40" w:type="dxa"/>
            </w:tcMar>
            <w:vAlign w:val="bottom"/>
          </w:tcPr>
          <w:p w14:paraId="36CA372D" w14:textId="77777777" w:rsidR="00787570" w:rsidRDefault="000D56E2">
            <w:pPr>
              <w:textAlignment w:val="bottom"/>
            </w:pPr>
            <w:r>
              <w:rPr>
                <w:rFonts w:ascii="Arial" w:eastAsia="宋体" w:hAnsi="Arial" w:cs="Arial"/>
                <w:color w:val="026DCE"/>
                <w:sz w:val="18"/>
                <w:szCs w:val="18"/>
              </w:rPr>
              <w:t>$</w:t>
            </w:r>
          </w:p>
        </w:tc>
        <w:tc>
          <w:tcPr>
            <w:tcW w:w="0" w:type="auto"/>
            <w:shd w:val="clear" w:color="auto" w:fill="auto"/>
            <w:tcMar>
              <w:top w:w="40" w:type="dxa"/>
              <w:bottom w:w="40" w:type="dxa"/>
              <w:right w:w="0" w:type="dxa"/>
            </w:tcMar>
            <w:vAlign w:val="bottom"/>
          </w:tcPr>
          <w:p w14:paraId="36CA372E" w14:textId="77777777" w:rsidR="00787570" w:rsidRDefault="000D56E2">
            <w:pPr>
              <w:jc w:val="right"/>
              <w:textAlignment w:val="bottom"/>
            </w:pPr>
            <w:r>
              <w:rPr>
                <w:rFonts w:ascii="Arial" w:eastAsia="宋体" w:hAnsi="Arial" w:cs="Arial"/>
                <w:color w:val="026DCE"/>
                <w:sz w:val="18"/>
                <w:szCs w:val="18"/>
              </w:rPr>
              <w:t>— </w:t>
            </w:r>
          </w:p>
        </w:tc>
        <w:tc>
          <w:tcPr>
            <w:tcW w:w="0" w:type="auto"/>
            <w:shd w:val="clear" w:color="auto" w:fill="auto"/>
            <w:tcMar>
              <w:top w:w="40" w:type="dxa"/>
              <w:bottom w:w="40" w:type="dxa"/>
              <w:right w:w="20" w:type="dxa"/>
            </w:tcMar>
            <w:vAlign w:val="bottom"/>
          </w:tcPr>
          <w:p w14:paraId="36CA372F"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3730" w14:textId="77777777" w:rsidR="00787570" w:rsidRDefault="00787570">
            <w:pPr>
              <w:rPr>
                <w:rFonts w:ascii="宋体"/>
              </w:rPr>
            </w:pPr>
          </w:p>
        </w:tc>
        <w:tc>
          <w:tcPr>
            <w:tcW w:w="0" w:type="auto"/>
            <w:shd w:val="clear" w:color="auto" w:fill="auto"/>
            <w:tcMar>
              <w:top w:w="40" w:type="dxa"/>
              <w:left w:w="20" w:type="dxa"/>
              <w:bottom w:w="40" w:type="dxa"/>
            </w:tcMar>
            <w:vAlign w:val="bottom"/>
          </w:tcPr>
          <w:p w14:paraId="36CA3731" w14:textId="77777777" w:rsidR="00787570" w:rsidRDefault="000D56E2">
            <w:pPr>
              <w:textAlignment w:val="bottom"/>
            </w:pPr>
            <w:r>
              <w:rPr>
                <w:rFonts w:ascii="Arial" w:eastAsia="宋体" w:hAnsi="Arial" w:cs="Arial"/>
                <w:color w:val="026DCE"/>
                <w:sz w:val="18"/>
                <w:szCs w:val="18"/>
              </w:rPr>
              <w:t>$</w:t>
            </w:r>
          </w:p>
        </w:tc>
        <w:tc>
          <w:tcPr>
            <w:tcW w:w="0" w:type="auto"/>
            <w:shd w:val="clear" w:color="auto" w:fill="auto"/>
            <w:tcMar>
              <w:top w:w="40" w:type="dxa"/>
              <w:bottom w:w="40" w:type="dxa"/>
              <w:right w:w="0" w:type="dxa"/>
            </w:tcMar>
            <w:vAlign w:val="bottom"/>
          </w:tcPr>
          <w:p w14:paraId="36CA3732" w14:textId="77777777" w:rsidR="00787570" w:rsidRDefault="000D56E2">
            <w:pPr>
              <w:jc w:val="right"/>
              <w:textAlignment w:val="bottom"/>
            </w:pPr>
            <w:r>
              <w:rPr>
                <w:rFonts w:ascii="Arial" w:eastAsia="宋体" w:hAnsi="Arial" w:cs="Arial"/>
                <w:color w:val="026DCE"/>
                <w:sz w:val="18"/>
                <w:szCs w:val="18"/>
              </w:rPr>
              <w:t>— </w:t>
            </w:r>
          </w:p>
        </w:tc>
        <w:tc>
          <w:tcPr>
            <w:tcW w:w="0" w:type="auto"/>
            <w:shd w:val="clear" w:color="auto" w:fill="auto"/>
            <w:tcMar>
              <w:top w:w="40" w:type="dxa"/>
              <w:bottom w:w="40" w:type="dxa"/>
              <w:right w:w="20" w:type="dxa"/>
            </w:tcMar>
            <w:vAlign w:val="bottom"/>
          </w:tcPr>
          <w:p w14:paraId="36CA3733"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3734" w14:textId="77777777" w:rsidR="00787570" w:rsidRDefault="00787570">
            <w:pPr>
              <w:rPr>
                <w:rFonts w:ascii="宋体"/>
              </w:rPr>
            </w:pPr>
          </w:p>
        </w:tc>
        <w:tc>
          <w:tcPr>
            <w:tcW w:w="0" w:type="auto"/>
            <w:shd w:val="clear" w:color="auto" w:fill="auto"/>
            <w:tcMar>
              <w:top w:w="40" w:type="dxa"/>
              <w:left w:w="20" w:type="dxa"/>
              <w:bottom w:w="40" w:type="dxa"/>
            </w:tcMar>
            <w:vAlign w:val="bottom"/>
          </w:tcPr>
          <w:p w14:paraId="36CA3735" w14:textId="77777777" w:rsidR="00787570" w:rsidRDefault="000D56E2">
            <w:pPr>
              <w:textAlignment w:val="bottom"/>
            </w:pPr>
            <w:r>
              <w:rPr>
                <w:rFonts w:ascii="Arial" w:eastAsia="宋体" w:hAnsi="Arial" w:cs="Arial"/>
                <w:color w:val="026DCE"/>
                <w:sz w:val="18"/>
                <w:szCs w:val="18"/>
              </w:rPr>
              <w:t>$</w:t>
            </w:r>
          </w:p>
        </w:tc>
        <w:tc>
          <w:tcPr>
            <w:tcW w:w="0" w:type="auto"/>
            <w:shd w:val="clear" w:color="auto" w:fill="auto"/>
            <w:tcMar>
              <w:top w:w="40" w:type="dxa"/>
              <w:bottom w:w="40" w:type="dxa"/>
              <w:right w:w="0" w:type="dxa"/>
            </w:tcMar>
            <w:vAlign w:val="bottom"/>
          </w:tcPr>
          <w:p w14:paraId="36CA3736" w14:textId="77777777" w:rsidR="00787570" w:rsidRDefault="000D56E2">
            <w:pPr>
              <w:jc w:val="right"/>
              <w:textAlignment w:val="bottom"/>
            </w:pPr>
            <w:r>
              <w:rPr>
                <w:rFonts w:ascii="Arial" w:eastAsia="宋体" w:hAnsi="Arial" w:cs="Arial"/>
                <w:color w:val="026DCE"/>
                <w:sz w:val="18"/>
                <w:szCs w:val="18"/>
              </w:rPr>
              <w:t>— </w:t>
            </w:r>
          </w:p>
        </w:tc>
        <w:tc>
          <w:tcPr>
            <w:tcW w:w="0" w:type="auto"/>
            <w:shd w:val="clear" w:color="auto" w:fill="auto"/>
            <w:tcMar>
              <w:top w:w="40" w:type="dxa"/>
              <w:bottom w:w="40" w:type="dxa"/>
              <w:right w:w="20" w:type="dxa"/>
            </w:tcMar>
            <w:vAlign w:val="bottom"/>
          </w:tcPr>
          <w:p w14:paraId="36CA3737"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3738" w14:textId="77777777" w:rsidR="00787570" w:rsidRDefault="00787570">
            <w:pPr>
              <w:rPr>
                <w:rFonts w:ascii="宋体"/>
              </w:rPr>
            </w:pPr>
          </w:p>
        </w:tc>
        <w:tc>
          <w:tcPr>
            <w:tcW w:w="0" w:type="auto"/>
            <w:shd w:val="clear" w:color="auto" w:fill="auto"/>
            <w:tcMar>
              <w:top w:w="40" w:type="dxa"/>
              <w:left w:w="20" w:type="dxa"/>
              <w:bottom w:w="40" w:type="dxa"/>
            </w:tcMar>
            <w:vAlign w:val="bottom"/>
          </w:tcPr>
          <w:p w14:paraId="36CA3739" w14:textId="77777777" w:rsidR="00787570" w:rsidRDefault="000D56E2">
            <w:pPr>
              <w:textAlignment w:val="bottom"/>
            </w:pPr>
            <w:r>
              <w:rPr>
                <w:rFonts w:ascii="Arial" w:eastAsia="宋体" w:hAnsi="Arial" w:cs="Arial"/>
                <w:color w:val="333333"/>
                <w:sz w:val="18"/>
                <w:szCs w:val="18"/>
              </w:rPr>
              <w:t>$</w:t>
            </w:r>
          </w:p>
        </w:tc>
        <w:tc>
          <w:tcPr>
            <w:tcW w:w="0" w:type="auto"/>
            <w:shd w:val="clear" w:color="auto" w:fill="auto"/>
            <w:tcMar>
              <w:top w:w="40" w:type="dxa"/>
              <w:bottom w:w="40" w:type="dxa"/>
              <w:right w:w="0" w:type="dxa"/>
            </w:tcMar>
            <w:vAlign w:val="bottom"/>
          </w:tcPr>
          <w:p w14:paraId="36CA373A" w14:textId="77777777" w:rsidR="00787570" w:rsidRDefault="000D56E2">
            <w:pPr>
              <w:jc w:val="right"/>
              <w:textAlignment w:val="bottom"/>
            </w:pPr>
            <w:r>
              <w:rPr>
                <w:rFonts w:ascii="Arial" w:eastAsia="宋体" w:hAnsi="Arial" w:cs="Arial"/>
                <w:color w:val="333333"/>
                <w:sz w:val="18"/>
                <w:szCs w:val="18"/>
              </w:rPr>
              <w:t>— </w:t>
            </w:r>
          </w:p>
        </w:tc>
        <w:tc>
          <w:tcPr>
            <w:tcW w:w="0" w:type="auto"/>
            <w:shd w:val="clear" w:color="auto" w:fill="auto"/>
            <w:tcMar>
              <w:top w:w="40" w:type="dxa"/>
              <w:bottom w:w="40" w:type="dxa"/>
              <w:right w:w="20" w:type="dxa"/>
            </w:tcMar>
            <w:vAlign w:val="bottom"/>
          </w:tcPr>
          <w:p w14:paraId="36CA373B"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373C" w14:textId="77777777" w:rsidR="00787570" w:rsidRDefault="00787570">
            <w:pPr>
              <w:rPr>
                <w:rFonts w:ascii="宋体"/>
              </w:rPr>
            </w:pPr>
          </w:p>
        </w:tc>
        <w:tc>
          <w:tcPr>
            <w:tcW w:w="0" w:type="auto"/>
            <w:shd w:val="clear" w:color="auto" w:fill="auto"/>
            <w:tcMar>
              <w:top w:w="40" w:type="dxa"/>
              <w:left w:w="20" w:type="dxa"/>
              <w:bottom w:w="40" w:type="dxa"/>
            </w:tcMar>
            <w:vAlign w:val="bottom"/>
          </w:tcPr>
          <w:p w14:paraId="36CA373D" w14:textId="77777777" w:rsidR="00787570" w:rsidRDefault="000D56E2">
            <w:pPr>
              <w:textAlignment w:val="bottom"/>
            </w:pPr>
            <w:r>
              <w:rPr>
                <w:rFonts w:ascii="Arial" w:eastAsia="宋体" w:hAnsi="Arial" w:cs="Arial"/>
                <w:color w:val="333333"/>
                <w:sz w:val="18"/>
                <w:szCs w:val="18"/>
              </w:rPr>
              <w:t>$</w:t>
            </w:r>
          </w:p>
        </w:tc>
        <w:tc>
          <w:tcPr>
            <w:tcW w:w="0" w:type="auto"/>
            <w:shd w:val="clear" w:color="auto" w:fill="auto"/>
            <w:tcMar>
              <w:top w:w="40" w:type="dxa"/>
              <w:bottom w:w="40" w:type="dxa"/>
              <w:right w:w="0" w:type="dxa"/>
            </w:tcMar>
            <w:vAlign w:val="bottom"/>
          </w:tcPr>
          <w:p w14:paraId="36CA373E" w14:textId="77777777" w:rsidR="00787570" w:rsidRDefault="000D56E2">
            <w:pPr>
              <w:jc w:val="right"/>
              <w:textAlignment w:val="bottom"/>
            </w:pPr>
            <w:r>
              <w:rPr>
                <w:rFonts w:ascii="Arial" w:eastAsia="宋体" w:hAnsi="Arial" w:cs="Arial"/>
                <w:color w:val="333333"/>
                <w:sz w:val="18"/>
                <w:szCs w:val="18"/>
              </w:rPr>
              <w:t>713 </w:t>
            </w:r>
          </w:p>
        </w:tc>
        <w:tc>
          <w:tcPr>
            <w:tcW w:w="0" w:type="auto"/>
            <w:shd w:val="clear" w:color="auto" w:fill="auto"/>
            <w:tcMar>
              <w:top w:w="40" w:type="dxa"/>
              <w:bottom w:w="40" w:type="dxa"/>
              <w:right w:w="20" w:type="dxa"/>
            </w:tcMar>
            <w:vAlign w:val="bottom"/>
          </w:tcPr>
          <w:p w14:paraId="36CA373F"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3740" w14:textId="77777777" w:rsidR="00787570" w:rsidRDefault="00787570">
            <w:pPr>
              <w:rPr>
                <w:rFonts w:ascii="宋体"/>
              </w:rPr>
            </w:pPr>
          </w:p>
        </w:tc>
        <w:tc>
          <w:tcPr>
            <w:tcW w:w="0" w:type="auto"/>
            <w:shd w:val="clear" w:color="auto" w:fill="auto"/>
            <w:tcMar>
              <w:top w:w="40" w:type="dxa"/>
              <w:left w:w="20" w:type="dxa"/>
              <w:bottom w:w="40" w:type="dxa"/>
            </w:tcMar>
            <w:vAlign w:val="bottom"/>
          </w:tcPr>
          <w:p w14:paraId="36CA3741" w14:textId="77777777" w:rsidR="00787570" w:rsidRDefault="000D56E2">
            <w:pPr>
              <w:textAlignment w:val="bottom"/>
            </w:pPr>
            <w:r>
              <w:rPr>
                <w:rFonts w:ascii="Arial" w:eastAsia="宋体" w:hAnsi="Arial" w:cs="Arial"/>
                <w:color w:val="333333"/>
                <w:sz w:val="18"/>
                <w:szCs w:val="18"/>
              </w:rPr>
              <w:t>$</w:t>
            </w:r>
          </w:p>
        </w:tc>
        <w:tc>
          <w:tcPr>
            <w:tcW w:w="0" w:type="auto"/>
            <w:shd w:val="clear" w:color="auto" w:fill="auto"/>
            <w:tcMar>
              <w:top w:w="40" w:type="dxa"/>
              <w:bottom w:w="40" w:type="dxa"/>
              <w:right w:w="0" w:type="dxa"/>
            </w:tcMar>
            <w:vAlign w:val="bottom"/>
          </w:tcPr>
          <w:p w14:paraId="36CA3742" w14:textId="77777777" w:rsidR="00787570" w:rsidRDefault="000D56E2">
            <w:pPr>
              <w:jc w:val="right"/>
              <w:textAlignment w:val="bottom"/>
            </w:pPr>
            <w:r>
              <w:rPr>
                <w:rFonts w:ascii="Arial" w:eastAsia="宋体" w:hAnsi="Arial" w:cs="Arial"/>
                <w:color w:val="333333"/>
                <w:sz w:val="18"/>
                <w:szCs w:val="18"/>
              </w:rPr>
              <w:t>— </w:t>
            </w:r>
          </w:p>
        </w:tc>
        <w:tc>
          <w:tcPr>
            <w:tcW w:w="0" w:type="auto"/>
            <w:shd w:val="clear" w:color="auto" w:fill="auto"/>
            <w:tcMar>
              <w:top w:w="40" w:type="dxa"/>
              <w:bottom w:w="40" w:type="dxa"/>
              <w:right w:w="20" w:type="dxa"/>
            </w:tcMar>
            <w:vAlign w:val="bottom"/>
          </w:tcPr>
          <w:p w14:paraId="36CA3743"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3744" w14:textId="77777777" w:rsidR="00787570" w:rsidRDefault="00787570">
            <w:pPr>
              <w:rPr>
                <w:rFonts w:ascii="宋体"/>
              </w:rPr>
            </w:pPr>
          </w:p>
        </w:tc>
        <w:tc>
          <w:tcPr>
            <w:tcW w:w="0" w:type="auto"/>
            <w:shd w:val="clear" w:color="auto" w:fill="auto"/>
            <w:tcMar>
              <w:top w:w="40" w:type="dxa"/>
              <w:left w:w="20" w:type="dxa"/>
              <w:bottom w:w="40" w:type="dxa"/>
            </w:tcMar>
            <w:vAlign w:val="bottom"/>
          </w:tcPr>
          <w:p w14:paraId="36CA3745" w14:textId="77777777" w:rsidR="00787570" w:rsidRDefault="000D56E2">
            <w:pPr>
              <w:textAlignment w:val="bottom"/>
            </w:pPr>
            <w:r>
              <w:rPr>
                <w:rFonts w:ascii="Arial" w:eastAsia="宋体" w:hAnsi="Arial" w:cs="Arial"/>
                <w:color w:val="333333"/>
                <w:sz w:val="18"/>
                <w:szCs w:val="18"/>
              </w:rPr>
              <w:t>$</w:t>
            </w:r>
          </w:p>
        </w:tc>
        <w:tc>
          <w:tcPr>
            <w:tcW w:w="0" w:type="auto"/>
            <w:shd w:val="clear" w:color="auto" w:fill="auto"/>
            <w:tcMar>
              <w:top w:w="40" w:type="dxa"/>
              <w:bottom w:w="40" w:type="dxa"/>
              <w:right w:w="0" w:type="dxa"/>
            </w:tcMar>
            <w:vAlign w:val="bottom"/>
          </w:tcPr>
          <w:p w14:paraId="36CA3746" w14:textId="77777777" w:rsidR="00787570" w:rsidRDefault="000D56E2">
            <w:pPr>
              <w:jc w:val="right"/>
              <w:textAlignment w:val="bottom"/>
            </w:pPr>
            <w:r>
              <w:rPr>
                <w:rFonts w:ascii="Arial" w:eastAsia="宋体" w:hAnsi="Arial" w:cs="Arial"/>
                <w:color w:val="333333"/>
                <w:sz w:val="18"/>
                <w:szCs w:val="18"/>
              </w:rPr>
              <w:t>713 </w:t>
            </w:r>
          </w:p>
        </w:tc>
        <w:tc>
          <w:tcPr>
            <w:tcW w:w="0" w:type="auto"/>
            <w:shd w:val="clear" w:color="auto" w:fill="auto"/>
            <w:tcMar>
              <w:top w:w="40" w:type="dxa"/>
              <w:bottom w:w="40" w:type="dxa"/>
              <w:right w:w="20" w:type="dxa"/>
            </w:tcMar>
            <w:vAlign w:val="bottom"/>
          </w:tcPr>
          <w:p w14:paraId="36CA3747" w14:textId="77777777" w:rsidR="00787570" w:rsidRDefault="00787570">
            <w:pPr>
              <w:jc w:val="right"/>
              <w:rPr>
                <w:rFonts w:ascii="宋体"/>
              </w:rPr>
            </w:pPr>
          </w:p>
        </w:tc>
        <w:tc>
          <w:tcPr>
            <w:tcW w:w="0" w:type="auto"/>
            <w:shd w:val="clear" w:color="auto" w:fill="auto"/>
          </w:tcPr>
          <w:p w14:paraId="36CA3748" w14:textId="77777777" w:rsidR="00787570" w:rsidRDefault="00787570">
            <w:pPr>
              <w:rPr>
                <w:rFonts w:ascii="宋体"/>
              </w:rPr>
            </w:pPr>
          </w:p>
        </w:tc>
        <w:tc>
          <w:tcPr>
            <w:tcW w:w="0" w:type="auto"/>
            <w:shd w:val="clear" w:color="auto" w:fill="auto"/>
          </w:tcPr>
          <w:p w14:paraId="36CA3749" w14:textId="77777777" w:rsidR="00787570" w:rsidRDefault="00787570">
            <w:pPr>
              <w:rPr>
                <w:rFonts w:ascii="宋体"/>
              </w:rPr>
            </w:pPr>
          </w:p>
        </w:tc>
        <w:tc>
          <w:tcPr>
            <w:tcW w:w="0" w:type="auto"/>
            <w:shd w:val="clear" w:color="auto" w:fill="auto"/>
          </w:tcPr>
          <w:p w14:paraId="36CA374A" w14:textId="77777777" w:rsidR="00787570" w:rsidRDefault="00787570">
            <w:pPr>
              <w:rPr>
                <w:rFonts w:ascii="宋体"/>
              </w:rPr>
            </w:pPr>
          </w:p>
        </w:tc>
        <w:tc>
          <w:tcPr>
            <w:tcW w:w="0" w:type="auto"/>
            <w:shd w:val="clear" w:color="auto" w:fill="auto"/>
          </w:tcPr>
          <w:p w14:paraId="36CA374B" w14:textId="77777777" w:rsidR="00787570" w:rsidRDefault="00787570">
            <w:pPr>
              <w:rPr>
                <w:rFonts w:ascii="宋体"/>
              </w:rPr>
            </w:pPr>
          </w:p>
        </w:tc>
        <w:tc>
          <w:tcPr>
            <w:tcW w:w="0" w:type="auto"/>
            <w:shd w:val="clear" w:color="auto" w:fill="auto"/>
          </w:tcPr>
          <w:p w14:paraId="36CA374C" w14:textId="77777777" w:rsidR="00787570" w:rsidRDefault="00787570">
            <w:pPr>
              <w:rPr>
                <w:rFonts w:ascii="宋体"/>
              </w:rPr>
            </w:pPr>
          </w:p>
        </w:tc>
        <w:tc>
          <w:tcPr>
            <w:tcW w:w="0" w:type="auto"/>
            <w:shd w:val="clear" w:color="auto" w:fill="auto"/>
          </w:tcPr>
          <w:p w14:paraId="36CA374D" w14:textId="77777777" w:rsidR="00787570" w:rsidRDefault="00787570">
            <w:pPr>
              <w:rPr>
                <w:rFonts w:ascii="宋体"/>
              </w:rPr>
            </w:pPr>
          </w:p>
        </w:tc>
        <w:tc>
          <w:tcPr>
            <w:tcW w:w="0" w:type="auto"/>
            <w:shd w:val="clear" w:color="auto" w:fill="auto"/>
          </w:tcPr>
          <w:p w14:paraId="36CA374E" w14:textId="77777777" w:rsidR="00787570" w:rsidRDefault="00787570">
            <w:pPr>
              <w:rPr>
                <w:rFonts w:ascii="宋体"/>
              </w:rPr>
            </w:pPr>
          </w:p>
        </w:tc>
        <w:tc>
          <w:tcPr>
            <w:tcW w:w="0" w:type="auto"/>
            <w:shd w:val="clear" w:color="auto" w:fill="auto"/>
          </w:tcPr>
          <w:p w14:paraId="36CA374F" w14:textId="77777777" w:rsidR="00787570" w:rsidRDefault="00787570">
            <w:pPr>
              <w:rPr>
                <w:rFonts w:ascii="宋体"/>
              </w:rPr>
            </w:pPr>
          </w:p>
        </w:tc>
        <w:tc>
          <w:tcPr>
            <w:tcW w:w="0" w:type="auto"/>
            <w:shd w:val="clear" w:color="auto" w:fill="auto"/>
          </w:tcPr>
          <w:p w14:paraId="36CA3750" w14:textId="77777777" w:rsidR="00787570" w:rsidRDefault="00787570">
            <w:pPr>
              <w:rPr>
                <w:rFonts w:ascii="宋体"/>
              </w:rPr>
            </w:pPr>
          </w:p>
        </w:tc>
        <w:tc>
          <w:tcPr>
            <w:tcW w:w="0" w:type="auto"/>
            <w:shd w:val="clear" w:color="auto" w:fill="auto"/>
          </w:tcPr>
          <w:p w14:paraId="36CA3751" w14:textId="77777777" w:rsidR="00787570" w:rsidRDefault="00787570">
            <w:pPr>
              <w:rPr>
                <w:rFonts w:ascii="宋体"/>
              </w:rPr>
            </w:pPr>
          </w:p>
        </w:tc>
        <w:tc>
          <w:tcPr>
            <w:tcW w:w="0" w:type="auto"/>
            <w:shd w:val="clear" w:color="auto" w:fill="auto"/>
          </w:tcPr>
          <w:p w14:paraId="36CA3752" w14:textId="77777777" w:rsidR="00787570" w:rsidRDefault="00787570">
            <w:pPr>
              <w:rPr>
                <w:rFonts w:ascii="宋体"/>
              </w:rPr>
            </w:pPr>
          </w:p>
        </w:tc>
        <w:tc>
          <w:tcPr>
            <w:tcW w:w="0" w:type="auto"/>
            <w:shd w:val="clear" w:color="auto" w:fill="auto"/>
          </w:tcPr>
          <w:p w14:paraId="36CA3753" w14:textId="77777777" w:rsidR="00787570" w:rsidRDefault="00787570">
            <w:pPr>
              <w:rPr>
                <w:rFonts w:ascii="宋体"/>
              </w:rPr>
            </w:pPr>
          </w:p>
        </w:tc>
      </w:tr>
      <w:tr w:rsidR="00787570" w14:paraId="36CA377A" w14:textId="77777777">
        <w:tc>
          <w:tcPr>
            <w:tcW w:w="0" w:type="auto"/>
            <w:gridSpan w:val="3"/>
            <w:shd w:val="clear" w:color="auto" w:fill="auto"/>
            <w:tcMar>
              <w:top w:w="40" w:type="dxa"/>
              <w:left w:w="120" w:type="dxa"/>
              <w:bottom w:w="40" w:type="dxa"/>
              <w:right w:w="20" w:type="dxa"/>
            </w:tcMar>
          </w:tcPr>
          <w:p w14:paraId="36CA3755" w14:textId="77777777" w:rsidR="00787570" w:rsidRDefault="000D56E2">
            <w:pPr>
              <w:textAlignment w:val="top"/>
            </w:pPr>
            <w:r>
              <w:rPr>
                <w:rFonts w:ascii="Arial" w:eastAsia="宋体" w:hAnsi="Arial" w:cs="Arial"/>
                <w:color w:val="333333"/>
                <w:sz w:val="18"/>
                <w:szCs w:val="18"/>
              </w:rPr>
              <w:t>Financial institution instruments¹</w:t>
            </w:r>
          </w:p>
        </w:tc>
        <w:tc>
          <w:tcPr>
            <w:tcW w:w="0" w:type="auto"/>
            <w:gridSpan w:val="3"/>
            <w:shd w:val="clear" w:color="auto" w:fill="auto"/>
            <w:tcMar>
              <w:left w:w="20" w:type="dxa"/>
              <w:right w:w="20" w:type="dxa"/>
            </w:tcMar>
            <w:vAlign w:val="bottom"/>
          </w:tcPr>
          <w:p w14:paraId="36CA3756"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3757" w14:textId="77777777" w:rsidR="00787570" w:rsidRDefault="000D56E2">
            <w:pPr>
              <w:jc w:val="right"/>
              <w:textAlignment w:val="bottom"/>
            </w:pPr>
            <w:r>
              <w:rPr>
                <w:rFonts w:ascii="Arial" w:eastAsia="宋体" w:hAnsi="Arial" w:cs="Arial"/>
                <w:color w:val="026DCE"/>
                <w:sz w:val="18"/>
                <w:szCs w:val="18"/>
              </w:rPr>
              <w:t>1,012 </w:t>
            </w:r>
          </w:p>
        </w:tc>
        <w:tc>
          <w:tcPr>
            <w:tcW w:w="0" w:type="auto"/>
            <w:shd w:val="clear" w:color="auto" w:fill="auto"/>
            <w:tcMar>
              <w:top w:w="40" w:type="dxa"/>
              <w:bottom w:w="40" w:type="dxa"/>
              <w:right w:w="20" w:type="dxa"/>
            </w:tcMar>
            <w:vAlign w:val="bottom"/>
          </w:tcPr>
          <w:p w14:paraId="36CA3758"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3759"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375A" w14:textId="77777777" w:rsidR="00787570" w:rsidRDefault="000D56E2">
            <w:pPr>
              <w:jc w:val="right"/>
              <w:textAlignment w:val="bottom"/>
            </w:pPr>
            <w:r>
              <w:rPr>
                <w:rFonts w:ascii="Arial" w:eastAsia="宋体" w:hAnsi="Arial" w:cs="Arial"/>
                <w:color w:val="026DCE"/>
                <w:sz w:val="18"/>
                <w:szCs w:val="18"/>
              </w:rPr>
              <w:t>467 </w:t>
            </w:r>
          </w:p>
        </w:tc>
        <w:tc>
          <w:tcPr>
            <w:tcW w:w="0" w:type="auto"/>
            <w:shd w:val="clear" w:color="auto" w:fill="auto"/>
            <w:tcMar>
              <w:top w:w="40" w:type="dxa"/>
              <w:bottom w:w="40" w:type="dxa"/>
              <w:right w:w="20" w:type="dxa"/>
            </w:tcMar>
            <w:vAlign w:val="bottom"/>
          </w:tcPr>
          <w:p w14:paraId="36CA375B"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375C"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375D" w14:textId="77777777" w:rsidR="00787570" w:rsidRDefault="000D56E2">
            <w:pPr>
              <w:jc w:val="right"/>
              <w:textAlignment w:val="bottom"/>
            </w:pPr>
            <w:r>
              <w:rPr>
                <w:rFonts w:ascii="Arial" w:eastAsia="宋体" w:hAnsi="Arial" w:cs="Arial"/>
                <w:color w:val="026DCE"/>
                <w:sz w:val="18"/>
                <w:szCs w:val="18"/>
              </w:rPr>
              <w:t>— </w:t>
            </w:r>
          </w:p>
        </w:tc>
        <w:tc>
          <w:tcPr>
            <w:tcW w:w="0" w:type="auto"/>
            <w:shd w:val="clear" w:color="auto" w:fill="auto"/>
            <w:tcMar>
              <w:top w:w="40" w:type="dxa"/>
              <w:bottom w:w="40" w:type="dxa"/>
              <w:right w:w="20" w:type="dxa"/>
            </w:tcMar>
            <w:vAlign w:val="bottom"/>
          </w:tcPr>
          <w:p w14:paraId="36CA375E"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375F"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3760" w14:textId="77777777" w:rsidR="00787570" w:rsidRDefault="000D56E2">
            <w:pPr>
              <w:jc w:val="right"/>
              <w:textAlignment w:val="bottom"/>
            </w:pPr>
            <w:r>
              <w:rPr>
                <w:rFonts w:ascii="Arial" w:eastAsia="宋体" w:hAnsi="Arial" w:cs="Arial"/>
                <w:color w:val="026DCE"/>
                <w:sz w:val="18"/>
                <w:szCs w:val="18"/>
              </w:rPr>
              <w:t>1,479 </w:t>
            </w:r>
          </w:p>
        </w:tc>
        <w:tc>
          <w:tcPr>
            <w:tcW w:w="0" w:type="auto"/>
            <w:shd w:val="clear" w:color="auto" w:fill="auto"/>
            <w:tcMar>
              <w:top w:w="40" w:type="dxa"/>
              <w:bottom w:w="40" w:type="dxa"/>
              <w:right w:w="20" w:type="dxa"/>
            </w:tcMar>
            <w:vAlign w:val="bottom"/>
          </w:tcPr>
          <w:p w14:paraId="36CA3761"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3762"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3763" w14:textId="77777777" w:rsidR="00787570" w:rsidRDefault="000D56E2">
            <w:pPr>
              <w:jc w:val="right"/>
              <w:textAlignment w:val="bottom"/>
            </w:pPr>
            <w:r>
              <w:rPr>
                <w:rFonts w:ascii="Arial" w:eastAsia="宋体" w:hAnsi="Arial" w:cs="Arial"/>
                <w:color w:val="333333"/>
                <w:sz w:val="18"/>
                <w:szCs w:val="18"/>
              </w:rPr>
              <w:t>1,064 </w:t>
            </w:r>
          </w:p>
        </w:tc>
        <w:tc>
          <w:tcPr>
            <w:tcW w:w="0" w:type="auto"/>
            <w:shd w:val="clear" w:color="auto" w:fill="auto"/>
            <w:tcMar>
              <w:top w:w="40" w:type="dxa"/>
              <w:bottom w:w="40" w:type="dxa"/>
              <w:right w:w="20" w:type="dxa"/>
            </w:tcMar>
            <w:vAlign w:val="bottom"/>
          </w:tcPr>
          <w:p w14:paraId="36CA3764"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3765"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3766" w14:textId="77777777" w:rsidR="00787570" w:rsidRDefault="000D56E2">
            <w:pPr>
              <w:jc w:val="right"/>
              <w:textAlignment w:val="bottom"/>
            </w:pPr>
            <w:r>
              <w:rPr>
                <w:rFonts w:ascii="Arial" w:eastAsia="宋体" w:hAnsi="Arial" w:cs="Arial"/>
                <w:color w:val="333333"/>
                <w:sz w:val="18"/>
                <w:szCs w:val="18"/>
              </w:rPr>
              <w:t>408 </w:t>
            </w:r>
          </w:p>
        </w:tc>
        <w:tc>
          <w:tcPr>
            <w:tcW w:w="0" w:type="auto"/>
            <w:shd w:val="clear" w:color="auto" w:fill="auto"/>
            <w:tcMar>
              <w:top w:w="40" w:type="dxa"/>
              <w:bottom w:w="40" w:type="dxa"/>
              <w:right w:w="20" w:type="dxa"/>
            </w:tcMar>
            <w:vAlign w:val="bottom"/>
          </w:tcPr>
          <w:p w14:paraId="36CA3767"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3768"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3769" w14:textId="77777777" w:rsidR="00787570" w:rsidRDefault="000D56E2">
            <w:pPr>
              <w:jc w:val="right"/>
              <w:textAlignment w:val="bottom"/>
            </w:pPr>
            <w:r>
              <w:rPr>
                <w:rFonts w:ascii="Arial" w:eastAsia="宋体" w:hAnsi="Arial" w:cs="Arial"/>
                <w:color w:val="333333"/>
                <w:sz w:val="18"/>
                <w:szCs w:val="18"/>
              </w:rPr>
              <w:t>— </w:t>
            </w:r>
          </w:p>
        </w:tc>
        <w:tc>
          <w:tcPr>
            <w:tcW w:w="0" w:type="auto"/>
            <w:shd w:val="clear" w:color="auto" w:fill="auto"/>
            <w:tcMar>
              <w:top w:w="40" w:type="dxa"/>
              <w:bottom w:w="40" w:type="dxa"/>
              <w:right w:w="20" w:type="dxa"/>
            </w:tcMar>
            <w:vAlign w:val="bottom"/>
          </w:tcPr>
          <w:p w14:paraId="36CA376A"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376B"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376C" w14:textId="77777777" w:rsidR="00787570" w:rsidRDefault="000D56E2">
            <w:pPr>
              <w:jc w:val="right"/>
              <w:textAlignment w:val="bottom"/>
            </w:pPr>
            <w:r>
              <w:rPr>
                <w:rFonts w:ascii="Arial" w:eastAsia="宋体" w:hAnsi="Arial" w:cs="Arial"/>
                <w:color w:val="333333"/>
                <w:sz w:val="18"/>
                <w:szCs w:val="18"/>
              </w:rPr>
              <w:t>1,472 </w:t>
            </w:r>
          </w:p>
        </w:tc>
        <w:tc>
          <w:tcPr>
            <w:tcW w:w="0" w:type="auto"/>
            <w:shd w:val="clear" w:color="auto" w:fill="auto"/>
            <w:tcMar>
              <w:top w:w="40" w:type="dxa"/>
              <w:bottom w:w="40" w:type="dxa"/>
              <w:right w:w="20" w:type="dxa"/>
            </w:tcMar>
            <w:vAlign w:val="bottom"/>
          </w:tcPr>
          <w:p w14:paraId="36CA376D" w14:textId="77777777" w:rsidR="00787570" w:rsidRDefault="00787570">
            <w:pPr>
              <w:jc w:val="right"/>
              <w:rPr>
                <w:rFonts w:ascii="宋体"/>
              </w:rPr>
            </w:pPr>
          </w:p>
        </w:tc>
        <w:tc>
          <w:tcPr>
            <w:tcW w:w="0" w:type="auto"/>
            <w:shd w:val="clear" w:color="auto" w:fill="auto"/>
          </w:tcPr>
          <w:p w14:paraId="36CA376E" w14:textId="77777777" w:rsidR="00787570" w:rsidRDefault="00787570">
            <w:pPr>
              <w:rPr>
                <w:rFonts w:ascii="宋体"/>
              </w:rPr>
            </w:pPr>
          </w:p>
        </w:tc>
        <w:tc>
          <w:tcPr>
            <w:tcW w:w="0" w:type="auto"/>
            <w:shd w:val="clear" w:color="auto" w:fill="auto"/>
          </w:tcPr>
          <w:p w14:paraId="36CA376F" w14:textId="77777777" w:rsidR="00787570" w:rsidRDefault="00787570">
            <w:pPr>
              <w:rPr>
                <w:rFonts w:ascii="宋体"/>
              </w:rPr>
            </w:pPr>
          </w:p>
        </w:tc>
        <w:tc>
          <w:tcPr>
            <w:tcW w:w="0" w:type="auto"/>
            <w:shd w:val="clear" w:color="auto" w:fill="auto"/>
          </w:tcPr>
          <w:p w14:paraId="36CA3770" w14:textId="77777777" w:rsidR="00787570" w:rsidRDefault="00787570">
            <w:pPr>
              <w:rPr>
                <w:rFonts w:ascii="宋体"/>
              </w:rPr>
            </w:pPr>
          </w:p>
        </w:tc>
        <w:tc>
          <w:tcPr>
            <w:tcW w:w="0" w:type="auto"/>
            <w:shd w:val="clear" w:color="auto" w:fill="auto"/>
          </w:tcPr>
          <w:p w14:paraId="36CA3771" w14:textId="77777777" w:rsidR="00787570" w:rsidRDefault="00787570">
            <w:pPr>
              <w:rPr>
                <w:rFonts w:ascii="宋体"/>
              </w:rPr>
            </w:pPr>
          </w:p>
        </w:tc>
        <w:tc>
          <w:tcPr>
            <w:tcW w:w="0" w:type="auto"/>
            <w:shd w:val="clear" w:color="auto" w:fill="auto"/>
          </w:tcPr>
          <w:p w14:paraId="36CA3772" w14:textId="77777777" w:rsidR="00787570" w:rsidRDefault="00787570">
            <w:pPr>
              <w:rPr>
                <w:rFonts w:ascii="宋体"/>
              </w:rPr>
            </w:pPr>
          </w:p>
        </w:tc>
        <w:tc>
          <w:tcPr>
            <w:tcW w:w="0" w:type="auto"/>
            <w:shd w:val="clear" w:color="auto" w:fill="auto"/>
          </w:tcPr>
          <w:p w14:paraId="36CA3773" w14:textId="77777777" w:rsidR="00787570" w:rsidRDefault="00787570">
            <w:pPr>
              <w:rPr>
                <w:rFonts w:ascii="宋体"/>
              </w:rPr>
            </w:pPr>
          </w:p>
        </w:tc>
        <w:tc>
          <w:tcPr>
            <w:tcW w:w="0" w:type="auto"/>
            <w:shd w:val="clear" w:color="auto" w:fill="auto"/>
          </w:tcPr>
          <w:p w14:paraId="36CA3774" w14:textId="77777777" w:rsidR="00787570" w:rsidRDefault="00787570">
            <w:pPr>
              <w:rPr>
                <w:rFonts w:ascii="宋体"/>
              </w:rPr>
            </w:pPr>
          </w:p>
        </w:tc>
        <w:tc>
          <w:tcPr>
            <w:tcW w:w="0" w:type="auto"/>
            <w:shd w:val="clear" w:color="auto" w:fill="auto"/>
          </w:tcPr>
          <w:p w14:paraId="36CA3775" w14:textId="77777777" w:rsidR="00787570" w:rsidRDefault="00787570">
            <w:pPr>
              <w:rPr>
                <w:rFonts w:ascii="宋体"/>
              </w:rPr>
            </w:pPr>
          </w:p>
        </w:tc>
        <w:tc>
          <w:tcPr>
            <w:tcW w:w="0" w:type="auto"/>
            <w:shd w:val="clear" w:color="auto" w:fill="auto"/>
          </w:tcPr>
          <w:p w14:paraId="36CA3776" w14:textId="77777777" w:rsidR="00787570" w:rsidRDefault="00787570">
            <w:pPr>
              <w:rPr>
                <w:rFonts w:ascii="宋体"/>
              </w:rPr>
            </w:pPr>
          </w:p>
        </w:tc>
        <w:tc>
          <w:tcPr>
            <w:tcW w:w="0" w:type="auto"/>
            <w:shd w:val="clear" w:color="auto" w:fill="auto"/>
          </w:tcPr>
          <w:p w14:paraId="36CA3777" w14:textId="77777777" w:rsidR="00787570" w:rsidRDefault="00787570">
            <w:pPr>
              <w:rPr>
                <w:rFonts w:ascii="宋体"/>
              </w:rPr>
            </w:pPr>
          </w:p>
        </w:tc>
        <w:tc>
          <w:tcPr>
            <w:tcW w:w="0" w:type="auto"/>
            <w:shd w:val="clear" w:color="auto" w:fill="auto"/>
          </w:tcPr>
          <w:p w14:paraId="36CA3778" w14:textId="77777777" w:rsidR="00787570" w:rsidRDefault="00787570">
            <w:pPr>
              <w:rPr>
                <w:rFonts w:ascii="宋体"/>
              </w:rPr>
            </w:pPr>
          </w:p>
        </w:tc>
        <w:tc>
          <w:tcPr>
            <w:tcW w:w="0" w:type="auto"/>
            <w:shd w:val="clear" w:color="auto" w:fill="auto"/>
          </w:tcPr>
          <w:p w14:paraId="36CA3779" w14:textId="77777777" w:rsidR="00787570" w:rsidRDefault="00787570">
            <w:pPr>
              <w:rPr>
                <w:rFonts w:ascii="宋体"/>
              </w:rPr>
            </w:pPr>
          </w:p>
        </w:tc>
      </w:tr>
      <w:tr w:rsidR="00787570" w14:paraId="36CA37A0" w14:textId="77777777">
        <w:tc>
          <w:tcPr>
            <w:tcW w:w="0" w:type="auto"/>
            <w:gridSpan w:val="3"/>
            <w:shd w:val="clear" w:color="auto" w:fill="auto"/>
            <w:tcMar>
              <w:top w:w="40" w:type="dxa"/>
              <w:left w:w="120" w:type="dxa"/>
              <w:bottom w:w="40" w:type="dxa"/>
              <w:right w:w="20" w:type="dxa"/>
            </w:tcMar>
          </w:tcPr>
          <w:p w14:paraId="36CA377B" w14:textId="77777777" w:rsidR="00787570" w:rsidRDefault="000D56E2">
            <w:pPr>
              <w:textAlignment w:val="top"/>
            </w:pPr>
            <w:r>
              <w:rPr>
                <w:rFonts w:ascii="Arial" w:eastAsia="宋体" w:hAnsi="Arial" w:cs="Arial"/>
                <w:color w:val="333333"/>
                <w:sz w:val="18"/>
                <w:szCs w:val="18"/>
              </w:rPr>
              <w:t>Government debt²</w:t>
            </w:r>
          </w:p>
        </w:tc>
        <w:tc>
          <w:tcPr>
            <w:tcW w:w="0" w:type="auto"/>
            <w:gridSpan w:val="3"/>
            <w:shd w:val="clear" w:color="auto" w:fill="auto"/>
            <w:tcMar>
              <w:left w:w="20" w:type="dxa"/>
              <w:right w:w="20" w:type="dxa"/>
            </w:tcMar>
            <w:vAlign w:val="bottom"/>
          </w:tcPr>
          <w:p w14:paraId="36CA377C"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377D" w14:textId="77777777" w:rsidR="00787570" w:rsidRDefault="000D56E2">
            <w:pPr>
              <w:jc w:val="right"/>
              <w:textAlignment w:val="bottom"/>
            </w:pPr>
            <w:r>
              <w:rPr>
                <w:rFonts w:ascii="Arial" w:eastAsia="宋体" w:hAnsi="Arial" w:cs="Arial"/>
                <w:color w:val="026DCE"/>
                <w:sz w:val="18"/>
                <w:szCs w:val="18"/>
              </w:rPr>
              <w:t>— </w:t>
            </w:r>
          </w:p>
        </w:tc>
        <w:tc>
          <w:tcPr>
            <w:tcW w:w="0" w:type="auto"/>
            <w:shd w:val="clear" w:color="auto" w:fill="auto"/>
            <w:tcMar>
              <w:top w:w="40" w:type="dxa"/>
              <w:bottom w:w="40" w:type="dxa"/>
              <w:right w:w="20" w:type="dxa"/>
            </w:tcMar>
            <w:vAlign w:val="bottom"/>
          </w:tcPr>
          <w:p w14:paraId="36CA377E"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377F"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3780" w14:textId="77777777" w:rsidR="00787570" w:rsidRDefault="000D56E2">
            <w:pPr>
              <w:jc w:val="right"/>
              <w:textAlignment w:val="bottom"/>
            </w:pPr>
            <w:r>
              <w:rPr>
                <w:rFonts w:ascii="Arial" w:eastAsia="宋体" w:hAnsi="Arial" w:cs="Arial"/>
                <w:color w:val="026DCE"/>
                <w:sz w:val="18"/>
                <w:szCs w:val="18"/>
              </w:rPr>
              <w:t>50 </w:t>
            </w:r>
          </w:p>
        </w:tc>
        <w:tc>
          <w:tcPr>
            <w:tcW w:w="0" w:type="auto"/>
            <w:shd w:val="clear" w:color="auto" w:fill="auto"/>
            <w:tcMar>
              <w:top w:w="40" w:type="dxa"/>
              <w:bottom w:w="40" w:type="dxa"/>
              <w:right w:w="20" w:type="dxa"/>
            </w:tcMar>
            <w:vAlign w:val="bottom"/>
          </w:tcPr>
          <w:p w14:paraId="36CA3781"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3782"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3783" w14:textId="77777777" w:rsidR="00787570" w:rsidRDefault="000D56E2">
            <w:pPr>
              <w:jc w:val="right"/>
              <w:textAlignment w:val="bottom"/>
            </w:pPr>
            <w:r>
              <w:rPr>
                <w:rFonts w:ascii="Arial" w:eastAsia="宋体" w:hAnsi="Arial" w:cs="Arial"/>
                <w:color w:val="026DCE"/>
                <w:sz w:val="18"/>
                <w:szCs w:val="18"/>
              </w:rPr>
              <w:t>— </w:t>
            </w:r>
          </w:p>
        </w:tc>
        <w:tc>
          <w:tcPr>
            <w:tcW w:w="0" w:type="auto"/>
            <w:shd w:val="clear" w:color="auto" w:fill="auto"/>
            <w:tcMar>
              <w:top w:w="40" w:type="dxa"/>
              <w:bottom w:w="40" w:type="dxa"/>
              <w:right w:w="20" w:type="dxa"/>
            </w:tcMar>
            <w:vAlign w:val="bottom"/>
          </w:tcPr>
          <w:p w14:paraId="36CA3784"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3785"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3786" w14:textId="77777777" w:rsidR="00787570" w:rsidRDefault="000D56E2">
            <w:pPr>
              <w:jc w:val="right"/>
              <w:textAlignment w:val="bottom"/>
            </w:pPr>
            <w:r>
              <w:rPr>
                <w:rFonts w:ascii="Arial" w:eastAsia="宋体" w:hAnsi="Arial" w:cs="Arial"/>
                <w:color w:val="026DCE"/>
                <w:sz w:val="18"/>
                <w:szCs w:val="18"/>
              </w:rPr>
              <w:t>50 </w:t>
            </w:r>
          </w:p>
        </w:tc>
        <w:tc>
          <w:tcPr>
            <w:tcW w:w="0" w:type="auto"/>
            <w:shd w:val="clear" w:color="auto" w:fill="auto"/>
            <w:tcMar>
              <w:top w:w="40" w:type="dxa"/>
              <w:bottom w:w="40" w:type="dxa"/>
              <w:right w:w="20" w:type="dxa"/>
            </w:tcMar>
            <w:vAlign w:val="bottom"/>
          </w:tcPr>
          <w:p w14:paraId="36CA3787"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3788"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3789" w14:textId="77777777" w:rsidR="00787570" w:rsidRDefault="000D56E2">
            <w:pPr>
              <w:jc w:val="right"/>
              <w:textAlignment w:val="bottom"/>
            </w:pPr>
            <w:r>
              <w:rPr>
                <w:rFonts w:ascii="Arial" w:eastAsia="宋体" w:hAnsi="Arial" w:cs="Arial"/>
                <w:color w:val="333333"/>
                <w:sz w:val="18"/>
                <w:szCs w:val="18"/>
              </w:rPr>
              <w:t>— </w:t>
            </w:r>
          </w:p>
        </w:tc>
        <w:tc>
          <w:tcPr>
            <w:tcW w:w="0" w:type="auto"/>
            <w:shd w:val="clear" w:color="auto" w:fill="auto"/>
            <w:tcMar>
              <w:top w:w="40" w:type="dxa"/>
              <w:bottom w:w="40" w:type="dxa"/>
              <w:right w:w="20" w:type="dxa"/>
            </w:tcMar>
            <w:vAlign w:val="bottom"/>
          </w:tcPr>
          <w:p w14:paraId="36CA378A"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378B"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378C" w14:textId="77777777" w:rsidR="00787570" w:rsidRDefault="000D56E2">
            <w:pPr>
              <w:jc w:val="right"/>
              <w:textAlignment w:val="bottom"/>
            </w:pPr>
            <w:r>
              <w:rPr>
                <w:rFonts w:ascii="Arial" w:eastAsia="宋体" w:hAnsi="Arial" w:cs="Arial"/>
                <w:color w:val="333333"/>
                <w:sz w:val="18"/>
                <w:szCs w:val="18"/>
              </w:rPr>
              <w:t>— </w:t>
            </w:r>
          </w:p>
        </w:tc>
        <w:tc>
          <w:tcPr>
            <w:tcW w:w="0" w:type="auto"/>
            <w:shd w:val="clear" w:color="auto" w:fill="auto"/>
            <w:tcMar>
              <w:top w:w="40" w:type="dxa"/>
              <w:bottom w:w="40" w:type="dxa"/>
              <w:right w:w="20" w:type="dxa"/>
            </w:tcMar>
            <w:vAlign w:val="bottom"/>
          </w:tcPr>
          <w:p w14:paraId="36CA378D"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378E"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378F" w14:textId="77777777" w:rsidR="00787570" w:rsidRDefault="000D56E2">
            <w:pPr>
              <w:jc w:val="right"/>
              <w:textAlignment w:val="bottom"/>
            </w:pPr>
            <w:r>
              <w:rPr>
                <w:rFonts w:ascii="Arial" w:eastAsia="宋体" w:hAnsi="Arial" w:cs="Arial"/>
                <w:color w:val="333333"/>
                <w:sz w:val="18"/>
                <w:szCs w:val="18"/>
              </w:rPr>
              <w:t>— </w:t>
            </w:r>
          </w:p>
        </w:tc>
        <w:tc>
          <w:tcPr>
            <w:tcW w:w="0" w:type="auto"/>
            <w:shd w:val="clear" w:color="auto" w:fill="auto"/>
            <w:tcMar>
              <w:top w:w="40" w:type="dxa"/>
              <w:bottom w:w="40" w:type="dxa"/>
              <w:right w:w="20" w:type="dxa"/>
            </w:tcMar>
            <w:vAlign w:val="bottom"/>
          </w:tcPr>
          <w:p w14:paraId="36CA3790"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3791"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3792" w14:textId="77777777" w:rsidR="00787570" w:rsidRDefault="000D56E2">
            <w:pPr>
              <w:jc w:val="right"/>
              <w:textAlignment w:val="bottom"/>
            </w:pPr>
            <w:r>
              <w:rPr>
                <w:rFonts w:ascii="Arial" w:eastAsia="宋体" w:hAnsi="Arial" w:cs="Arial"/>
                <w:color w:val="333333"/>
                <w:sz w:val="18"/>
                <w:szCs w:val="18"/>
              </w:rPr>
              <w:t>— </w:t>
            </w:r>
          </w:p>
        </w:tc>
        <w:tc>
          <w:tcPr>
            <w:tcW w:w="0" w:type="auto"/>
            <w:shd w:val="clear" w:color="auto" w:fill="auto"/>
            <w:tcMar>
              <w:top w:w="40" w:type="dxa"/>
              <w:bottom w:w="40" w:type="dxa"/>
              <w:right w:w="20" w:type="dxa"/>
            </w:tcMar>
            <w:vAlign w:val="bottom"/>
          </w:tcPr>
          <w:p w14:paraId="36CA3793" w14:textId="77777777" w:rsidR="00787570" w:rsidRDefault="00787570">
            <w:pPr>
              <w:jc w:val="right"/>
              <w:rPr>
                <w:rFonts w:ascii="宋体"/>
              </w:rPr>
            </w:pPr>
          </w:p>
        </w:tc>
        <w:tc>
          <w:tcPr>
            <w:tcW w:w="0" w:type="auto"/>
            <w:shd w:val="clear" w:color="auto" w:fill="auto"/>
          </w:tcPr>
          <w:p w14:paraId="36CA3794" w14:textId="77777777" w:rsidR="00787570" w:rsidRDefault="00787570">
            <w:pPr>
              <w:rPr>
                <w:rFonts w:ascii="宋体"/>
              </w:rPr>
            </w:pPr>
          </w:p>
        </w:tc>
        <w:tc>
          <w:tcPr>
            <w:tcW w:w="0" w:type="auto"/>
            <w:shd w:val="clear" w:color="auto" w:fill="auto"/>
          </w:tcPr>
          <w:p w14:paraId="36CA3795" w14:textId="77777777" w:rsidR="00787570" w:rsidRDefault="00787570">
            <w:pPr>
              <w:rPr>
                <w:rFonts w:ascii="宋体"/>
              </w:rPr>
            </w:pPr>
          </w:p>
        </w:tc>
        <w:tc>
          <w:tcPr>
            <w:tcW w:w="0" w:type="auto"/>
            <w:shd w:val="clear" w:color="auto" w:fill="auto"/>
          </w:tcPr>
          <w:p w14:paraId="36CA3796" w14:textId="77777777" w:rsidR="00787570" w:rsidRDefault="00787570">
            <w:pPr>
              <w:rPr>
                <w:rFonts w:ascii="宋体"/>
              </w:rPr>
            </w:pPr>
          </w:p>
        </w:tc>
        <w:tc>
          <w:tcPr>
            <w:tcW w:w="0" w:type="auto"/>
            <w:shd w:val="clear" w:color="auto" w:fill="auto"/>
          </w:tcPr>
          <w:p w14:paraId="36CA3797" w14:textId="77777777" w:rsidR="00787570" w:rsidRDefault="00787570">
            <w:pPr>
              <w:rPr>
                <w:rFonts w:ascii="宋体"/>
              </w:rPr>
            </w:pPr>
          </w:p>
        </w:tc>
        <w:tc>
          <w:tcPr>
            <w:tcW w:w="0" w:type="auto"/>
            <w:shd w:val="clear" w:color="auto" w:fill="auto"/>
          </w:tcPr>
          <w:p w14:paraId="36CA3798" w14:textId="77777777" w:rsidR="00787570" w:rsidRDefault="00787570">
            <w:pPr>
              <w:rPr>
                <w:rFonts w:ascii="宋体"/>
              </w:rPr>
            </w:pPr>
          </w:p>
        </w:tc>
        <w:tc>
          <w:tcPr>
            <w:tcW w:w="0" w:type="auto"/>
            <w:shd w:val="clear" w:color="auto" w:fill="auto"/>
          </w:tcPr>
          <w:p w14:paraId="36CA3799" w14:textId="77777777" w:rsidR="00787570" w:rsidRDefault="00787570">
            <w:pPr>
              <w:rPr>
                <w:rFonts w:ascii="宋体"/>
              </w:rPr>
            </w:pPr>
          </w:p>
        </w:tc>
        <w:tc>
          <w:tcPr>
            <w:tcW w:w="0" w:type="auto"/>
            <w:shd w:val="clear" w:color="auto" w:fill="auto"/>
          </w:tcPr>
          <w:p w14:paraId="36CA379A" w14:textId="77777777" w:rsidR="00787570" w:rsidRDefault="00787570">
            <w:pPr>
              <w:rPr>
                <w:rFonts w:ascii="宋体"/>
              </w:rPr>
            </w:pPr>
          </w:p>
        </w:tc>
        <w:tc>
          <w:tcPr>
            <w:tcW w:w="0" w:type="auto"/>
            <w:shd w:val="clear" w:color="auto" w:fill="auto"/>
          </w:tcPr>
          <w:p w14:paraId="36CA379B" w14:textId="77777777" w:rsidR="00787570" w:rsidRDefault="00787570">
            <w:pPr>
              <w:rPr>
                <w:rFonts w:ascii="宋体"/>
              </w:rPr>
            </w:pPr>
          </w:p>
        </w:tc>
        <w:tc>
          <w:tcPr>
            <w:tcW w:w="0" w:type="auto"/>
            <w:shd w:val="clear" w:color="auto" w:fill="auto"/>
          </w:tcPr>
          <w:p w14:paraId="36CA379C" w14:textId="77777777" w:rsidR="00787570" w:rsidRDefault="00787570">
            <w:pPr>
              <w:rPr>
                <w:rFonts w:ascii="宋体"/>
              </w:rPr>
            </w:pPr>
          </w:p>
        </w:tc>
        <w:tc>
          <w:tcPr>
            <w:tcW w:w="0" w:type="auto"/>
            <w:shd w:val="clear" w:color="auto" w:fill="auto"/>
          </w:tcPr>
          <w:p w14:paraId="36CA379D" w14:textId="77777777" w:rsidR="00787570" w:rsidRDefault="00787570">
            <w:pPr>
              <w:rPr>
                <w:rFonts w:ascii="宋体"/>
              </w:rPr>
            </w:pPr>
          </w:p>
        </w:tc>
        <w:tc>
          <w:tcPr>
            <w:tcW w:w="0" w:type="auto"/>
            <w:shd w:val="clear" w:color="auto" w:fill="auto"/>
          </w:tcPr>
          <w:p w14:paraId="36CA379E" w14:textId="77777777" w:rsidR="00787570" w:rsidRDefault="00787570">
            <w:pPr>
              <w:rPr>
                <w:rFonts w:ascii="宋体"/>
              </w:rPr>
            </w:pPr>
          </w:p>
        </w:tc>
        <w:tc>
          <w:tcPr>
            <w:tcW w:w="0" w:type="auto"/>
            <w:shd w:val="clear" w:color="auto" w:fill="auto"/>
          </w:tcPr>
          <w:p w14:paraId="36CA379F" w14:textId="77777777" w:rsidR="00787570" w:rsidRDefault="00787570">
            <w:pPr>
              <w:rPr>
                <w:rFonts w:ascii="宋体"/>
              </w:rPr>
            </w:pPr>
          </w:p>
        </w:tc>
      </w:tr>
      <w:tr w:rsidR="00787570" w14:paraId="36CA37C6" w14:textId="77777777">
        <w:tc>
          <w:tcPr>
            <w:tcW w:w="0" w:type="auto"/>
            <w:gridSpan w:val="3"/>
            <w:shd w:val="clear" w:color="auto" w:fill="auto"/>
            <w:tcMar>
              <w:top w:w="40" w:type="dxa"/>
              <w:left w:w="120" w:type="dxa"/>
              <w:bottom w:w="40" w:type="dxa"/>
              <w:right w:w="20" w:type="dxa"/>
            </w:tcMar>
          </w:tcPr>
          <w:p w14:paraId="36CA37A1" w14:textId="77777777" w:rsidR="00787570" w:rsidRDefault="000D56E2">
            <w:pPr>
              <w:textAlignment w:val="top"/>
            </w:pPr>
            <w:r>
              <w:rPr>
                <w:rFonts w:ascii="Arial" w:eastAsia="宋体" w:hAnsi="Arial" w:cs="Arial"/>
                <w:color w:val="333333"/>
                <w:sz w:val="18"/>
                <w:szCs w:val="18"/>
              </w:rPr>
              <w:t>Reverse repurchase agreements</w:t>
            </w:r>
          </w:p>
        </w:tc>
        <w:tc>
          <w:tcPr>
            <w:tcW w:w="0" w:type="auto"/>
            <w:gridSpan w:val="3"/>
            <w:shd w:val="clear" w:color="auto" w:fill="auto"/>
            <w:tcMar>
              <w:left w:w="20" w:type="dxa"/>
              <w:right w:w="20" w:type="dxa"/>
            </w:tcMar>
            <w:vAlign w:val="bottom"/>
          </w:tcPr>
          <w:p w14:paraId="36CA37A2"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37A3" w14:textId="77777777" w:rsidR="00787570" w:rsidRDefault="000D56E2">
            <w:pPr>
              <w:jc w:val="right"/>
              <w:textAlignment w:val="bottom"/>
            </w:pPr>
            <w:r>
              <w:rPr>
                <w:rFonts w:ascii="Arial" w:eastAsia="宋体" w:hAnsi="Arial" w:cs="Arial"/>
                <w:color w:val="026DCE"/>
                <w:sz w:val="18"/>
                <w:szCs w:val="18"/>
              </w:rPr>
              <w:t>— </w:t>
            </w:r>
          </w:p>
        </w:tc>
        <w:tc>
          <w:tcPr>
            <w:tcW w:w="0" w:type="auto"/>
            <w:shd w:val="clear" w:color="auto" w:fill="auto"/>
            <w:tcMar>
              <w:top w:w="40" w:type="dxa"/>
              <w:bottom w:w="40" w:type="dxa"/>
              <w:right w:w="20" w:type="dxa"/>
            </w:tcMar>
            <w:vAlign w:val="bottom"/>
          </w:tcPr>
          <w:p w14:paraId="36CA37A4"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37A5"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37A6" w14:textId="77777777" w:rsidR="00787570" w:rsidRDefault="000D56E2">
            <w:pPr>
              <w:jc w:val="right"/>
              <w:textAlignment w:val="bottom"/>
            </w:pPr>
            <w:r>
              <w:rPr>
                <w:rFonts w:ascii="Arial" w:eastAsia="宋体" w:hAnsi="Arial" w:cs="Arial"/>
                <w:color w:val="026DCE"/>
                <w:sz w:val="18"/>
                <w:szCs w:val="18"/>
              </w:rPr>
              <w:t>1,250 </w:t>
            </w:r>
          </w:p>
        </w:tc>
        <w:tc>
          <w:tcPr>
            <w:tcW w:w="0" w:type="auto"/>
            <w:shd w:val="clear" w:color="auto" w:fill="auto"/>
            <w:tcMar>
              <w:top w:w="40" w:type="dxa"/>
              <w:bottom w:w="40" w:type="dxa"/>
              <w:right w:w="20" w:type="dxa"/>
            </w:tcMar>
            <w:vAlign w:val="bottom"/>
          </w:tcPr>
          <w:p w14:paraId="36CA37A7"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37A8"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37A9" w14:textId="77777777" w:rsidR="00787570" w:rsidRDefault="000D56E2">
            <w:pPr>
              <w:jc w:val="right"/>
              <w:textAlignment w:val="bottom"/>
            </w:pPr>
            <w:r>
              <w:rPr>
                <w:rFonts w:ascii="Arial" w:eastAsia="宋体" w:hAnsi="Arial" w:cs="Arial"/>
                <w:color w:val="026DCE"/>
                <w:sz w:val="18"/>
                <w:szCs w:val="18"/>
              </w:rPr>
              <w:t>— </w:t>
            </w:r>
          </w:p>
        </w:tc>
        <w:tc>
          <w:tcPr>
            <w:tcW w:w="0" w:type="auto"/>
            <w:shd w:val="clear" w:color="auto" w:fill="auto"/>
            <w:tcMar>
              <w:top w:w="40" w:type="dxa"/>
              <w:bottom w:w="40" w:type="dxa"/>
              <w:right w:w="20" w:type="dxa"/>
            </w:tcMar>
            <w:vAlign w:val="bottom"/>
          </w:tcPr>
          <w:p w14:paraId="36CA37AA"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37AB"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37AC" w14:textId="77777777" w:rsidR="00787570" w:rsidRDefault="000D56E2">
            <w:pPr>
              <w:jc w:val="right"/>
              <w:textAlignment w:val="bottom"/>
            </w:pPr>
            <w:r>
              <w:rPr>
                <w:rFonts w:ascii="Arial" w:eastAsia="宋体" w:hAnsi="Arial" w:cs="Arial"/>
                <w:color w:val="026DCE"/>
                <w:sz w:val="18"/>
                <w:szCs w:val="18"/>
              </w:rPr>
              <w:t>1,250 </w:t>
            </w:r>
          </w:p>
        </w:tc>
        <w:tc>
          <w:tcPr>
            <w:tcW w:w="0" w:type="auto"/>
            <w:shd w:val="clear" w:color="auto" w:fill="auto"/>
            <w:tcMar>
              <w:top w:w="40" w:type="dxa"/>
              <w:bottom w:w="40" w:type="dxa"/>
              <w:right w:w="20" w:type="dxa"/>
            </w:tcMar>
            <w:vAlign w:val="bottom"/>
          </w:tcPr>
          <w:p w14:paraId="36CA37AD"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37AE"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37AF" w14:textId="77777777" w:rsidR="00787570" w:rsidRDefault="000D56E2">
            <w:pPr>
              <w:jc w:val="right"/>
              <w:textAlignment w:val="bottom"/>
            </w:pPr>
            <w:r>
              <w:rPr>
                <w:rFonts w:ascii="Arial" w:eastAsia="宋体" w:hAnsi="Arial" w:cs="Arial"/>
                <w:color w:val="333333"/>
                <w:sz w:val="18"/>
                <w:szCs w:val="18"/>
              </w:rPr>
              <w:t>— </w:t>
            </w:r>
          </w:p>
        </w:tc>
        <w:tc>
          <w:tcPr>
            <w:tcW w:w="0" w:type="auto"/>
            <w:shd w:val="clear" w:color="auto" w:fill="auto"/>
            <w:tcMar>
              <w:top w:w="40" w:type="dxa"/>
              <w:bottom w:w="40" w:type="dxa"/>
              <w:right w:w="20" w:type="dxa"/>
            </w:tcMar>
            <w:vAlign w:val="bottom"/>
          </w:tcPr>
          <w:p w14:paraId="36CA37B0"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37B1"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37B2" w14:textId="77777777" w:rsidR="00787570" w:rsidRDefault="000D56E2">
            <w:pPr>
              <w:jc w:val="right"/>
              <w:textAlignment w:val="bottom"/>
            </w:pPr>
            <w:r>
              <w:rPr>
                <w:rFonts w:ascii="Arial" w:eastAsia="宋体" w:hAnsi="Arial" w:cs="Arial"/>
                <w:color w:val="333333"/>
                <w:sz w:val="18"/>
                <w:szCs w:val="18"/>
              </w:rPr>
              <w:t>1,500 </w:t>
            </w:r>
          </w:p>
        </w:tc>
        <w:tc>
          <w:tcPr>
            <w:tcW w:w="0" w:type="auto"/>
            <w:shd w:val="clear" w:color="auto" w:fill="auto"/>
            <w:tcMar>
              <w:top w:w="40" w:type="dxa"/>
              <w:bottom w:w="40" w:type="dxa"/>
              <w:right w:w="20" w:type="dxa"/>
            </w:tcMar>
            <w:vAlign w:val="bottom"/>
          </w:tcPr>
          <w:p w14:paraId="36CA37B3"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37B4"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37B5" w14:textId="77777777" w:rsidR="00787570" w:rsidRDefault="000D56E2">
            <w:pPr>
              <w:jc w:val="right"/>
              <w:textAlignment w:val="bottom"/>
            </w:pPr>
            <w:r>
              <w:rPr>
                <w:rFonts w:ascii="Arial" w:eastAsia="宋体" w:hAnsi="Arial" w:cs="Arial"/>
                <w:color w:val="333333"/>
                <w:sz w:val="18"/>
                <w:szCs w:val="18"/>
              </w:rPr>
              <w:t>— </w:t>
            </w:r>
          </w:p>
        </w:tc>
        <w:tc>
          <w:tcPr>
            <w:tcW w:w="0" w:type="auto"/>
            <w:shd w:val="clear" w:color="auto" w:fill="auto"/>
            <w:tcMar>
              <w:top w:w="40" w:type="dxa"/>
              <w:bottom w:w="40" w:type="dxa"/>
              <w:right w:w="20" w:type="dxa"/>
            </w:tcMar>
            <w:vAlign w:val="bottom"/>
          </w:tcPr>
          <w:p w14:paraId="36CA37B6"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37B7"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37B8" w14:textId="77777777" w:rsidR="00787570" w:rsidRDefault="000D56E2">
            <w:pPr>
              <w:jc w:val="right"/>
              <w:textAlignment w:val="bottom"/>
            </w:pPr>
            <w:r>
              <w:rPr>
                <w:rFonts w:ascii="Arial" w:eastAsia="宋体" w:hAnsi="Arial" w:cs="Arial"/>
                <w:color w:val="333333"/>
                <w:sz w:val="18"/>
                <w:szCs w:val="18"/>
              </w:rPr>
              <w:t>1,500 </w:t>
            </w:r>
          </w:p>
        </w:tc>
        <w:tc>
          <w:tcPr>
            <w:tcW w:w="0" w:type="auto"/>
            <w:shd w:val="clear" w:color="auto" w:fill="auto"/>
            <w:tcMar>
              <w:top w:w="40" w:type="dxa"/>
              <w:bottom w:w="40" w:type="dxa"/>
              <w:right w:w="20" w:type="dxa"/>
            </w:tcMar>
            <w:vAlign w:val="bottom"/>
          </w:tcPr>
          <w:p w14:paraId="36CA37B9" w14:textId="77777777" w:rsidR="00787570" w:rsidRDefault="00787570">
            <w:pPr>
              <w:jc w:val="right"/>
              <w:rPr>
                <w:rFonts w:ascii="宋体"/>
              </w:rPr>
            </w:pPr>
          </w:p>
        </w:tc>
        <w:tc>
          <w:tcPr>
            <w:tcW w:w="0" w:type="auto"/>
            <w:shd w:val="clear" w:color="auto" w:fill="auto"/>
          </w:tcPr>
          <w:p w14:paraId="36CA37BA" w14:textId="77777777" w:rsidR="00787570" w:rsidRDefault="00787570">
            <w:pPr>
              <w:rPr>
                <w:rFonts w:ascii="宋体"/>
              </w:rPr>
            </w:pPr>
          </w:p>
        </w:tc>
        <w:tc>
          <w:tcPr>
            <w:tcW w:w="0" w:type="auto"/>
            <w:shd w:val="clear" w:color="auto" w:fill="auto"/>
          </w:tcPr>
          <w:p w14:paraId="36CA37BB" w14:textId="77777777" w:rsidR="00787570" w:rsidRDefault="00787570">
            <w:pPr>
              <w:rPr>
                <w:rFonts w:ascii="宋体"/>
              </w:rPr>
            </w:pPr>
          </w:p>
        </w:tc>
        <w:tc>
          <w:tcPr>
            <w:tcW w:w="0" w:type="auto"/>
            <w:shd w:val="clear" w:color="auto" w:fill="auto"/>
          </w:tcPr>
          <w:p w14:paraId="36CA37BC" w14:textId="77777777" w:rsidR="00787570" w:rsidRDefault="00787570">
            <w:pPr>
              <w:rPr>
                <w:rFonts w:ascii="宋体"/>
              </w:rPr>
            </w:pPr>
          </w:p>
        </w:tc>
        <w:tc>
          <w:tcPr>
            <w:tcW w:w="0" w:type="auto"/>
            <w:shd w:val="clear" w:color="auto" w:fill="auto"/>
          </w:tcPr>
          <w:p w14:paraId="36CA37BD" w14:textId="77777777" w:rsidR="00787570" w:rsidRDefault="00787570">
            <w:pPr>
              <w:rPr>
                <w:rFonts w:ascii="宋体"/>
              </w:rPr>
            </w:pPr>
          </w:p>
        </w:tc>
        <w:tc>
          <w:tcPr>
            <w:tcW w:w="0" w:type="auto"/>
            <w:shd w:val="clear" w:color="auto" w:fill="auto"/>
          </w:tcPr>
          <w:p w14:paraId="36CA37BE" w14:textId="77777777" w:rsidR="00787570" w:rsidRDefault="00787570">
            <w:pPr>
              <w:rPr>
                <w:rFonts w:ascii="宋体"/>
              </w:rPr>
            </w:pPr>
          </w:p>
        </w:tc>
        <w:tc>
          <w:tcPr>
            <w:tcW w:w="0" w:type="auto"/>
            <w:shd w:val="clear" w:color="auto" w:fill="auto"/>
          </w:tcPr>
          <w:p w14:paraId="36CA37BF" w14:textId="77777777" w:rsidR="00787570" w:rsidRDefault="00787570">
            <w:pPr>
              <w:rPr>
                <w:rFonts w:ascii="宋体"/>
              </w:rPr>
            </w:pPr>
          </w:p>
        </w:tc>
        <w:tc>
          <w:tcPr>
            <w:tcW w:w="0" w:type="auto"/>
            <w:shd w:val="clear" w:color="auto" w:fill="auto"/>
          </w:tcPr>
          <w:p w14:paraId="36CA37C0" w14:textId="77777777" w:rsidR="00787570" w:rsidRDefault="00787570">
            <w:pPr>
              <w:rPr>
                <w:rFonts w:ascii="宋体"/>
              </w:rPr>
            </w:pPr>
          </w:p>
        </w:tc>
        <w:tc>
          <w:tcPr>
            <w:tcW w:w="0" w:type="auto"/>
            <w:shd w:val="clear" w:color="auto" w:fill="auto"/>
          </w:tcPr>
          <w:p w14:paraId="36CA37C1" w14:textId="77777777" w:rsidR="00787570" w:rsidRDefault="00787570">
            <w:pPr>
              <w:rPr>
                <w:rFonts w:ascii="宋体"/>
              </w:rPr>
            </w:pPr>
          </w:p>
        </w:tc>
        <w:tc>
          <w:tcPr>
            <w:tcW w:w="0" w:type="auto"/>
            <w:shd w:val="clear" w:color="auto" w:fill="auto"/>
          </w:tcPr>
          <w:p w14:paraId="36CA37C2" w14:textId="77777777" w:rsidR="00787570" w:rsidRDefault="00787570">
            <w:pPr>
              <w:rPr>
                <w:rFonts w:ascii="宋体"/>
              </w:rPr>
            </w:pPr>
          </w:p>
        </w:tc>
        <w:tc>
          <w:tcPr>
            <w:tcW w:w="0" w:type="auto"/>
            <w:shd w:val="clear" w:color="auto" w:fill="auto"/>
          </w:tcPr>
          <w:p w14:paraId="36CA37C3" w14:textId="77777777" w:rsidR="00787570" w:rsidRDefault="00787570">
            <w:pPr>
              <w:rPr>
                <w:rFonts w:ascii="宋体"/>
              </w:rPr>
            </w:pPr>
          </w:p>
        </w:tc>
        <w:tc>
          <w:tcPr>
            <w:tcW w:w="0" w:type="auto"/>
            <w:shd w:val="clear" w:color="auto" w:fill="auto"/>
          </w:tcPr>
          <w:p w14:paraId="36CA37C4" w14:textId="77777777" w:rsidR="00787570" w:rsidRDefault="00787570">
            <w:pPr>
              <w:rPr>
                <w:rFonts w:ascii="宋体"/>
              </w:rPr>
            </w:pPr>
          </w:p>
        </w:tc>
        <w:tc>
          <w:tcPr>
            <w:tcW w:w="0" w:type="auto"/>
            <w:shd w:val="clear" w:color="auto" w:fill="auto"/>
          </w:tcPr>
          <w:p w14:paraId="36CA37C5" w14:textId="77777777" w:rsidR="00787570" w:rsidRDefault="00787570">
            <w:pPr>
              <w:rPr>
                <w:rFonts w:ascii="宋体"/>
              </w:rPr>
            </w:pPr>
          </w:p>
        </w:tc>
      </w:tr>
      <w:tr w:rsidR="00787570" w14:paraId="36CA37E4" w14:textId="77777777">
        <w:tc>
          <w:tcPr>
            <w:tcW w:w="0" w:type="auto"/>
            <w:gridSpan w:val="3"/>
            <w:shd w:val="clear" w:color="auto" w:fill="auto"/>
            <w:tcMar>
              <w:top w:w="40" w:type="dxa"/>
              <w:left w:w="20" w:type="dxa"/>
              <w:bottom w:w="40" w:type="dxa"/>
              <w:right w:w="20" w:type="dxa"/>
            </w:tcMar>
          </w:tcPr>
          <w:p w14:paraId="36CA37C7" w14:textId="77777777" w:rsidR="00787570" w:rsidRDefault="000D56E2">
            <w:pPr>
              <w:textAlignment w:val="top"/>
            </w:pPr>
            <w:r>
              <w:rPr>
                <w:rFonts w:ascii="Arial" w:eastAsia="宋体" w:hAnsi="Arial" w:cs="Arial"/>
                <w:color w:val="333333"/>
                <w:sz w:val="18"/>
                <w:szCs w:val="18"/>
              </w:rPr>
              <w:t>Short-term investments:</w:t>
            </w:r>
          </w:p>
        </w:tc>
        <w:tc>
          <w:tcPr>
            <w:tcW w:w="0" w:type="auto"/>
            <w:gridSpan w:val="3"/>
            <w:shd w:val="clear" w:color="auto" w:fill="auto"/>
            <w:tcMar>
              <w:left w:w="20" w:type="dxa"/>
              <w:right w:w="20" w:type="dxa"/>
            </w:tcMar>
            <w:vAlign w:val="bottom"/>
          </w:tcPr>
          <w:p w14:paraId="36CA37C8"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37C9"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37CA"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37CB"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37CC"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37CD"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37CE"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37CF"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37D0"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37D1"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37D2"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37D3"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37D4"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37D5"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37D6"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37D7" w14:textId="77777777" w:rsidR="00787570" w:rsidRDefault="00787570">
            <w:pPr>
              <w:rPr>
                <w:rFonts w:ascii="宋体"/>
              </w:rPr>
            </w:pPr>
          </w:p>
        </w:tc>
        <w:tc>
          <w:tcPr>
            <w:tcW w:w="0" w:type="auto"/>
            <w:shd w:val="clear" w:color="auto" w:fill="auto"/>
          </w:tcPr>
          <w:p w14:paraId="36CA37D8" w14:textId="77777777" w:rsidR="00787570" w:rsidRDefault="00787570">
            <w:pPr>
              <w:rPr>
                <w:rFonts w:ascii="宋体"/>
              </w:rPr>
            </w:pPr>
          </w:p>
        </w:tc>
        <w:tc>
          <w:tcPr>
            <w:tcW w:w="0" w:type="auto"/>
            <w:shd w:val="clear" w:color="auto" w:fill="auto"/>
          </w:tcPr>
          <w:p w14:paraId="36CA37D9" w14:textId="77777777" w:rsidR="00787570" w:rsidRDefault="00787570">
            <w:pPr>
              <w:rPr>
                <w:rFonts w:ascii="宋体"/>
              </w:rPr>
            </w:pPr>
          </w:p>
        </w:tc>
        <w:tc>
          <w:tcPr>
            <w:tcW w:w="0" w:type="auto"/>
            <w:shd w:val="clear" w:color="auto" w:fill="auto"/>
          </w:tcPr>
          <w:p w14:paraId="36CA37DA" w14:textId="77777777" w:rsidR="00787570" w:rsidRDefault="00787570">
            <w:pPr>
              <w:rPr>
                <w:rFonts w:ascii="宋体"/>
              </w:rPr>
            </w:pPr>
          </w:p>
        </w:tc>
        <w:tc>
          <w:tcPr>
            <w:tcW w:w="0" w:type="auto"/>
            <w:shd w:val="clear" w:color="auto" w:fill="auto"/>
          </w:tcPr>
          <w:p w14:paraId="36CA37DB" w14:textId="77777777" w:rsidR="00787570" w:rsidRDefault="00787570">
            <w:pPr>
              <w:rPr>
                <w:rFonts w:ascii="宋体"/>
              </w:rPr>
            </w:pPr>
          </w:p>
        </w:tc>
        <w:tc>
          <w:tcPr>
            <w:tcW w:w="0" w:type="auto"/>
            <w:shd w:val="clear" w:color="auto" w:fill="auto"/>
          </w:tcPr>
          <w:p w14:paraId="36CA37DC" w14:textId="77777777" w:rsidR="00787570" w:rsidRDefault="00787570">
            <w:pPr>
              <w:rPr>
                <w:rFonts w:ascii="宋体"/>
              </w:rPr>
            </w:pPr>
          </w:p>
        </w:tc>
        <w:tc>
          <w:tcPr>
            <w:tcW w:w="0" w:type="auto"/>
            <w:shd w:val="clear" w:color="auto" w:fill="auto"/>
          </w:tcPr>
          <w:p w14:paraId="36CA37DD" w14:textId="77777777" w:rsidR="00787570" w:rsidRDefault="00787570">
            <w:pPr>
              <w:rPr>
                <w:rFonts w:ascii="宋体"/>
              </w:rPr>
            </w:pPr>
          </w:p>
        </w:tc>
        <w:tc>
          <w:tcPr>
            <w:tcW w:w="0" w:type="auto"/>
            <w:shd w:val="clear" w:color="auto" w:fill="auto"/>
          </w:tcPr>
          <w:p w14:paraId="36CA37DE" w14:textId="77777777" w:rsidR="00787570" w:rsidRDefault="00787570">
            <w:pPr>
              <w:rPr>
                <w:rFonts w:ascii="宋体"/>
              </w:rPr>
            </w:pPr>
          </w:p>
        </w:tc>
        <w:tc>
          <w:tcPr>
            <w:tcW w:w="0" w:type="auto"/>
            <w:shd w:val="clear" w:color="auto" w:fill="auto"/>
          </w:tcPr>
          <w:p w14:paraId="36CA37DF" w14:textId="77777777" w:rsidR="00787570" w:rsidRDefault="00787570">
            <w:pPr>
              <w:rPr>
                <w:rFonts w:ascii="宋体"/>
              </w:rPr>
            </w:pPr>
          </w:p>
        </w:tc>
        <w:tc>
          <w:tcPr>
            <w:tcW w:w="0" w:type="auto"/>
            <w:shd w:val="clear" w:color="auto" w:fill="auto"/>
          </w:tcPr>
          <w:p w14:paraId="36CA37E0" w14:textId="77777777" w:rsidR="00787570" w:rsidRDefault="00787570">
            <w:pPr>
              <w:rPr>
                <w:rFonts w:ascii="宋体"/>
              </w:rPr>
            </w:pPr>
          </w:p>
        </w:tc>
        <w:tc>
          <w:tcPr>
            <w:tcW w:w="0" w:type="auto"/>
            <w:shd w:val="clear" w:color="auto" w:fill="auto"/>
          </w:tcPr>
          <w:p w14:paraId="36CA37E1" w14:textId="77777777" w:rsidR="00787570" w:rsidRDefault="00787570">
            <w:pPr>
              <w:rPr>
                <w:rFonts w:ascii="宋体"/>
              </w:rPr>
            </w:pPr>
          </w:p>
        </w:tc>
        <w:tc>
          <w:tcPr>
            <w:tcW w:w="0" w:type="auto"/>
            <w:shd w:val="clear" w:color="auto" w:fill="auto"/>
          </w:tcPr>
          <w:p w14:paraId="36CA37E2" w14:textId="77777777" w:rsidR="00787570" w:rsidRDefault="00787570">
            <w:pPr>
              <w:rPr>
                <w:rFonts w:ascii="宋体"/>
              </w:rPr>
            </w:pPr>
          </w:p>
        </w:tc>
        <w:tc>
          <w:tcPr>
            <w:tcW w:w="0" w:type="auto"/>
            <w:shd w:val="clear" w:color="auto" w:fill="auto"/>
          </w:tcPr>
          <w:p w14:paraId="36CA37E3" w14:textId="77777777" w:rsidR="00787570" w:rsidRDefault="00787570">
            <w:pPr>
              <w:rPr>
                <w:rFonts w:ascii="宋体"/>
              </w:rPr>
            </w:pPr>
          </w:p>
        </w:tc>
      </w:tr>
      <w:tr w:rsidR="00787570" w14:paraId="36CA380A" w14:textId="77777777">
        <w:tc>
          <w:tcPr>
            <w:tcW w:w="0" w:type="auto"/>
            <w:gridSpan w:val="3"/>
            <w:shd w:val="clear" w:color="auto" w:fill="auto"/>
            <w:tcMar>
              <w:top w:w="40" w:type="dxa"/>
              <w:left w:w="120" w:type="dxa"/>
              <w:bottom w:w="40" w:type="dxa"/>
              <w:right w:w="20" w:type="dxa"/>
            </w:tcMar>
          </w:tcPr>
          <w:p w14:paraId="36CA37E5" w14:textId="77777777" w:rsidR="00787570" w:rsidRDefault="000D56E2">
            <w:pPr>
              <w:textAlignment w:val="top"/>
            </w:pPr>
            <w:r>
              <w:rPr>
                <w:rFonts w:ascii="Arial" w:eastAsia="宋体" w:hAnsi="Arial" w:cs="Arial"/>
                <w:color w:val="333333"/>
                <w:sz w:val="18"/>
                <w:szCs w:val="18"/>
              </w:rPr>
              <w:t>Corporate debt</w:t>
            </w:r>
          </w:p>
        </w:tc>
        <w:tc>
          <w:tcPr>
            <w:tcW w:w="0" w:type="auto"/>
            <w:gridSpan w:val="3"/>
            <w:shd w:val="clear" w:color="auto" w:fill="auto"/>
            <w:tcMar>
              <w:left w:w="20" w:type="dxa"/>
              <w:right w:w="20" w:type="dxa"/>
            </w:tcMar>
            <w:vAlign w:val="bottom"/>
          </w:tcPr>
          <w:p w14:paraId="36CA37E6"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37E7" w14:textId="77777777" w:rsidR="00787570" w:rsidRDefault="000D56E2">
            <w:pPr>
              <w:jc w:val="right"/>
              <w:textAlignment w:val="bottom"/>
            </w:pPr>
            <w:r>
              <w:rPr>
                <w:rFonts w:ascii="Arial" w:eastAsia="宋体" w:hAnsi="Arial" w:cs="Arial"/>
                <w:color w:val="026DCE"/>
                <w:sz w:val="18"/>
                <w:szCs w:val="18"/>
              </w:rPr>
              <w:t>— </w:t>
            </w:r>
          </w:p>
        </w:tc>
        <w:tc>
          <w:tcPr>
            <w:tcW w:w="0" w:type="auto"/>
            <w:shd w:val="clear" w:color="auto" w:fill="auto"/>
            <w:tcMar>
              <w:top w:w="40" w:type="dxa"/>
              <w:bottom w:w="40" w:type="dxa"/>
              <w:right w:w="20" w:type="dxa"/>
            </w:tcMar>
            <w:vAlign w:val="bottom"/>
          </w:tcPr>
          <w:p w14:paraId="36CA37E8"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37E9"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37EA" w14:textId="77777777" w:rsidR="00787570" w:rsidRDefault="000D56E2">
            <w:pPr>
              <w:jc w:val="right"/>
              <w:textAlignment w:val="bottom"/>
            </w:pPr>
            <w:r>
              <w:rPr>
                <w:rFonts w:ascii="Arial" w:eastAsia="宋体" w:hAnsi="Arial" w:cs="Arial"/>
                <w:color w:val="026DCE"/>
                <w:sz w:val="18"/>
                <w:szCs w:val="18"/>
              </w:rPr>
              <w:t>442 </w:t>
            </w:r>
          </w:p>
        </w:tc>
        <w:tc>
          <w:tcPr>
            <w:tcW w:w="0" w:type="auto"/>
            <w:shd w:val="clear" w:color="auto" w:fill="auto"/>
            <w:tcMar>
              <w:top w:w="40" w:type="dxa"/>
              <w:bottom w:w="40" w:type="dxa"/>
              <w:right w:w="20" w:type="dxa"/>
            </w:tcMar>
            <w:vAlign w:val="bottom"/>
          </w:tcPr>
          <w:p w14:paraId="36CA37EB"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37EC"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37ED" w14:textId="77777777" w:rsidR="00787570" w:rsidRDefault="000D56E2">
            <w:pPr>
              <w:jc w:val="right"/>
              <w:textAlignment w:val="bottom"/>
            </w:pPr>
            <w:r>
              <w:rPr>
                <w:rFonts w:ascii="Arial" w:eastAsia="宋体" w:hAnsi="Arial" w:cs="Arial"/>
                <w:color w:val="026DCE"/>
                <w:sz w:val="18"/>
                <w:szCs w:val="18"/>
              </w:rPr>
              <w:t>— </w:t>
            </w:r>
          </w:p>
        </w:tc>
        <w:tc>
          <w:tcPr>
            <w:tcW w:w="0" w:type="auto"/>
            <w:shd w:val="clear" w:color="auto" w:fill="auto"/>
            <w:tcMar>
              <w:top w:w="40" w:type="dxa"/>
              <w:bottom w:w="40" w:type="dxa"/>
              <w:right w:w="20" w:type="dxa"/>
            </w:tcMar>
            <w:vAlign w:val="bottom"/>
          </w:tcPr>
          <w:p w14:paraId="36CA37EE"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37EF"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37F0" w14:textId="77777777" w:rsidR="00787570" w:rsidRDefault="000D56E2">
            <w:pPr>
              <w:jc w:val="right"/>
              <w:textAlignment w:val="bottom"/>
            </w:pPr>
            <w:r>
              <w:rPr>
                <w:rFonts w:ascii="Arial" w:eastAsia="宋体" w:hAnsi="Arial" w:cs="Arial"/>
                <w:color w:val="026DCE"/>
                <w:sz w:val="18"/>
                <w:szCs w:val="18"/>
              </w:rPr>
              <w:t>442 </w:t>
            </w:r>
          </w:p>
        </w:tc>
        <w:tc>
          <w:tcPr>
            <w:tcW w:w="0" w:type="auto"/>
            <w:shd w:val="clear" w:color="auto" w:fill="auto"/>
            <w:tcMar>
              <w:top w:w="40" w:type="dxa"/>
              <w:bottom w:w="40" w:type="dxa"/>
              <w:right w:w="20" w:type="dxa"/>
            </w:tcMar>
            <w:vAlign w:val="bottom"/>
          </w:tcPr>
          <w:p w14:paraId="36CA37F1"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37F2"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37F3" w14:textId="77777777" w:rsidR="00787570" w:rsidRDefault="000D56E2">
            <w:pPr>
              <w:jc w:val="right"/>
              <w:textAlignment w:val="bottom"/>
            </w:pPr>
            <w:r>
              <w:rPr>
                <w:rFonts w:ascii="Arial" w:eastAsia="宋体" w:hAnsi="Arial" w:cs="Arial"/>
                <w:color w:val="333333"/>
                <w:sz w:val="18"/>
                <w:szCs w:val="18"/>
              </w:rPr>
              <w:t>— </w:t>
            </w:r>
          </w:p>
        </w:tc>
        <w:tc>
          <w:tcPr>
            <w:tcW w:w="0" w:type="auto"/>
            <w:shd w:val="clear" w:color="auto" w:fill="auto"/>
            <w:tcMar>
              <w:top w:w="40" w:type="dxa"/>
              <w:bottom w:w="40" w:type="dxa"/>
              <w:right w:w="20" w:type="dxa"/>
            </w:tcMar>
            <w:vAlign w:val="bottom"/>
          </w:tcPr>
          <w:p w14:paraId="36CA37F4"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37F5"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37F6" w14:textId="77777777" w:rsidR="00787570" w:rsidRDefault="000D56E2">
            <w:pPr>
              <w:jc w:val="right"/>
              <w:textAlignment w:val="bottom"/>
            </w:pPr>
            <w:r>
              <w:rPr>
                <w:rFonts w:ascii="Arial" w:eastAsia="宋体" w:hAnsi="Arial" w:cs="Arial"/>
                <w:color w:val="333333"/>
                <w:sz w:val="18"/>
                <w:szCs w:val="18"/>
              </w:rPr>
              <w:t>347 </w:t>
            </w:r>
          </w:p>
        </w:tc>
        <w:tc>
          <w:tcPr>
            <w:tcW w:w="0" w:type="auto"/>
            <w:shd w:val="clear" w:color="auto" w:fill="auto"/>
            <w:tcMar>
              <w:top w:w="40" w:type="dxa"/>
              <w:bottom w:w="40" w:type="dxa"/>
              <w:right w:w="20" w:type="dxa"/>
            </w:tcMar>
            <w:vAlign w:val="bottom"/>
          </w:tcPr>
          <w:p w14:paraId="36CA37F7"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37F8"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37F9" w14:textId="77777777" w:rsidR="00787570" w:rsidRDefault="000D56E2">
            <w:pPr>
              <w:jc w:val="right"/>
              <w:textAlignment w:val="bottom"/>
            </w:pPr>
            <w:r>
              <w:rPr>
                <w:rFonts w:ascii="Arial" w:eastAsia="宋体" w:hAnsi="Arial" w:cs="Arial"/>
                <w:color w:val="333333"/>
                <w:sz w:val="18"/>
                <w:szCs w:val="18"/>
              </w:rPr>
              <w:t>— </w:t>
            </w:r>
          </w:p>
        </w:tc>
        <w:tc>
          <w:tcPr>
            <w:tcW w:w="0" w:type="auto"/>
            <w:shd w:val="clear" w:color="auto" w:fill="auto"/>
            <w:tcMar>
              <w:top w:w="40" w:type="dxa"/>
              <w:bottom w:w="40" w:type="dxa"/>
              <w:right w:w="20" w:type="dxa"/>
            </w:tcMar>
            <w:vAlign w:val="bottom"/>
          </w:tcPr>
          <w:p w14:paraId="36CA37FA"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37FB"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37FC" w14:textId="77777777" w:rsidR="00787570" w:rsidRDefault="000D56E2">
            <w:pPr>
              <w:jc w:val="right"/>
              <w:textAlignment w:val="bottom"/>
            </w:pPr>
            <w:r>
              <w:rPr>
                <w:rFonts w:ascii="Arial" w:eastAsia="宋体" w:hAnsi="Arial" w:cs="Arial"/>
                <w:color w:val="333333"/>
                <w:sz w:val="18"/>
                <w:szCs w:val="18"/>
              </w:rPr>
              <w:t>347 </w:t>
            </w:r>
          </w:p>
        </w:tc>
        <w:tc>
          <w:tcPr>
            <w:tcW w:w="0" w:type="auto"/>
            <w:shd w:val="clear" w:color="auto" w:fill="auto"/>
            <w:tcMar>
              <w:top w:w="40" w:type="dxa"/>
              <w:bottom w:w="40" w:type="dxa"/>
              <w:right w:w="20" w:type="dxa"/>
            </w:tcMar>
            <w:vAlign w:val="bottom"/>
          </w:tcPr>
          <w:p w14:paraId="36CA37FD" w14:textId="77777777" w:rsidR="00787570" w:rsidRDefault="00787570">
            <w:pPr>
              <w:jc w:val="right"/>
              <w:rPr>
                <w:rFonts w:ascii="宋体"/>
              </w:rPr>
            </w:pPr>
          </w:p>
        </w:tc>
        <w:tc>
          <w:tcPr>
            <w:tcW w:w="0" w:type="auto"/>
            <w:shd w:val="clear" w:color="auto" w:fill="auto"/>
          </w:tcPr>
          <w:p w14:paraId="36CA37FE" w14:textId="77777777" w:rsidR="00787570" w:rsidRDefault="00787570">
            <w:pPr>
              <w:rPr>
                <w:rFonts w:ascii="宋体"/>
              </w:rPr>
            </w:pPr>
          </w:p>
        </w:tc>
        <w:tc>
          <w:tcPr>
            <w:tcW w:w="0" w:type="auto"/>
            <w:shd w:val="clear" w:color="auto" w:fill="auto"/>
          </w:tcPr>
          <w:p w14:paraId="36CA37FF" w14:textId="77777777" w:rsidR="00787570" w:rsidRDefault="00787570">
            <w:pPr>
              <w:rPr>
                <w:rFonts w:ascii="宋体"/>
              </w:rPr>
            </w:pPr>
          </w:p>
        </w:tc>
        <w:tc>
          <w:tcPr>
            <w:tcW w:w="0" w:type="auto"/>
            <w:shd w:val="clear" w:color="auto" w:fill="auto"/>
          </w:tcPr>
          <w:p w14:paraId="36CA3800" w14:textId="77777777" w:rsidR="00787570" w:rsidRDefault="00787570">
            <w:pPr>
              <w:rPr>
                <w:rFonts w:ascii="宋体"/>
              </w:rPr>
            </w:pPr>
          </w:p>
        </w:tc>
        <w:tc>
          <w:tcPr>
            <w:tcW w:w="0" w:type="auto"/>
            <w:shd w:val="clear" w:color="auto" w:fill="auto"/>
          </w:tcPr>
          <w:p w14:paraId="36CA3801" w14:textId="77777777" w:rsidR="00787570" w:rsidRDefault="00787570">
            <w:pPr>
              <w:rPr>
                <w:rFonts w:ascii="宋体"/>
              </w:rPr>
            </w:pPr>
          </w:p>
        </w:tc>
        <w:tc>
          <w:tcPr>
            <w:tcW w:w="0" w:type="auto"/>
            <w:shd w:val="clear" w:color="auto" w:fill="auto"/>
          </w:tcPr>
          <w:p w14:paraId="36CA3802" w14:textId="77777777" w:rsidR="00787570" w:rsidRDefault="00787570">
            <w:pPr>
              <w:rPr>
                <w:rFonts w:ascii="宋体"/>
              </w:rPr>
            </w:pPr>
          </w:p>
        </w:tc>
        <w:tc>
          <w:tcPr>
            <w:tcW w:w="0" w:type="auto"/>
            <w:shd w:val="clear" w:color="auto" w:fill="auto"/>
          </w:tcPr>
          <w:p w14:paraId="36CA3803" w14:textId="77777777" w:rsidR="00787570" w:rsidRDefault="00787570">
            <w:pPr>
              <w:rPr>
                <w:rFonts w:ascii="宋体"/>
              </w:rPr>
            </w:pPr>
          </w:p>
        </w:tc>
        <w:tc>
          <w:tcPr>
            <w:tcW w:w="0" w:type="auto"/>
            <w:shd w:val="clear" w:color="auto" w:fill="auto"/>
          </w:tcPr>
          <w:p w14:paraId="36CA3804" w14:textId="77777777" w:rsidR="00787570" w:rsidRDefault="00787570">
            <w:pPr>
              <w:rPr>
                <w:rFonts w:ascii="宋体"/>
              </w:rPr>
            </w:pPr>
          </w:p>
        </w:tc>
        <w:tc>
          <w:tcPr>
            <w:tcW w:w="0" w:type="auto"/>
            <w:shd w:val="clear" w:color="auto" w:fill="auto"/>
          </w:tcPr>
          <w:p w14:paraId="36CA3805" w14:textId="77777777" w:rsidR="00787570" w:rsidRDefault="00787570">
            <w:pPr>
              <w:rPr>
                <w:rFonts w:ascii="宋体"/>
              </w:rPr>
            </w:pPr>
          </w:p>
        </w:tc>
        <w:tc>
          <w:tcPr>
            <w:tcW w:w="0" w:type="auto"/>
            <w:shd w:val="clear" w:color="auto" w:fill="auto"/>
          </w:tcPr>
          <w:p w14:paraId="36CA3806" w14:textId="77777777" w:rsidR="00787570" w:rsidRDefault="00787570">
            <w:pPr>
              <w:rPr>
                <w:rFonts w:ascii="宋体"/>
              </w:rPr>
            </w:pPr>
          </w:p>
        </w:tc>
        <w:tc>
          <w:tcPr>
            <w:tcW w:w="0" w:type="auto"/>
            <w:shd w:val="clear" w:color="auto" w:fill="auto"/>
          </w:tcPr>
          <w:p w14:paraId="36CA3807" w14:textId="77777777" w:rsidR="00787570" w:rsidRDefault="00787570">
            <w:pPr>
              <w:rPr>
                <w:rFonts w:ascii="宋体"/>
              </w:rPr>
            </w:pPr>
          </w:p>
        </w:tc>
        <w:tc>
          <w:tcPr>
            <w:tcW w:w="0" w:type="auto"/>
            <w:shd w:val="clear" w:color="auto" w:fill="auto"/>
          </w:tcPr>
          <w:p w14:paraId="36CA3808" w14:textId="77777777" w:rsidR="00787570" w:rsidRDefault="00787570">
            <w:pPr>
              <w:rPr>
                <w:rFonts w:ascii="宋体"/>
              </w:rPr>
            </w:pPr>
          </w:p>
        </w:tc>
        <w:tc>
          <w:tcPr>
            <w:tcW w:w="0" w:type="auto"/>
            <w:shd w:val="clear" w:color="auto" w:fill="auto"/>
          </w:tcPr>
          <w:p w14:paraId="36CA3809" w14:textId="77777777" w:rsidR="00787570" w:rsidRDefault="00787570">
            <w:pPr>
              <w:rPr>
                <w:rFonts w:ascii="宋体"/>
              </w:rPr>
            </w:pPr>
          </w:p>
        </w:tc>
      </w:tr>
      <w:tr w:rsidR="00787570" w14:paraId="36CA3830" w14:textId="77777777">
        <w:tc>
          <w:tcPr>
            <w:tcW w:w="0" w:type="auto"/>
            <w:gridSpan w:val="3"/>
            <w:shd w:val="clear" w:color="auto" w:fill="auto"/>
            <w:tcMar>
              <w:top w:w="40" w:type="dxa"/>
              <w:left w:w="120" w:type="dxa"/>
              <w:bottom w:w="40" w:type="dxa"/>
              <w:right w:w="20" w:type="dxa"/>
            </w:tcMar>
          </w:tcPr>
          <w:p w14:paraId="36CA380B" w14:textId="77777777" w:rsidR="00787570" w:rsidRDefault="000D56E2">
            <w:pPr>
              <w:textAlignment w:val="top"/>
            </w:pPr>
            <w:r>
              <w:rPr>
                <w:rFonts w:ascii="Arial" w:eastAsia="宋体" w:hAnsi="Arial" w:cs="Arial"/>
                <w:color w:val="333333"/>
                <w:sz w:val="18"/>
                <w:szCs w:val="18"/>
              </w:rPr>
              <w:t>Financial institution instruments¹</w:t>
            </w:r>
          </w:p>
        </w:tc>
        <w:tc>
          <w:tcPr>
            <w:tcW w:w="0" w:type="auto"/>
            <w:gridSpan w:val="3"/>
            <w:shd w:val="clear" w:color="auto" w:fill="auto"/>
            <w:tcMar>
              <w:left w:w="20" w:type="dxa"/>
              <w:right w:w="20" w:type="dxa"/>
            </w:tcMar>
            <w:vAlign w:val="bottom"/>
          </w:tcPr>
          <w:p w14:paraId="36CA380C"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380D" w14:textId="77777777" w:rsidR="00787570" w:rsidRDefault="000D56E2">
            <w:pPr>
              <w:jc w:val="right"/>
              <w:textAlignment w:val="bottom"/>
            </w:pPr>
            <w:r>
              <w:rPr>
                <w:rFonts w:ascii="Arial" w:eastAsia="宋体" w:hAnsi="Arial" w:cs="Arial"/>
                <w:color w:val="026DCE"/>
                <w:sz w:val="18"/>
                <w:szCs w:val="18"/>
              </w:rPr>
              <w:t>— </w:t>
            </w:r>
          </w:p>
        </w:tc>
        <w:tc>
          <w:tcPr>
            <w:tcW w:w="0" w:type="auto"/>
            <w:shd w:val="clear" w:color="auto" w:fill="auto"/>
            <w:tcMar>
              <w:top w:w="40" w:type="dxa"/>
              <w:bottom w:w="40" w:type="dxa"/>
              <w:right w:w="20" w:type="dxa"/>
            </w:tcMar>
            <w:vAlign w:val="bottom"/>
          </w:tcPr>
          <w:p w14:paraId="36CA380E"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380F"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3810" w14:textId="77777777" w:rsidR="00787570" w:rsidRDefault="000D56E2">
            <w:pPr>
              <w:jc w:val="right"/>
              <w:textAlignment w:val="bottom"/>
            </w:pPr>
            <w:r>
              <w:rPr>
                <w:rFonts w:ascii="Arial" w:eastAsia="宋体" w:hAnsi="Arial" w:cs="Arial"/>
                <w:color w:val="026DCE"/>
                <w:sz w:val="18"/>
                <w:szCs w:val="18"/>
              </w:rPr>
              <w:t>1,547 </w:t>
            </w:r>
          </w:p>
        </w:tc>
        <w:tc>
          <w:tcPr>
            <w:tcW w:w="0" w:type="auto"/>
            <w:shd w:val="clear" w:color="auto" w:fill="auto"/>
            <w:tcMar>
              <w:top w:w="40" w:type="dxa"/>
              <w:bottom w:w="40" w:type="dxa"/>
              <w:right w:w="20" w:type="dxa"/>
            </w:tcMar>
            <w:vAlign w:val="bottom"/>
          </w:tcPr>
          <w:p w14:paraId="36CA3811"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3812"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3813" w14:textId="77777777" w:rsidR="00787570" w:rsidRDefault="000D56E2">
            <w:pPr>
              <w:jc w:val="right"/>
              <w:textAlignment w:val="bottom"/>
            </w:pPr>
            <w:r>
              <w:rPr>
                <w:rFonts w:ascii="Arial" w:eastAsia="宋体" w:hAnsi="Arial" w:cs="Arial"/>
                <w:color w:val="026DCE"/>
                <w:sz w:val="18"/>
                <w:szCs w:val="18"/>
              </w:rPr>
              <w:t>— </w:t>
            </w:r>
          </w:p>
        </w:tc>
        <w:tc>
          <w:tcPr>
            <w:tcW w:w="0" w:type="auto"/>
            <w:shd w:val="clear" w:color="auto" w:fill="auto"/>
            <w:tcMar>
              <w:top w:w="40" w:type="dxa"/>
              <w:bottom w:w="40" w:type="dxa"/>
              <w:right w:w="20" w:type="dxa"/>
            </w:tcMar>
            <w:vAlign w:val="bottom"/>
          </w:tcPr>
          <w:p w14:paraId="36CA3814"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3815"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3816" w14:textId="77777777" w:rsidR="00787570" w:rsidRDefault="000D56E2">
            <w:pPr>
              <w:jc w:val="right"/>
              <w:textAlignment w:val="bottom"/>
            </w:pPr>
            <w:r>
              <w:rPr>
                <w:rFonts w:ascii="Arial" w:eastAsia="宋体" w:hAnsi="Arial" w:cs="Arial"/>
                <w:color w:val="026DCE"/>
                <w:sz w:val="18"/>
                <w:szCs w:val="18"/>
              </w:rPr>
              <w:t>1,547 </w:t>
            </w:r>
          </w:p>
        </w:tc>
        <w:tc>
          <w:tcPr>
            <w:tcW w:w="0" w:type="auto"/>
            <w:shd w:val="clear" w:color="auto" w:fill="auto"/>
            <w:tcMar>
              <w:top w:w="40" w:type="dxa"/>
              <w:bottom w:w="40" w:type="dxa"/>
              <w:right w:w="20" w:type="dxa"/>
            </w:tcMar>
            <w:vAlign w:val="bottom"/>
          </w:tcPr>
          <w:p w14:paraId="36CA3817"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3818"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3819" w14:textId="77777777" w:rsidR="00787570" w:rsidRDefault="000D56E2">
            <w:pPr>
              <w:jc w:val="right"/>
              <w:textAlignment w:val="bottom"/>
            </w:pPr>
            <w:r>
              <w:rPr>
                <w:rFonts w:ascii="Arial" w:eastAsia="宋体" w:hAnsi="Arial" w:cs="Arial"/>
                <w:color w:val="333333"/>
                <w:sz w:val="18"/>
                <w:szCs w:val="18"/>
              </w:rPr>
              <w:t>— </w:t>
            </w:r>
          </w:p>
        </w:tc>
        <w:tc>
          <w:tcPr>
            <w:tcW w:w="0" w:type="auto"/>
            <w:shd w:val="clear" w:color="auto" w:fill="auto"/>
            <w:tcMar>
              <w:top w:w="40" w:type="dxa"/>
              <w:bottom w:w="40" w:type="dxa"/>
              <w:right w:w="20" w:type="dxa"/>
            </w:tcMar>
            <w:vAlign w:val="bottom"/>
          </w:tcPr>
          <w:p w14:paraId="36CA381A"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381B"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381C" w14:textId="77777777" w:rsidR="00787570" w:rsidRDefault="000D56E2">
            <w:pPr>
              <w:jc w:val="right"/>
              <w:textAlignment w:val="bottom"/>
            </w:pPr>
            <w:r>
              <w:rPr>
                <w:rFonts w:ascii="Arial" w:eastAsia="宋体" w:hAnsi="Arial" w:cs="Arial"/>
                <w:color w:val="333333"/>
                <w:sz w:val="18"/>
                <w:szCs w:val="18"/>
              </w:rPr>
              <w:t>724 </w:t>
            </w:r>
          </w:p>
        </w:tc>
        <w:tc>
          <w:tcPr>
            <w:tcW w:w="0" w:type="auto"/>
            <w:shd w:val="clear" w:color="auto" w:fill="auto"/>
            <w:tcMar>
              <w:top w:w="40" w:type="dxa"/>
              <w:bottom w:w="40" w:type="dxa"/>
              <w:right w:w="20" w:type="dxa"/>
            </w:tcMar>
            <w:vAlign w:val="bottom"/>
          </w:tcPr>
          <w:p w14:paraId="36CA381D"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381E"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381F" w14:textId="77777777" w:rsidR="00787570" w:rsidRDefault="000D56E2">
            <w:pPr>
              <w:jc w:val="right"/>
              <w:textAlignment w:val="bottom"/>
            </w:pPr>
            <w:r>
              <w:rPr>
                <w:rFonts w:ascii="Arial" w:eastAsia="宋体" w:hAnsi="Arial" w:cs="Arial"/>
                <w:color w:val="333333"/>
                <w:sz w:val="18"/>
                <w:szCs w:val="18"/>
              </w:rPr>
              <w:t>— </w:t>
            </w:r>
          </w:p>
        </w:tc>
        <w:tc>
          <w:tcPr>
            <w:tcW w:w="0" w:type="auto"/>
            <w:shd w:val="clear" w:color="auto" w:fill="auto"/>
            <w:tcMar>
              <w:top w:w="40" w:type="dxa"/>
              <w:bottom w:w="40" w:type="dxa"/>
              <w:right w:w="20" w:type="dxa"/>
            </w:tcMar>
            <w:vAlign w:val="bottom"/>
          </w:tcPr>
          <w:p w14:paraId="36CA3820"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3821"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3822" w14:textId="77777777" w:rsidR="00787570" w:rsidRDefault="000D56E2">
            <w:pPr>
              <w:jc w:val="right"/>
              <w:textAlignment w:val="bottom"/>
            </w:pPr>
            <w:r>
              <w:rPr>
                <w:rFonts w:ascii="Arial" w:eastAsia="宋体" w:hAnsi="Arial" w:cs="Arial"/>
                <w:color w:val="333333"/>
                <w:sz w:val="18"/>
                <w:szCs w:val="18"/>
              </w:rPr>
              <w:t>724 </w:t>
            </w:r>
          </w:p>
        </w:tc>
        <w:tc>
          <w:tcPr>
            <w:tcW w:w="0" w:type="auto"/>
            <w:shd w:val="clear" w:color="auto" w:fill="auto"/>
            <w:tcMar>
              <w:top w:w="40" w:type="dxa"/>
              <w:bottom w:w="40" w:type="dxa"/>
              <w:right w:w="20" w:type="dxa"/>
            </w:tcMar>
            <w:vAlign w:val="bottom"/>
          </w:tcPr>
          <w:p w14:paraId="36CA3823" w14:textId="77777777" w:rsidR="00787570" w:rsidRDefault="00787570">
            <w:pPr>
              <w:jc w:val="right"/>
              <w:rPr>
                <w:rFonts w:ascii="宋体"/>
              </w:rPr>
            </w:pPr>
          </w:p>
        </w:tc>
        <w:tc>
          <w:tcPr>
            <w:tcW w:w="0" w:type="auto"/>
            <w:shd w:val="clear" w:color="auto" w:fill="auto"/>
          </w:tcPr>
          <w:p w14:paraId="36CA3824" w14:textId="77777777" w:rsidR="00787570" w:rsidRDefault="00787570">
            <w:pPr>
              <w:rPr>
                <w:rFonts w:ascii="宋体"/>
              </w:rPr>
            </w:pPr>
          </w:p>
        </w:tc>
        <w:tc>
          <w:tcPr>
            <w:tcW w:w="0" w:type="auto"/>
            <w:shd w:val="clear" w:color="auto" w:fill="auto"/>
          </w:tcPr>
          <w:p w14:paraId="36CA3825" w14:textId="77777777" w:rsidR="00787570" w:rsidRDefault="00787570">
            <w:pPr>
              <w:rPr>
                <w:rFonts w:ascii="宋体"/>
              </w:rPr>
            </w:pPr>
          </w:p>
        </w:tc>
        <w:tc>
          <w:tcPr>
            <w:tcW w:w="0" w:type="auto"/>
            <w:shd w:val="clear" w:color="auto" w:fill="auto"/>
          </w:tcPr>
          <w:p w14:paraId="36CA3826" w14:textId="77777777" w:rsidR="00787570" w:rsidRDefault="00787570">
            <w:pPr>
              <w:rPr>
                <w:rFonts w:ascii="宋体"/>
              </w:rPr>
            </w:pPr>
          </w:p>
        </w:tc>
        <w:tc>
          <w:tcPr>
            <w:tcW w:w="0" w:type="auto"/>
            <w:shd w:val="clear" w:color="auto" w:fill="auto"/>
          </w:tcPr>
          <w:p w14:paraId="36CA3827" w14:textId="77777777" w:rsidR="00787570" w:rsidRDefault="00787570">
            <w:pPr>
              <w:rPr>
                <w:rFonts w:ascii="宋体"/>
              </w:rPr>
            </w:pPr>
          </w:p>
        </w:tc>
        <w:tc>
          <w:tcPr>
            <w:tcW w:w="0" w:type="auto"/>
            <w:shd w:val="clear" w:color="auto" w:fill="auto"/>
          </w:tcPr>
          <w:p w14:paraId="36CA3828" w14:textId="77777777" w:rsidR="00787570" w:rsidRDefault="00787570">
            <w:pPr>
              <w:rPr>
                <w:rFonts w:ascii="宋体"/>
              </w:rPr>
            </w:pPr>
          </w:p>
        </w:tc>
        <w:tc>
          <w:tcPr>
            <w:tcW w:w="0" w:type="auto"/>
            <w:shd w:val="clear" w:color="auto" w:fill="auto"/>
          </w:tcPr>
          <w:p w14:paraId="36CA3829" w14:textId="77777777" w:rsidR="00787570" w:rsidRDefault="00787570">
            <w:pPr>
              <w:rPr>
                <w:rFonts w:ascii="宋体"/>
              </w:rPr>
            </w:pPr>
          </w:p>
        </w:tc>
        <w:tc>
          <w:tcPr>
            <w:tcW w:w="0" w:type="auto"/>
            <w:shd w:val="clear" w:color="auto" w:fill="auto"/>
          </w:tcPr>
          <w:p w14:paraId="36CA382A" w14:textId="77777777" w:rsidR="00787570" w:rsidRDefault="00787570">
            <w:pPr>
              <w:rPr>
                <w:rFonts w:ascii="宋体"/>
              </w:rPr>
            </w:pPr>
          </w:p>
        </w:tc>
        <w:tc>
          <w:tcPr>
            <w:tcW w:w="0" w:type="auto"/>
            <w:shd w:val="clear" w:color="auto" w:fill="auto"/>
          </w:tcPr>
          <w:p w14:paraId="36CA382B" w14:textId="77777777" w:rsidR="00787570" w:rsidRDefault="00787570">
            <w:pPr>
              <w:rPr>
                <w:rFonts w:ascii="宋体"/>
              </w:rPr>
            </w:pPr>
          </w:p>
        </w:tc>
        <w:tc>
          <w:tcPr>
            <w:tcW w:w="0" w:type="auto"/>
            <w:shd w:val="clear" w:color="auto" w:fill="auto"/>
          </w:tcPr>
          <w:p w14:paraId="36CA382C" w14:textId="77777777" w:rsidR="00787570" w:rsidRDefault="00787570">
            <w:pPr>
              <w:rPr>
                <w:rFonts w:ascii="宋体"/>
              </w:rPr>
            </w:pPr>
          </w:p>
        </w:tc>
        <w:tc>
          <w:tcPr>
            <w:tcW w:w="0" w:type="auto"/>
            <w:shd w:val="clear" w:color="auto" w:fill="auto"/>
          </w:tcPr>
          <w:p w14:paraId="36CA382D" w14:textId="77777777" w:rsidR="00787570" w:rsidRDefault="00787570">
            <w:pPr>
              <w:rPr>
                <w:rFonts w:ascii="宋体"/>
              </w:rPr>
            </w:pPr>
          </w:p>
        </w:tc>
        <w:tc>
          <w:tcPr>
            <w:tcW w:w="0" w:type="auto"/>
            <w:shd w:val="clear" w:color="auto" w:fill="auto"/>
          </w:tcPr>
          <w:p w14:paraId="36CA382E" w14:textId="77777777" w:rsidR="00787570" w:rsidRDefault="00787570">
            <w:pPr>
              <w:rPr>
                <w:rFonts w:ascii="宋体"/>
              </w:rPr>
            </w:pPr>
          </w:p>
        </w:tc>
        <w:tc>
          <w:tcPr>
            <w:tcW w:w="0" w:type="auto"/>
            <w:shd w:val="clear" w:color="auto" w:fill="auto"/>
          </w:tcPr>
          <w:p w14:paraId="36CA382F" w14:textId="77777777" w:rsidR="00787570" w:rsidRDefault="00787570">
            <w:pPr>
              <w:rPr>
                <w:rFonts w:ascii="宋体"/>
              </w:rPr>
            </w:pPr>
          </w:p>
        </w:tc>
      </w:tr>
      <w:tr w:rsidR="00787570" w14:paraId="36CA3856" w14:textId="77777777">
        <w:tc>
          <w:tcPr>
            <w:tcW w:w="0" w:type="auto"/>
            <w:gridSpan w:val="3"/>
            <w:shd w:val="clear" w:color="auto" w:fill="auto"/>
            <w:tcMar>
              <w:top w:w="40" w:type="dxa"/>
              <w:left w:w="120" w:type="dxa"/>
              <w:bottom w:w="40" w:type="dxa"/>
              <w:right w:w="20" w:type="dxa"/>
            </w:tcMar>
          </w:tcPr>
          <w:p w14:paraId="36CA3831" w14:textId="77777777" w:rsidR="00787570" w:rsidRDefault="000D56E2">
            <w:pPr>
              <w:textAlignment w:val="top"/>
            </w:pPr>
            <w:r>
              <w:rPr>
                <w:rFonts w:ascii="Arial" w:eastAsia="宋体" w:hAnsi="Arial" w:cs="Arial"/>
                <w:color w:val="333333"/>
                <w:sz w:val="18"/>
                <w:szCs w:val="18"/>
              </w:rPr>
              <w:t>Government debt²</w:t>
            </w:r>
          </w:p>
        </w:tc>
        <w:tc>
          <w:tcPr>
            <w:tcW w:w="0" w:type="auto"/>
            <w:gridSpan w:val="3"/>
            <w:shd w:val="clear" w:color="auto" w:fill="auto"/>
            <w:tcMar>
              <w:left w:w="20" w:type="dxa"/>
              <w:right w:w="20" w:type="dxa"/>
            </w:tcMar>
            <w:vAlign w:val="bottom"/>
          </w:tcPr>
          <w:p w14:paraId="36CA3832"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3833" w14:textId="77777777" w:rsidR="00787570" w:rsidRDefault="000D56E2">
            <w:pPr>
              <w:jc w:val="right"/>
              <w:textAlignment w:val="bottom"/>
            </w:pPr>
            <w:r>
              <w:rPr>
                <w:rFonts w:ascii="Arial" w:eastAsia="宋体" w:hAnsi="Arial" w:cs="Arial"/>
                <w:color w:val="026DCE"/>
                <w:sz w:val="18"/>
                <w:szCs w:val="18"/>
              </w:rPr>
              <w:t>— </w:t>
            </w:r>
          </w:p>
        </w:tc>
        <w:tc>
          <w:tcPr>
            <w:tcW w:w="0" w:type="auto"/>
            <w:shd w:val="clear" w:color="auto" w:fill="auto"/>
            <w:tcMar>
              <w:top w:w="40" w:type="dxa"/>
              <w:bottom w:w="40" w:type="dxa"/>
              <w:right w:w="20" w:type="dxa"/>
            </w:tcMar>
            <w:vAlign w:val="bottom"/>
          </w:tcPr>
          <w:p w14:paraId="36CA3834"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3835"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3836" w14:textId="77777777" w:rsidR="00787570" w:rsidRDefault="000D56E2">
            <w:pPr>
              <w:jc w:val="right"/>
              <w:textAlignment w:val="bottom"/>
            </w:pPr>
            <w:r>
              <w:rPr>
                <w:rFonts w:ascii="Arial" w:eastAsia="宋体" w:hAnsi="Arial" w:cs="Arial"/>
                <w:color w:val="026DCE"/>
                <w:sz w:val="18"/>
                <w:szCs w:val="18"/>
              </w:rPr>
              <w:t>998 </w:t>
            </w:r>
          </w:p>
        </w:tc>
        <w:tc>
          <w:tcPr>
            <w:tcW w:w="0" w:type="auto"/>
            <w:shd w:val="clear" w:color="auto" w:fill="auto"/>
            <w:tcMar>
              <w:top w:w="40" w:type="dxa"/>
              <w:bottom w:w="40" w:type="dxa"/>
              <w:right w:w="20" w:type="dxa"/>
            </w:tcMar>
            <w:vAlign w:val="bottom"/>
          </w:tcPr>
          <w:p w14:paraId="36CA3837"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3838"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3839" w14:textId="77777777" w:rsidR="00787570" w:rsidRDefault="000D56E2">
            <w:pPr>
              <w:jc w:val="right"/>
              <w:textAlignment w:val="bottom"/>
            </w:pPr>
            <w:r>
              <w:rPr>
                <w:rFonts w:ascii="Arial" w:eastAsia="宋体" w:hAnsi="Arial" w:cs="Arial"/>
                <w:color w:val="026DCE"/>
                <w:sz w:val="18"/>
                <w:szCs w:val="18"/>
              </w:rPr>
              <w:t>— </w:t>
            </w:r>
          </w:p>
        </w:tc>
        <w:tc>
          <w:tcPr>
            <w:tcW w:w="0" w:type="auto"/>
            <w:shd w:val="clear" w:color="auto" w:fill="auto"/>
            <w:tcMar>
              <w:top w:w="40" w:type="dxa"/>
              <w:bottom w:w="40" w:type="dxa"/>
              <w:right w:w="20" w:type="dxa"/>
            </w:tcMar>
            <w:vAlign w:val="bottom"/>
          </w:tcPr>
          <w:p w14:paraId="36CA383A"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383B"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383C" w14:textId="77777777" w:rsidR="00787570" w:rsidRDefault="000D56E2">
            <w:pPr>
              <w:jc w:val="right"/>
              <w:textAlignment w:val="bottom"/>
            </w:pPr>
            <w:r>
              <w:rPr>
                <w:rFonts w:ascii="Arial" w:eastAsia="宋体" w:hAnsi="Arial" w:cs="Arial"/>
                <w:color w:val="026DCE"/>
                <w:sz w:val="18"/>
                <w:szCs w:val="18"/>
              </w:rPr>
              <w:t>998 </w:t>
            </w:r>
          </w:p>
        </w:tc>
        <w:tc>
          <w:tcPr>
            <w:tcW w:w="0" w:type="auto"/>
            <w:shd w:val="clear" w:color="auto" w:fill="auto"/>
            <w:tcMar>
              <w:top w:w="40" w:type="dxa"/>
              <w:bottom w:w="40" w:type="dxa"/>
              <w:right w:w="20" w:type="dxa"/>
            </w:tcMar>
            <w:vAlign w:val="bottom"/>
          </w:tcPr>
          <w:p w14:paraId="36CA383D"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383E"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383F" w14:textId="77777777" w:rsidR="00787570" w:rsidRDefault="000D56E2">
            <w:pPr>
              <w:jc w:val="right"/>
              <w:textAlignment w:val="bottom"/>
            </w:pPr>
            <w:r>
              <w:rPr>
                <w:rFonts w:ascii="Arial" w:eastAsia="宋体" w:hAnsi="Arial" w:cs="Arial"/>
                <w:color w:val="333333"/>
                <w:sz w:val="18"/>
                <w:szCs w:val="18"/>
              </w:rPr>
              <w:t>— </w:t>
            </w:r>
          </w:p>
        </w:tc>
        <w:tc>
          <w:tcPr>
            <w:tcW w:w="0" w:type="auto"/>
            <w:shd w:val="clear" w:color="auto" w:fill="auto"/>
            <w:tcMar>
              <w:top w:w="40" w:type="dxa"/>
              <w:bottom w:w="40" w:type="dxa"/>
              <w:right w:w="20" w:type="dxa"/>
            </w:tcMar>
            <w:vAlign w:val="bottom"/>
          </w:tcPr>
          <w:p w14:paraId="36CA3840"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3841"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3842" w14:textId="77777777" w:rsidR="00787570" w:rsidRDefault="000D56E2">
            <w:pPr>
              <w:jc w:val="right"/>
              <w:textAlignment w:val="bottom"/>
            </w:pPr>
            <w:r>
              <w:rPr>
                <w:rFonts w:ascii="Arial" w:eastAsia="宋体" w:hAnsi="Arial" w:cs="Arial"/>
                <w:color w:val="333333"/>
                <w:sz w:val="18"/>
                <w:szCs w:val="18"/>
              </w:rPr>
              <w:t>11 </w:t>
            </w:r>
          </w:p>
        </w:tc>
        <w:tc>
          <w:tcPr>
            <w:tcW w:w="0" w:type="auto"/>
            <w:shd w:val="clear" w:color="auto" w:fill="auto"/>
            <w:tcMar>
              <w:top w:w="40" w:type="dxa"/>
              <w:bottom w:w="40" w:type="dxa"/>
              <w:right w:w="20" w:type="dxa"/>
            </w:tcMar>
            <w:vAlign w:val="bottom"/>
          </w:tcPr>
          <w:p w14:paraId="36CA3843"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3844"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3845" w14:textId="77777777" w:rsidR="00787570" w:rsidRDefault="000D56E2">
            <w:pPr>
              <w:jc w:val="right"/>
              <w:textAlignment w:val="bottom"/>
            </w:pPr>
            <w:r>
              <w:rPr>
                <w:rFonts w:ascii="Arial" w:eastAsia="宋体" w:hAnsi="Arial" w:cs="Arial"/>
                <w:color w:val="333333"/>
                <w:sz w:val="18"/>
                <w:szCs w:val="18"/>
              </w:rPr>
              <w:t>— </w:t>
            </w:r>
          </w:p>
        </w:tc>
        <w:tc>
          <w:tcPr>
            <w:tcW w:w="0" w:type="auto"/>
            <w:shd w:val="clear" w:color="auto" w:fill="auto"/>
            <w:tcMar>
              <w:top w:w="40" w:type="dxa"/>
              <w:bottom w:w="40" w:type="dxa"/>
              <w:right w:w="20" w:type="dxa"/>
            </w:tcMar>
            <w:vAlign w:val="bottom"/>
          </w:tcPr>
          <w:p w14:paraId="36CA3846"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3847"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3848" w14:textId="77777777" w:rsidR="00787570" w:rsidRDefault="000D56E2">
            <w:pPr>
              <w:jc w:val="right"/>
              <w:textAlignment w:val="bottom"/>
            </w:pPr>
            <w:r>
              <w:rPr>
                <w:rFonts w:ascii="Arial" w:eastAsia="宋体" w:hAnsi="Arial" w:cs="Arial"/>
                <w:color w:val="333333"/>
                <w:sz w:val="18"/>
                <w:szCs w:val="18"/>
              </w:rPr>
              <w:t>11 </w:t>
            </w:r>
          </w:p>
        </w:tc>
        <w:tc>
          <w:tcPr>
            <w:tcW w:w="0" w:type="auto"/>
            <w:shd w:val="clear" w:color="auto" w:fill="auto"/>
            <w:tcMar>
              <w:top w:w="40" w:type="dxa"/>
              <w:bottom w:w="40" w:type="dxa"/>
              <w:right w:w="20" w:type="dxa"/>
            </w:tcMar>
            <w:vAlign w:val="bottom"/>
          </w:tcPr>
          <w:p w14:paraId="36CA3849" w14:textId="77777777" w:rsidR="00787570" w:rsidRDefault="00787570">
            <w:pPr>
              <w:jc w:val="right"/>
              <w:rPr>
                <w:rFonts w:ascii="宋体"/>
              </w:rPr>
            </w:pPr>
          </w:p>
        </w:tc>
        <w:tc>
          <w:tcPr>
            <w:tcW w:w="0" w:type="auto"/>
            <w:shd w:val="clear" w:color="auto" w:fill="auto"/>
          </w:tcPr>
          <w:p w14:paraId="36CA384A" w14:textId="77777777" w:rsidR="00787570" w:rsidRDefault="00787570">
            <w:pPr>
              <w:rPr>
                <w:rFonts w:ascii="宋体"/>
              </w:rPr>
            </w:pPr>
          </w:p>
        </w:tc>
        <w:tc>
          <w:tcPr>
            <w:tcW w:w="0" w:type="auto"/>
            <w:shd w:val="clear" w:color="auto" w:fill="auto"/>
          </w:tcPr>
          <w:p w14:paraId="36CA384B" w14:textId="77777777" w:rsidR="00787570" w:rsidRDefault="00787570">
            <w:pPr>
              <w:rPr>
                <w:rFonts w:ascii="宋体"/>
              </w:rPr>
            </w:pPr>
          </w:p>
        </w:tc>
        <w:tc>
          <w:tcPr>
            <w:tcW w:w="0" w:type="auto"/>
            <w:shd w:val="clear" w:color="auto" w:fill="auto"/>
          </w:tcPr>
          <w:p w14:paraId="36CA384C" w14:textId="77777777" w:rsidR="00787570" w:rsidRDefault="00787570">
            <w:pPr>
              <w:rPr>
                <w:rFonts w:ascii="宋体"/>
              </w:rPr>
            </w:pPr>
          </w:p>
        </w:tc>
        <w:tc>
          <w:tcPr>
            <w:tcW w:w="0" w:type="auto"/>
            <w:shd w:val="clear" w:color="auto" w:fill="auto"/>
          </w:tcPr>
          <w:p w14:paraId="36CA384D" w14:textId="77777777" w:rsidR="00787570" w:rsidRDefault="00787570">
            <w:pPr>
              <w:rPr>
                <w:rFonts w:ascii="宋体"/>
              </w:rPr>
            </w:pPr>
          </w:p>
        </w:tc>
        <w:tc>
          <w:tcPr>
            <w:tcW w:w="0" w:type="auto"/>
            <w:shd w:val="clear" w:color="auto" w:fill="auto"/>
          </w:tcPr>
          <w:p w14:paraId="36CA384E" w14:textId="77777777" w:rsidR="00787570" w:rsidRDefault="00787570">
            <w:pPr>
              <w:rPr>
                <w:rFonts w:ascii="宋体"/>
              </w:rPr>
            </w:pPr>
          </w:p>
        </w:tc>
        <w:tc>
          <w:tcPr>
            <w:tcW w:w="0" w:type="auto"/>
            <w:shd w:val="clear" w:color="auto" w:fill="auto"/>
          </w:tcPr>
          <w:p w14:paraId="36CA384F" w14:textId="77777777" w:rsidR="00787570" w:rsidRDefault="00787570">
            <w:pPr>
              <w:rPr>
                <w:rFonts w:ascii="宋体"/>
              </w:rPr>
            </w:pPr>
          </w:p>
        </w:tc>
        <w:tc>
          <w:tcPr>
            <w:tcW w:w="0" w:type="auto"/>
            <w:shd w:val="clear" w:color="auto" w:fill="auto"/>
          </w:tcPr>
          <w:p w14:paraId="36CA3850" w14:textId="77777777" w:rsidR="00787570" w:rsidRDefault="00787570">
            <w:pPr>
              <w:rPr>
                <w:rFonts w:ascii="宋体"/>
              </w:rPr>
            </w:pPr>
          </w:p>
        </w:tc>
        <w:tc>
          <w:tcPr>
            <w:tcW w:w="0" w:type="auto"/>
            <w:shd w:val="clear" w:color="auto" w:fill="auto"/>
          </w:tcPr>
          <w:p w14:paraId="36CA3851" w14:textId="77777777" w:rsidR="00787570" w:rsidRDefault="00787570">
            <w:pPr>
              <w:rPr>
                <w:rFonts w:ascii="宋体"/>
              </w:rPr>
            </w:pPr>
          </w:p>
        </w:tc>
        <w:tc>
          <w:tcPr>
            <w:tcW w:w="0" w:type="auto"/>
            <w:shd w:val="clear" w:color="auto" w:fill="auto"/>
          </w:tcPr>
          <w:p w14:paraId="36CA3852" w14:textId="77777777" w:rsidR="00787570" w:rsidRDefault="00787570">
            <w:pPr>
              <w:rPr>
                <w:rFonts w:ascii="宋体"/>
              </w:rPr>
            </w:pPr>
          </w:p>
        </w:tc>
        <w:tc>
          <w:tcPr>
            <w:tcW w:w="0" w:type="auto"/>
            <w:shd w:val="clear" w:color="auto" w:fill="auto"/>
          </w:tcPr>
          <w:p w14:paraId="36CA3853" w14:textId="77777777" w:rsidR="00787570" w:rsidRDefault="00787570">
            <w:pPr>
              <w:rPr>
                <w:rFonts w:ascii="宋体"/>
              </w:rPr>
            </w:pPr>
          </w:p>
        </w:tc>
        <w:tc>
          <w:tcPr>
            <w:tcW w:w="0" w:type="auto"/>
            <w:shd w:val="clear" w:color="auto" w:fill="auto"/>
          </w:tcPr>
          <w:p w14:paraId="36CA3854" w14:textId="77777777" w:rsidR="00787570" w:rsidRDefault="00787570">
            <w:pPr>
              <w:rPr>
                <w:rFonts w:ascii="宋体"/>
              </w:rPr>
            </w:pPr>
          </w:p>
        </w:tc>
        <w:tc>
          <w:tcPr>
            <w:tcW w:w="0" w:type="auto"/>
            <w:shd w:val="clear" w:color="auto" w:fill="auto"/>
          </w:tcPr>
          <w:p w14:paraId="36CA3855" w14:textId="77777777" w:rsidR="00787570" w:rsidRDefault="00787570">
            <w:pPr>
              <w:rPr>
                <w:rFonts w:ascii="宋体"/>
              </w:rPr>
            </w:pPr>
          </w:p>
        </w:tc>
      </w:tr>
      <w:tr w:rsidR="00787570" w14:paraId="36CA3874" w14:textId="77777777">
        <w:tc>
          <w:tcPr>
            <w:tcW w:w="0" w:type="auto"/>
            <w:gridSpan w:val="3"/>
            <w:shd w:val="clear" w:color="auto" w:fill="auto"/>
            <w:tcMar>
              <w:top w:w="40" w:type="dxa"/>
              <w:left w:w="20" w:type="dxa"/>
              <w:bottom w:w="40" w:type="dxa"/>
              <w:right w:w="20" w:type="dxa"/>
            </w:tcMar>
          </w:tcPr>
          <w:p w14:paraId="36CA3857" w14:textId="77777777" w:rsidR="00787570" w:rsidRDefault="000D56E2">
            <w:pPr>
              <w:textAlignment w:val="top"/>
            </w:pPr>
            <w:r>
              <w:rPr>
                <w:rFonts w:ascii="Arial" w:eastAsia="宋体" w:hAnsi="Arial" w:cs="Arial"/>
                <w:color w:val="333333"/>
                <w:sz w:val="18"/>
                <w:szCs w:val="18"/>
              </w:rPr>
              <w:t>Trading assets:</w:t>
            </w:r>
          </w:p>
        </w:tc>
        <w:tc>
          <w:tcPr>
            <w:tcW w:w="0" w:type="auto"/>
            <w:gridSpan w:val="3"/>
            <w:shd w:val="clear" w:color="auto" w:fill="auto"/>
            <w:tcMar>
              <w:left w:w="20" w:type="dxa"/>
              <w:right w:w="20" w:type="dxa"/>
            </w:tcMar>
            <w:vAlign w:val="bottom"/>
          </w:tcPr>
          <w:p w14:paraId="36CA3858"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3859"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385A"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385B"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385C"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385D"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385E"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385F"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3860"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3861"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3862"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3863"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3864"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3865"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3866"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3867" w14:textId="77777777" w:rsidR="00787570" w:rsidRDefault="00787570">
            <w:pPr>
              <w:rPr>
                <w:rFonts w:ascii="宋体"/>
              </w:rPr>
            </w:pPr>
          </w:p>
        </w:tc>
        <w:tc>
          <w:tcPr>
            <w:tcW w:w="0" w:type="auto"/>
            <w:shd w:val="clear" w:color="auto" w:fill="auto"/>
          </w:tcPr>
          <w:p w14:paraId="36CA3868" w14:textId="77777777" w:rsidR="00787570" w:rsidRDefault="00787570">
            <w:pPr>
              <w:rPr>
                <w:rFonts w:ascii="宋体"/>
              </w:rPr>
            </w:pPr>
          </w:p>
        </w:tc>
        <w:tc>
          <w:tcPr>
            <w:tcW w:w="0" w:type="auto"/>
            <w:shd w:val="clear" w:color="auto" w:fill="auto"/>
          </w:tcPr>
          <w:p w14:paraId="36CA3869" w14:textId="77777777" w:rsidR="00787570" w:rsidRDefault="00787570">
            <w:pPr>
              <w:rPr>
                <w:rFonts w:ascii="宋体"/>
              </w:rPr>
            </w:pPr>
          </w:p>
        </w:tc>
        <w:tc>
          <w:tcPr>
            <w:tcW w:w="0" w:type="auto"/>
            <w:shd w:val="clear" w:color="auto" w:fill="auto"/>
          </w:tcPr>
          <w:p w14:paraId="36CA386A" w14:textId="77777777" w:rsidR="00787570" w:rsidRDefault="00787570">
            <w:pPr>
              <w:rPr>
                <w:rFonts w:ascii="宋体"/>
              </w:rPr>
            </w:pPr>
          </w:p>
        </w:tc>
        <w:tc>
          <w:tcPr>
            <w:tcW w:w="0" w:type="auto"/>
            <w:shd w:val="clear" w:color="auto" w:fill="auto"/>
          </w:tcPr>
          <w:p w14:paraId="36CA386B" w14:textId="77777777" w:rsidR="00787570" w:rsidRDefault="00787570">
            <w:pPr>
              <w:rPr>
                <w:rFonts w:ascii="宋体"/>
              </w:rPr>
            </w:pPr>
          </w:p>
        </w:tc>
        <w:tc>
          <w:tcPr>
            <w:tcW w:w="0" w:type="auto"/>
            <w:shd w:val="clear" w:color="auto" w:fill="auto"/>
          </w:tcPr>
          <w:p w14:paraId="36CA386C" w14:textId="77777777" w:rsidR="00787570" w:rsidRDefault="00787570">
            <w:pPr>
              <w:rPr>
                <w:rFonts w:ascii="宋体"/>
              </w:rPr>
            </w:pPr>
          </w:p>
        </w:tc>
        <w:tc>
          <w:tcPr>
            <w:tcW w:w="0" w:type="auto"/>
            <w:shd w:val="clear" w:color="auto" w:fill="auto"/>
          </w:tcPr>
          <w:p w14:paraId="36CA386D" w14:textId="77777777" w:rsidR="00787570" w:rsidRDefault="00787570">
            <w:pPr>
              <w:rPr>
                <w:rFonts w:ascii="宋体"/>
              </w:rPr>
            </w:pPr>
          </w:p>
        </w:tc>
        <w:tc>
          <w:tcPr>
            <w:tcW w:w="0" w:type="auto"/>
            <w:shd w:val="clear" w:color="auto" w:fill="auto"/>
          </w:tcPr>
          <w:p w14:paraId="36CA386E" w14:textId="77777777" w:rsidR="00787570" w:rsidRDefault="00787570">
            <w:pPr>
              <w:rPr>
                <w:rFonts w:ascii="宋体"/>
              </w:rPr>
            </w:pPr>
          </w:p>
        </w:tc>
        <w:tc>
          <w:tcPr>
            <w:tcW w:w="0" w:type="auto"/>
            <w:shd w:val="clear" w:color="auto" w:fill="auto"/>
          </w:tcPr>
          <w:p w14:paraId="36CA386F" w14:textId="77777777" w:rsidR="00787570" w:rsidRDefault="00787570">
            <w:pPr>
              <w:rPr>
                <w:rFonts w:ascii="宋体"/>
              </w:rPr>
            </w:pPr>
          </w:p>
        </w:tc>
        <w:tc>
          <w:tcPr>
            <w:tcW w:w="0" w:type="auto"/>
            <w:shd w:val="clear" w:color="auto" w:fill="auto"/>
          </w:tcPr>
          <w:p w14:paraId="36CA3870" w14:textId="77777777" w:rsidR="00787570" w:rsidRDefault="00787570">
            <w:pPr>
              <w:rPr>
                <w:rFonts w:ascii="宋体"/>
              </w:rPr>
            </w:pPr>
          </w:p>
        </w:tc>
        <w:tc>
          <w:tcPr>
            <w:tcW w:w="0" w:type="auto"/>
            <w:shd w:val="clear" w:color="auto" w:fill="auto"/>
          </w:tcPr>
          <w:p w14:paraId="36CA3871" w14:textId="77777777" w:rsidR="00787570" w:rsidRDefault="00787570">
            <w:pPr>
              <w:rPr>
                <w:rFonts w:ascii="宋体"/>
              </w:rPr>
            </w:pPr>
          </w:p>
        </w:tc>
        <w:tc>
          <w:tcPr>
            <w:tcW w:w="0" w:type="auto"/>
            <w:shd w:val="clear" w:color="auto" w:fill="auto"/>
          </w:tcPr>
          <w:p w14:paraId="36CA3872" w14:textId="77777777" w:rsidR="00787570" w:rsidRDefault="00787570">
            <w:pPr>
              <w:rPr>
                <w:rFonts w:ascii="宋体"/>
              </w:rPr>
            </w:pPr>
          </w:p>
        </w:tc>
        <w:tc>
          <w:tcPr>
            <w:tcW w:w="0" w:type="auto"/>
            <w:shd w:val="clear" w:color="auto" w:fill="auto"/>
          </w:tcPr>
          <w:p w14:paraId="36CA3873" w14:textId="77777777" w:rsidR="00787570" w:rsidRDefault="00787570">
            <w:pPr>
              <w:rPr>
                <w:rFonts w:ascii="宋体"/>
              </w:rPr>
            </w:pPr>
          </w:p>
        </w:tc>
      </w:tr>
      <w:tr w:rsidR="00787570" w14:paraId="36CA3892" w14:textId="77777777">
        <w:trPr>
          <w:hidden/>
        </w:trPr>
        <w:tc>
          <w:tcPr>
            <w:tcW w:w="0" w:type="auto"/>
            <w:gridSpan w:val="3"/>
            <w:shd w:val="clear" w:color="auto" w:fill="auto"/>
          </w:tcPr>
          <w:p w14:paraId="36CA3875" w14:textId="77777777" w:rsidR="00787570" w:rsidRDefault="00787570">
            <w:pPr>
              <w:rPr>
                <w:rFonts w:ascii="宋体"/>
                <w:vanish/>
              </w:rPr>
            </w:pPr>
          </w:p>
        </w:tc>
        <w:tc>
          <w:tcPr>
            <w:tcW w:w="0" w:type="auto"/>
            <w:gridSpan w:val="3"/>
            <w:shd w:val="clear" w:color="auto" w:fill="auto"/>
          </w:tcPr>
          <w:p w14:paraId="36CA3876" w14:textId="77777777" w:rsidR="00787570" w:rsidRDefault="00787570">
            <w:pPr>
              <w:rPr>
                <w:rFonts w:ascii="宋体"/>
                <w:vanish/>
              </w:rPr>
            </w:pPr>
          </w:p>
        </w:tc>
        <w:tc>
          <w:tcPr>
            <w:tcW w:w="0" w:type="auto"/>
            <w:gridSpan w:val="3"/>
            <w:shd w:val="clear" w:color="auto" w:fill="auto"/>
          </w:tcPr>
          <w:p w14:paraId="36CA3877" w14:textId="77777777" w:rsidR="00787570" w:rsidRDefault="00787570">
            <w:pPr>
              <w:rPr>
                <w:rFonts w:ascii="宋体"/>
                <w:vanish/>
              </w:rPr>
            </w:pPr>
          </w:p>
        </w:tc>
        <w:tc>
          <w:tcPr>
            <w:tcW w:w="0" w:type="auto"/>
            <w:gridSpan w:val="3"/>
            <w:shd w:val="clear" w:color="auto" w:fill="auto"/>
          </w:tcPr>
          <w:p w14:paraId="36CA3878" w14:textId="77777777" w:rsidR="00787570" w:rsidRDefault="00787570">
            <w:pPr>
              <w:rPr>
                <w:rFonts w:ascii="宋体"/>
                <w:vanish/>
              </w:rPr>
            </w:pPr>
          </w:p>
        </w:tc>
        <w:tc>
          <w:tcPr>
            <w:tcW w:w="0" w:type="auto"/>
            <w:gridSpan w:val="3"/>
            <w:shd w:val="clear" w:color="auto" w:fill="auto"/>
          </w:tcPr>
          <w:p w14:paraId="36CA3879" w14:textId="77777777" w:rsidR="00787570" w:rsidRDefault="00787570">
            <w:pPr>
              <w:rPr>
                <w:rFonts w:ascii="宋体"/>
                <w:vanish/>
              </w:rPr>
            </w:pPr>
          </w:p>
        </w:tc>
        <w:tc>
          <w:tcPr>
            <w:tcW w:w="0" w:type="auto"/>
            <w:gridSpan w:val="3"/>
            <w:shd w:val="clear" w:color="auto" w:fill="auto"/>
          </w:tcPr>
          <w:p w14:paraId="36CA387A" w14:textId="77777777" w:rsidR="00787570" w:rsidRDefault="00787570">
            <w:pPr>
              <w:rPr>
                <w:rFonts w:ascii="宋体"/>
                <w:vanish/>
              </w:rPr>
            </w:pPr>
          </w:p>
        </w:tc>
        <w:tc>
          <w:tcPr>
            <w:tcW w:w="0" w:type="auto"/>
            <w:gridSpan w:val="3"/>
            <w:shd w:val="clear" w:color="auto" w:fill="auto"/>
          </w:tcPr>
          <w:p w14:paraId="36CA387B" w14:textId="77777777" w:rsidR="00787570" w:rsidRDefault="00787570">
            <w:pPr>
              <w:rPr>
                <w:rFonts w:ascii="宋体"/>
                <w:vanish/>
              </w:rPr>
            </w:pPr>
          </w:p>
        </w:tc>
        <w:tc>
          <w:tcPr>
            <w:tcW w:w="0" w:type="auto"/>
            <w:gridSpan w:val="3"/>
            <w:shd w:val="clear" w:color="auto" w:fill="auto"/>
          </w:tcPr>
          <w:p w14:paraId="36CA387C" w14:textId="77777777" w:rsidR="00787570" w:rsidRDefault="00787570">
            <w:pPr>
              <w:rPr>
                <w:rFonts w:ascii="宋体"/>
                <w:vanish/>
              </w:rPr>
            </w:pPr>
          </w:p>
        </w:tc>
        <w:tc>
          <w:tcPr>
            <w:tcW w:w="0" w:type="auto"/>
            <w:gridSpan w:val="3"/>
            <w:shd w:val="clear" w:color="auto" w:fill="auto"/>
          </w:tcPr>
          <w:p w14:paraId="36CA387D" w14:textId="77777777" w:rsidR="00787570" w:rsidRDefault="00787570">
            <w:pPr>
              <w:rPr>
                <w:rFonts w:ascii="宋体"/>
                <w:vanish/>
              </w:rPr>
            </w:pPr>
          </w:p>
        </w:tc>
        <w:tc>
          <w:tcPr>
            <w:tcW w:w="0" w:type="auto"/>
            <w:gridSpan w:val="3"/>
            <w:shd w:val="clear" w:color="auto" w:fill="auto"/>
          </w:tcPr>
          <w:p w14:paraId="36CA387E" w14:textId="77777777" w:rsidR="00787570" w:rsidRDefault="00787570">
            <w:pPr>
              <w:rPr>
                <w:rFonts w:ascii="宋体"/>
                <w:vanish/>
              </w:rPr>
            </w:pPr>
          </w:p>
        </w:tc>
        <w:tc>
          <w:tcPr>
            <w:tcW w:w="0" w:type="auto"/>
            <w:gridSpan w:val="3"/>
            <w:shd w:val="clear" w:color="auto" w:fill="auto"/>
          </w:tcPr>
          <w:p w14:paraId="36CA387F" w14:textId="77777777" w:rsidR="00787570" w:rsidRDefault="00787570">
            <w:pPr>
              <w:rPr>
                <w:rFonts w:ascii="宋体"/>
                <w:vanish/>
              </w:rPr>
            </w:pPr>
          </w:p>
        </w:tc>
        <w:tc>
          <w:tcPr>
            <w:tcW w:w="0" w:type="auto"/>
            <w:gridSpan w:val="3"/>
            <w:shd w:val="clear" w:color="auto" w:fill="auto"/>
          </w:tcPr>
          <w:p w14:paraId="36CA3880" w14:textId="77777777" w:rsidR="00787570" w:rsidRDefault="00787570">
            <w:pPr>
              <w:rPr>
                <w:rFonts w:ascii="宋体"/>
                <w:vanish/>
              </w:rPr>
            </w:pPr>
          </w:p>
        </w:tc>
        <w:tc>
          <w:tcPr>
            <w:tcW w:w="0" w:type="auto"/>
            <w:gridSpan w:val="3"/>
            <w:shd w:val="clear" w:color="auto" w:fill="auto"/>
          </w:tcPr>
          <w:p w14:paraId="36CA3881" w14:textId="77777777" w:rsidR="00787570" w:rsidRDefault="00787570">
            <w:pPr>
              <w:rPr>
                <w:rFonts w:ascii="宋体"/>
                <w:vanish/>
              </w:rPr>
            </w:pPr>
          </w:p>
        </w:tc>
        <w:tc>
          <w:tcPr>
            <w:tcW w:w="0" w:type="auto"/>
            <w:gridSpan w:val="3"/>
            <w:shd w:val="clear" w:color="auto" w:fill="auto"/>
          </w:tcPr>
          <w:p w14:paraId="36CA3882" w14:textId="77777777" w:rsidR="00787570" w:rsidRDefault="00787570">
            <w:pPr>
              <w:rPr>
                <w:rFonts w:ascii="宋体"/>
                <w:vanish/>
              </w:rPr>
            </w:pPr>
          </w:p>
        </w:tc>
        <w:tc>
          <w:tcPr>
            <w:tcW w:w="0" w:type="auto"/>
            <w:gridSpan w:val="3"/>
            <w:shd w:val="clear" w:color="auto" w:fill="auto"/>
          </w:tcPr>
          <w:p w14:paraId="36CA3883" w14:textId="77777777" w:rsidR="00787570" w:rsidRDefault="00787570">
            <w:pPr>
              <w:rPr>
                <w:rFonts w:ascii="宋体"/>
                <w:vanish/>
              </w:rPr>
            </w:pPr>
          </w:p>
        </w:tc>
        <w:tc>
          <w:tcPr>
            <w:tcW w:w="0" w:type="auto"/>
            <w:gridSpan w:val="3"/>
            <w:shd w:val="clear" w:color="auto" w:fill="auto"/>
          </w:tcPr>
          <w:p w14:paraId="36CA3884" w14:textId="77777777" w:rsidR="00787570" w:rsidRDefault="00787570">
            <w:pPr>
              <w:rPr>
                <w:rFonts w:ascii="宋体"/>
                <w:vanish/>
              </w:rPr>
            </w:pPr>
          </w:p>
        </w:tc>
        <w:tc>
          <w:tcPr>
            <w:tcW w:w="0" w:type="auto"/>
            <w:gridSpan w:val="3"/>
            <w:shd w:val="clear" w:color="auto" w:fill="auto"/>
          </w:tcPr>
          <w:p w14:paraId="36CA3885" w14:textId="77777777" w:rsidR="00787570" w:rsidRDefault="00787570">
            <w:pPr>
              <w:rPr>
                <w:rFonts w:ascii="宋体"/>
                <w:vanish/>
              </w:rPr>
            </w:pPr>
          </w:p>
        </w:tc>
        <w:tc>
          <w:tcPr>
            <w:tcW w:w="0" w:type="auto"/>
            <w:shd w:val="clear" w:color="auto" w:fill="auto"/>
          </w:tcPr>
          <w:p w14:paraId="36CA3886" w14:textId="77777777" w:rsidR="00787570" w:rsidRDefault="00787570">
            <w:pPr>
              <w:rPr>
                <w:rFonts w:ascii="宋体"/>
              </w:rPr>
            </w:pPr>
          </w:p>
        </w:tc>
        <w:tc>
          <w:tcPr>
            <w:tcW w:w="0" w:type="auto"/>
            <w:shd w:val="clear" w:color="auto" w:fill="auto"/>
          </w:tcPr>
          <w:p w14:paraId="36CA3887" w14:textId="77777777" w:rsidR="00787570" w:rsidRDefault="00787570">
            <w:pPr>
              <w:rPr>
                <w:rFonts w:ascii="宋体"/>
              </w:rPr>
            </w:pPr>
          </w:p>
        </w:tc>
        <w:tc>
          <w:tcPr>
            <w:tcW w:w="0" w:type="auto"/>
            <w:shd w:val="clear" w:color="auto" w:fill="auto"/>
          </w:tcPr>
          <w:p w14:paraId="36CA3888" w14:textId="77777777" w:rsidR="00787570" w:rsidRDefault="00787570">
            <w:pPr>
              <w:rPr>
                <w:rFonts w:ascii="宋体"/>
              </w:rPr>
            </w:pPr>
          </w:p>
        </w:tc>
        <w:tc>
          <w:tcPr>
            <w:tcW w:w="0" w:type="auto"/>
            <w:shd w:val="clear" w:color="auto" w:fill="auto"/>
          </w:tcPr>
          <w:p w14:paraId="36CA3889" w14:textId="77777777" w:rsidR="00787570" w:rsidRDefault="00787570">
            <w:pPr>
              <w:rPr>
                <w:rFonts w:ascii="宋体"/>
              </w:rPr>
            </w:pPr>
          </w:p>
        </w:tc>
        <w:tc>
          <w:tcPr>
            <w:tcW w:w="0" w:type="auto"/>
            <w:shd w:val="clear" w:color="auto" w:fill="auto"/>
          </w:tcPr>
          <w:p w14:paraId="36CA388A" w14:textId="77777777" w:rsidR="00787570" w:rsidRDefault="00787570">
            <w:pPr>
              <w:rPr>
                <w:rFonts w:ascii="宋体"/>
              </w:rPr>
            </w:pPr>
          </w:p>
        </w:tc>
        <w:tc>
          <w:tcPr>
            <w:tcW w:w="0" w:type="auto"/>
            <w:shd w:val="clear" w:color="auto" w:fill="auto"/>
          </w:tcPr>
          <w:p w14:paraId="36CA388B" w14:textId="77777777" w:rsidR="00787570" w:rsidRDefault="00787570">
            <w:pPr>
              <w:rPr>
                <w:rFonts w:ascii="宋体"/>
              </w:rPr>
            </w:pPr>
          </w:p>
        </w:tc>
        <w:tc>
          <w:tcPr>
            <w:tcW w:w="0" w:type="auto"/>
            <w:shd w:val="clear" w:color="auto" w:fill="auto"/>
          </w:tcPr>
          <w:p w14:paraId="36CA388C" w14:textId="77777777" w:rsidR="00787570" w:rsidRDefault="00787570">
            <w:pPr>
              <w:rPr>
                <w:rFonts w:ascii="宋体"/>
              </w:rPr>
            </w:pPr>
          </w:p>
        </w:tc>
        <w:tc>
          <w:tcPr>
            <w:tcW w:w="0" w:type="auto"/>
            <w:shd w:val="clear" w:color="auto" w:fill="auto"/>
          </w:tcPr>
          <w:p w14:paraId="36CA388D" w14:textId="77777777" w:rsidR="00787570" w:rsidRDefault="00787570">
            <w:pPr>
              <w:rPr>
                <w:rFonts w:ascii="宋体"/>
              </w:rPr>
            </w:pPr>
          </w:p>
        </w:tc>
        <w:tc>
          <w:tcPr>
            <w:tcW w:w="0" w:type="auto"/>
            <w:shd w:val="clear" w:color="auto" w:fill="auto"/>
          </w:tcPr>
          <w:p w14:paraId="36CA388E" w14:textId="77777777" w:rsidR="00787570" w:rsidRDefault="00787570">
            <w:pPr>
              <w:rPr>
                <w:rFonts w:ascii="宋体"/>
              </w:rPr>
            </w:pPr>
          </w:p>
        </w:tc>
        <w:tc>
          <w:tcPr>
            <w:tcW w:w="0" w:type="auto"/>
            <w:shd w:val="clear" w:color="auto" w:fill="auto"/>
          </w:tcPr>
          <w:p w14:paraId="36CA388F" w14:textId="77777777" w:rsidR="00787570" w:rsidRDefault="00787570">
            <w:pPr>
              <w:rPr>
                <w:rFonts w:ascii="宋体"/>
              </w:rPr>
            </w:pPr>
          </w:p>
        </w:tc>
        <w:tc>
          <w:tcPr>
            <w:tcW w:w="0" w:type="auto"/>
            <w:shd w:val="clear" w:color="auto" w:fill="auto"/>
          </w:tcPr>
          <w:p w14:paraId="36CA3890" w14:textId="77777777" w:rsidR="00787570" w:rsidRDefault="00787570">
            <w:pPr>
              <w:rPr>
                <w:rFonts w:ascii="宋体"/>
              </w:rPr>
            </w:pPr>
          </w:p>
        </w:tc>
        <w:tc>
          <w:tcPr>
            <w:tcW w:w="0" w:type="auto"/>
            <w:shd w:val="clear" w:color="auto" w:fill="auto"/>
          </w:tcPr>
          <w:p w14:paraId="36CA3891" w14:textId="77777777" w:rsidR="00787570" w:rsidRDefault="00787570">
            <w:pPr>
              <w:rPr>
                <w:rFonts w:ascii="宋体"/>
              </w:rPr>
            </w:pPr>
          </w:p>
        </w:tc>
      </w:tr>
      <w:tr w:rsidR="00787570" w14:paraId="36CA38B8" w14:textId="77777777">
        <w:tc>
          <w:tcPr>
            <w:tcW w:w="0" w:type="auto"/>
            <w:gridSpan w:val="3"/>
            <w:shd w:val="clear" w:color="auto" w:fill="auto"/>
            <w:tcMar>
              <w:top w:w="40" w:type="dxa"/>
              <w:left w:w="120" w:type="dxa"/>
              <w:bottom w:w="40" w:type="dxa"/>
              <w:right w:w="20" w:type="dxa"/>
            </w:tcMar>
          </w:tcPr>
          <w:p w14:paraId="36CA3893" w14:textId="77777777" w:rsidR="00787570" w:rsidRDefault="000D56E2">
            <w:pPr>
              <w:textAlignment w:val="top"/>
            </w:pPr>
            <w:r>
              <w:rPr>
                <w:rFonts w:ascii="Arial" w:eastAsia="宋体" w:hAnsi="Arial" w:cs="Arial"/>
                <w:color w:val="333333"/>
                <w:sz w:val="18"/>
                <w:szCs w:val="18"/>
              </w:rPr>
              <w:t>Corporate debt</w:t>
            </w:r>
          </w:p>
        </w:tc>
        <w:tc>
          <w:tcPr>
            <w:tcW w:w="0" w:type="auto"/>
            <w:gridSpan w:val="3"/>
            <w:shd w:val="clear" w:color="auto" w:fill="auto"/>
            <w:tcMar>
              <w:left w:w="20" w:type="dxa"/>
              <w:right w:w="20" w:type="dxa"/>
            </w:tcMar>
            <w:vAlign w:val="bottom"/>
          </w:tcPr>
          <w:p w14:paraId="36CA3894"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3895" w14:textId="77777777" w:rsidR="00787570" w:rsidRDefault="000D56E2">
            <w:pPr>
              <w:jc w:val="right"/>
              <w:textAlignment w:val="bottom"/>
            </w:pPr>
            <w:r>
              <w:rPr>
                <w:rFonts w:ascii="Arial" w:eastAsia="宋体" w:hAnsi="Arial" w:cs="Arial"/>
                <w:color w:val="026DCE"/>
                <w:sz w:val="18"/>
                <w:szCs w:val="18"/>
              </w:rPr>
              <w:t>— </w:t>
            </w:r>
          </w:p>
        </w:tc>
        <w:tc>
          <w:tcPr>
            <w:tcW w:w="0" w:type="auto"/>
            <w:shd w:val="clear" w:color="auto" w:fill="auto"/>
            <w:tcMar>
              <w:top w:w="40" w:type="dxa"/>
              <w:bottom w:w="40" w:type="dxa"/>
              <w:right w:w="20" w:type="dxa"/>
            </w:tcMar>
            <w:vAlign w:val="bottom"/>
          </w:tcPr>
          <w:p w14:paraId="36CA3896"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3897"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3898" w14:textId="77777777" w:rsidR="00787570" w:rsidRDefault="000D56E2">
            <w:pPr>
              <w:jc w:val="right"/>
              <w:textAlignment w:val="bottom"/>
            </w:pPr>
            <w:r>
              <w:rPr>
                <w:rFonts w:ascii="Arial" w:eastAsia="宋体" w:hAnsi="Arial" w:cs="Arial"/>
                <w:color w:val="026DCE"/>
                <w:sz w:val="18"/>
                <w:szCs w:val="18"/>
              </w:rPr>
              <w:t>3,845 </w:t>
            </w:r>
          </w:p>
        </w:tc>
        <w:tc>
          <w:tcPr>
            <w:tcW w:w="0" w:type="auto"/>
            <w:shd w:val="clear" w:color="auto" w:fill="auto"/>
            <w:tcMar>
              <w:top w:w="40" w:type="dxa"/>
              <w:bottom w:w="40" w:type="dxa"/>
              <w:right w:w="20" w:type="dxa"/>
            </w:tcMar>
            <w:vAlign w:val="bottom"/>
          </w:tcPr>
          <w:p w14:paraId="36CA3899"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389A"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389B" w14:textId="77777777" w:rsidR="00787570" w:rsidRDefault="000D56E2">
            <w:pPr>
              <w:jc w:val="right"/>
              <w:textAlignment w:val="bottom"/>
            </w:pPr>
            <w:r>
              <w:rPr>
                <w:rFonts w:ascii="Arial" w:eastAsia="宋体" w:hAnsi="Arial" w:cs="Arial"/>
                <w:color w:val="026DCE"/>
                <w:sz w:val="18"/>
                <w:szCs w:val="18"/>
              </w:rPr>
              <w:t>— </w:t>
            </w:r>
          </w:p>
        </w:tc>
        <w:tc>
          <w:tcPr>
            <w:tcW w:w="0" w:type="auto"/>
            <w:shd w:val="clear" w:color="auto" w:fill="auto"/>
            <w:tcMar>
              <w:top w:w="40" w:type="dxa"/>
              <w:bottom w:w="40" w:type="dxa"/>
              <w:right w:w="20" w:type="dxa"/>
            </w:tcMar>
            <w:vAlign w:val="bottom"/>
          </w:tcPr>
          <w:p w14:paraId="36CA389C"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389D"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389E" w14:textId="77777777" w:rsidR="00787570" w:rsidRDefault="000D56E2">
            <w:pPr>
              <w:jc w:val="right"/>
              <w:textAlignment w:val="bottom"/>
            </w:pPr>
            <w:r>
              <w:rPr>
                <w:rFonts w:ascii="Arial" w:eastAsia="宋体" w:hAnsi="Arial" w:cs="Arial"/>
                <w:color w:val="026DCE"/>
                <w:sz w:val="18"/>
                <w:szCs w:val="18"/>
              </w:rPr>
              <w:t>3,845 </w:t>
            </w:r>
          </w:p>
        </w:tc>
        <w:tc>
          <w:tcPr>
            <w:tcW w:w="0" w:type="auto"/>
            <w:shd w:val="clear" w:color="auto" w:fill="auto"/>
            <w:tcMar>
              <w:top w:w="40" w:type="dxa"/>
              <w:bottom w:w="40" w:type="dxa"/>
              <w:right w:w="20" w:type="dxa"/>
            </w:tcMar>
            <w:vAlign w:val="bottom"/>
          </w:tcPr>
          <w:p w14:paraId="36CA389F"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38A0"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38A1" w14:textId="77777777" w:rsidR="00787570" w:rsidRDefault="000D56E2">
            <w:pPr>
              <w:jc w:val="right"/>
              <w:textAlignment w:val="bottom"/>
            </w:pPr>
            <w:r>
              <w:rPr>
                <w:rFonts w:ascii="Arial" w:eastAsia="宋体" w:hAnsi="Arial" w:cs="Arial"/>
                <w:color w:val="333333"/>
                <w:sz w:val="18"/>
                <w:szCs w:val="18"/>
              </w:rPr>
              <w:t>— </w:t>
            </w:r>
          </w:p>
        </w:tc>
        <w:tc>
          <w:tcPr>
            <w:tcW w:w="0" w:type="auto"/>
            <w:shd w:val="clear" w:color="auto" w:fill="auto"/>
            <w:tcMar>
              <w:top w:w="40" w:type="dxa"/>
              <w:bottom w:w="40" w:type="dxa"/>
              <w:right w:w="20" w:type="dxa"/>
            </w:tcMar>
            <w:vAlign w:val="bottom"/>
          </w:tcPr>
          <w:p w14:paraId="36CA38A2"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38A3"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38A4" w14:textId="77777777" w:rsidR="00787570" w:rsidRDefault="000D56E2">
            <w:pPr>
              <w:jc w:val="right"/>
              <w:textAlignment w:val="bottom"/>
            </w:pPr>
            <w:r>
              <w:rPr>
                <w:rFonts w:ascii="Arial" w:eastAsia="宋体" w:hAnsi="Arial" w:cs="Arial"/>
                <w:color w:val="333333"/>
                <w:sz w:val="18"/>
                <w:szCs w:val="18"/>
              </w:rPr>
              <w:t>2,848 </w:t>
            </w:r>
          </w:p>
        </w:tc>
        <w:tc>
          <w:tcPr>
            <w:tcW w:w="0" w:type="auto"/>
            <w:shd w:val="clear" w:color="auto" w:fill="auto"/>
            <w:tcMar>
              <w:top w:w="40" w:type="dxa"/>
              <w:bottom w:w="40" w:type="dxa"/>
              <w:right w:w="20" w:type="dxa"/>
            </w:tcMar>
            <w:vAlign w:val="bottom"/>
          </w:tcPr>
          <w:p w14:paraId="36CA38A5"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38A6"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38A7" w14:textId="77777777" w:rsidR="00787570" w:rsidRDefault="000D56E2">
            <w:pPr>
              <w:jc w:val="right"/>
              <w:textAlignment w:val="bottom"/>
            </w:pPr>
            <w:r>
              <w:rPr>
                <w:rFonts w:ascii="Arial" w:eastAsia="宋体" w:hAnsi="Arial" w:cs="Arial"/>
                <w:color w:val="333333"/>
                <w:sz w:val="18"/>
                <w:szCs w:val="18"/>
              </w:rPr>
              <w:t>— </w:t>
            </w:r>
          </w:p>
        </w:tc>
        <w:tc>
          <w:tcPr>
            <w:tcW w:w="0" w:type="auto"/>
            <w:shd w:val="clear" w:color="auto" w:fill="auto"/>
            <w:tcMar>
              <w:top w:w="40" w:type="dxa"/>
              <w:bottom w:w="40" w:type="dxa"/>
              <w:right w:w="20" w:type="dxa"/>
            </w:tcMar>
            <w:vAlign w:val="bottom"/>
          </w:tcPr>
          <w:p w14:paraId="36CA38A8"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38A9"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38AA" w14:textId="77777777" w:rsidR="00787570" w:rsidRDefault="000D56E2">
            <w:pPr>
              <w:jc w:val="right"/>
              <w:textAlignment w:val="bottom"/>
            </w:pPr>
            <w:r>
              <w:rPr>
                <w:rFonts w:ascii="Arial" w:eastAsia="宋体" w:hAnsi="Arial" w:cs="Arial"/>
                <w:color w:val="333333"/>
                <w:sz w:val="18"/>
                <w:szCs w:val="18"/>
              </w:rPr>
              <w:t>2,848 </w:t>
            </w:r>
          </w:p>
        </w:tc>
        <w:tc>
          <w:tcPr>
            <w:tcW w:w="0" w:type="auto"/>
            <w:shd w:val="clear" w:color="auto" w:fill="auto"/>
            <w:tcMar>
              <w:top w:w="40" w:type="dxa"/>
              <w:bottom w:w="40" w:type="dxa"/>
              <w:right w:w="20" w:type="dxa"/>
            </w:tcMar>
            <w:vAlign w:val="bottom"/>
          </w:tcPr>
          <w:p w14:paraId="36CA38AB" w14:textId="77777777" w:rsidR="00787570" w:rsidRDefault="00787570">
            <w:pPr>
              <w:jc w:val="right"/>
              <w:rPr>
                <w:rFonts w:ascii="宋体"/>
              </w:rPr>
            </w:pPr>
          </w:p>
        </w:tc>
        <w:tc>
          <w:tcPr>
            <w:tcW w:w="0" w:type="auto"/>
            <w:shd w:val="clear" w:color="auto" w:fill="auto"/>
          </w:tcPr>
          <w:p w14:paraId="36CA38AC" w14:textId="77777777" w:rsidR="00787570" w:rsidRDefault="00787570">
            <w:pPr>
              <w:rPr>
                <w:rFonts w:ascii="宋体"/>
              </w:rPr>
            </w:pPr>
          </w:p>
        </w:tc>
        <w:tc>
          <w:tcPr>
            <w:tcW w:w="0" w:type="auto"/>
            <w:shd w:val="clear" w:color="auto" w:fill="auto"/>
          </w:tcPr>
          <w:p w14:paraId="36CA38AD" w14:textId="77777777" w:rsidR="00787570" w:rsidRDefault="00787570">
            <w:pPr>
              <w:rPr>
                <w:rFonts w:ascii="宋体"/>
              </w:rPr>
            </w:pPr>
          </w:p>
        </w:tc>
        <w:tc>
          <w:tcPr>
            <w:tcW w:w="0" w:type="auto"/>
            <w:shd w:val="clear" w:color="auto" w:fill="auto"/>
          </w:tcPr>
          <w:p w14:paraId="36CA38AE" w14:textId="77777777" w:rsidR="00787570" w:rsidRDefault="00787570">
            <w:pPr>
              <w:rPr>
                <w:rFonts w:ascii="宋体"/>
              </w:rPr>
            </w:pPr>
          </w:p>
        </w:tc>
        <w:tc>
          <w:tcPr>
            <w:tcW w:w="0" w:type="auto"/>
            <w:shd w:val="clear" w:color="auto" w:fill="auto"/>
          </w:tcPr>
          <w:p w14:paraId="36CA38AF" w14:textId="77777777" w:rsidR="00787570" w:rsidRDefault="00787570">
            <w:pPr>
              <w:rPr>
                <w:rFonts w:ascii="宋体"/>
              </w:rPr>
            </w:pPr>
          </w:p>
        </w:tc>
        <w:tc>
          <w:tcPr>
            <w:tcW w:w="0" w:type="auto"/>
            <w:shd w:val="clear" w:color="auto" w:fill="auto"/>
          </w:tcPr>
          <w:p w14:paraId="36CA38B0" w14:textId="77777777" w:rsidR="00787570" w:rsidRDefault="00787570">
            <w:pPr>
              <w:rPr>
                <w:rFonts w:ascii="宋体"/>
              </w:rPr>
            </w:pPr>
          </w:p>
        </w:tc>
        <w:tc>
          <w:tcPr>
            <w:tcW w:w="0" w:type="auto"/>
            <w:shd w:val="clear" w:color="auto" w:fill="auto"/>
          </w:tcPr>
          <w:p w14:paraId="36CA38B1" w14:textId="77777777" w:rsidR="00787570" w:rsidRDefault="00787570">
            <w:pPr>
              <w:rPr>
                <w:rFonts w:ascii="宋体"/>
              </w:rPr>
            </w:pPr>
          </w:p>
        </w:tc>
        <w:tc>
          <w:tcPr>
            <w:tcW w:w="0" w:type="auto"/>
            <w:shd w:val="clear" w:color="auto" w:fill="auto"/>
          </w:tcPr>
          <w:p w14:paraId="36CA38B2" w14:textId="77777777" w:rsidR="00787570" w:rsidRDefault="00787570">
            <w:pPr>
              <w:rPr>
                <w:rFonts w:ascii="宋体"/>
              </w:rPr>
            </w:pPr>
          </w:p>
        </w:tc>
        <w:tc>
          <w:tcPr>
            <w:tcW w:w="0" w:type="auto"/>
            <w:shd w:val="clear" w:color="auto" w:fill="auto"/>
          </w:tcPr>
          <w:p w14:paraId="36CA38B3" w14:textId="77777777" w:rsidR="00787570" w:rsidRDefault="00787570">
            <w:pPr>
              <w:rPr>
                <w:rFonts w:ascii="宋体"/>
              </w:rPr>
            </w:pPr>
          </w:p>
        </w:tc>
        <w:tc>
          <w:tcPr>
            <w:tcW w:w="0" w:type="auto"/>
            <w:shd w:val="clear" w:color="auto" w:fill="auto"/>
          </w:tcPr>
          <w:p w14:paraId="36CA38B4" w14:textId="77777777" w:rsidR="00787570" w:rsidRDefault="00787570">
            <w:pPr>
              <w:rPr>
                <w:rFonts w:ascii="宋体"/>
              </w:rPr>
            </w:pPr>
          </w:p>
        </w:tc>
        <w:tc>
          <w:tcPr>
            <w:tcW w:w="0" w:type="auto"/>
            <w:shd w:val="clear" w:color="auto" w:fill="auto"/>
          </w:tcPr>
          <w:p w14:paraId="36CA38B5" w14:textId="77777777" w:rsidR="00787570" w:rsidRDefault="00787570">
            <w:pPr>
              <w:rPr>
                <w:rFonts w:ascii="宋体"/>
              </w:rPr>
            </w:pPr>
          </w:p>
        </w:tc>
        <w:tc>
          <w:tcPr>
            <w:tcW w:w="0" w:type="auto"/>
            <w:shd w:val="clear" w:color="auto" w:fill="auto"/>
          </w:tcPr>
          <w:p w14:paraId="36CA38B6" w14:textId="77777777" w:rsidR="00787570" w:rsidRDefault="00787570">
            <w:pPr>
              <w:rPr>
                <w:rFonts w:ascii="宋体"/>
              </w:rPr>
            </w:pPr>
          </w:p>
        </w:tc>
        <w:tc>
          <w:tcPr>
            <w:tcW w:w="0" w:type="auto"/>
            <w:shd w:val="clear" w:color="auto" w:fill="auto"/>
          </w:tcPr>
          <w:p w14:paraId="36CA38B7" w14:textId="77777777" w:rsidR="00787570" w:rsidRDefault="00787570">
            <w:pPr>
              <w:rPr>
                <w:rFonts w:ascii="宋体"/>
              </w:rPr>
            </w:pPr>
          </w:p>
        </w:tc>
      </w:tr>
      <w:tr w:rsidR="00787570" w14:paraId="36CA38DE" w14:textId="77777777">
        <w:tc>
          <w:tcPr>
            <w:tcW w:w="0" w:type="auto"/>
            <w:gridSpan w:val="3"/>
            <w:shd w:val="clear" w:color="auto" w:fill="auto"/>
            <w:tcMar>
              <w:top w:w="40" w:type="dxa"/>
              <w:left w:w="120" w:type="dxa"/>
              <w:bottom w:w="40" w:type="dxa"/>
              <w:right w:w="20" w:type="dxa"/>
            </w:tcMar>
          </w:tcPr>
          <w:p w14:paraId="36CA38B9" w14:textId="77777777" w:rsidR="00787570" w:rsidRDefault="000D56E2">
            <w:pPr>
              <w:textAlignment w:val="top"/>
            </w:pPr>
            <w:r>
              <w:rPr>
                <w:rFonts w:ascii="Arial" w:eastAsia="宋体" w:hAnsi="Arial" w:cs="Arial"/>
                <w:color w:val="333333"/>
                <w:sz w:val="18"/>
                <w:szCs w:val="18"/>
              </w:rPr>
              <w:t>Financial institution instruments¹</w:t>
            </w:r>
          </w:p>
        </w:tc>
        <w:tc>
          <w:tcPr>
            <w:tcW w:w="0" w:type="auto"/>
            <w:gridSpan w:val="3"/>
            <w:shd w:val="clear" w:color="auto" w:fill="auto"/>
            <w:tcMar>
              <w:left w:w="20" w:type="dxa"/>
              <w:right w:w="20" w:type="dxa"/>
            </w:tcMar>
            <w:vAlign w:val="bottom"/>
          </w:tcPr>
          <w:p w14:paraId="36CA38BA"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38BB" w14:textId="77777777" w:rsidR="00787570" w:rsidRDefault="000D56E2">
            <w:pPr>
              <w:jc w:val="right"/>
              <w:textAlignment w:val="bottom"/>
            </w:pPr>
            <w:r>
              <w:rPr>
                <w:rFonts w:ascii="Arial" w:eastAsia="宋体" w:hAnsi="Arial" w:cs="Arial"/>
                <w:color w:val="026DCE"/>
                <w:sz w:val="18"/>
                <w:szCs w:val="18"/>
              </w:rPr>
              <w:t>220 </w:t>
            </w:r>
          </w:p>
        </w:tc>
        <w:tc>
          <w:tcPr>
            <w:tcW w:w="0" w:type="auto"/>
            <w:shd w:val="clear" w:color="auto" w:fill="auto"/>
            <w:tcMar>
              <w:top w:w="40" w:type="dxa"/>
              <w:bottom w:w="40" w:type="dxa"/>
              <w:right w:w="20" w:type="dxa"/>
            </w:tcMar>
            <w:vAlign w:val="bottom"/>
          </w:tcPr>
          <w:p w14:paraId="36CA38BC"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38BD"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38BE" w14:textId="77777777" w:rsidR="00787570" w:rsidRDefault="000D56E2">
            <w:pPr>
              <w:jc w:val="right"/>
              <w:textAlignment w:val="bottom"/>
            </w:pPr>
            <w:r>
              <w:rPr>
                <w:rFonts w:ascii="Arial" w:eastAsia="宋体" w:hAnsi="Arial" w:cs="Arial"/>
                <w:color w:val="026DCE"/>
                <w:sz w:val="18"/>
                <w:szCs w:val="18"/>
              </w:rPr>
              <w:t>2,670 </w:t>
            </w:r>
          </w:p>
        </w:tc>
        <w:tc>
          <w:tcPr>
            <w:tcW w:w="0" w:type="auto"/>
            <w:shd w:val="clear" w:color="auto" w:fill="auto"/>
            <w:tcMar>
              <w:top w:w="40" w:type="dxa"/>
              <w:bottom w:w="40" w:type="dxa"/>
              <w:right w:w="20" w:type="dxa"/>
            </w:tcMar>
            <w:vAlign w:val="bottom"/>
          </w:tcPr>
          <w:p w14:paraId="36CA38BF"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38C0"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38C1" w14:textId="77777777" w:rsidR="00787570" w:rsidRDefault="000D56E2">
            <w:pPr>
              <w:jc w:val="right"/>
              <w:textAlignment w:val="bottom"/>
            </w:pPr>
            <w:r>
              <w:rPr>
                <w:rFonts w:ascii="Arial" w:eastAsia="宋体" w:hAnsi="Arial" w:cs="Arial"/>
                <w:color w:val="026DCE"/>
                <w:sz w:val="18"/>
                <w:szCs w:val="18"/>
              </w:rPr>
              <w:t>— </w:t>
            </w:r>
          </w:p>
        </w:tc>
        <w:tc>
          <w:tcPr>
            <w:tcW w:w="0" w:type="auto"/>
            <w:shd w:val="clear" w:color="auto" w:fill="auto"/>
            <w:tcMar>
              <w:top w:w="40" w:type="dxa"/>
              <w:bottom w:w="40" w:type="dxa"/>
              <w:right w:w="20" w:type="dxa"/>
            </w:tcMar>
            <w:vAlign w:val="bottom"/>
          </w:tcPr>
          <w:p w14:paraId="36CA38C2"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38C3"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38C4" w14:textId="77777777" w:rsidR="00787570" w:rsidRDefault="000D56E2">
            <w:pPr>
              <w:jc w:val="right"/>
              <w:textAlignment w:val="bottom"/>
            </w:pPr>
            <w:r>
              <w:rPr>
                <w:rFonts w:ascii="Arial" w:eastAsia="宋体" w:hAnsi="Arial" w:cs="Arial"/>
                <w:color w:val="026DCE"/>
                <w:sz w:val="18"/>
                <w:szCs w:val="18"/>
              </w:rPr>
              <w:t>2,890 </w:t>
            </w:r>
          </w:p>
        </w:tc>
        <w:tc>
          <w:tcPr>
            <w:tcW w:w="0" w:type="auto"/>
            <w:shd w:val="clear" w:color="auto" w:fill="auto"/>
            <w:tcMar>
              <w:top w:w="40" w:type="dxa"/>
              <w:bottom w:w="40" w:type="dxa"/>
              <w:right w:w="20" w:type="dxa"/>
            </w:tcMar>
            <w:vAlign w:val="bottom"/>
          </w:tcPr>
          <w:p w14:paraId="36CA38C5"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38C6"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38C7" w14:textId="77777777" w:rsidR="00787570" w:rsidRDefault="000D56E2">
            <w:pPr>
              <w:jc w:val="right"/>
              <w:textAlignment w:val="bottom"/>
            </w:pPr>
            <w:r>
              <w:rPr>
                <w:rFonts w:ascii="Arial" w:eastAsia="宋体" w:hAnsi="Arial" w:cs="Arial"/>
                <w:color w:val="333333"/>
                <w:sz w:val="18"/>
                <w:szCs w:val="18"/>
              </w:rPr>
              <w:t>87 </w:t>
            </w:r>
          </w:p>
        </w:tc>
        <w:tc>
          <w:tcPr>
            <w:tcW w:w="0" w:type="auto"/>
            <w:shd w:val="clear" w:color="auto" w:fill="auto"/>
            <w:tcMar>
              <w:top w:w="40" w:type="dxa"/>
              <w:bottom w:w="40" w:type="dxa"/>
              <w:right w:w="20" w:type="dxa"/>
            </w:tcMar>
            <w:vAlign w:val="bottom"/>
          </w:tcPr>
          <w:p w14:paraId="36CA38C8"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38C9"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38CA" w14:textId="77777777" w:rsidR="00787570" w:rsidRDefault="000D56E2">
            <w:pPr>
              <w:jc w:val="right"/>
              <w:textAlignment w:val="bottom"/>
            </w:pPr>
            <w:r>
              <w:rPr>
                <w:rFonts w:ascii="Arial" w:eastAsia="宋体" w:hAnsi="Arial" w:cs="Arial"/>
                <w:color w:val="333333"/>
                <w:sz w:val="18"/>
                <w:szCs w:val="18"/>
              </w:rPr>
              <w:t>1,578 </w:t>
            </w:r>
          </w:p>
        </w:tc>
        <w:tc>
          <w:tcPr>
            <w:tcW w:w="0" w:type="auto"/>
            <w:shd w:val="clear" w:color="auto" w:fill="auto"/>
            <w:tcMar>
              <w:top w:w="40" w:type="dxa"/>
              <w:bottom w:w="40" w:type="dxa"/>
              <w:right w:w="20" w:type="dxa"/>
            </w:tcMar>
            <w:vAlign w:val="bottom"/>
          </w:tcPr>
          <w:p w14:paraId="36CA38CB"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38CC"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38CD" w14:textId="77777777" w:rsidR="00787570" w:rsidRDefault="000D56E2">
            <w:pPr>
              <w:jc w:val="right"/>
              <w:textAlignment w:val="bottom"/>
            </w:pPr>
            <w:r>
              <w:rPr>
                <w:rFonts w:ascii="Arial" w:eastAsia="宋体" w:hAnsi="Arial" w:cs="Arial"/>
                <w:color w:val="333333"/>
                <w:sz w:val="18"/>
                <w:szCs w:val="18"/>
              </w:rPr>
              <w:t>— </w:t>
            </w:r>
          </w:p>
        </w:tc>
        <w:tc>
          <w:tcPr>
            <w:tcW w:w="0" w:type="auto"/>
            <w:shd w:val="clear" w:color="auto" w:fill="auto"/>
            <w:tcMar>
              <w:top w:w="40" w:type="dxa"/>
              <w:bottom w:w="40" w:type="dxa"/>
              <w:right w:w="20" w:type="dxa"/>
            </w:tcMar>
            <w:vAlign w:val="bottom"/>
          </w:tcPr>
          <w:p w14:paraId="36CA38CE"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38CF"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38D0" w14:textId="77777777" w:rsidR="00787570" w:rsidRDefault="000D56E2">
            <w:pPr>
              <w:jc w:val="right"/>
              <w:textAlignment w:val="bottom"/>
            </w:pPr>
            <w:r>
              <w:rPr>
                <w:rFonts w:ascii="Arial" w:eastAsia="宋体" w:hAnsi="Arial" w:cs="Arial"/>
                <w:color w:val="333333"/>
                <w:sz w:val="18"/>
                <w:szCs w:val="18"/>
              </w:rPr>
              <w:t>1,665 </w:t>
            </w:r>
          </w:p>
        </w:tc>
        <w:tc>
          <w:tcPr>
            <w:tcW w:w="0" w:type="auto"/>
            <w:shd w:val="clear" w:color="auto" w:fill="auto"/>
            <w:tcMar>
              <w:top w:w="40" w:type="dxa"/>
              <w:bottom w:w="40" w:type="dxa"/>
              <w:right w:w="20" w:type="dxa"/>
            </w:tcMar>
            <w:vAlign w:val="bottom"/>
          </w:tcPr>
          <w:p w14:paraId="36CA38D1" w14:textId="77777777" w:rsidR="00787570" w:rsidRDefault="00787570">
            <w:pPr>
              <w:jc w:val="right"/>
              <w:rPr>
                <w:rFonts w:ascii="宋体"/>
              </w:rPr>
            </w:pPr>
          </w:p>
        </w:tc>
        <w:tc>
          <w:tcPr>
            <w:tcW w:w="0" w:type="auto"/>
            <w:shd w:val="clear" w:color="auto" w:fill="auto"/>
          </w:tcPr>
          <w:p w14:paraId="36CA38D2" w14:textId="77777777" w:rsidR="00787570" w:rsidRDefault="00787570">
            <w:pPr>
              <w:rPr>
                <w:rFonts w:ascii="宋体"/>
              </w:rPr>
            </w:pPr>
          </w:p>
        </w:tc>
        <w:tc>
          <w:tcPr>
            <w:tcW w:w="0" w:type="auto"/>
            <w:shd w:val="clear" w:color="auto" w:fill="auto"/>
          </w:tcPr>
          <w:p w14:paraId="36CA38D3" w14:textId="77777777" w:rsidR="00787570" w:rsidRDefault="00787570">
            <w:pPr>
              <w:rPr>
                <w:rFonts w:ascii="宋体"/>
              </w:rPr>
            </w:pPr>
          </w:p>
        </w:tc>
        <w:tc>
          <w:tcPr>
            <w:tcW w:w="0" w:type="auto"/>
            <w:shd w:val="clear" w:color="auto" w:fill="auto"/>
          </w:tcPr>
          <w:p w14:paraId="36CA38D4" w14:textId="77777777" w:rsidR="00787570" w:rsidRDefault="00787570">
            <w:pPr>
              <w:rPr>
                <w:rFonts w:ascii="宋体"/>
              </w:rPr>
            </w:pPr>
          </w:p>
        </w:tc>
        <w:tc>
          <w:tcPr>
            <w:tcW w:w="0" w:type="auto"/>
            <w:shd w:val="clear" w:color="auto" w:fill="auto"/>
          </w:tcPr>
          <w:p w14:paraId="36CA38D5" w14:textId="77777777" w:rsidR="00787570" w:rsidRDefault="00787570">
            <w:pPr>
              <w:rPr>
                <w:rFonts w:ascii="宋体"/>
              </w:rPr>
            </w:pPr>
          </w:p>
        </w:tc>
        <w:tc>
          <w:tcPr>
            <w:tcW w:w="0" w:type="auto"/>
            <w:shd w:val="clear" w:color="auto" w:fill="auto"/>
          </w:tcPr>
          <w:p w14:paraId="36CA38D6" w14:textId="77777777" w:rsidR="00787570" w:rsidRDefault="00787570">
            <w:pPr>
              <w:rPr>
                <w:rFonts w:ascii="宋体"/>
              </w:rPr>
            </w:pPr>
          </w:p>
        </w:tc>
        <w:tc>
          <w:tcPr>
            <w:tcW w:w="0" w:type="auto"/>
            <w:shd w:val="clear" w:color="auto" w:fill="auto"/>
          </w:tcPr>
          <w:p w14:paraId="36CA38D7" w14:textId="77777777" w:rsidR="00787570" w:rsidRDefault="00787570">
            <w:pPr>
              <w:rPr>
                <w:rFonts w:ascii="宋体"/>
              </w:rPr>
            </w:pPr>
          </w:p>
        </w:tc>
        <w:tc>
          <w:tcPr>
            <w:tcW w:w="0" w:type="auto"/>
            <w:shd w:val="clear" w:color="auto" w:fill="auto"/>
          </w:tcPr>
          <w:p w14:paraId="36CA38D8" w14:textId="77777777" w:rsidR="00787570" w:rsidRDefault="00787570">
            <w:pPr>
              <w:rPr>
                <w:rFonts w:ascii="宋体"/>
              </w:rPr>
            </w:pPr>
          </w:p>
        </w:tc>
        <w:tc>
          <w:tcPr>
            <w:tcW w:w="0" w:type="auto"/>
            <w:shd w:val="clear" w:color="auto" w:fill="auto"/>
          </w:tcPr>
          <w:p w14:paraId="36CA38D9" w14:textId="77777777" w:rsidR="00787570" w:rsidRDefault="00787570">
            <w:pPr>
              <w:rPr>
                <w:rFonts w:ascii="宋体"/>
              </w:rPr>
            </w:pPr>
          </w:p>
        </w:tc>
        <w:tc>
          <w:tcPr>
            <w:tcW w:w="0" w:type="auto"/>
            <w:shd w:val="clear" w:color="auto" w:fill="auto"/>
          </w:tcPr>
          <w:p w14:paraId="36CA38DA" w14:textId="77777777" w:rsidR="00787570" w:rsidRDefault="00787570">
            <w:pPr>
              <w:rPr>
                <w:rFonts w:ascii="宋体"/>
              </w:rPr>
            </w:pPr>
          </w:p>
        </w:tc>
        <w:tc>
          <w:tcPr>
            <w:tcW w:w="0" w:type="auto"/>
            <w:shd w:val="clear" w:color="auto" w:fill="auto"/>
          </w:tcPr>
          <w:p w14:paraId="36CA38DB" w14:textId="77777777" w:rsidR="00787570" w:rsidRDefault="00787570">
            <w:pPr>
              <w:rPr>
                <w:rFonts w:ascii="宋体"/>
              </w:rPr>
            </w:pPr>
          </w:p>
        </w:tc>
        <w:tc>
          <w:tcPr>
            <w:tcW w:w="0" w:type="auto"/>
            <w:shd w:val="clear" w:color="auto" w:fill="auto"/>
          </w:tcPr>
          <w:p w14:paraId="36CA38DC" w14:textId="77777777" w:rsidR="00787570" w:rsidRDefault="00787570">
            <w:pPr>
              <w:rPr>
                <w:rFonts w:ascii="宋体"/>
              </w:rPr>
            </w:pPr>
          </w:p>
        </w:tc>
        <w:tc>
          <w:tcPr>
            <w:tcW w:w="0" w:type="auto"/>
            <w:shd w:val="clear" w:color="auto" w:fill="auto"/>
          </w:tcPr>
          <w:p w14:paraId="36CA38DD" w14:textId="77777777" w:rsidR="00787570" w:rsidRDefault="00787570">
            <w:pPr>
              <w:rPr>
                <w:rFonts w:ascii="宋体"/>
              </w:rPr>
            </w:pPr>
          </w:p>
        </w:tc>
      </w:tr>
      <w:tr w:rsidR="00787570" w14:paraId="36CA3904" w14:textId="77777777">
        <w:tc>
          <w:tcPr>
            <w:tcW w:w="0" w:type="auto"/>
            <w:gridSpan w:val="3"/>
            <w:shd w:val="clear" w:color="auto" w:fill="auto"/>
            <w:tcMar>
              <w:top w:w="40" w:type="dxa"/>
              <w:left w:w="120" w:type="dxa"/>
              <w:bottom w:w="40" w:type="dxa"/>
              <w:right w:w="20" w:type="dxa"/>
            </w:tcMar>
          </w:tcPr>
          <w:p w14:paraId="36CA38DF" w14:textId="77777777" w:rsidR="00787570" w:rsidRDefault="000D56E2">
            <w:pPr>
              <w:textAlignment w:val="top"/>
            </w:pPr>
            <w:r>
              <w:rPr>
                <w:rFonts w:ascii="Arial" w:eastAsia="宋体" w:hAnsi="Arial" w:cs="Arial"/>
                <w:color w:val="333333"/>
                <w:sz w:val="18"/>
                <w:szCs w:val="18"/>
              </w:rPr>
              <w:t>Government debt²</w:t>
            </w:r>
          </w:p>
        </w:tc>
        <w:tc>
          <w:tcPr>
            <w:tcW w:w="0" w:type="auto"/>
            <w:gridSpan w:val="3"/>
            <w:shd w:val="clear" w:color="auto" w:fill="auto"/>
            <w:tcMar>
              <w:left w:w="20" w:type="dxa"/>
              <w:right w:w="20" w:type="dxa"/>
            </w:tcMar>
            <w:vAlign w:val="bottom"/>
          </w:tcPr>
          <w:p w14:paraId="36CA38E0"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38E1" w14:textId="77777777" w:rsidR="00787570" w:rsidRDefault="000D56E2">
            <w:pPr>
              <w:jc w:val="right"/>
              <w:textAlignment w:val="bottom"/>
            </w:pPr>
            <w:r>
              <w:rPr>
                <w:rFonts w:ascii="Arial" w:eastAsia="宋体" w:hAnsi="Arial" w:cs="Arial"/>
                <w:color w:val="026DCE"/>
                <w:sz w:val="18"/>
                <w:szCs w:val="18"/>
              </w:rPr>
              <w:t>— </w:t>
            </w:r>
          </w:p>
        </w:tc>
        <w:tc>
          <w:tcPr>
            <w:tcW w:w="0" w:type="auto"/>
            <w:shd w:val="clear" w:color="auto" w:fill="auto"/>
            <w:tcMar>
              <w:top w:w="40" w:type="dxa"/>
              <w:bottom w:w="40" w:type="dxa"/>
              <w:right w:w="20" w:type="dxa"/>
            </w:tcMar>
            <w:vAlign w:val="bottom"/>
          </w:tcPr>
          <w:p w14:paraId="36CA38E2"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38E3"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38E4" w14:textId="77777777" w:rsidR="00787570" w:rsidRDefault="000D56E2">
            <w:pPr>
              <w:jc w:val="right"/>
              <w:textAlignment w:val="bottom"/>
            </w:pPr>
            <w:r>
              <w:rPr>
                <w:rFonts w:ascii="Arial" w:eastAsia="宋体" w:hAnsi="Arial" w:cs="Arial"/>
                <w:color w:val="026DCE"/>
                <w:sz w:val="18"/>
                <w:szCs w:val="18"/>
              </w:rPr>
              <w:t>5,175 </w:t>
            </w:r>
          </w:p>
        </w:tc>
        <w:tc>
          <w:tcPr>
            <w:tcW w:w="0" w:type="auto"/>
            <w:shd w:val="clear" w:color="auto" w:fill="auto"/>
            <w:tcMar>
              <w:top w:w="40" w:type="dxa"/>
              <w:bottom w:w="40" w:type="dxa"/>
              <w:right w:w="20" w:type="dxa"/>
            </w:tcMar>
            <w:vAlign w:val="bottom"/>
          </w:tcPr>
          <w:p w14:paraId="36CA38E5"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38E6"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38E7" w14:textId="77777777" w:rsidR="00787570" w:rsidRDefault="000D56E2">
            <w:pPr>
              <w:jc w:val="right"/>
              <w:textAlignment w:val="bottom"/>
            </w:pPr>
            <w:r>
              <w:rPr>
                <w:rFonts w:ascii="Arial" w:eastAsia="宋体" w:hAnsi="Arial" w:cs="Arial"/>
                <w:color w:val="026DCE"/>
                <w:sz w:val="18"/>
                <w:szCs w:val="18"/>
              </w:rPr>
              <w:t>— </w:t>
            </w:r>
          </w:p>
        </w:tc>
        <w:tc>
          <w:tcPr>
            <w:tcW w:w="0" w:type="auto"/>
            <w:shd w:val="clear" w:color="auto" w:fill="auto"/>
            <w:tcMar>
              <w:top w:w="40" w:type="dxa"/>
              <w:bottom w:w="40" w:type="dxa"/>
              <w:right w:w="20" w:type="dxa"/>
            </w:tcMar>
            <w:vAlign w:val="bottom"/>
          </w:tcPr>
          <w:p w14:paraId="36CA38E8"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38E9"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38EA" w14:textId="77777777" w:rsidR="00787570" w:rsidRDefault="000D56E2">
            <w:pPr>
              <w:jc w:val="right"/>
              <w:textAlignment w:val="bottom"/>
            </w:pPr>
            <w:r>
              <w:rPr>
                <w:rFonts w:ascii="Arial" w:eastAsia="宋体" w:hAnsi="Arial" w:cs="Arial"/>
                <w:color w:val="026DCE"/>
                <w:sz w:val="18"/>
                <w:szCs w:val="18"/>
              </w:rPr>
              <w:t>5,175 </w:t>
            </w:r>
          </w:p>
        </w:tc>
        <w:tc>
          <w:tcPr>
            <w:tcW w:w="0" w:type="auto"/>
            <w:shd w:val="clear" w:color="auto" w:fill="auto"/>
            <w:tcMar>
              <w:top w:w="40" w:type="dxa"/>
              <w:bottom w:w="40" w:type="dxa"/>
              <w:right w:w="20" w:type="dxa"/>
            </w:tcMar>
            <w:vAlign w:val="bottom"/>
          </w:tcPr>
          <w:p w14:paraId="36CA38EB"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38EC"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38ED" w14:textId="77777777" w:rsidR="00787570" w:rsidRDefault="000D56E2">
            <w:pPr>
              <w:jc w:val="right"/>
              <w:textAlignment w:val="bottom"/>
            </w:pPr>
            <w:r>
              <w:rPr>
                <w:rFonts w:ascii="Arial" w:eastAsia="宋体" w:hAnsi="Arial" w:cs="Arial"/>
                <w:color w:val="333333"/>
                <w:sz w:val="18"/>
                <w:szCs w:val="18"/>
              </w:rPr>
              <w:t>— </w:t>
            </w:r>
          </w:p>
        </w:tc>
        <w:tc>
          <w:tcPr>
            <w:tcW w:w="0" w:type="auto"/>
            <w:shd w:val="clear" w:color="auto" w:fill="auto"/>
            <w:tcMar>
              <w:top w:w="40" w:type="dxa"/>
              <w:bottom w:w="40" w:type="dxa"/>
              <w:right w:w="20" w:type="dxa"/>
            </w:tcMar>
            <w:vAlign w:val="bottom"/>
          </w:tcPr>
          <w:p w14:paraId="36CA38EE"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38EF"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38F0" w14:textId="77777777" w:rsidR="00787570" w:rsidRDefault="000D56E2">
            <w:pPr>
              <w:jc w:val="right"/>
              <w:textAlignment w:val="bottom"/>
            </w:pPr>
            <w:r>
              <w:rPr>
                <w:rFonts w:ascii="Arial" w:eastAsia="宋体" w:hAnsi="Arial" w:cs="Arial"/>
                <w:color w:val="333333"/>
                <w:sz w:val="18"/>
                <w:szCs w:val="18"/>
              </w:rPr>
              <w:t>3,334 </w:t>
            </w:r>
          </w:p>
        </w:tc>
        <w:tc>
          <w:tcPr>
            <w:tcW w:w="0" w:type="auto"/>
            <w:shd w:val="clear" w:color="auto" w:fill="auto"/>
            <w:tcMar>
              <w:top w:w="40" w:type="dxa"/>
              <w:bottom w:w="40" w:type="dxa"/>
              <w:right w:w="20" w:type="dxa"/>
            </w:tcMar>
            <w:vAlign w:val="bottom"/>
          </w:tcPr>
          <w:p w14:paraId="36CA38F1"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38F2"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38F3" w14:textId="77777777" w:rsidR="00787570" w:rsidRDefault="000D56E2">
            <w:pPr>
              <w:jc w:val="right"/>
              <w:textAlignment w:val="bottom"/>
            </w:pPr>
            <w:r>
              <w:rPr>
                <w:rFonts w:ascii="Arial" w:eastAsia="宋体" w:hAnsi="Arial" w:cs="Arial"/>
                <w:color w:val="333333"/>
                <w:sz w:val="18"/>
                <w:szCs w:val="18"/>
              </w:rPr>
              <w:t>— </w:t>
            </w:r>
          </w:p>
        </w:tc>
        <w:tc>
          <w:tcPr>
            <w:tcW w:w="0" w:type="auto"/>
            <w:shd w:val="clear" w:color="auto" w:fill="auto"/>
            <w:tcMar>
              <w:top w:w="40" w:type="dxa"/>
              <w:bottom w:w="40" w:type="dxa"/>
              <w:right w:w="20" w:type="dxa"/>
            </w:tcMar>
            <w:vAlign w:val="bottom"/>
          </w:tcPr>
          <w:p w14:paraId="36CA38F4"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38F5"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38F6" w14:textId="77777777" w:rsidR="00787570" w:rsidRDefault="000D56E2">
            <w:pPr>
              <w:jc w:val="right"/>
              <w:textAlignment w:val="bottom"/>
            </w:pPr>
            <w:r>
              <w:rPr>
                <w:rFonts w:ascii="Arial" w:eastAsia="宋体" w:hAnsi="Arial" w:cs="Arial"/>
                <w:color w:val="333333"/>
                <w:sz w:val="18"/>
                <w:szCs w:val="18"/>
              </w:rPr>
              <w:t>3,334 </w:t>
            </w:r>
          </w:p>
        </w:tc>
        <w:tc>
          <w:tcPr>
            <w:tcW w:w="0" w:type="auto"/>
            <w:shd w:val="clear" w:color="auto" w:fill="auto"/>
            <w:tcMar>
              <w:top w:w="40" w:type="dxa"/>
              <w:bottom w:w="40" w:type="dxa"/>
              <w:right w:w="20" w:type="dxa"/>
            </w:tcMar>
            <w:vAlign w:val="bottom"/>
          </w:tcPr>
          <w:p w14:paraId="36CA38F7" w14:textId="77777777" w:rsidR="00787570" w:rsidRDefault="00787570">
            <w:pPr>
              <w:jc w:val="right"/>
              <w:rPr>
                <w:rFonts w:ascii="宋体"/>
              </w:rPr>
            </w:pPr>
          </w:p>
        </w:tc>
        <w:tc>
          <w:tcPr>
            <w:tcW w:w="0" w:type="auto"/>
            <w:shd w:val="clear" w:color="auto" w:fill="auto"/>
          </w:tcPr>
          <w:p w14:paraId="36CA38F8" w14:textId="77777777" w:rsidR="00787570" w:rsidRDefault="00787570">
            <w:pPr>
              <w:rPr>
                <w:rFonts w:ascii="宋体"/>
              </w:rPr>
            </w:pPr>
          </w:p>
        </w:tc>
        <w:tc>
          <w:tcPr>
            <w:tcW w:w="0" w:type="auto"/>
            <w:shd w:val="clear" w:color="auto" w:fill="auto"/>
          </w:tcPr>
          <w:p w14:paraId="36CA38F9" w14:textId="77777777" w:rsidR="00787570" w:rsidRDefault="00787570">
            <w:pPr>
              <w:rPr>
                <w:rFonts w:ascii="宋体"/>
              </w:rPr>
            </w:pPr>
          </w:p>
        </w:tc>
        <w:tc>
          <w:tcPr>
            <w:tcW w:w="0" w:type="auto"/>
            <w:shd w:val="clear" w:color="auto" w:fill="auto"/>
          </w:tcPr>
          <w:p w14:paraId="36CA38FA" w14:textId="77777777" w:rsidR="00787570" w:rsidRDefault="00787570">
            <w:pPr>
              <w:rPr>
                <w:rFonts w:ascii="宋体"/>
              </w:rPr>
            </w:pPr>
          </w:p>
        </w:tc>
        <w:tc>
          <w:tcPr>
            <w:tcW w:w="0" w:type="auto"/>
            <w:shd w:val="clear" w:color="auto" w:fill="auto"/>
          </w:tcPr>
          <w:p w14:paraId="36CA38FB" w14:textId="77777777" w:rsidR="00787570" w:rsidRDefault="00787570">
            <w:pPr>
              <w:rPr>
                <w:rFonts w:ascii="宋体"/>
              </w:rPr>
            </w:pPr>
          </w:p>
        </w:tc>
        <w:tc>
          <w:tcPr>
            <w:tcW w:w="0" w:type="auto"/>
            <w:shd w:val="clear" w:color="auto" w:fill="auto"/>
          </w:tcPr>
          <w:p w14:paraId="36CA38FC" w14:textId="77777777" w:rsidR="00787570" w:rsidRDefault="00787570">
            <w:pPr>
              <w:rPr>
                <w:rFonts w:ascii="宋体"/>
              </w:rPr>
            </w:pPr>
          </w:p>
        </w:tc>
        <w:tc>
          <w:tcPr>
            <w:tcW w:w="0" w:type="auto"/>
            <w:shd w:val="clear" w:color="auto" w:fill="auto"/>
          </w:tcPr>
          <w:p w14:paraId="36CA38FD" w14:textId="77777777" w:rsidR="00787570" w:rsidRDefault="00787570">
            <w:pPr>
              <w:rPr>
                <w:rFonts w:ascii="宋体"/>
              </w:rPr>
            </w:pPr>
          </w:p>
        </w:tc>
        <w:tc>
          <w:tcPr>
            <w:tcW w:w="0" w:type="auto"/>
            <w:shd w:val="clear" w:color="auto" w:fill="auto"/>
          </w:tcPr>
          <w:p w14:paraId="36CA38FE" w14:textId="77777777" w:rsidR="00787570" w:rsidRDefault="00787570">
            <w:pPr>
              <w:rPr>
                <w:rFonts w:ascii="宋体"/>
              </w:rPr>
            </w:pPr>
          </w:p>
        </w:tc>
        <w:tc>
          <w:tcPr>
            <w:tcW w:w="0" w:type="auto"/>
            <w:shd w:val="clear" w:color="auto" w:fill="auto"/>
          </w:tcPr>
          <w:p w14:paraId="36CA38FF" w14:textId="77777777" w:rsidR="00787570" w:rsidRDefault="00787570">
            <w:pPr>
              <w:rPr>
                <w:rFonts w:ascii="宋体"/>
              </w:rPr>
            </w:pPr>
          </w:p>
        </w:tc>
        <w:tc>
          <w:tcPr>
            <w:tcW w:w="0" w:type="auto"/>
            <w:shd w:val="clear" w:color="auto" w:fill="auto"/>
          </w:tcPr>
          <w:p w14:paraId="36CA3900" w14:textId="77777777" w:rsidR="00787570" w:rsidRDefault="00787570">
            <w:pPr>
              <w:rPr>
                <w:rFonts w:ascii="宋体"/>
              </w:rPr>
            </w:pPr>
          </w:p>
        </w:tc>
        <w:tc>
          <w:tcPr>
            <w:tcW w:w="0" w:type="auto"/>
            <w:shd w:val="clear" w:color="auto" w:fill="auto"/>
          </w:tcPr>
          <w:p w14:paraId="36CA3901" w14:textId="77777777" w:rsidR="00787570" w:rsidRDefault="00787570">
            <w:pPr>
              <w:rPr>
                <w:rFonts w:ascii="宋体"/>
              </w:rPr>
            </w:pPr>
          </w:p>
        </w:tc>
        <w:tc>
          <w:tcPr>
            <w:tcW w:w="0" w:type="auto"/>
            <w:shd w:val="clear" w:color="auto" w:fill="auto"/>
          </w:tcPr>
          <w:p w14:paraId="36CA3902" w14:textId="77777777" w:rsidR="00787570" w:rsidRDefault="00787570">
            <w:pPr>
              <w:rPr>
                <w:rFonts w:ascii="宋体"/>
              </w:rPr>
            </w:pPr>
          </w:p>
        </w:tc>
        <w:tc>
          <w:tcPr>
            <w:tcW w:w="0" w:type="auto"/>
            <w:shd w:val="clear" w:color="auto" w:fill="auto"/>
          </w:tcPr>
          <w:p w14:paraId="36CA3903" w14:textId="77777777" w:rsidR="00787570" w:rsidRDefault="00787570">
            <w:pPr>
              <w:rPr>
                <w:rFonts w:ascii="宋体"/>
              </w:rPr>
            </w:pPr>
          </w:p>
        </w:tc>
      </w:tr>
      <w:tr w:rsidR="00787570" w14:paraId="36CA3922" w14:textId="77777777">
        <w:tc>
          <w:tcPr>
            <w:tcW w:w="0" w:type="auto"/>
            <w:gridSpan w:val="3"/>
            <w:shd w:val="clear" w:color="auto" w:fill="auto"/>
            <w:tcMar>
              <w:top w:w="40" w:type="dxa"/>
              <w:left w:w="20" w:type="dxa"/>
              <w:bottom w:w="40" w:type="dxa"/>
              <w:right w:w="20" w:type="dxa"/>
            </w:tcMar>
          </w:tcPr>
          <w:p w14:paraId="36CA3905" w14:textId="77777777" w:rsidR="00787570" w:rsidRDefault="000D56E2">
            <w:pPr>
              <w:textAlignment w:val="top"/>
            </w:pPr>
            <w:r>
              <w:rPr>
                <w:rFonts w:ascii="Arial" w:eastAsia="宋体" w:hAnsi="Arial" w:cs="Arial"/>
                <w:color w:val="333333"/>
                <w:sz w:val="18"/>
                <w:szCs w:val="18"/>
              </w:rPr>
              <w:t>Other current assets:</w:t>
            </w:r>
          </w:p>
        </w:tc>
        <w:tc>
          <w:tcPr>
            <w:tcW w:w="0" w:type="auto"/>
            <w:gridSpan w:val="3"/>
            <w:shd w:val="clear" w:color="auto" w:fill="auto"/>
            <w:tcMar>
              <w:left w:w="20" w:type="dxa"/>
              <w:right w:w="20" w:type="dxa"/>
            </w:tcMar>
            <w:vAlign w:val="bottom"/>
          </w:tcPr>
          <w:p w14:paraId="36CA3906"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3907"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3908"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3909"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390A"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390B"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390C"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390D"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390E"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390F"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3910"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3911"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3912"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3913"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3914"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3915" w14:textId="77777777" w:rsidR="00787570" w:rsidRDefault="00787570">
            <w:pPr>
              <w:rPr>
                <w:rFonts w:ascii="宋体"/>
              </w:rPr>
            </w:pPr>
          </w:p>
        </w:tc>
        <w:tc>
          <w:tcPr>
            <w:tcW w:w="0" w:type="auto"/>
            <w:shd w:val="clear" w:color="auto" w:fill="auto"/>
          </w:tcPr>
          <w:p w14:paraId="36CA3916" w14:textId="77777777" w:rsidR="00787570" w:rsidRDefault="00787570">
            <w:pPr>
              <w:rPr>
                <w:rFonts w:ascii="宋体"/>
              </w:rPr>
            </w:pPr>
          </w:p>
        </w:tc>
        <w:tc>
          <w:tcPr>
            <w:tcW w:w="0" w:type="auto"/>
            <w:shd w:val="clear" w:color="auto" w:fill="auto"/>
          </w:tcPr>
          <w:p w14:paraId="36CA3917" w14:textId="77777777" w:rsidR="00787570" w:rsidRDefault="00787570">
            <w:pPr>
              <w:rPr>
                <w:rFonts w:ascii="宋体"/>
              </w:rPr>
            </w:pPr>
          </w:p>
        </w:tc>
        <w:tc>
          <w:tcPr>
            <w:tcW w:w="0" w:type="auto"/>
            <w:shd w:val="clear" w:color="auto" w:fill="auto"/>
          </w:tcPr>
          <w:p w14:paraId="36CA3918" w14:textId="77777777" w:rsidR="00787570" w:rsidRDefault="00787570">
            <w:pPr>
              <w:rPr>
                <w:rFonts w:ascii="宋体"/>
              </w:rPr>
            </w:pPr>
          </w:p>
        </w:tc>
        <w:tc>
          <w:tcPr>
            <w:tcW w:w="0" w:type="auto"/>
            <w:shd w:val="clear" w:color="auto" w:fill="auto"/>
          </w:tcPr>
          <w:p w14:paraId="36CA3919" w14:textId="77777777" w:rsidR="00787570" w:rsidRDefault="00787570">
            <w:pPr>
              <w:rPr>
                <w:rFonts w:ascii="宋体"/>
              </w:rPr>
            </w:pPr>
          </w:p>
        </w:tc>
        <w:tc>
          <w:tcPr>
            <w:tcW w:w="0" w:type="auto"/>
            <w:shd w:val="clear" w:color="auto" w:fill="auto"/>
          </w:tcPr>
          <w:p w14:paraId="36CA391A" w14:textId="77777777" w:rsidR="00787570" w:rsidRDefault="00787570">
            <w:pPr>
              <w:rPr>
                <w:rFonts w:ascii="宋体"/>
              </w:rPr>
            </w:pPr>
          </w:p>
        </w:tc>
        <w:tc>
          <w:tcPr>
            <w:tcW w:w="0" w:type="auto"/>
            <w:shd w:val="clear" w:color="auto" w:fill="auto"/>
          </w:tcPr>
          <w:p w14:paraId="36CA391B" w14:textId="77777777" w:rsidR="00787570" w:rsidRDefault="00787570">
            <w:pPr>
              <w:rPr>
                <w:rFonts w:ascii="宋体"/>
              </w:rPr>
            </w:pPr>
          </w:p>
        </w:tc>
        <w:tc>
          <w:tcPr>
            <w:tcW w:w="0" w:type="auto"/>
            <w:shd w:val="clear" w:color="auto" w:fill="auto"/>
          </w:tcPr>
          <w:p w14:paraId="36CA391C" w14:textId="77777777" w:rsidR="00787570" w:rsidRDefault="00787570">
            <w:pPr>
              <w:rPr>
                <w:rFonts w:ascii="宋体"/>
              </w:rPr>
            </w:pPr>
          </w:p>
        </w:tc>
        <w:tc>
          <w:tcPr>
            <w:tcW w:w="0" w:type="auto"/>
            <w:shd w:val="clear" w:color="auto" w:fill="auto"/>
          </w:tcPr>
          <w:p w14:paraId="36CA391D" w14:textId="77777777" w:rsidR="00787570" w:rsidRDefault="00787570">
            <w:pPr>
              <w:rPr>
                <w:rFonts w:ascii="宋体"/>
              </w:rPr>
            </w:pPr>
          </w:p>
        </w:tc>
        <w:tc>
          <w:tcPr>
            <w:tcW w:w="0" w:type="auto"/>
            <w:shd w:val="clear" w:color="auto" w:fill="auto"/>
          </w:tcPr>
          <w:p w14:paraId="36CA391E" w14:textId="77777777" w:rsidR="00787570" w:rsidRDefault="00787570">
            <w:pPr>
              <w:rPr>
                <w:rFonts w:ascii="宋体"/>
              </w:rPr>
            </w:pPr>
          </w:p>
        </w:tc>
        <w:tc>
          <w:tcPr>
            <w:tcW w:w="0" w:type="auto"/>
            <w:shd w:val="clear" w:color="auto" w:fill="auto"/>
          </w:tcPr>
          <w:p w14:paraId="36CA391F" w14:textId="77777777" w:rsidR="00787570" w:rsidRDefault="00787570">
            <w:pPr>
              <w:rPr>
                <w:rFonts w:ascii="宋体"/>
              </w:rPr>
            </w:pPr>
          </w:p>
        </w:tc>
        <w:tc>
          <w:tcPr>
            <w:tcW w:w="0" w:type="auto"/>
            <w:shd w:val="clear" w:color="auto" w:fill="auto"/>
          </w:tcPr>
          <w:p w14:paraId="36CA3920" w14:textId="77777777" w:rsidR="00787570" w:rsidRDefault="00787570">
            <w:pPr>
              <w:rPr>
                <w:rFonts w:ascii="宋体"/>
              </w:rPr>
            </w:pPr>
          </w:p>
        </w:tc>
        <w:tc>
          <w:tcPr>
            <w:tcW w:w="0" w:type="auto"/>
            <w:shd w:val="clear" w:color="auto" w:fill="auto"/>
          </w:tcPr>
          <w:p w14:paraId="36CA3921" w14:textId="77777777" w:rsidR="00787570" w:rsidRDefault="00787570">
            <w:pPr>
              <w:rPr>
                <w:rFonts w:ascii="宋体"/>
              </w:rPr>
            </w:pPr>
          </w:p>
        </w:tc>
      </w:tr>
      <w:tr w:rsidR="00787570" w14:paraId="36CA3948" w14:textId="77777777">
        <w:tc>
          <w:tcPr>
            <w:tcW w:w="0" w:type="auto"/>
            <w:gridSpan w:val="3"/>
            <w:shd w:val="clear" w:color="auto" w:fill="auto"/>
            <w:tcMar>
              <w:top w:w="40" w:type="dxa"/>
              <w:left w:w="120" w:type="dxa"/>
              <w:bottom w:w="40" w:type="dxa"/>
              <w:right w:w="20" w:type="dxa"/>
            </w:tcMar>
          </w:tcPr>
          <w:p w14:paraId="36CA3923" w14:textId="77777777" w:rsidR="00787570" w:rsidRDefault="000D56E2">
            <w:pPr>
              <w:textAlignment w:val="top"/>
            </w:pPr>
            <w:r>
              <w:rPr>
                <w:rFonts w:ascii="Arial" w:eastAsia="宋体" w:hAnsi="Arial" w:cs="Arial"/>
                <w:color w:val="333333"/>
                <w:sz w:val="18"/>
                <w:szCs w:val="18"/>
              </w:rPr>
              <w:t>Derivative assets</w:t>
            </w:r>
          </w:p>
        </w:tc>
        <w:tc>
          <w:tcPr>
            <w:tcW w:w="0" w:type="auto"/>
            <w:gridSpan w:val="3"/>
            <w:shd w:val="clear" w:color="auto" w:fill="auto"/>
            <w:tcMar>
              <w:left w:w="20" w:type="dxa"/>
              <w:right w:w="20" w:type="dxa"/>
            </w:tcMar>
            <w:vAlign w:val="bottom"/>
          </w:tcPr>
          <w:p w14:paraId="36CA3924"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3925" w14:textId="77777777" w:rsidR="00787570" w:rsidRDefault="000D56E2">
            <w:pPr>
              <w:jc w:val="right"/>
              <w:textAlignment w:val="bottom"/>
            </w:pPr>
            <w:r>
              <w:rPr>
                <w:rFonts w:ascii="Arial" w:eastAsia="宋体" w:hAnsi="Arial" w:cs="Arial"/>
                <w:color w:val="026DCE"/>
                <w:sz w:val="18"/>
                <w:szCs w:val="18"/>
              </w:rPr>
              <w:t>15 </w:t>
            </w:r>
          </w:p>
        </w:tc>
        <w:tc>
          <w:tcPr>
            <w:tcW w:w="0" w:type="auto"/>
            <w:shd w:val="clear" w:color="auto" w:fill="auto"/>
            <w:tcMar>
              <w:top w:w="40" w:type="dxa"/>
              <w:bottom w:w="40" w:type="dxa"/>
              <w:right w:w="20" w:type="dxa"/>
            </w:tcMar>
            <w:vAlign w:val="bottom"/>
          </w:tcPr>
          <w:p w14:paraId="36CA3926"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3927"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3928" w14:textId="77777777" w:rsidR="00787570" w:rsidRDefault="000D56E2">
            <w:pPr>
              <w:jc w:val="right"/>
              <w:textAlignment w:val="bottom"/>
            </w:pPr>
            <w:r>
              <w:rPr>
                <w:rFonts w:ascii="Arial" w:eastAsia="宋体" w:hAnsi="Arial" w:cs="Arial"/>
                <w:color w:val="026DCE"/>
                <w:sz w:val="18"/>
                <w:szCs w:val="18"/>
              </w:rPr>
              <w:t>310 </w:t>
            </w:r>
          </w:p>
        </w:tc>
        <w:tc>
          <w:tcPr>
            <w:tcW w:w="0" w:type="auto"/>
            <w:shd w:val="clear" w:color="auto" w:fill="auto"/>
            <w:tcMar>
              <w:top w:w="40" w:type="dxa"/>
              <w:bottom w:w="40" w:type="dxa"/>
              <w:right w:w="20" w:type="dxa"/>
            </w:tcMar>
            <w:vAlign w:val="bottom"/>
          </w:tcPr>
          <w:p w14:paraId="36CA3929"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392A"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392B" w14:textId="77777777" w:rsidR="00787570" w:rsidRDefault="000D56E2">
            <w:pPr>
              <w:jc w:val="right"/>
              <w:textAlignment w:val="bottom"/>
            </w:pPr>
            <w:r>
              <w:rPr>
                <w:rFonts w:ascii="Arial" w:eastAsia="宋体" w:hAnsi="Arial" w:cs="Arial"/>
                <w:color w:val="026DCE"/>
                <w:sz w:val="18"/>
                <w:szCs w:val="18"/>
              </w:rPr>
              <w:t>— </w:t>
            </w:r>
          </w:p>
        </w:tc>
        <w:tc>
          <w:tcPr>
            <w:tcW w:w="0" w:type="auto"/>
            <w:shd w:val="clear" w:color="auto" w:fill="auto"/>
            <w:tcMar>
              <w:top w:w="40" w:type="dxa"/>
              <w:bottom w:w="40" w:type="dxa"/>
              <w:right w:w="20" w:type="dxa"/>
            </w:tcMar>
            <w:vAlign w:val="bottom"/>
          </w:tcPr>
          <w:p w14:paraId="36CA392C"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392D"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392E" w14:textId="77777777" w:rsidR="00787570" w:rsidRDefault="000D56E2">
            <w:pPr>
              <w:jc w:val="right"/>
              <w:textAlignment w:val="bottom"/>
            </w:pPr>
            <w:r>
              <w:rPr>
                <w:rFonts w:ascii="Arial" w:eastAsia="宋体" w:hAnsi="Arial" w:cs="Arial"/>
                <w:color w:val="026DCE"/>
                <w:sz w:val="18"/>
                <w:szCs w:val="18"/>
              </w:rPr>
              <w:t>325 </w:t>
            </w:r>
          </w:p>
        </w:tc>
        <w:tc>
          <w:tcPr>
            <w:tcW w:w="0" w:type="auto"/>
            <w:shd w:val="clear" w:color="auto" w:fill="auto"/>
            <w:tcMar>
              <w:top w:w="40" w:type="dxa"/>
              <w:bottom w:w="40" w:type="dxa"/>
              <w:right w:w="20" w:type="dxa"/>
            </w:tcMar>
            <w:vAlign w:val="bottom"/>
          </w:tcPr>
          <w:p w14:paraId="36CA392F"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3930"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3931" w14:textId="77777777" w:rsidR="00787570" w:rsidRDefault="000D56E2">
            <w:pPr>
              <w:jc w:val="right"/>
              <w:textAlignment w:val="bottom"/>
            </w:pPr>
            <w:r>
              <w:rPr>
                <w:rFonts w:ascii="Arial" w:eastAsia="宋体" w:hAnsi="Arial" w:cs="Arial"/>
                <w:color w:val="333333"/>
                <w:sz w:val="18"/>
                <w:szCs w:val="18"/>
              </w:rPr>
              <w:t>50 </w:t>
            </w:r>
          </w:p>
        </w:tc>
        <w:tc>
          <w:tcPr>
            <w:tcW w:w="0" w:type="auto"/>
            <w:shd w:val="clear" w:color="auto" w:fill="auto"/>
            <w:tcMar>
              <w:top w:w="40" w:type="dxa"/>
              <w:bottom w:w="40" w:type="dxa"/>
              <w:right w:w="20" w:type="dxa"/>
            </w:tcMar>
            <w:vAlign w:val="bottom"/>
          </w:tcPr>
          <w:p w14:paraId="36CA3932"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3933"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3934" w14:textId="77777777" w:rsidR="00787570" w:rsidRDefault="000D56E2">
            <w:pPr>
              <w:jc w:val="right"/>
              <w:textAlignment w:val="bottom"/>
            </w:pPr>
            <w:r>
              <w:rPr>
                <w:rFonts w:ascii="Arial" w:eastAsia="宋体" w:hAnsi="Arial" w:cs="Arial"/>
                <w:color w:val="333333"/>
                <w:sz w:val="18"/>
                <w:szCs w:val="18"/>
              </w:rPr>
              <w:t>230 </w:t>
            </w:r>
          </w:p>
        </w:tc>
        <w:tc>
          <w:tcPr>
            <w:tcW w:w="0" w:type="auto"/>
            <w:shd w:val="clear" w:color="auto" w:fill="auto"/>
            <w:tcMar>
              <w:top w:w="40" w:type="dxa"/>
              <w:bottom w:w="40" w:type="dxa"/>
              <w:right w:w="20" w:type="dxa"/>
            </w:tcMar>
            <w:vAlign w:val="bottom"/>
          </w:tcPr>
          <w:p w14:paraId="36CA3935"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3936"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3937" w14:textId="77777777" w:rsidR="00787570" w:rsidRDefault="000D56E2">
            <w:pPr>
              <w:jc w:val="right"/>
              <w:textAlignment w:val="bottom"/>
            </w:pPr>
            <w:r>
              <w:rPr>
                <w:rFonts w:ascii="Arial" w:eastAsia="宋体" w:hAnsi="Arial" w:cs="Arial"/>
                <w:color w:val="333333"/>
                <w:sz w:val="18"/>
                <w:szCs w:val="18"/>
              </w:rPr>
              <w:t>— </w:t>
            </w:r>
          </w:p>
        </w:tc>
        <w:tc>
          <w:tcPr>
            <w:tcW w:w="0" w:type="auto"/>
            <w:shd w:val="clear" w:color="auto" w:fill="auto"/>
            <w:tcMar>
              <w:top w:w="40" w:type="dxa"/>
              <w:bottom w:w="40" w:type="dxa"/>
              <w:right w:w="20" w:type="dxa"/>
            </w:tcMar>
            <w:vAlign w:val="bottom"/>
          </w:tcPr>
          <w:p w14:paraId="36CA3938"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3939"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393A" w14:textId="77777777" w:rsidR="00787570" w:rsidRDefault="000D56E2">
            <w:pPr>
              <w:jc w:val="right"/>
              <w:textAlignment w:val="bottom"/>
            </w:pPr>
            <w:r>
              <w:rPr>
                <w:rFonts w:ascii="Arial" w:eastAsia="宋体" w:hAnsi="Arial" w:cs="Arial"/>
                <w:color w:val="333333"/>
                <w:sz w:val="18"/>
                <w:szCs w:val="18"/>
              </w:rPr>
              <w:t>280 </w:t>
            </w:r>
          </w:p>
        </w:tc>
        <w:tc>
          <w:tcPr>
            <w:tcW w:w="0" w:type="auto"/>
            <w:shd w:val="clear" w:color="auto" w:fill="auto"/>
            <w:tcMar>
              <w:top w:w="40" w:type="dxa"/>
              <w:bottom w:w="40" w:type="dxa"/>
              <w:right w:w="20" w:type="dxa"/>
            </w:tcMar>
            <w:vAlign w:val="bottom"/>
          </w:tcPr>
          <w:p w14:paraId="36CA393B" w14:textId="77777777" w:rsidR="00787570" w:rsidRDefault="00787570">
            <w:pPr>
              <w:jc w:val="right"/>
              <w:rPr>
                <w:rFonts w:ascii="宋体"/>
              </w:rPr>
            </w:pPr>
          </w:p>
        </w:tc>
        <w:tc>
          <w:tcPr>
            <w:tcW w:w="0" w:type="auto"/>
            <w:shd w:val="clear" w:color="auto" w:fill="auto"/>
          </w:tcPr>
          <w:p w14:paraId="36CA393C" w14:textId="77777777" w:rsidR="00787570" w:rsidRDefault="00787570">
            <w:pPr>
              <w:rPr>
                <w:rFonts w:ascii="宋体"/>
              </w:rPr>
            </w:pPr>
          </w:p>
        </w:tc>
        <w:tc>
          <w:tcPr>
            <w:tcW w:w="0" w:type="auto"/>
            <w:shd w:val="clear" w:color="auto" w:fill="auto"/>
          </w:tcPr>
          <w:p w14:paraId="36CA393D" w14:textId="77777777" w:rsidR="00787570" w:rsidRDefault="00787570">
            <w:pPr>
              <w:rPr>
                <w:rFonts w:ascii="宋体"/>
              </w:rPr>
            </w:pPr>
          </w:p>
        </w:tc>
        <w:tc>
          <w:tcPr>
            <w:tcW w:w="0" w:type="auto"/>
            <w:shd w:val="clear" w:color="auto" w:fill="auto"/>
          </w:tcPr>
          <w:p w14:paraId="36CA393E" w14:textId="77777777" w:rsidR="00787570" w:rsidRDefault="00787570">
            <w:pPr>
              <w:rPr>
                <w:rFonts w:ascii="宋体"/>
              </w:rPr>
            </w:pPr>
          </w:p>
        </w:tc>
        <w:tc>
          <w:tcPr>
            <w:tcW w:w="0" w:type="auto"/>
            <w:shd w:val="clear" w:color="auto" w:fill="auto"/>
          </w:tcPr>
          <w:p w14:paraId="36CA393F" w14:textId="77777777" w:rsidR="00787570" w:rsidRDefault="00787570">
            <w:pPr>
              <w:rPr>
                <w:rFonts w:ascii="宋体"/>
              </w:rPr>
            </w:pPr>
          </w:p>
        </w:tc>
        <w:tc>
          <w:tcPr>
            <w:tcW w:w="0" w:type="auto"/>
            <w:shd w:val="clear" w:color="auto" w:fill="auto"/>
          </w:tcPr>
          <w:p w14:paraId="36CA3940" w14:textId="77777777" w:rsidR="00787570" w:rsidRDefault="00787570">
            <w:pPr>
              <w:rPr>
                <w:rFonts w:ascii="宋体"/>
              </w:rPr>
            </w:pPr>
          </w:p>
        </w:tc>
        <w:tc>
          <w:tcPr>
            <w:tcW w:w="0" w:type="auto"/>
            <w:shd w:val="clear" w:color="auto" w:fill="auto"/>
          </w:tcPr>
          <w:p w14:paraId="36CA3941" w14:textId="77777777" w:rsidR="00787570" w:rsidRDefault="00787570">
            <w:pPr>
              <w:rPr>
                <w:rFonts w:ascii="宋体"/>
              </w:rPr>
            </w:pPr>
          </w:p>
        </w:tc>
        <w:tc>
          <w:tcPr>
            <w:tcW w:w="0" w:type="auto"/>
            <w:shd w:val="clear" w:color="auto" w:fill="auto"/>
          </w:tcPr>
          <w:p w14:paraId="36CA3942" w14:textId="77777777" w:rsidR="00787570" w:rsidRDefault="00787570">
            <w:pPr>
              <w:rPr>
                <w:rFonts w:ascii="宋体"/>
              </w:rPr>
            </w:pPr>
          </w:p>
        </w:tc>
        <w:tc>
          <w:tcPr>
            <w:tcW w:w="0" w:type="auto"/>
            <w:shd w:val="clear" w:color="auto" w:fill="auto"/>
          </w:tcPr>
          <w:p w14:paraId="36CA3943" w14:textId="77777777" w:rsidR="00787570" w:rsidRDefault="00787570">
            <w:pPr>
              <w:rPr>
                <w:rFonts w:ascii="宋体"/>
              </w:rPr>
            </w:pPr>
          </w:p>
        </w:tc>
        <w:tc>
          <w:tcPr>
            <w:tcW w:w="0" w:type="auto"/>
            <w:shd w:val="clear" w:color="auto" w:fill="auto"/>
          </w:tcPr>
          <w:p w14:paraId="36CA3944" w14:textId="77777777" w:rsidR="00787570" w:rsidRDefault="00787570">
            <w:pPr>
              <w:rPr>
                <w:rFonts w:ascii="宋体"/>
              </w:rPr>
            </w:pPr>
          </w:p>
        </w:tc>
        <w:tc>
          <w:tcPr>
            <w:tcW w:w="0" w:type="auto"/>
            <w:shd w:val="clear" w:color="auto" w:fill="auto"/>
          </w:tcPr>
          <w:p w14:paraId="36CA3945" w14:textId="77777777" w:rsidR="00787570" w:rsidRDefault="00787570">
            <w:pPr>
              <w:rPr>
                <w:rFonts w:ascii="宋体"/>
              </w:rPr>
            </w:pPr>
          </w:p>
        </w:tc>
        <w:tc>
          <w:tcPr>
            <w:tcW w:w="0" w:type="auto"/>
            <w:shd w:val="clear" w:color="auto" w:fill="auto"/>
          </w:tcPr>
          <w:p w14:paraId="36CA3946" w14:textId="77777777" w:rsidR="00787570" w:rsidRDefault="00787570">
            <w:pPr>
              <w:rPr>
                <w:rFonts w:ascii="宋体"/>
              </w:rPr>
            </w:pPr>
          </w:p>
        </w:tc>
        <w:tc>
          <w:tcPr>
            <w:tcW w:w="0" w:type="auto"/>
            <w:shd w:val="clear" w:color="auto" w:fill="auto"/>
          </w:tcPr>
          <w:p w14:paraId="36CA3947" w14:textId="77777777" w:rsidR="00787570" w:rsidRDefault="00787570">
            <w:pPr>
              <w:rPr>
                <w:rFonts w:ascii="宋体"/>
              </w:rPr>
            </w:pPr>
          </w:p>
        </w:tc>
      </w:tr>
      <w:tr w:rsidR="00787570" w14:paraId="36CA396E" w14:textId="77777777">
        <w:tc>
          <w:tcPr>
            <w:tcW w:w="0" w:type="auto"/>
            <w:gridSpan w:val="3"/>
            <w:shd w:val="clear" w:color="auto" w:fill="auto"/>
            <w:tcMar>
              <w:top w:w="40" w:type="dxa"/>
              <w:left w:w="120" w:type="dxa"/>
              <w:bottom w:w="40" w:type="dxa"/>
              <w:right w:w="20" w:type="dxa"/>
            </w:tcMar>
          </w:tcPr>
          <w:p w14:paraId="36CA3949" w14:textId="77777777" w:rsidR="00787570" w:rsidRDefault="000D56E2">
            <w:pPr>
              <w:textAlignment w:val="top"/>
            </w:pPr>
            <w:r>
              <w:rPr>
                <w:rFonts w:ascii="Arial" w:eastAsia="宋体" w:hAnsi="Arial" w:cs="Arial"/>
                <w:color w:val="333333"/>
                <w:sz w:val="18"/>
                <w:szCs w:val="18"/>
              </w:rPr>
              <w:t>Loans receivable³</w:t>
            </w:r>
          </w:p>
        </w:tc>
        <w:tc>
          <w:tcPr>
            <w:tcW w:w="0" w:type="auto"/>
            <w:gridSpan w:val="3"/>
            <w:shd w:val="clear" w:color="auto" w:fill="auto"/>
            <w:tcMar>
              <w:left w:w="20" w:type="dxa"/>
              <w:right w:w="20" w:type="dxa"/>
            </w:tcMar>
            <w:vAlign w:val="bottom"/>
          </w:tcPr>
          <w:p w14:paraId="36CA394A"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394B" w14:textId="77777777" w:rsidR="00787570" w:rsidRDefault="000D56E2">
            <w:pPr>
              <w:jc w:val="right"/>
              <w:textAlignment w:val="bottom"/>
            </w:pPr>
            <w:r>
              <w:rPr>
                <w:rFonts w:ascii="Arial" w:eastAsia="宋体" w:hAnsi="Arial" w:cs="Arial"/>
                <w:color w:val="026DCE"/>
                <w:sz w:val="18"/>
                <w:szCs w:val="18"/>
              </w:rPr>
              <w:t>— </w:t>
            </w:r>
          </w:p>
        </w:tc>
        <w:tc>
          <w:tcPr>
            <w:tcW w:w="0" w:type="auto"/>
            <w:shd w:val="clear" w:color="auto" w:fill="auto"/>
            <w:tcMar>
              <w:top w:w="40" w:type="dxa"/>
              <w:bottom w:w="40" w:type="dxa"/>
              <w:right w:w="20" w:type="dxa"/>
            </w:tcMar>
            <w:vAlign w:val="bottom"/>
          </w:tcPr>
          <w:p w14:paraId="36CA394C"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394D"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394E" w14:textId="77777777" w:rsidR="00787570" w:rsidRDefault="000D56E2">
            <w:pPr>
              <w:jc w:val="right"/>
              <w:textAlignment w:val="bottom"/>
            </w:pPr>
            <w:r>
              <w:rPr>
                <w:rFonts w:ascii="Arial" w:eastAsia="宋体" w:hAnsi="Arial" w:cs="Arial"/>
                <w:color w:val="026DCE"/>
                <w:sz w:val="18"/>
                <w:szCs w:val="18"/>
              </w:rPr>
              <w:t>361 </w:t>
            </w:r>
          </w:p>
        </w:tc>
        <w:tc>
          <w:tcPr>
            <w:tcW w:w="0" w:type="auto"/>
            <w:shd w:val="clear" w:color="auto" w:fill="auto"/>
            <w:tcMar>
              <w:top w:w="40" w:type="dxa"/>
              <w:bottom w:w="40" w:type="dxa"/>
              <w:right w:w="20" w:type="dxa"/>
            </w:tcMar>
            <w:vAlign w:val="bottom"/>
          </w:tcPr>
          <w:p w14:paraId="36CA394F"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3950"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3951" w14:textId="77777777" w:rsidR="00787570" w:rsidRDefault="000D56E2">
            <w:pPr>
              <w:jc w:val="right"/>
              <w:textAlignment w:val="bottom"/>
            </w:pPr>
            <w:r>
              <w:rPr>
                <w:rFonts w:ascii="Arial" w:eastAsia="宋体" w:hAnsi="Arial" w:cs="Arial"/>
                <w:color w:val="026DCE"/>
                <w:sz w:val="18"/>
                <w:szCs w:val="18"/>
              </w:rPr>
              <w:t>— </w:t>
            </w:r>
          </w:p>
        </w:tc>
        <w:tc>
          <w:tcPr>
            <w:tcW w:w="0" w:type="auto"/>
            <w:shd w:val="clear" w:color="auto" w:fill="auto"/>
            <w:tcMar>
              <w:top w:w="40" w:type="dxa"/>
              <w:bottom w:w="40" w:type="dxa"/>
              <w:right w:w="20" w:type="dxa"/>
            </w:tcMar>
            <w:vAlign w:val="bottom"/>
          </w:tcPr>
          <w:p w14:paraId="36CA3952"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3953"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3954" w14:textId="77777777" w:rsidR="00787570" w:rsidRDefault="000D56E2">
            <w:pPr>
              <w:jc w:val="right"/>
              <w:textAlignment w:val="bottom"/>
            </w:pPr>
            <w:r>
              <w:rPr>
                <w:rFonts w:ascii="Arial" w:eastAsia="宋体" w:hAnsi="Arial" w:cs="Arial"/>
                <w:color w:val="026DCE"/>
                <w:sz w:val="18"/>
                <w:szCs w:val="18"/>
              </w:rPr>
              <w:t>361 </w:t>
            </w:r>
          </w:p>
        </w:tc>
        <w:tc>
          <w:tcPr>
            <w:tcW w:w="0" w:type="auto"/>
            <w:shd w:val="clear" w:color="auto" w:fill="auto"/>
            <w:tcMar>
              <w:top w:w="40" w:type="dxa"/>
              <w:bottom w:w="40" w:type="dxa"/>
              <w:right w:w="20" w:type="dxa"/>
            </w:tcMar>
            <w:vAlign w:val="bottom"/>
          </w:tcPr>
          <w:p w14:paraId="36CA3955"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3956"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3957" w14:textId="77777777" w:rsidR="00787570" w:rsidRDefault="000D56E2">
            <w:pPr>
              <w:jc w:val="right"/>
              <w:textAlignment w:val="bottom"/>
            </w:pPr>
            <w:r>
              <w:rPr>
                <w:rFonts w:ascii="Arial" w:eastAsia="宋体" w:hAnsi="Arial" w:cs="Arial"/>
                <w:color w:val="333333"/>
                <w:sz w:val="18"/>
                <w:szCs w:val="18"/>
              </w:rPr>
              <w:t>— </w:t>
            </w:r>
          </w:p>
        </w:tc>
        <w:tc>
          <w:tcPr>
            <w:tcW w:w="0" w:type="auto"/>
            <w:shd w:val="clear" w:color="auto" w:fill="auto"/>
            <w:tcMar>
              <w:top w:w="40" w:type="dxa"/>
              <w:bottom w:w="40" w:type="dxa"/>
              <w:right w:w="20" w:type="dxa"/>
            </w:tcMar>
            <w:vAlign w:val="bottom"/>
          </w:tcPr>
          <w:p w14:paraId="36CA3958"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3959"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395A" w14:textId="77777777" w:rsidR="00787570" w:rsidRDefault="000D56E2">
            <w:pPr>
              <w:jc w:val="right"/>
              <w:textAlignment w:val="bottom"/>
            </w:pPr>
            <w:r>
              <w:rPr>
                <w:rFonts w:ascii="Arial" w:eastAsia="宋体" w:hAnsi="Arial" w:cs="Arial"/>
                <w:color w:val="333333"/>
                <w:sz w:val="18"/>
                <w:szCs w:val="18"/>
              </w:rPr>
              <w:t>— </w:t>
            </w:r>
          </w:p>
        </w:tc>
        <w:tc>
          <w:tcPr>
            <w:tcW w:w="0" w:type="auto"/>
            <w:shd w:val="clear" w:color="auto" w:fill="auto"/>
            <w:tcMar>
              <w:top w:w="40" w:type="dxa"/>
              <w:bottom w:w="40" w:type="dxa"/>
              <w:right w:w="20" w:type="dxa"/>
            </w:tcMar>
            <w:vAlign w:val="bottom"/>
          </w:tcPr>
          <w:p w14:paraId="36CA395B"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395C"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395D" w14:textId="77777777" w:rsidR="00787570" w:rsidRDefault="000D56E2">
            <w:pPr>
              <w:jc w:val="right"/>
              <w:textAlignment w:val="bottom"/>
            </w:pPr>
            <w:r>
              <w:rPr>
                <w:rFonts w:ascii="Arial" w:eastAsia="宋体" w:hAnsi="Arial" w:cs="Arial"/>
                <w:color w:val="333333"/>
                <w:sz w:val="18"/>
                <w:szCs w:val="18"/>
              </w:rPr>
              <w:t>— </w:t>
            </w:r>
          </w:p>
        </w:tc>
        <w:tc>
          <w:tcPr>
            <w:tcW w:w="0" w:type="auto"/>
            <w:shd w:val="clear" w:color="auto" w:fill="auto"/>
            <w:tcMar>
              <w:top w:w="40" w:type="dxa"/>
              <w:bottom w:w="40" w:type="dxa"/>
              <w:right w:w="20" w:type="dxa"/>
            </w:tcMar>
            <w:vAlign w:val="bottom"/>
          </w:tcPr>
          <w:p w14:paraId="36CA395E"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395F"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3960" w14:textId="77777777" w:rsidR="00787570" w:rsidRDefault="000D56E2">
            <w:pPr>
              <w:jc w:val="right"/>
              <w:textAlignment w:val="bottom"/>
            </w:pPr>
            <w:r>
              <w:rPr>
                <w:rFonts w:ascii="Arial" w:eastAsia="宋体" w:hAnsi="Arial" w:cs="Arial"/>
                <w:color w:val="333333"/>
                <w:sz w:val="18"/>
                <w:szCs w:val="18"/>
              </w:rPr>
              <w:t>— </w:t>
            </w:r>
          </w:p>
        </w:tc>
        <w:tc>
          <w:tcPr>
            <w:tcW w:w="0" w:type="auto"/>
            <w:shd w:val="clear" w:color="auto" w:fill="auto"/>
            <w:tcMar>
              <w:top w:w="40" w:type="dxa"/>
              <w:bottom w:w="40" w:type="dxa"/>
              <w:right w:w="20" w:type="dxa"/>
            </w:tcMar>
            <w:vAlign w:val="bottom"/>
          </w:tcPr>
          <w:p w14:paraId="36CA3961" w14:textId="77777777" w:rsidR="00787570" w:rsidRDefault="00787570">
            <w:pPr>
              <w:jc w:val="right"/>
              <w:rPr>
                <w:rFonts w:ascii="宋体"/>
              </w:rPr>
            </w:pPr>
          </w:p>
        </w:tc>
        <w:tc>
          <w:tcPr>
            <w:tcW w:w="0" w:type="auto"/>
            <w:shd w:val="clear" w:color="auto" w:fill="auto"/>
          </w:tcPr>
          <w:p w14:paraId="36CA3962" w14:textId="77777777" w:rsidR="00787570" w:rsidRDefault="00787570">
            <w:pPr>
              <w:rPr>
                <w:rFonts w:ascii="宋体"/>
              </w:rPr>
            </w:pPr>
          </w:p>
        </w:tc>
        <w:tc>
          <w:tcPr>
            <w:tcW w:w="0" w:type="auto"/>
            <w:shd w:val="clear" w:color="auto" w:fill="auto"/>
          </w:tcPr>
          <w:p w14:paraId="36CA3963" w14:textId="77777777" w:rsidR="00787570" w:rsidRDefault="00787570">
            <w:pPr>
              <w:rPr>
                <w:rFonts w:ascii="宋体"/>
              </w:rPr>
            </w:pPr>
          </w:p>
        </w:tc>
        <w:tc>
          <w:tcPr>
            <w:tcW w:w="0" w:type="auto"/>
            <w:shd w:val="clear" w:color="auto" w:fill="auto"/>
          </w:tcPr>
          <w:p w14:paraId="36CA3964" w14:textId="77777777" w:rsidR="00787570" w:rsidRDefault="00787570">
            <w:pPr>
              <w:rPr>
                <w:rFonts w:ascii="宋体"/>
              </w:rPr>
            </w:pPr>
          </w:p>
        </w:tc>
        <w:tc>
          <w:tcPr>
            <w:tcW w:w="0" w:type="auto"/>
            <w:shd w:val="clear" w:color="auto" w:fill="auto"/>
          </w:tcPr>
          <w:p w14:paraId="36CA3965" w14:textId="77777777" w:rsidR="00787570" w:rsidRDefault="00787570">
            <w:pPr>
              <w:rPr>
                <w:rFonts w:ascii="宋体"/>
              </w:rPr>
            </w:pPr>
          </w:p>
        </w:tc>
        <w:tc>
          <w:tcPr>
            <w:tcW w:w="0" w:type="auto"/>
            <w:shd w:val="clear" w:color="auto" w:fill="auto"/>
          </w:tcPr>
          <w:p w14:paraId="36CA3966" w14:textId="77777777" w:rsidR="00787570" w:rsidRDefault="00787570">
            <w:pPr>
              <w:rPr>
                <w:rFonts w:ascii="宋体"/>
              </w:rPr>
            </w:pPr>
          </w:p>
        </w:tc>
        <w:tc>
          <w:tcPr>
            <w:tcW w:w="0" w:type="auto"/>
            <w:shd w:val="clear" w:color="auto" w:fill="auto"/>
          </w:tcPr>
          <w:p w14:paraId="36CA3967" w14:textId="77777777" w:rsidR="00787570" w:rsidRDefault="00787570">
            <w:pPr>
              <w:rPr>
                <w:rFonts w:ascii="宋体"/>
              </w:rPr>
            </w:pPr>
          </w:p>
        </w:tc>
        <w:tc>
          <w:tcPr>
            <w:tcW w:w="0" w:type="auto"/>
            <w:shd w:val="clear" w:color="auto" w:fill="auto"/>
          </w:tcPr>
          <w:p w14:paraId="36CA3968" w14:textId="77777777" w:rsidR="00787570" w:rsidRDefault="00787570">
            <w:pPr>
              <w:rPr>
                <w:rFonts w:ascii="宋体"/>
              </w:rPr>
            </w:pPr>
          </w:p>
        </w:tc>
        <w:tc>
          <w:tcPr>
            <w:tcW w:w="0" w:type="auto"/>
            <w:shd w:val="clear" w:color="auto" w:fill="auto"/>
          </w:tcPr>
          <w:p w14:paraId="36CA3969" w14:textId="77777777" w:rsidR="00787570" w:rsidRDefault="00787570">
            <w:pPr>
              <w:rPr>
                <w:rFonts w:ascii="宋体"/>
              </w:rPr>
            </w:pPr>
          </w:p>
        </w:tc>
        <w:tc>
          <w:tcPr>
            <w:tcW w:w="0" w:type="auto"/>
            <w:shd w:val="clear" w:color="auto" w:fill="auto"/>
          </w:tcPr>
          <w:p w14:paraId="36CA396A" w14:textId="77777777" w:rsidR="00787570" w:rsidRDefault="00787570">
            <w:pPr>
              <w:rPr>
                <w:rFonts w:ascii="宋体"/>
              </w:rPr>
            </w:pPr>
          </w:p>
        </w:tc>
        <w:tc>
          <w:tcPr>
            <w:tcW w:w="0" w:type="auto"/>
            <w:shd w:val="clear" w:color="auto" w:fill="auto"/>
          </w:tcPr>
          <w:p w14:paraId="36CA396B" w14:textId="77777777" w:rsidR="00787570" w:rsidRDefault="00787570">
            <w:pPr>
              <w:rPr>
                <w:rFonts w:ascii="宋体"/>
              </w:rPr>
            </w:pPr>
          </w:p>
        </w:tc>
        <w:tc>
          <w:tcPr>
            <w:tcW w:w="0" w:type="auto"/>
            <w:shd w:val="clear" w:color="auto" w:fill="auto"/>
          </w:tcPr>
          <w:p w14:paraId="36CA396C" w14:textId="77777777" w:rsidR="00787570" w:rsidRDefault="00787570">
            <w:pPr>
              <w:rPr>
                <w:rFonts w:ascii="宋体"/>
              </w:rPr>
            </w:pPr>
          </w:p>
        </w:tc>
        <w:tc>
          <w:tcPr>
            <w:tcW w:w="0" w:type="auto"/>
            <w:shd w:val="clear" w:color="auto" w:fill="auto"/>
          </w:tcPr>
          <w:p w14:paraId="36CA396D" w14:textId="77777777" w:rsidR="00787570" w:rsidRDefault="00787570">
            <w:pPr>
              <w:rPr>
                <w:rFonts w:ascii="宋体"/>
              </w:rPr>
            </w:pPr>
          </w:p>
        </w:tc>
      </w:tr>
      <w:tr w:rsidR="00787570" w14:paraId="36CA3994" w14:textId="77777777">
        <w:tc>
          <w:tcPr>
            <w:tcW w:w="0" w:type="auto"/>
            <w:gridSpan w:val="3"/>
            <w:shd w:val="clear" w:color="auto" w:fill="auto"/>
            <w:tcMar>
              <w:top w:w="40" w:type="dxa"/>
              <w:left w:w="120" w:type="dxa"/>
              <w:bottom w:w="40" w:type="dxa"/>
              <w:right w:w="20" w:type="dxa"/>
            </w:tcMar>
          </w:tcPr>
          <w:p w14:paraId="36CA396F" w14:textId="77777777" w:rsidR="00787570" w:rsidRDefault="000D56E2">
            <w:pPr>
              <w:textAlignment w:val="top"/>
            </w:pPr>
            <w:r>
              <w:rPr>
                <w:rFonts w:ascii="Arial" w:eastAsia="宋体" w:hAnsi="Arial" w:cs="Arial"/>
                <w:color w:val="333333"/>
                <w:sz w:val="18"/>
                <w:szCs w:val="18"/>
              </w:rPr>
              <w:t>Marketable equity securities</w:t>
            </w:r>
          </w:p>
        </w:tc>
        <w:tc>
          <w:tcPr>
            <w:tcW w:w="0" w:type="auto"/>
            <w:gridSpan w:val="3"/>
            <w:shd w:val="clear" w:color="auto" w:fill="auto"/>
            <w:tcMar>
              <w:left w:w="20" w:type="dxa"/>
              <w:right w:w="20" w:type="dxa"/>
            </w:tcMar>
            <w:vAlign w:val="bottom"/>
          </w:tcPr>
          <w:p w14:paraId="36CA3970"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3971" w14:textId="77777777" w:rsidR="00787570" w:rsidRDefault="000D56E2">
            <w:pPr>
              <w:jc w:val="right"/>
              <w:textAlignment w:val="bottom"/>
            </w:pPr>
            <w:r>
              <w:rPr>
                <w:rFonts w:ascii="Arial" w:eastAsia="宋体" w:hAnsi="Arial" w:cs="Arial"/>
                <w:color w:val="026DCE"/>
                <w:sz w:val="18"/>
                <w:szCs w:val="18"/>
              </w:rPr>
              <w:t>357 </w:t>
            </w:r>
          </w:p>
        </w:tc>
        <w:tc>
          <w:tcPr>
            <w:tcW w:w="0" w:type="auto"/>
            <w:shd w:val="clear" w:color="auto" w:fill="auto"/>
            <w:tcMar>
              <w:top w:w="40" w:type="dxa"/>
              <w:bottom w:w="40" w:type="dxa"/>
              <w:right w:w="20" w:type="dxa"/>
            </w:tcMar>
            <w:vAlign w:val="bottom"/>
          </w:tcPr>
          <w:p w14:paraId="36CA3972"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3973"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3974" w14:textId="77777777" w:rsidR="00787570" w:rsidRDefault="000D56E2">
            <w:pPr>
              <w:jc w:val="right"/>
              <w:textAlignment w:val="bottom"/>
            </w:pPr>
            <w:r>
              <w:rPr>
                <w:rFonts w:ascii="Arial" w:eastAsia="宋体" w:hAnsi="Arial" w:cs="Arial"/>
                <w:color w:val="026DCE"/>
                <w:sz w:val="18"/>
                <w:szCs w:val="18"/>
              </w:rPr>
              <w:t>124 </w:t>
            </w:r>
          </w:p>
        </w:tc>
        <w:tc>
          <w:tcPr>
            <w:tcW w:w="0" w:type="auto"/>
            <w:shd w:val="clear" w:color="auto" w:fill="auto"/>
            <w:tcMar>
              <w:top w:w="40" w:type="dxa"/>
              <w:bottom w:w="40" w:type="dxa"/>
              <w:right w:w="20" w:type="dxa"/>
            </w:tcMar>
            <w:vAlign w:val="bottom"/>
          </w:tcPr>
          <w:p w14:paraId="36CA3975"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3976"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3977" w14:textId="77777777" w:rsidR="00787570" w:rsidRDefault="000D56E2">
            <w:pPr>
              <w:jc w:val="right"/>
              <w:textAlignment w:val="bottom"/>
            </w:pPr>
            <w:r>
              <w:rPr>
                <w:rFonts w:ascii="Arial" w:eastAsia="宋体" w:hAnsi="Arial" w:cs="Arial"/>
                <w:color w:val="026DCE"/>
                <w:sz w:val="18"/>
                <w:szCs w:val="18"/>
              </w:rPr>
              <w:t>— </w:t>
            </w:r>
          </w:p>
        </w:tc>
        <w:tc>
          <w:tcPr>
            <w:tcW w:w="0" w:type="auto"/>
            <w:shd w:val="clear" w:color="auto" w:fill="auto"/>
            <w:tcMar>
              <w:top w:w="40" w:type="dxa"/>
              <w:bottom w:w="40" w:type="dxa"/>
              <w:right w:w="20" w:type="dxa"/>
            </w:tcMar>
            <w:vAlign w:val="bottom"/>
          </w:tcPr>
          <w:p w14:paraId="36CA3978"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3979"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397A" w14:textId="77777777" w:rsidR="00787570" w:rsidRDefault="000D56E2">
            <w:pPr>
              <w:jc w:val="right"/>
              <w:textAlignment w:val="bottom"/>
            </w:pPr>
            <w:r>
              <w:rPr>
                <w:rFonts w:ascii="Arial" w:eastAsia="宋体" w:hAnsi="Arial" w:cs="Arial"/>
                <w:color w:val="026DCE"/>
                <w:sz w:val="18"/>
                <w:szCs w:val="18"/>
              </w:rPr>
              <w:t>481 </w:t>
            </w:r>
          </w:p>
        </w:tc>
        <w:tc>
          <w:tcPr>
            <w:tcW w:w="0" w:type="auto"/>
            <w:shd w:val="clear" w:color="auto" w:fill="auto"/>
            <w:tcMar>
              <w:top w:w="40" w:type="dxa"/>
              <w:bottom w:w="40" w:type="dxa"/>
              <w:right w:w="20" w:type="dxa"/>
            </w:tcMar>
            <w:vAlign w:val="bottom"/>
          </w:tcPr>
          <w:p w14:paraId="36CA397B"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397C"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397D" w14:textId="77777777" w:rsidR="00787570" w:rsidRDefault="000D56E2">
            <w:pPr>
              <w:jc w:val="right"/>
              <w:textAlignment w:val="bottom"/>
            </w:pPr>
            <w:r>
              <w:rPr>
                <w:rFonts w:ascii="Arial" w:eastAsia="宋体" w:hAnsi="Arial" w:cs="Arial"/>
                <w:color w:val="333333"/>
                <w:sz w:val="18"/>
                <w:szCs w:val="18"/>
              </w:rPr>
              <w:t>450 </w:t>
            </w:r>
          </w:p>
        </w:tc>
        <w:tc>
          <w:tcPr>
            <w:tcW w:w="0" w:type="auto"/>
            <w:shd w:val="clear" w:color="auto" w:fill="auto"/>
            <w:tcMar>
              <w:top w:w="40" w:type="dxa"/>
              <w:bottom w:w="40" w:type="dxa"/>
              <w:right w:w="20" w:type="dxa"/>
            </w:tcMar>
            <w:vAlign w:val="bottom"/>
          </w:tcPr>
          <w:p w14:paraId="36CA397E"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397F"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3980" w14:textId="77777777" w:rsidR="00787570" w:rsidRDefault="000D56E2">
            <w:pPr>
              <w:jc w:val="right"/>
              <w:textAlignment w:val="bottom"/>
            </w:pPr>
            <w:r>
              <w:rPr>
                <w:rFonts w:ascii="Arial" w:eastAsia="宋体" w:hAnsi="Arial" w:cs="Arial"/>
                <w:color w:val="333333"/>
                <w:sz w:val="18"/>
                <w:szCs w:val="18"/>
              </w:rPr>
              <w:t>— </w:t>
            </w:r>
          </w:p>
        </w:tc>
        <w:tc>
          <w:tcPr>
            <w:tcW w:w="0" w:type="auto"/>
            <w:shd w:val="clear" w:color="auto" w:fill="auto"/>
            <w:tcMar>
              <w:top w:w="40" w:type="dxa"/>
              <w:bottom w:w="40" w:type="dxa"/>
              <w:right w:w="20" w:type="dxa"/>
            </w:tcMar>
            <w:vAlign w:val="bottom"/>
          </w:tcPr>
          <w:p w14:paraId="36CA3981"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3982"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3983" w14:textId="77777777" w:rsidR="00787570" w:rsidRDefault="000D56E2">
            <w:pPr>
              <w:jc w:val="right"/>
              <w:textAlignment w:val="bottom"/>
            </w:pPr>
            <w:r>
              <w:rPr>
                <w:rFonts w:ascii="Arial" w:eastAsia="宋体" w:hAnsi="Arial" w:cs="Arial"/>
                <w:color w:val="333333"/>
                <w:sz w:val="18"/>
                <w:szCs w:val="18"/>
              </w:rPr>
              <w:t>— </w:t>
            </w:r>
          </w:p>
        </w:tc>
        <w:tc>
          <w:tcPr>
            <w:tcW w:w="0" w:type="auto"/>
            <w:shd w:val="clear" w:color="auto" w:fill="auto"/>
            <w:tcMar>
              <w:top w:w="40" w:type="dxa"/>
              <w:bottom w:w="40" w:type="dxa"/>
              <w:right w:w="20" w:type="dxa"/>
            </w:tcMar>
            <w:vAlign w:val="bottom"/>
          </w:tcPr>
          <w:p w14:paraId="36CA3984"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3985"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3986" w14:textId="77777777" w:rsidR="00787570" w:rsidRDefault="000D56E2">
            <w:pPr>
              <w:jc w:val="right"/>
              <w:textAlignment w:val="bottom"/>
            </w:pPr>
            <w:r>
              <w:rPr>
                <w:rFonts w:ascii="Arial" w:eastAsia="宋体" w:hAnsi="Arial" w:cs="Arial"/>
                <w:color w:val="333333"/>
                <w:sz w:val="18"/>
                <w:szCs w:val="18"/>
              </w:rPr>
              <w:t>450 </w:t>
            </w:r>
          </w:p>
        </w:tc>
        <w:tc>
          <w:tcPr>
            <w:tcW w:w="0" w:type="auto"/>
            <w:shd w:val="clear" w:color="auto" w:fill="auto"/>
            <w:tcMar>
              <w:top w:w="40" w:type="dxa"/>
              <w:bottom w:w="40" w:type="dxa"/>
              <w:right w:w="20" w:type="dxa"/>
            </w:tcMar>
            <w:vAlign w:val="bottom"/>
          </w:tcPr>
          <w:p w14:paraId="36CA3987" w14:textId="77777777" w:rsidR="00787570" w:rsidRDefault="00787570">
            <w:pPr>
              <w:jc w:val="right"/>
              <w:rPr>
                <w:rFonts w:ascii="宋体"/>
              </w:rPr>
            </w:pPr>
          </w:p>
        </w:tc>
        <w:tc>
          <w:tcPr>
            <w:tcW w:w="0" w:type="auto"/>
            <w:shd w:val="clear" w:color="auto" w:fill="auto"/>
          </w:tcPr>
          <w:p w14:paraId="36CA3988" w14:textId="77777777" w:rsidR="00787570" w:rsidRDefault="00787570">
            <w:pPr>
              <w:rPr>
                <w:rFonts w:ascii="宋体"/>
              </w:rPr>
            </w:pPr>
          </w:p>
        </w:tc>
        <w:tc>
          <w:tcPr>
            <w:tcW w:w="0" w:type="auto"/>
            <w:shd w:val="clear" w:color="auto" w:fill="auto"/>
          </w:tcPr>
          <w:p w14:paraId="36CA3989" w14:textId="77777777" w:rsidR="00787570" w:rsidRDefault="00787570">
            <w:pPr>
              <w:rPr>
                <w:rFonts w:ascii="宋体"/>
              </w:rPr>
            </w:pPr>
          </w:p>
        </w:tc>
        <w:tc>
          <w:tcPr>
            <w:tcW w:w="0" w:type="auto"/>
            <w:shd w:val="clear" w:color="auto" w:fill="auto"/>
          </w:tcPr>
          <w:p w14:paraId="36CA398A" w14:textId="77777777" w:rsidR="00787570" w:rsidRDefault="00787570">
            <w:pPr>
              <w:rPr>
                <w:rFonts w:ascii="宋体"/>
              </w:rPr>
            </w:pPr>
          </w:p>
        </w:tc>
        <w:tc>
          <w:tcPr>
            <w:tcW w:w="0" w:type="auto"/>
            <w:shd w:val="clear" w:color="auto" w:fill="auto"/>
          </w:tcPr>
          <w:p w14:paraId="36CA398B" w14:textId="77777777" w:rsidR="00787570" w:rsidRDefault="00787570">
            <w:pPr>
              <w:rPr>
                <w:rFonts w:ascii="宋体"/>
              </w:rPr>
            </w:pPr>
          </w:p>
        </w:tc>
        <w:tc>
          <w:tcPr>
            <w:tcW w:w="0" w:type="auto"/>
            <w:shd w:val="clear" w:color="auto" w:fill="auto"/>
          </w:tcPr>
          <w:p w14:paraId="36CA398C" w14:textId="77777777" w:rsidR="00787570" w:rsidRDefault="00787570">
            <w:pPr>
              <w:rPr>
                <w:rFonts w:ascii="宋体"/>
              </w:rPr>
            </w:pPr>
          </w:p>
        </w:tc>
        <w:tc>
          <w:tcPr>
            <w:tcW w:w="0" w:type="auto"/>
            <w:shd w:val="clear" w:color="auto" w:fill="auto"/>
          </w:tcPr>
          <w:p w14:paraId="36CA398D" w14:textId="77777777" w:rsidR="00787570" w:rsidRDefault="00787570">
            <w:pPr>
              <w:rPr>
                <w:rFonts w:ascii="宋体"/>
              </w:rPr>
            </w:pPr>
          </w:p>
        </w:tc>
        <w:tc>
          <w:tcPr>
            <w:tcW w:w="0" w:type="auto"/>
            <w:shd w:val="clear" w:color="auto" w:fill="auto"/>
          </w:tcPr>
          <w:p w14:paraId="36CA398E" w14:textId="77777777" w:rsidR="00787570" w:rsidRDefault="00787570">
            <w:pPr>
              <w:rPr>
                <w:rFonts w:ascii="宋体"/>
              </w:rPr>
            </w:pPr>
          </w:p>
        </w:tc>
        <w:tc>
          <w:tcPr>
            <w:tcW w:w="0" w:type="auto"/>
            <w:shd w:val="clear" w:color="auto" w:fill="auto"/>
          </w:tcPr>
          <w:p w14:paraId="36CA398F" w14:textId="77777777" w:rsidR="00787570" w:rsidRDefault="00787570">
            <w:pPr>
              <w:rPr>
                <w:rFonts w:ascii="宋体"/>
              </w:rPr>
            </w:pPr>
          </w:p>
        </w:tc>
        <w:tc>
          <w:tcPr>
            <w:tcW w:w="0" w:type="auto"/>
            <w:shd w:val="clear" w:color="auto" w:fill="auto"/>
          </w:tcPr>
          <w:p w14:paraId="36CA3990" w14:textId="77777777" w:rsidR="00787570" w:rsidRDefault="00787570">
            <w:pPr>
              <w:rPr>
                <w:rFonts w:ascii="宋体"/>
              </w:rPr>
            </w:pPr>
          </w:p>
        </w:tc>
        <w:tc>
          <w:tcPr>
            <w:tcW w:w="0" w:type="auto"/>
            <w:shd w:val="clear" w:color="auto" w:fill="auto"/>
          </w:tcPr>
          <w:p w14:paraId="36CA3991" w14:textId="77777777" w:rsidR="00787570" w:rsidRDefault="00787570">
            <w:pPr>
              <w:rPr>
                <w:rFonts w:ascii="宋体"/>
              </w:rPr>
            </w:pPr>
          </w:p>
        </w:tc>
        <w:tc>
          <w:tcPr>
            <w:tcW w:w="0" w:type="auto"/>
            <w:shd w:val="clear" w:color="auto" w:fill="auto"/>
          </w:tcPr>
          <w:p w14:paraId="36CA3992" w14:textId="77777777" w:rsidR="00787570" w:rsidRDefault="00787570">
            <w:pPr>
              <w:rPr>
                <w:rFonts w:ascii="宋体"/>
              </w:rPr>
            </w:pPr>
          </w:p>
        </w:tc>
        <w:tc>
          <w:tcPr>
            <w:tcW w:w="0" w:type="auto"/>
            <w:shd w:val="clear" w:color="auto" w:fill="auto"/>
          </w:tcPr>
          <w:p w14:paraId="36CA3993" w14:textId="77777777" w:rsidR="00787570" w:rsidRDefault="00787570">
            <w:pPr>
              <w:rPr>
                <w:rFonts w:ascii="宋体"/>
              </w:rPr>
            </w:pPr>
          </w:p>
        </w:tc>
      </w:tr>
      <w:tr w:rsidR="00787570" w14:paraId="36CA39B2" w14:textId="77777777">
        <w:tc>
          <w:tcPr>
            <w:tcW w:w="0" w:type="auto"/>
            <w:gridSpan w:val="3"/>
            <w:shd w:val="clear" w:color="auto" w:fill="auto"/>
            <w:tcMar>
              <w:top w:w="40" w:type="dxa"/>
              <w:left w:w="20" w:type="dxa"/>
              <w:bottom w:w="40" w:type="dxa"/>
              <w:right w:w="20" w:type="dxa"/>
            </w:tcMar>
          </w:tcPr>
          <w:p w14:paraId="36CA3995" w14:textId="77777777" w:rsidR="00787570" w:rsidRDefault="000D56E2">
            <w:pPr>
              <w:textAlignment w:val="top"/>
            </w:pPr>
            <w:r>
              <w:rPr>
                <w:rFonts w:ascii="Arial" w:eastAsia="宋体" w:hAnsi="Arial" w:cs="Arial"/>
                <w:color w:val="333333"/>
                <w:sz w:val="18"/>
                <w:szCs w:val="18"/>
              </w:rPr>
              <w:t>Other long-term investments:</w:t>
            </w:r>
          </w:p>
        </w:tc>
        <w:tc>
          <w:tcPr>
            <w:tcW w:w="0" w:type="auto"/>
            <w:gridSpan w:val="3"/>
            <w:shd w:val="clear" w:color="auto" w:fill="auto"/>
            <w:tcMar>
              <w:left w:w="20" w:type="dxa"/>
              <w:right w:w="20" w:type="dxa"/>
            </w:tcMar>
            <w:vAlign w:val="bottom"/>
          </w:tcPr>
          <w:p w14:paraId="36CA3996"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3997"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3998"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3999"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399A"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399B"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399C"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399D"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399E"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399F"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39A0"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39A1"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39A2"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39A3"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39A4"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39A5" w14:textId="77777777" w:rsidR="00787570" w:rsidRDefault="00787570">
            <w:pPr>
              <w:rPr>
                <w:rFonts w:ascii="宋体"/>
              </w:rPr>
            </w:pPr>
          </w:p>
        </w:tc>
        <w:tc>
          <w:tcPr>
            <w:tcW w:w="0" w:type="auto"/>
            <w:shd w:val="clear" w:color="auto" w:fill="auto"/>
          </w:tcPr>
          <w:p w14:paraId="36CA39A6" w14:textId="77777777" w:rsidR="00787570" w:rsidRDefault="00787570">
            <w:pPr>
              <w:rPr>
                <w:rFonts w:ascii="宋体"/>
              </w:rPr>
            </w:pPr>
          </w:p>
        </w:tc>
        <w:tc>
          <w:tcPr>
            <w:tcW w:w="0" w:type="auto"/>
            <w:shd w:val="clear" w:color="auto" w:fill="auto"/>
          </w:tcPr>
          <w:p w14:paraId="36CA39A7" w14:textId="77777777" w:rsidR="00787570" w:rsidRDefault="00787570">
            <w:pPr>
              <w:rPr>
                <w:rFonts w:ascii="宋体"/>
              </w:rPr>
            </w:pPr>
          </w:p>
        </w:tc>
        <w:tc>
          <w:tcPr>
            <w:tcW w:w="0" w:type="auto"/>
            <w:shd w:val="clear" w:color="auto" w:fill="auto"/>
          </w:tcPr>
          <w:p w14:paraId="36CA39A8" w14:textId="77777777" w:rsidR="00787570" w:rsidRDefault="00787570">
            <w:pPr>
              <w:rPr>
                <w:rFonts w:ascii="宋体"/>
              </w:rPr>
            </w:pPr>
          </w:p>
        </w:tc>
        <w:tc>
          <w:tcPr>
            <w:tcW w:w="0" w:type="auto"/>
            <w:shd w:val="clear" w:color="auto" w:fill="auto"/>
          </w:tcPr>
          <w:p w14:paraId="36CA39A9" w14:textId="77777777" w:rsidR="00787570" w:rsidRDefault="00787570">
            <w:pPr>
              <w:rPr>
                <w:rFonts w:ascii="宋体"/>
              </w:rPr>
            </w:pPr>
          </w:p>
        </w:tc>
        <w:tc>
          <w:tcPr>
            <w:tcW w:w="0" w:type="auto"/>
            <w:shd w:val="clear" w:color="auto" w:fill="auto"/>
          </w:tcPr>
          <w:p w14:paraId="36CA39AA" w14:textId="77777777" w:rsidR="00787570" w:rsidRDefault="00787570">
            <w:pPr>
              <w:rPr>
                <w:rFonts w:ascii="宋体"/>
              </w:rPr>
            </w:pPr>
          </w:p>
        </w:tc>
        <w:tc>
          <w:tcPr>
            <w:tcW w:w="0" w:type="auto"/>
            <w:shd w:val="clear" w:color="auto" w:fill="auto"/>
          </w:tcPr>
          <w:p w14:paraId="36CA39AB" w14:textId="77777777" w:rsidR="00787570" w:rsidRDefault="00787570">
            <w:pPr>
              <w:rPr>
                <w:rFonts w:ascii="宋体"/>
              </w:rPr>
            </w:pPr>
          </w:p>
        </w:tc>
        <w:tc>
          <w:tcPr>
            <w:tcW w:w="0" w:type="auto"/>
            <w:shd w:val="clear" w:color="auto" w:fill="auto"/>
          </w:tcPr>
          <w:p w14:paraId="36CA39AC" w14:textId="77777777" w:rsidR="00787570" w:rsidRDefault="00787570">
            <w:pPr>
              <w:rPr>
                <w:rFonts w:ascii="宋体"/>
              </w:rPr>
            </w:pPr>
          </w:p>
        </w:tc>
        <w:tc>
          <w:tcPr>
            <w:tcW w:w="0" w:type="auto"/>
            <w:shd w:val="clear" w:color="auto" w:fill="auto"/>
          </w:tcPr>
          <w:p w14:paraId="36CA39AD" w14:textId="77777777" w:rsidR="00787570" w:rsidRDefault="00787570">
            <w:pPr>
              <w:rPr>
                <w:rFonts w:ascii="宋体"/>
              </w:rPr>
            </w:pPr>
          </w:p>
        </w:tc>
        <w:tc>
          <w:tcPr>
            <w:tcW w:w="0" w:type="auto"/>
            <w:shd w:val="clear" w:color="auto" w:fill="auto"/>
          </w:tcPr>
          <w:p w14:paraId="36CA39AE" w14:textId="77777777" w:rsidR="00787570" w:rsidRDefault="00787570">
            <w:pPr>
              <w:rPr>
                <w:rFonts w:ascii="宋体"/>
              </w:rPr>
            </w:pPr>
          </w:p>
        </w:tc>
        <w:tc>
          <w:tcPr>
            <w:tcW w:w="0" w:type="auto"/>
            <w:shd w:val="clear" w:color="auto" w:fill="auto"/>
          </w:tcPr>
          <w:p w14:paraId="36CA39AF" w14:textId="77777777" w:rsidR="00787570" w:rsidRDefault="00787570">
            <w:pPr>
              <w:rPr>
                <w:rFonts w:ascii="宋体"/>
              </w:rPr>
            </w:pPr>
          </w:p>
        </w:tc>
        <w:tc>
          <w:tcPr>
            <w:tcW w:w="0" w:type="auto"/>
            <w:shd w:val="clear" w:color="auto" w:fill="auto"/>
          </w:tcPr>
          <w:p w14:paraId="36CA39B0" w14:textId="77777777" w:rsidR="00787570" w:rsidRDefault="00787570">
            <w:pPr>
              <w:rPr>
                <w:rFonts w:ascii="宋体"/>
              </w:rPr>
            </w:pPr>
          </w:p>
        </w:tc>
        <w:tc>
          <w:tcPr>
            <w:tcW w:w="0" w:type="auto"/>
            <w:shd w:val="clear" w:color="auto" w:fill="auto"/>
          </w:tcPr>
          <w:p w14:paraId="36CA39B1" w14:textId="77777777" w:rsidR="00787570" w:rsidRDefault="00787570">
            <w:pPr>
              <w:rPr>
                <w:rFonts w:ascii="宋体"/>
              </w:rPr>
            </w:pPr>
          </w:p>
        </w:tc>
      </w:tr>
      <w:tr w:rsidR="00787570" w14:paraId="36CA39D0" w14:textId="77777777">
        <w:trPr>
          <w:hidden/>
        </w:trPr>
        <w:tc>
          <w:tcPr>
            <w:tcW w:w="0" w:type="auto"/>
            <w:gridSpan w:val="3"/>
            <w:shd w:val="clear" w:color="auto" w:fill="auto"/>
          </w:tcPr>
          <w:p w14:paraId="36CA39B3" w14:textId="77777777" w:rsidR="00787570" w:rsidRDefault="00787570">
            <w:pPr>
              <w:rPr>
                <w:rFonts w:ascii="宋体"/>
                <w:vanish/>
              </w:rPr>
            </w:pPr>
          </w:p>
        </w:tc>
        <w:tc>
          <w:tcPr>
            <w:tcW w:w="0" w:type="auto"/>
            <w:gridSpan w:val="3"/>
            <w:shd w:val="clear" w:color="auto" w:fill="auto"/>
          </w:tcPr>
          <w:p w14:paraId="36CA39B4" w14:textId="77777777" w:rsidR="00787570" w:rsidRDefault="00787570">
            <w:pPr>
              <w:rPr>
                <w:rFonts w:ascii="宋体"/>
                <w:vanish/>
              </w:rPr>
            </w:pPr>
          </w:p>
        </w:tc>
        <w:tc>
          <w:tcPr>
            <w:tcW w:w="0" w:type="auto"/>
            <w:gridSpan w:val="3"/>
            <w:shd w:val="clear" w:color="auto" w:fill="auto"/>
          </w:tcPr>
          <w:p w14:paraId="36CA39B5" w14:textId="77777777" w:rsidR="00787570" w:rsidRDefault="00787570">
            <w:pPr>
              <w:rPr>
                <w:rFonts w:ascii="宋体"/>
                <w:vanish/>
              </w:rPr>
            </w:pPr>
          </w:p>
        </w:tc>
        <w:tc>
          <w:tcPr>
            <w:tcW w:w="0" w:type="auto"/>
            <w:gridSpan w:val="3"/>
            <w:shd w:val="clear" w:color="auto" w:fill="auto"/>
          </w:tcPr>
          <w:p w14:paraId="36CA39B6" w14:textId="77777777" w:rsidR="00787570" w:rsidRDefault="00787570">
            <w:pPr>
              <w:rPr>
                <w:rFonts w:ascii="宋体"/>
                <w:vanish/>
              </w:rPr>
            </w:pPr>
          </w:p>
        </w:tc>
        <w:tc>
          <w:tcPr>
            <w:tcW w:w="0" w:type="auto"/>
            <w:gridSpan w:val="3"/>
            <w:shd w:val="clear" w:color="auto" w:fill="auto"/>
          </w:tcPr>
          <w:p w14:paraId="36CA39B7" w14:textId="77777777" w:rsidR="00787570" w:rsidRDefault="00787570">
            <w:pPr>
              <w:rPr>
                <w:rFonts w:ascii="宋体"/>
                <w:vanish/>
              </w:rPr>
            </w:pPr>
          </w:p>
        </w:tc>
        <w:tc>
          <w:tcPr>
            <w:tcW w:w="0" w:type="auto"/>
            <w:gridSpan w:val="3"/>
            <w:shd w:val="clear" w:color="auto" w:fill="auto"/>
          </w:tcPr>
          <w:p w14:paraId="36CA39B8" w14:textId="77777777" w:rsidR="00787570" w:rsidRDefault="00787570">
            <w:pPr>
              <w:rPr>
                <w:rFonts w:ascii="宋体"/>
                <w:vanish/>
              </w:rPr>
            </w:pPr>
          </w:p>
        </w:tc>
        <w:tc>
          <w:tcPr>
            <w:tcW w:w="0" w:type="auto"/>
            <w:gridSpan w:val="3"/>
            <w:shd w:val="clear" w:color="auto" w:fill="auto"/>
          </w:tcPr>
          <w:p w14:paraId="36CA39B9" w14:textId="77777777" w:rsidR="00787570" w:rsidRDefault="00787570">
            <w:pPr>
              <w:rPr>
                <w:rFonts w:ascii="宋体"/>
                <w:vanish/>
              </w:rPr>
            </w:pPr>
          </w:p>
        </w:tc>
        <w:tc>
          <w:tcPr>
            <w:tcW w:w="0" w:type="auto"/>
            <w:gridSpan w:val="3"/>
            <w:shd w:val="clear" w:color="auto" w:fill="auto"/>
          </w:tcPr>
          <w:p w14:paraId="36CA39BA" w14:textId="77777777" w:rsidR="00787570" w:rsidRDefault="00787570">
            <w:pPr>
              <w:rPr>
                <w:rFonts w:ascii="宋体"/>
                <w:vanish/>
              </w:rPr>
            </w:pPr>
          </w:p>
        </w:tc>
        <w:tc>
          <w:tcPr>
            <w:tcW w:w="0" w:type="auto"/>
            <w:gridSpan w:val="3"/>
            <w:shd w:val="clear" w:color="auto" w:fill="auto"/>
          </w:tcPr>
          <w:p w14:paraId="36CA39BB" w14:textId="77777777" w:rsidR="00787570" w:rsidRDefault="00787570">
            <w:pPr>
              <w:rPr>
                <w:rFonts w:ascii="宋体"/>
                <w:vanish/>
              </w:rPr>
            </w:pPr>
          </w:p>
        </w:tc>
        <w:tc>
          <w:tcPr>
            <w:tcW w:w="0" w:type="auto"/>
            <w:gridSpan w:val="3"/>
            <w:shd w:val="clear" w:color="auto" w:fill="auto"/>
          </w:tcPr>
          <w:p w14:paraId="36CA39BC" w14:textId="77777777" w:rsidR="00787570" w:rsidRDefault="00787570">
            <w:pPr>
              <w:rPr>
                <w:rFonts w:ascii="宋体"/>
                <w:vanish/>
              </w:rPr>
            </w:pPr>
          </w:p>
        </w:tc>
        <w:tc>
          <w:tcPr>
            <w:tcW w:w="0" w:type="auto"/>
            <w:gridSpan w:val="3"/>
            <w:shd w:val="clear" w:color="auto" w:fill="auto"/>
          </w:tcPr>
          <w:p w14:paraId="36CA39BD" w14:textId="77777777" w:rsidR="00787570" w:rsidRDefault="00787570">
            <w:pPr>
              <w:rPr>
                <w:rFonts w:ascii="宋体"/>
                <w:vanish/>
              </w:rPr>
            </w:pPr>
          </w:p>
        </w:tc>
        <w:tc>
          <w:tcPr>
            <w:tcW w:w="0" w:type="auto"/>
            <w:gridSpan w:val="3"/>
            <w:shd w:val="clear" w:color="auto" w:fill="auto"/>
          </w:tcPr>
          <w:p w14:paraId="36CA39BE" w14:textId="77777777" w:rsidR="00787570" w:rsidRDefault="00787570">
            <w:pPr>
              <w:rPr>
                <w:rFonts w:ascii="宋体"/>
                <w:vanish/>
              </w:rPr>
            </w:pPr>
          </w:p>
        </w:tc>
        <w:tc>
          <w:tcPr>
            <w:tcW w:w="0" w:type="auto"/>
            <w:gridSpan w:val="3"/>
            <w:shd w:val="clear" w:color="auto" w:fill="auto"/>
          </w:tcPr>
          <w:p w14:paraId="36CA39BF" w14:textId="77777777" w:rsidR="00787570" w:rsidRDefault="00787570">
            <w:pPr>
              <w:rPr>
                <w:rFonts w:ascii="宋体"/>
                <w:vanish/>
              </w:rPr>
            </w:pPr>
          </w:p>
        </w:tc>
        <w:tc>
          <w:tcPr>
            <w:tcW w:w="0" w:type="auto"/>
            <w:gridSpan w:val="3"/>
            <w:shd w:val="clear" w:color="auto" w:fill="auto"/>
          </w:tcPr>
          <w:p w14:paraId="36CA39C0" w14:textId="77777777" w:rsidR="00787570" w:rsidRDefault="00787570">
            <w:pPr>
              <w:rPr>
                <w:rFonts w:ascii="宋体"/>
                <w:vanish/>
              </w:rPr>
            </w:pPr>
          </w:p>
        </w:tc>
        <w:tc>
          <w:tcPr>
            <w:tcW w:w="0" w:type="auto"/>
            <w:gridSpan w:val="3"/>
            <w:shd w:val="clear" w:color="auto" w:fill="auto"/>
          </w:tcPr>
          <w:p w14:paraId="36CA39C1" w14:textId="77777777" w:rsidR="00787570" w:rsidRDefault="00787570">
            <w:pPr>
              <w:rPr>
                <w:rFonts w:ascii="宋体"/>
                <w:vanish/>
              </w:rPr>
            </w:pPr>
          </w:p>
        </w:tc>
        <w:tc>
          <w:tcPr>
            <w:tcW w:w="0" w:type="auto"/>
            <w:gridSpan w:val="3"/>
            <w:shd w:val="clear" w:color="auto" w:fill="auto"/>
          </w:tcPr>
          <w:p w14:paraId="36CA39C2" w14:textId="77777777" w:rsidR="00787570" w:rsidRDefault="00787570">
            <w:pPr>
              <w:rPr>
                <w:rFonts w:ascii="宋体"/>
                <w:vanish/>
              </w:rPr>
            </w:pPr>
          </w:p>
        </w:tc>
        <w:tc>
          <w:tcPr>
            <w:tcW w:w="0" w:type="auto"/>
            <w:gridSpan w:val="3"/>
            <w:shd w:val="clear" w:color="auto" w:fill="auto"/>
          </w:tcPr>
          <w:p w14:paraId="36CA39C3" w14:textId="77777777" w:rsidR="00787570" w:rsidRDefault="00787570">
            <w:pPr>
              <w:rPr>
                <w:rFonts w:ascii="宋体"/>
                <w:vanish/>
              </w:rPr>
            </w:pPr>
          </w:p>
        </w:tc>
        <w:tc>
          <w:tcPr>
            <w:tcW w:w="0" w:type="auto"/>
            <w:shd w:val="clear" w:color="auto" w:fill="auto"/>
          </w:tcPr>
          <w:p w14:paraId="36CA39C4" w14:textId="77777777" w:rsidR="00787570" w:rsidRDefault="00787570">
            <w:pPr>
              <w:rPr>
                <w:rFonts w:ascii="宋体"/>
              </w:rPr>
            </w:pPr>
          </w:p>
        </w:tc>
        <w:tc>
          <w:tcPr>
            <w:tcW w:w="0" w:type="auto"/>
            <w:shd w:val="clear" w:color="auto" w:fill="auto"/>
          </w:tcPr>
          <w:p w14:paraId="36CA39C5" w14:textId="77777777" w:rsidR="00787570" w:rsidRDefault="00787570">
            <w:pPr>
              <w:rPr>
                <w:rFonts w:ascii="宋体"/>
              </w:rPr>
            </w:pPr>
          </w:p>
        </w:tc>
        <w:tc>
          <w:tcPr>
            <w:tcW w:w="0" w:type="auto"/>
            <w:shd w:val="clear" w:color="auto" w:fill="auto"/>
          </w:tcPr>
          <w:p w14:paraId="36CA39C6" w14:textId="77777777" w:rsidR="00787570" w:rsidRDefault="00787570">
            <w:pPr>
              <w:rPr>
                <w:rFonts w:ascii="宋体"/>
              </w:rPr>
            </w:pPr>
          </w:p>
        </w:tc>
        <w:tc>
          <w:tcPr>
            <w:tcW w:w="0" w:type="auto"/>
            <w:shd w:val="clear" w:color="auto" w:fill="auto"/>
          </w:tcPr>
          <w:p w14:paraId="36CA39C7" w14:textId="77777777" w:rsidR="00787570" w:rsidRDefault="00787570">
            <w:pPr>
              <w:rPr>
                <w:rFonts w:ascii="宋体"/>
              </w:rPr>
            </w:pPr>
          </w:p>
        </w:tc>
        <w:tc>
          <w:tcPr>
            <w:tcW w:w="0" w:type="auto"/>
            <w:shd w:val="clear" w:color="auto" w:fill="auto"/>
          </w:tcPr>
          <w:p w14:paraId="36CA39C8" w14:textId="77777777" w:rsidR="00787570" w:rsidRDefault="00787570">
            <w:pPr>
              <w:rPr>
                <w:rFonts w:ascii="宋体"/>
              </w:rPr>
            </w:pPr>
          </w:p>
        </w:tc>
        <w:tc>
          <w:tcPr>
            <w:tcW w:w="0" w:type="auto"/>
            <w:shd w:val="clear" w:color="auto" w:fill="auto"/>
          </w:tcPr>
          <w:p w14:paraId="36CA39C9" w14:textId="77777777" w:rsidR="00787570" w:rsidRDefault="00787570">
            <w:pPr>
              <w:rPr>
                <w:rFonts w:ascii="宋体"/>
              </w:rPr>
            </w:pPr>
          </w:p>
        </w:tc>
        <w:tc>
          <w:tcPr>
            <w:tcW w:w="0" w:type="auto"/>
            <w:shd w:val="clear" w:color="auto" w:fill="auto"/>
          </w:tcPr>
          <w:p w14:paraId="36CA39CA" w14:textId="77777777" w:rsidR="00787570" w:rsidRDefault="00787570">
            <w:pPr>
              <w:rPr>
                <w:rFonts w:ascii="宋体"/>
              </w:rPr>
            </w:pPr>
          </w:p>
        </w:tc>
        <w:tc>
          <w:tcPr>
            <w:tcW w:w="0" w:type="auto"/>
            <w:shd w:val="clear" w:color="auto" w:fill="auto"/>
          </w:tcPr>
          <w:p w14:paraId="36CA39CB" w14:textId="77777777" w:rsidR="00787570" w:rsidRDefault="00787570">
            <w:pPr>
              <w:rPr>
                <w:rFonts w:ascii="宋体"/>
              </w:rPr>
            </w:pPr>
          </w:p>
        </w:tc>
        <w:tc>
          <w:tcPr>
            <w:tcW w:w="0" w:type="auto"/>
            <w:shd w:val="clear" w:color="auto" w:fill="auto"/>
          </w:tcPr>
          <w:p w14:paraId="36CA39CC" w14:textId="77777777" w:rsidR="00787570" w:rsidRDefault="00787570">
            <w:pPr>
              <w:rPr>
                <w:rFonts w:ascii="宋体"/>
              </w:rPr>
            </w:pPr>
          </w:p>
        </w:tc>
        <w:tc>
          <w:tcPr>
            <w:tcW w:w="0" w:type="auto"/>
            <w:shd w:val="clear" w:color="auto" w:fill="auto"/>
          </w:tcPr>
          <w:p w14:paraId="36CA39CD" w14:textId="77777777" w:rsidR="00787570" w:rsidRDefault="00787570">
            <w:pPr>
              <w:rPr>
                <w:rFonts w:ascii="宋体"/>
              </w:rPr>
            </w:pPr>
          </w:p>
        </w:tc>
        <w:tc>
          <w:tcPr>
            <w:tcW w:w="0" w:type="auto"/>
            <w:shd w:val="clear" w:color="auto" w:fill="auto"/>
          </w:tcPr>
          <w:p w14:paraId="36CA39CE" w14:textId="77777777" w:rsidR="00787570" w:rsidRDefault="00787570">
            <w:pPr>
              <w:rPr>
                <w:rFonts w:ascii="宋体"/>
              </w:rPr>
            </w:pPr>
          </w:p>
        </w:tc>
        <w:tc>
          <w:tcPr>
            <w:tcW w:w="0" w:type="auto"/>
            <w:shd w:val="clear" w:color="auto" w:fill="auto"/>
          </w:tcPr>
          <w:p w14:paraId="36CA39CF" w14:textId="77777777" w:rsidR="00787570" w:rsidRDefault="00787570">
            <w:pPr>
              <w:rPr>
                <w:rFonts w:ascii="宋体"/>
              </w:rPr>
            </w:pPr>
          </w:p>
        </w:tc>
      </w:tr>
      <w:tr w:rsidR="00787570" w14:paraId="36CA39F6" w14:textId="77777777">
        <w:tc>
          <w:tcPr>
            <w:tcW w:w="0" w:type="auto"/>
            <w:gridSpan w:val="3"/>
            <w:shd w:val="clear" w:color="auto" w:fill="auto"/>
            <w:tcMar>
              <w:top w:w="40" w:type="dxa"/>
              <w:left w:w="120" w:type="dxa"/>
              <w:bottom w:w="40" w:type="dxa"/>
              <w:right w:w="20" w:type="dxa"/>
            </w:tcMar>
          </w:tcPr>
          <w:p w14:paraId="36CA39D1" w14:textId="77777777" w:rsidR="00787570" w:rsidRDefault="000D56E2">
            <w:pPr>
              <w:textAlignment w:val="top"/>
            </w:pPr>
            <w:r>
              <w:rPr>
                <w:rFonts w:ascii="Arial" w:eastAsia="宋体" w:hAnsi="Arial" w:cs="Arial"/>
                <w:color w:val="333333"/>
                <w:sz w:val="18"/>
                <w:szCs w:val="18"/>
              </w:rPr>
              <w:t>Corporate debt</w:t>
            </w:r>
          </w:p>
        </w:tc>
        <w:tc>
          <w:tcPr>
            <w:tcW w:w="0" w:type="auto"/>
            <w:gridSpan w:val="3"/>
            <w:shd w:val="clear" w:color="auto" w:fill="auto"/>
            <w:tcMar>
              <w:left w:w="20" w:type="dxa"/>
              <w:right w:w="20" w:type="dxa"/>
            </w:tcMar>
            <w:vAlign w:val="bottom"/>
          </w:tcPr>
          <w:p w14:paraId="36CA39D2"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39D3" w14:textId="77777777" w:rsidR="00787570" w:rsidRDefault="000D56E2">
            <w:pPr>
              <w:jc w:val="right"/>
              <w:textAlignment w:val="bottom"/>
            </w:pPr>
            <w:r>
              <w:rPr>
                <w:rFonts w:ascii="Arial" w:eastAsia="宋体" w:hAnsi="Arial" w:cs="Arial"/>
                <w:color w:val="026DCE"/>
                <w:sz w:val="18"/>
                <w:szCs w:val="18"/>
              </w:rPr>
              <w:t>— </w:t>
            </w:r>
          </w:p>
        </w:tc>
        <w:tc>
          <w:tcPr>
            <w:tcW w:w="0" w:type="auto"/>
            <w:shd w:val="clear" w:color="auto" w:fill="auto"/>
            <w:tcMar>
              <w:top w:w="40" w:type="dxa"/>
              <w:bottom w:w="40" w:type="dxa"/>
              <w:right w:w="20" w:type="dxa"/>
            </w:tcMar>
            <w:vAlign w:val="bottom"/>
          </w:tcPr>
          <w:p w14:paraId="36CA39D4"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39D5"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39D6" w14:textId="77777777" w:rsidR="00787570" w:rsidRDefault="000D56E2">
            <w:pPr>
              <w:jc w:val="right"/>
              <w:textAlignment w:val="bottom"/>
            </w:pPr>
            <w:r>
              <w:rPr>
                <w:rFonts w:ascii="Arial" w:eastAsia="宋体" w:hAnsi="Arial" w:cs="Arial"/>
                <w:color w:val="026DCE"/>
                <w:sz w:val="18"/>
                <w:szCs w:val="18"/>
              </w:rPr>
              <w:t>1,727 </w:t>
            </w:r>
          </w:p>
        </w:tc>
        <w:tc>
          <w:tcPr>
            <w:tcW w:w="0" w:type="auto"/>
            <w:shd w:val="clear" w:color="auto" w:fill="auto"/>
            <w:tcMar>
              <w:top w:w="40" w:type="dxa"/>
              <w:bottom w:w="40" w:type="dxa"/>
              <w:right w:w="20" w:type="dxa"/>
            </w:tcMar>
            <w:vAlign w:val="bottom"/>
          </w:tcPr>
          <w:p w14:paraId="36CA39D7"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39D8"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39D9" w14:textId="77777777" w:rsidR="00787570" w:rsidRDefault="000D56E2">
            <w:pPr>
              <w:jc w:val="right"/>
              <w:textAlignment w:val="bottom"/>
            </w:pPr>
            <w:r>
              <w:rPr>
                <w:rFonts w:ascii="Arial" w:eastAsia="宋体" w:hAnsi="Arial" w:cs="Arial"/>
                <w:color w:val="026DCE"/>
                <w:sz w:val="18"/>
                <w:szCs w:val="18"/>
              </w:rPr>
              <w:t>— </w:t>
            </w:r>
          </w:p>
        </w:tc>
        <w:tc>
          <w:tcPr>
            <w:tcW w:w="0" w:type="auto"/>
            <w:shd w:val="clear" w:color="auto" w:fill="auto"/>
            <w:tcMar>
              <w:top w:w="40" w:type="dxa"/>
              <w:bottom w:w="40" w:type="dxa"/>
              <w:right w:w="20" w:type="dxa"/>
            </w:tcMar>
            <w:vAlign w:val="bottom"/>
          </w:tcPr>
          <w:p w14:paraId="36CA39DA"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39DB"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39DC" w14:textId="77777777" w:rsidR="00787570" w:rsidRDefault="000D56E2">
            <w:pPr>
              <w:jc w:val="right"/>
              <w:textAlignment w:val="bottom"/>
            </w:pPr>
            <w:r>
              <w:rPr>
                <w:rFonts w:ascii="Arial" w:eastAsia="宋体" w:hAnsi="Arial" w:cs="Arial"/>
                <w:color w:val="026DCE"/>
                <w:sz w:val="18"/>
                <w:szCs w:val="18"/>
              </w:rPr>
              <w:t>1,727 </w:t>
            </w:r>
          </w:p>
        </w:tc>
        <w:tc>
          <w:tcPr>
            <w:tcW w:w="0" w:type="auto"/>
            <w:shd w:val="clear" w:color="auto" w:fill="auto"/>
            <w:tcMar>
              <w:top w:w="40" w:type="dxa"/>
              <w:bottom w:w="40" w:type="dxa"/>
              <w:right w:w="20" w:type="dxa"/>
            </w:tcMar>
            <w:vAlign w:val="bottom"/>
          </w:tcPr>
          <w:p w14:paraId="36CA39DD"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39DE"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39DF" w14:textId="77777777" w:rsidR="00787570" w:rsidRDefault="000D56E2">
            <w:pPr>
              <w:jc w:val="right"/>
              <w:textAlignment w:val="bottom"/>
            </w:pPr>
            <w:r>
              <w:rPr>
                <w:rFonts w:ascii="Arial" w:eastAsia="宋体" w:hAnsi="Arial" w:cs="Arial"/>
                <w:color w:val="333333"/>
                <w:sz w:val="18"/>
                <w:szCs w:val="18"/>
              </w:rPr>
              <w:t>— </w:t>
            </w:r>
          </w:p>
        </w:tc>
        <w:tc>
          <w:tcPr>
            <w:tcW w:w="0" w:type="auto"/>
            <w:shd w:val="clear" w:color="auto" w:fill="auto"/>
            <w:tcMar>
              <w:top w:w="40" w:type="dxa"/>
              <w:bottom w:w="40" w:type="dxa"/>
              <w:right w:w="20" w:type="dxa"/>
            </w:tcMar>
            <w:vAlign w:val="bottom"/>
          </w:tcPr>
          <w:p w14:paraId="36CA39E0"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39E1"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39E2" w14:textId="77777777" w:rsidR="00787570" w:rsidRDefault="000D56E2">
            <w:pPr>
              <w:jc w:val="right"/>
              <w:textAlignment w:val="bottom"/>
            </w:pPr>
            <w:r>
              <w:rPr>
                <w:rFonts w:ascii="Arial" w:eastAsia="宋体" w:hAnsi="Arial" w:cs="Arial"/>
                <w:color w:val="333333"/>
                <w:sz w:val="18"/>
                <w:szCs w:val="18"/>
              </w:rPr>
              <w:t>1,898 </w:t>
            </w:r>
          </w:p>
        </w:tc>
        <w:tc>
          <w:tcPr>
            <w:tcW w:w="0" w:type="auto"/>
            <w:shd w:val="clear" w:color="auto" w:fill="auto"/>
            <w:tcMar>
              <w:top w:w="40" w:type="dxa"/>
              <w:bottom w:w="40" w:type="dxa"/>
              <w:right w:w="20" w:type="dxa"/>
            </w:tcMar>
            <w:vAlign w:val="bottom"/>
          </w:tcPr>
          <w:p w14:paraId="36CA39E3"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39E4"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39E5" w14:textId="77777777" w:rsidR="00787570" w:rsidRDefault="000D56E2">
            <w:pPr>
              <w:jc w:val="right"/>
              <w:textAlignment w:val="bottom"/>
            </w:pPr>
            <w:r>
              <w:rPr>
                <w:rFonts w:ascii="Arial" w:eastAsia="宋体" w:hAnsi="Arial" w:cs="Arial"/>
                <w:color w:val="333333"/>
                <w:sz w:val="18"/>
                <w:szCs w:val="18"/>
              </w:rPr>
              <w:t>— </w:t>
            </w:r>
          </w:p>
        </w:tc>
        <w:tc>
          <w:tcPr>
            <w:tcW w:w="0" w:type="auto"/>
            <w:shd w:val="clear" w:color="auto" w:fill="auto"/>
            <w:tcMar>
              <w:top w:w="40" w:type="dxa"/>
              <w:bottom w:w="40" w:type="dxa"/>
              <w:right w:w="20" w:type="dxa"/>
            </w:tcMar>
            <w:vAlign w:val="bottom"/>
          </w:tcPr>
          <w:p w14:paraId="36CA39E6"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39E7"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39E8" w14:textId="77777777" w:rsidR="00787570" w:rsidRDefault="000D56E2">
            <w:pPr>
              <w:jc w:val="right"/>
              <w:textAlignment w:val="bottom"/>
            </w:pPr>
            <w:r>
              <w:rPr>
                <w:rFonts w:ascii="Arial" w:eastAsia="宋体" w:hAnsi="Arial" w:cs="Arial"/>
                <w:color w:val="333333"/>
                <w:sz w:val="18"/>
                <w:szCs w:val="18"/>
              </w:rPr>
              <w:t>1,898 </w:t>
            </w:r>
          </w:p>
        </w:tc>
        <w:tc>
          <w:tcPr>
            <w:tcW w:w="0" w:type="auto"/>
            <w:shd w:val="clear" w:color="auto" w:fill="auto"/>
            <w:tcMar>
              <w:top w:w="40" w:type="dxa"/>
              <w:bottom w:w="40" w:type="dxa"/>
              <w:right w:w="20" w:type="dxa"/>
            </w:tcMar>
            <w:vAlign w:val="bottom"/>
          </w:tcPr>
          <w:p w14:paraId="36CA39E9" w14:textId="77777777" w:rsidR="00787570" w:rsidRDefault="00787570">
            <w:pPr>
              <w:jc w:val="right"/>
              <w:rPr>
                <w:rFonts w:ascii="宋体"/>
              </w:rPr>
            </w:pPr>
          </w:p>
        </w:tc>
        <w:tc>
          <w:tcPr>
            <w:tcW w:w="0" w:type="auto"/>
            <w:shd w:val="clear" w:color="auto" w:fill="auto"/>
          </w:tcPr>
          <w:p w14:paraId="36CA39EA" w14:textId="77777777" w:rsidR="00787570" w:rsidRDefault="00787570">
            <w:pPr>
              <w:rPr>
                <w:rFonts w:ascii="宋体"/>
              </w:rPr>
            </w:pPr>
          </w:p>
        </w:tc>
        <w:tc>
          <w:tcPr>
            <w:tcW w:w="0" w:type="auto"/>
            <w:shd w:val="clear" w:color="auto" w:fill="auto"/>
          </w:tcPr>
          <w:p w14:paraId="36CA39EB" w14:textId="77777777" w:rsidR="00787570" w:rsidRDefault="00787570">
            <w:pPr>
              <w:rPr>
                <w:rFonts w:ascii="宋体"/>
              </w:rPr>
            </w:pPr>
          </w:p>
        </w:tc>
        <w:tc>
          <w:tcPr>
            <w:tcW w:w="0" w:type="auto"/>
            <w:shd w:val="clear" w:color="auto" w:fill="auto"/>
          </w:tcPr>
          <w:p w14:paraId="36CA39EC" w14:textId="77777777" w:rsidR="00787570" w:rsidRDefault="00787570">
            <w:pPr>
              <w:rPr>
                <w:rFonts w:ascii="宋体"/>
              </w:rPr>
            </w:pPr>
          </w:p>
        </w:tc>
        <w:tc>
          <w:tcPr>
            <w:tcW w:w="0" w:type="auto"/>
            <w:shd w:val="clear" w:color="auto" w:fill="auto"/>
          </w:tcPr>
          <w:p w14:paraId="36CA39ED" w14:textId="77777777" w:rsidR="00787570" w:rsidRDefault="00787570">
            <w:pPr>
              <w:rPr>
                <w:rFonts w:ascii="宋体"/>
              </w:rPr>
            </w:pPr>
          </w:p>
        </w:tc>
        <w:tc>
          <w:tcPr>
            <w:tcW w:w="0" w:type="auto"/>
            <w:shd w:val="clear" w:color="auto" w:fill="auto"/>
          </w:tcPr>
          <w:p w14:paraId="36CA39EE" w14:textId="77777777" w:rsidR="00787570" w:rsidRDefault="00787570">
            <w:pPr>
              <w:rPr>
                <w:rFonts w:ascii="宋体"/>
              </w:rPr>
            </w:pPr>
          </w:p>
        </w:tc>
        <w:tc>
          <w:tcPr>
            <w:tcW w:w="0" w:type="auto"/>
            <w:shd w:val="clear" w:color="auto" w:fill="auto"/>
          </w:tcPr>
          <w:p w14:paraId="36CA39EF" w14:textId="77777777" w:rsidR="00787570" w:rsidRDefault="00787570">
            <w:pPr>
              <w:rPr>
                <w:rFonts w:ascii="宋体"/>
              </w:rPr>
            </w:pPr>
          </w:p>
        </w:tc>
        <w:tc>
          <w:tcPr>
            <w:tcW w:w="0" w:type="auto"/>
            <w:shd w:val="clear" w:color="auto" w:fill="auto"/>
          </w:tcPr>
          <w:p w14:paraId="36CA39F0" w14:textId="77777777" w:rsidR="00787570" w:rsidRDefault="00787570">
            <w:pPr>
              <w:rPr>
                <w:rFonts w:ascii="宋体"/>
              </w:rPr>
            </w:pPr>
          </w:p>
        </w:tc>
        <w:tc>
          <w:tcPr>
            <w:tcW w:w="0" w:type="auto"/>
            <w:shd w:val="clear" w:color="auto" w:fill="auto"/>
          </w:tcPr>
          <w:p w14:paraId="36CA39F1" w14:textId="77777777" w:rsidR="00787570" w:rsidRDefault="00787570">
            <w:pPr>
              <w:rPr>
                <w:rFonts w:ascii="宋体"/>
              </w:rPr>
            </w:pPr>
          </w:p>
        </w:tc>
        <w:tc>
          <w:tcPr>
            <w:tcW w:w="0" w:type="auto"/>
            <w:shd w:val="clear" w:color="auto" w:fill="auto"/>
          </w:tcPr>
          <w:p w14:paraId="36CA39F2" w14:textId="77777777" w:rsidR="00787570" w:rsidRDefault="00787570">
            <w:pPr>
              <w:rPr>
                <w:rFonts w:ascii="宋体"/>
              </w:rPr>
            </w:pPr>
          </w:p>
        </w:tc>
        <w:tc>
          <w:tcPr>
            <w:tcW w:w="0" w:type="auto"/>
            <w:shd w:val="clear" w:color="auto" w:fill="auto"/>
          </w:tcPr>
          <w:p w14:paraId="36CA39F3" w14:textId="77777777" w:rsidR="00787570" w:rsidRDefault="00787570">
            <w:pPr>
              <w:rPr>
                <w:rFonts w:ascii="宋体"/>
              </w:rPr>
            </w:pPr>
          </w:p>
        </w:tc>
        <w:tc>
          <w:tcPr>
            <w:tcW w:w="0" w:type="auto"/>
            <w:shd w:val="clear" w:color="auto" w:fill="auto"/>
          </w:tcPr>
          <w:p w14:paraId="36CA39F4" w14:textId="77777777" w:rsidR="00787570" w:rsidRDefault="00787570">
            <w:pPr>
              <w:rPr>
                <w:rFonts w:ascii="宋体"/>
              </w:rPr>
            </w:pPr>
          </w:p>
        </w:tc>
        <w:tc>
          <w:tcPr>
            <w:tcW w:w="0" w:type="auto"/>
            <w:shd w:val="clear" w:color="auto" w:fill="auto"/>
          </w:tcPr>
          <w:p w14:paraId="36CA39F5" w14:textId="77777777" w:rsidR="00787570" w:rsidRDefault="00787570">
            <w:pPr>
              <w:rPr>
                <w:rFonts w:ascii="宋体"/>
              </w:rPr>
            </w:pPr>
          </w:p>
        </w:tc>
      </w:tr>
      <w:tr w:rsidR="00787570" w14:paraId="36CA3A1C" w14:textId="77777777">
        <w:tc>
          <w:tcPr>
            <w:tcW w:w="0" w:type="auto"/>
            <w:gridSpan w:val="3"/>
            <w:shd w:val="clear" w:color="auto" w:fill="auto"/>
            <w:tcMar>
              <w:top w:w="40" w:type="dxa"/>
              <w:left w:w="120" w:type="dxa"/>
              <w:bottom w:w="40" w:type="dxa"/>
              <w:right w:w="20" w:type="dxa"/>
            </w:tcMar>
          </w:tcPr>
          <w:p w14:paraId="36CA39F7" w14:textId="77777777" w:rsidR="00787570" w:rsidRDefault="000D56E2">
            <w:pPr>
              <w:textAlignment w:val="top"/>
            </w:pPr>
            <w:r>
              <w:rPr>
                <w:rFonts w:ascii="Arial" w:eastAsia="宋体" w:hAnsi="Arial" w:cs="Arial"/>
                <w:color w:val="333333"/>
                <w:sz w:val="18"/>
                <w:szCs w:val="18"/>
              </w:rPr>
              <w:t>Financial institution instruments¹</w:t>
            </w:r>
          </w:p>
        </w:tc>
        <w:tc>
          <w:tcPr>
            <w:tcW w:w="0" w:type="auto"/>
            <w:gridSpan w:val="3"/>
            <w:shd w:val="clear" w:color="auto" w:fill="auto"/>
            <w:tcMar>
              <w:left w:w="20" w:type="dxa"/>
              <w:right w:w="20" w:type="dxa"/>
            </w:tcMar>
            <w:vAlign w:val="bottom"/>
          </w:tcPr>
          <w:p w14:paraId="36CA39F8"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39F9" w14:textId="77777777" w:rsidR="00787570" w:rsidRDefault="000D56E2">
            <w:pPr>
              <w:jc w:val="right"/>
              <w:textAlignment w:val="bottom"/>
            </w:pPr>
            <w:r>
              <w:rPr>
                <w:rFonts w:ascii="Arial" w:eastAsia="宋体" w:hAnsi="Arial" w:cs="Arial"/>
                <w:color w:val="026DCE"/>
                <w:sz w:val="18"/>
                <w:szCs w:val="18"/>
              </w:rPr>
              <w:t>— </w:t>
            </w:r>
          </w:p>
        </w:tc>
        <w:tc>
          <w:tcPr>
            <w:tcW w:w="0" w:type="auto"/>
            <w:shd w:val="clear" w:color="auto" w:fill="auto"/>
            <w:tcMar>
              <w:top w:w="40" w:type="dxa"/>
              <w:bottom w:w="40" w:type="dxa"/>
              <w:right w:w="20" w:type="dxa"/>
            </w:tcMar>
            <w:vAlign w:val="bottom"/>
          </w:tcPr>
          <w:p w14:paraId="36CA39FA"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39FB"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39FC" w14:textId="77777777" w:rsidR="00787570" w:rsidRDefault="000D56E2">
            <w:pPr>
              <w:jc w:val="right"/>
              <w:textAlignment w:val="bottom"/>
            </w:pPr>
            <w:r>
              <w:rPr>
                <w:rFonts w:ascii="Arial" w:eastAsia="宋体" w:hAnsi="Arial" w:cs="Arial"/>
                <w:color w:val="026DCE"/>
                <w:sz w:val="18"/>
                <w:szCs w:val="18"/>
              </w:rPr>
              <w:t>425 </w:t>
            </w:r>
          </w:p>
        </w:tc>
        <w:tc>
          <w:tcPr>
            <w:tcW w:w="0" w:type="auto"/>
            <w:shd w:val="clear" w:color="auto" w:fill="auto"/>
            <w:tcMar>
              <w:top w:w="40" w:type="dxa"/>
              <w:bottom w:w="40" w:type="dxa"/>
              <w:right w:w="20" w:type="dxa"/>
            </w:tcMar>
            <w:vAlign w:val="bottom"/>
          </w:tcPr>
          <w:p w14:paraId="36CA39FD"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39FE"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39FF" w14:textId="77777777" w:rsidR="00787570" w:rsidRDefault="000D56E2">
            <w:pPr>
              <w:jc w:val="right"/>
              <w:textAlignment w:val="bottom"/>
            </w:pPr>
            <w:r>
              <w:rPr>
                <w:rFonts w:ascii="Arial" w:eastAsia="宋体" w:hAnsi="Arial" w:cs="Arial"/>
                <w:color w:val="026DCE"/>
                <w:sz w:val="18"/>
                <w:szCs w:val="18"/>
              </w:rPr>
              <w:t>— </w:t>
            </w:r>
          </w:p>
        </w:tc>
        <w:tc>
          <w:tcPr>
            <w:tcW w:w="0" w:type="auto"/>
            <w:shd w:val="clear" w:color="auto" w:fill="auto"/>
            <w:tcMar>
              <w:top w:w="40" w:type="dxa"/>
              <w:bottom w:w="40" w:type="dxa"/>
              <w:right w:w="20" w:type="dxa"/>
            </w:tcMar>
            <w:vAlign w:val="bottom"/>
          </w:tcPr>
          <w:p w14:paraId="36CA3A00"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3A01"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3A02" w14:textId="77777777" w:rsidR="00787570" w:rsidRDefault="000D56E2">
            <w:pPr>
              <w:jc w:val="right"/>
              <w:textAlignment w:val="bottom"/>
            </w:pPr>
            <w:r>
              <w:rPr>
                <w:rFonts w:ascii="Arial" w:eastAsia="宋体" w:hAnsi="Arial" w:cs="Arial"/>
                <w:color w:val="026DCE"/>
                <w:sz w:val="18"/>
                <w:szCs w:val="18"/>
              </w:rPr>
              <w:t>425 </w:t>
            </w:r>
          </w:p>
        </w:tc>
        <w:tc>
          <w:tcPr>
            <w:tcW w:w="0" w:type="auto"/>
            <w:shd w:val="clear" w:color="auto" w:fill="auto"/>
            <w:tcMar>
              <w:top w:w="40" w:type="dxa"/>
              <w:bottom w:w="40" w:type="dxa"/>
              <w:right w:w="20" w:type="dxa"/>
            </w:tcMar>
            <w:vAlign w:val="bottom"/>
          </w:tcPr>
          <w:p w14:paraId="36CA3A03"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3A04"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3A05" w14:textId="77777777" w:rsidR="00787570" w:rsidRDefault="000D56E2">
            <w:pPr>
              <w:jc w:val="right"/>
              <w:textAlignment w:val="bottom"/>
            </w:pPr>
            <w:r>
              <w:rPr>
                <w:rFonts w:ascii="Arial" w:eastAsia="宋体" w:hAnsi="Arial" w:cs="Arial"/>
                <w:color w:val="333333"/>
                <w:sz w:val="18"/>
                <w:szCs w:val="18"/>
              </w:rPr>
              <w:t>— </w:t>
            </w:r>
          </w:p>
        </w:tc>
        <w:tc>
          <w:tcPr>
            <w:tcW w:w="0" w:type="auto"/>
            <w:shd w:val="clear" w:color="auto" w:fill="auto"/>
            <w:tcMar>
              <w:top w:w="40" w:type="dxa"/>
              <w:bottom w:w="40" w:type="dxa"/>
              <w:right w:w="20" w:type="dxa"/>
            </w:tcMar>
            <w:vAlign w:val="bottom"/>
          </w:tcPr>
          <w:p w14:paraId="36CA3A06"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3A07"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3A08" w14:textId="77777777" w:rsidR="00787570" w:rsidRDefault="000D56E2">
            <w:pPr>
              <w:jc w:val="right"/>
              <w:textAlignment w:val="bottom"/>
            </w:pPr>
            <w:r>
              <w:rPr>
                <w:rFonts w:ascii="Arial" w:eastAsia="宋体" w:hAnsi="Arial" w:cs="Arial"/>
                <w:color w:val="333333"/>
                <w:sz w:val="18"/>
                <w:szCs w:val="18"/>
              </w:rPr>
              <w:t>825 </w:t>
            </w:r>
          </w:p>
        </w:tc>
        <w:tc>
          <w:tcPr>
            <w:tcW w:w="0" w:type="auto"/>
            <w:shd w:val="clear" w:color="auto" w:fill="auto"/>
            <w:tcMar>
              <w:top w:w="40" w:type="dxa"/>
              <w:bottom w:w="40" w:type="dxa"/>
              <w:right w:w="20" w:type="dxa"/>
            </w:tcMar>
            <w:vAlign w:val="bottom"/>
          </w:tcPr>
          <w:p w14:paraId="36CA3A09"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3A0A"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3A0B" w14:textId="77777777" w:rsidR="00787570" w:rsidRDefault="000D56E2">
            <w:pPr>
              <w:jc w:val="right"/>
              <w:textAlignment w:val="bottom"/>
            </w:pPr>
            <w:r>
              <w:rPr>
                <w:rFonts w:ascii="Arial" w:eastAsia="宋体" w:hAnsi="Arial" w:cs="Arial"/>
                <w:color w:val="333333"/>
                <w:sz w:val="18"/>
                <w:szCs w:val="18"/>
              </w:rPr>
              <w:t>— </w:t>
            </w:r>
          </w:p>
        </w:tc>
        <w:tc>
          <w:tcPr>
            <w:tcW w:w="0" w:type="auto"/>
            <w:shd w:val="clear" w:color="auto" w:fill="auto"/>
            <w:tcMar>
              <w:top w:w="40" w:type="dxa"/>
              <w:bottom w:w="40" w:type="dxa"/>
              <w:right w:w="20" w:type="dxa"/>
            </w:tcMar>
            <w:vAlign w:val="bottom"/>
          </w:tcPr>
          <w:p w14:paraId="36CA3A0C"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3A0D"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3A0E" w14:textId="77777777" w:rsidR="00787570" w:rsidRDefault="000D56E2">
            <w:pPr>
              <w:jc w:val="right"/>
              <w:textAlignment w:val="bottom"/>
            </w:pPr>
            <w:r>
              <w:rPr>
                <w:rFonts w:ascii="Arial" w:eastAsia="宋体" w:hAnsi="Arial" w:cs="Arial"/>
                <w:color w:val="333333"/>
                <w:sz w:val="18"/>
                <w:szCs w:val="18"/>
              </w:rPr>
              <w:t>825 </w:t>
            </w:r>
          </w:p>
        </w:tc>
        <w:tc>
          <w:tcPr>
            <w:tcW w:w="0" w:type="auto"/>
            <w:shd w:val="clear" w:color="auto" w:fill="auto"/>
            <w:tcMar>
              <w:top w:w="40" w:type="dxa"/>
              <w:bottom w:w="40" w:type="dxa"/>
              <w:right w:w="20" w:type="dxa"/>
            </w:tcMar>
            <w:vAlign w:val="bottom"/>
          </w:tcPr>
          <w:p w14:paraId="36CA3A0F" w14:textId="77777777" w:rsidR="00787570" w:rsidRDefault="00787570">
            <w:pPr>
              <w:jc w:val="right"/>
              <w:rPr>
                <w:rFonts w:ascii="宋体"/>
              </w:rPr>
            </w:pPr>
          </w:p>
        </w:tc>
        <w:tc>
          <w:tcPr>
            <w:tcW w:w="0" w:type="auto"/>
            <w:shd w:val="clear" w:color="auto" w:fill="auto"/>
          </w:tcPr>
          <w:p w14:paraId="36CA3A10" w14:textId="77777777" w:rsidR="00787570" w:rsidRDefault="00787570">
            <w:pPr>
              <w:rPr>
                <w:rFonts w:ascii="宋体"/>
              </w:rPr>
            </w:pPr>
          </w:p>
        </w:tc>
        <w:tc>
          <w:tcPr>
            <w:tcW w:w="0" w:type="auto"/>
            <w:shd w:val="clear" w:color="auto" w:fill="auto"/>
          </w:tcPr>
          <w:p w14:paraId="36CA3A11" w14:textId="77777777" w:rsidR="00787570" w:rsidRDefault="00787570">
            <w:pPr>
              <w:rPr>
                <w:rFonts w:ascii="宋体"/>
              </w:rPr>
            </w:pPr>
          </w:p>
        </w:tc>
        <w:tc>
          <w:tcPr>
            <w:tcW w:w="0" w:type="auto"/>
            <w:shd w:val="clear" w:color="auto" w:fill="auto"/>
          </w:tcPr>
          <w:p w14:paraId="36CA3A12" w14:textId="77777777" w:rsidR="00787570" w:rsidRDefault="00787570">
            <w:pPr>
              <w:rPr>
                <w:rFonts w:ascii="宋体"/>
              </w:rPr>
            </w:pPr>
          </w:p>
        </w:tc>
        <w:tc>
          <w:tcPr>
            <w:tcW w:w="0" w:type="auto"/>
            <w:shd w:val="clear" w:color="auto" w:fill="auto"/>
          </w:tcPr>
          <w:p w14:paraId="36CA3A13" w14:textId="77777777" w:rsidR="00787570" w:rsidRDefault="00787570">
            <w:pPr>
              <w:rPr>
                <w:rFonts w:ascii="宋体"/>
              </w:rPr>
            </w:pPr>
          </w:p>
        </w:tc>
        <w:tc>
          <w:tcPr>
            <w:tcW w:w="0" w:type="auto"/>
            <w:shd w:val="clear" w:color="auto" w:fill="auto"/>
          </w:tcPr>
          <w:p w14:paraId="36CA3A14" w14:textId="77777777" w:rsidR="00787570" w:rsidRDefault="00787570">
            <w:pPr>
              <w:rPr>
                <w:rFonts w:ascii="宋体"/>
              </w:rPr>
            </w:pPr>
          </w:p>
        </w:tc>
        <w:tc>
          <w:tcPr>
            <w:tcW w:w="0" w:type="auto"/>
            <w:shd w:val="clear" w:color="auto" w:fill="auto"/>
          </w:tcPr>
          <w:p w14:paraId="36CA3A15" w14:textId="77777777" w:rsidR="00787570" w:rsidRDefault="00787570">
            <w:pPr>
              <w:rPr>
                <w:rFonts w:ascii="宋体"/>
              </w:rPr>
            </w:pPr>
          </w:p>
        </w:tc>
        <w:tc>
          <w:tcPr>
            <w:tcW w:w="0" w:type="auto"/>
            <w:shd w:val="clear" w:color="auto" w:fill="auto"/>
          </w:tcPr>
          <w:p w14:paraId="36CA3A16" w14:textId="77777777" w:rsidR="00787570" w:rsidRDefault="00787570">
            <w:pPr>
              <w:rPr>
                <w:rFonts w:ascii="宋体"/>
              </w:rPr>
            </w:pPr>
          </w:p>
        </w:tc>
        <w:tc>
          <w:tcPr>
            <w:tcW w:w="0" w:type="auto"/>
            <w:shd w:val="clear" w:color="auto" w:fill="auto"/>
          </w:tcPr>
          <w:p w14:paraId="36CA3A17" w14:textId="77777777" w:rsidR="00787570" w:rsidRDefault="00787570">
            <w:pPr>
              <w:rPr>
                <w:rFonts w:ascii="宋体"/>
              </w:rPr>
            </w:pPr>
          </w:p>
        </w:tc>
        <w:tc>
          <w:tcPr>
            <w:tcW w:w="0" w:type="auto"/>
            <w:shd w:val="clear" w:color="auto" w:fill="auto"/>
          </w:tcPr>
          <w:p w14:paraId="36CA3A18" w14:textId="77777777" w:rsidR="00787570" w:rsidRDefault="00787570">
            <w:pPr>
              <w:rPr>
                <w:rFonts w:ascii="宋体"/>
              </w:rPr>
            </w:pPr>
          </w:p>
        </w:tc>
        <w:tc>
          <w:tcPr>
            <w:tcW w:w="0" w:type="auto"/>
            <w:shd w:val="clear" w:color="auto" w:fill="auto"/>
          </w:tcPr>
          <w:p w14:paraId="36CA3A19" w14:textId="77777777" w:rsidR="00787570" w:rsidRDefault="00787570">
            <w:pPr>
              <w:rPr>
                <w:rFonts w:ascii="宋体"/>
              </w:rPr>
            </w:pPr>
          </w:p>
        </w:tc>
        <w:tc>
          <w:tcPr>
            <w:tcW w:w="0" w:type="auto"/>
            <w:shd w:val="clear" w:color="auto" w:fill="auto"/>
          </w:tcPr>
          <w:p w14:paraId="36CA3A1A" w14:textId="77777777" w:rsidR="00787570" w:rsidRDefault="00787570">
            <w:pPr>
              <w:rPr>
                <w:rFonts w:ascii="宋体"/>
              </w:rPr>
            </w:pPr>
          </w:p>
        </w:tc>
        <w:tc>
          <w:tcPr>
            <w:tcW w:w="0" w:type="auto"/>
            <w:shd w:val="clear" w:color="auto" w:fill="auto"/>
          </w:tcPr>
          <w:p w14:paraId="36CA3A1B" w14:textId="77777777" w:rsidR="00787570" w:rsidRDefault="00787570">
            <w:pPr>
              <w:rPr>
                <w:rFonts w:ascii="宋体"/>
              </w:rPr>
            </w:pPr>
          </w:p>
        </w:tc>
      </w:tr>
      <w:tr w:rsidR="00787570" w14:paraId="36CA3A42" w14:textId="77777777">
        <w:tc>
          <w:tcPr>
            <w:tcW w:w="0" w:type="auto"/>
            <w:gridSpan w:val="3"/>
            <w:shd w:val="clear" w:color="auto" w:fill="auto"/>
            <w:tcMar>
              <w:top w:w="40" w:type="dxa"/>
              <w:left w:w="120" w:type="dxa"/>
              <w:bottom w:w="40" w:type="dxa"/>
              <w:right w:w="20" w:type="dxa"/>
            </w:tcMar>
          </w:tcPr>
          <w:p w14:paraId="36CA3A1D" w14:textId="77777777" w:rsidR="00787570" w:rsidRDefault="000D56E2">
            <w:pPr>
              <w:textAlignment w:val="top"/>
            </w:pPr>
            <w:r>
              <w:rPr>
                <w:rFonts w:ascii="Arial" w:eastAsia="宋体" w:hAnsi="Arial" w:cs="Arial"/>
                <w:color w:val="333333"/>
                <w:sz w:val="18"/>
                <w:szCs w:val="18"/>
              </w:rPr>
              <w:t>Government debt²</w:t>
            </w:r>
          </w:p>
        </w:tc>
        <w:tc>
          <w:tcPr>
            <w:tcW w:w="0" w:type="auto"/>
            <w:gridSpan w:val="3"/>
            <w:shd w:val="clear" w:color="auto" w:fill="auto"/>
            <w:tcMar>
              <w:left w:w="20" w:type="dxa"/>
              <w:right w:w="20" w:type="dxa"/>
            </w:tcMar>
            <w:vAlign w:val="bottom"/>
          </w:tcPr>
          <w:p w14:paraId="36CA3A1E"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3A1F" w14:textId="77777777" w:rsidR="00787570" w:rsidRDefault="000D56E2">
            <w:pPr>
              <w:jc w:val="right"/>
              <w:textAlignment w:val="bottom"/>
            </w:pPr>
            <w:r>
              <w:rPr>
                <w:rFonts w:ascii="Arial" w:eastAsia="宋体" w:hAnsi="Arial" w:cs="Arial"/>
                <w:color w:val="026DCE"/>
                <w:sz w:val="18"/>
                <w:szCs w:val="18"/>
              </w:rPr>
              <w:t>— </w:t>
            </w:r>
          </w:p>
        </w:tc>
        <w:tc>
          <w:tcPr>
            <w:tcW w:w="0" w:type="auto"/>
            <w:shd w:val="clear" w:color="auto" w:fill="auto"/>
            <w:tcMar>
              <w:top w:w="40" w:type="dxa"/>
              <w:bottom w:w="40" w:type="dxa"/>
              <w:right w:w="20" w:type="dxa"/>
            </w:tcMar>
            <w:vAlign w:val="bottom"/>
          </w:tcPr>
          <w:p w14:paraId="36CA3A20"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3A21"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3A22" w14:textId="77777777" w:rsidR="00787570" w:rsidRDefault="000D56E2">
            <w:pPr>
              <w:jc w:val="right"/>
              <w:textAlignment w:val="bottom"/>
            </w:pPr>
            <w:r>
              <w:rPr>
                <w:rFonts w:ascii="Arial" w:eastAsia="宋体" w:hAnsi="Arial" w:cs="Arial"/>
                <w:color w:val="026DCE"/>
                <w:sz w:val="18"/>
                <w:szCs w:val="18"/>
              </w:rPr>
              <w:t>568 </w:t>
            </w:r>
          </w:p>
        </w:tc>
        <w:tc>
          <w:tcPr>
            <w:tcW w:w="0" w:type="auto"/>
            <w:shd w:val="clear" w:color="auto" w:fill="auto"/>
            <w:tcMar>
              <w:top w:w="40" w:type="dxa"/>
              <w:bottom w:w="40" w:type="dxa"/>
              <w:right w:w="20" w:type="dxa"/>
            </w:tcMar>
            <w:vAlign w:val="bottom"/>
          </w:tcPr>
          <w:p w14:paraId="36CA3A23"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3A24"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3A25" w14:textId="77777777" w:rsidR="00787570" w:rsidRDefault="000D56E2">
            <w:pPr>
              <w:jc w:val="right"/>
              <w:textAlignment w:val="bottom"/>
            </w:pPr>
            <w:r>
              <w:rPr>
                <w:rFonts w:ascii="Arial" w:eastAsia="宋体" w:hAnsi="Arial" w:cs="Arial"/>
                <w:color w:val="026DCE"/>
                <w:sz w:val="18"/>
                <w:szCs w:val="18"/>
              </w:rPr>
              <w:t>— </w:t>
            </w:r>
          </w:p>
        </w:tc>
        <w:tc>
          <w:tcPr>
            <w:tcW w:w="0" w:type="auto"/>
            <w:shd w:val="clear" w:color="auto" w:fill="auto"/>
            <w:tcMar>
              <w:top w:w="40" w:type="dxa"/>
              <w:bottom w:w="40" w:type="dxa"/>
              <w:right w:w="20" w:type="dxa"/>
            </w:tcMar>
            <w:vAlign w:val="bottom"/>
          </w:tcPr>
          <w:p w14:paraId="36CA3A26"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3A27"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3A28" w14:textId="77777777" w:rsidR="00787570" w:rsidRDefault="000D56E2">
            <w:pPr>
              <w:jc w:val="right"/>
              <w:textAlignment w:val="bottom"/>
            </w:pPr>
            <w:r>
              <w:rPr>
                <w:rFonts w:ascii="Arial" w:eastAsia="宋体" w:hAnsi="Arial" w:cs="Arial"/>
                <w:color w:val="026DCE"/>
                <w:sz w:val="18"/>
                <w:szCs w:val="18"/>
              </w:rPr>
              <w:t>568 </w:t>
            </w:r>
          </w:p>
        </w:tc>
        <w:tc>
          <w:tcPr>
            <w:tcW w:w="0" w:type="auto"/>
            <w:shd w:val="clear" w:color="auto" w:fill="auto"/>
            <w:tcMar>
              <w:top w:w="40" w:type="dxa"/>
              <w:bottom w:w="40" w:type="dxa"/>
              <w:right w:w="20" w:type="dxa"/>
            </w:tcMar>
            <w:vAlign w:val="bottom"/>
          </w:tcPr>
          <w:p w14:paraId="36CA3A29"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3A2A"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3A2B" w14:textId="77777777" w:rsidR="00787570" w:rsidRDefault="000D56E2">
            <w:pPr>
              <w:jc w:val="right"/>
              <w:textAlignment w:val="bottom"/>
            </w:pPr>
            <w:r>
              <w:rPr>
                <w:rFonts w:ascii="Arial" w:eastAsia="宋体" w:hAnsi="Arial" w:cs="Arial"/>
                <w:color w:val="333333"/>
                <w:sz w:val="18"/>
                <w:szCs w:val="18"/>
              </w:rPr>
              <w:t>— </w:t>
            </w:r>
          </w:p>
        </w:tc>
        <w:tc>
          <w:tcPr>
            <w:tcW w:w="0" w:type="auto"/>
            <w:shd w:val="clear" w:color="auto" w:fill="auto"/>
            <w:tcMar>
              <w:top w:w="40" w:type="dxa"/>
              <w:bottom w:w="40" w:type="dxa"/>
              <w:right w:w="20" w:type="dxa"/>
            </w:tcMar>
            <w:vAlign w:val="bottom"/>
          </w:tcPr>
          <w:p w14:paraId="36CA3A2C"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3A2D"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3A2E" w14:textId="77777777" w:rsidR="00787570" w:rsidRDefault="000D56E2">
            <w:pPr>
              <w:jc w:val="right"/>
              <w:textAlignment w:val="bottom"/>
            </w:pPr>
            <w:r>
              <w:rPr>
                <w:rFonts w:ascii="Arial" w:eastAsia="宋体" w:hAnsi="Arial" w:cs="Arial"/>
                <w:color w:val="333333"/>
                <w:sz w:val="18"/>
                <w:szCs w:val="18"/>
              </w:rPr>
              <w:t>553 </w:t>
            </w:r>
          </w:p>
        </w:tc>
        <w:tc>
          <w:tcPr>
            <w:tcW w:w="0" w:type="auto"/>
            <w:shd w:val="clear" w:color="auto" w:fill="auto"/>
            <w:tcMar>
              <w:top w:w="40" w:type="dxa"/>
              <w:bottom w:w="40" w:type="dxa"/>
              <w:right w:w="20" w:type="dxa"/>
            </w:tcMar>
            <w:vAlign w:val="bottom"/>
          </w:tcPr>
          <w:p w14:paraId="36CA3A2F"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3A30"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3A31" w14:textId="77777777" w:rsidR="00787570" w:rsidRDefault="000D56E2">
            <w:pPr>
              <w:jc w:val="right"/>
              <w:textAlignment w:val="bottom"/>
            </w:pPr>
            <w:r>
              <w:rPr>
                <w:rFonts w:ascii="Arial" w:eastAsia="宋体" w:hAnsi="Arial" w:cs="Arial"/>
                <w:color w:val="333333"/>
                <w:sz w:val="18"/>
                <w:szCs w:val="18"/>
              </w:rPr>
              <w:t>— </w:t>
            </w:r>
          </w:p>
        </w:tc>
        <w:tc>
          <w:tcPr>
            <w:tcW w:w="0" w:type="auto"/>
            <w:shd w:val="clear" w:color="auto" w:fill="auto"/>
            <w:tcMar>
              <w:top w:w="40" w:type="dxa"/>
              <w:bottom w:w="40" w:type="dxa"/>
              <w:right w:w="20" w:type="dxa"/>
            </w:tcMar>
            <w:vAlign w:val="bottom"/>
          </w:tcPr>
          <w:p w14:paraId="36CA3A32"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3A33"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3A34" w14:textId="77777777" w:rsidR="00787570" w:rsidRDefault="000D56E2">
            <w:pPr>
              <w:jc w:val="right"/>
              <w:textAlignment w:val="bottom"/>
            </w:pPr>
            <w:r>
              <w:rPr>
                <w:rFonts w:ascii="Arial" w:eastAsia="宋体" w:hAnsi="Arial" w:cs="Arial"/>
                <w:color w:val="333333"/>
                <w:sz w:val="18"/>
                <w:szCs w:val="18"/>
              </w:rPr>
              <w:t>553 </w:t>
            </w:r>
          </w:p>
        </w:tc>
        <w:tc>
          <w:tcPr>
            <w:tcW w:w="0" w:type="auto"/>
            <w:shd w:val="clear" w:color="auto" w:fill="auto"/>
            <w:tcMar>
              <w:top w:w="40" w:type="dxa"/>
              <w:bottom w:w="40" w:type="dxa"/>
              <w:right w:w="20" w:type="dxa"/>
            </w:tcMar>
            <w:vAlign w:val="bottom"/>
          </w:tcPr>
          <w:p w14:paraId="36CA3A35" w14:textId="77777777" w:rsidR="00787570" w:rsidRDefault="00787570">
            <w:pPr>
              <w:jc w:val="right"/>
              <w:rPr>
                <w:rFonts w:ascii="宋体"/>
              </w:rPr>
            </w:pPr>
          </w:p>
        </w:tc>
        <w:tc>
          <w:tcPr>
            <w:tcW w:w="0" w:type="auto"/>
            <w:shd w:val="clear" w:color="auto" w:fill="auto"/>
          </w:tcPr>
          <w:p w14:paraId="36CA3A36" w14:textId="77777777" w:rsidR="00787570" w:rsidRDefault="00787570">
            <w:pPr>
              <w:rPr>
                <w:rFonts w:ascii="宋体"/>
              </w:rPr>
            </w:pPr>
          </w:p>
        </w:tc>
        <w:tc>
          <w:tcPr>
            <w:tcW w:w="0" w:type="auto"/>
            <w:shd w:val="clear" w:color="auto" w:fill="auto"/>
          </w:tcPr>
          <w:p w14:paraId="36CA3A37" w14:textId="77777777" w:rsidR="00787570" w:rsidRDefault="00787570">
            <w:pPr>
              <w:rPr>
                <w:rFonts w:ascii="宋体"/>
              </w:rPr>
            </w:pPr>
          </w:p>
        </w:tc>
        <w:tc>
          <w:tcPr>
            <w:tcW w:w="0" w:type="auto"/>
            <w:shd w:val="clear" w:color="auto" w:fill="auto"/>
          </w:tcPr>
          <w:p w14:paraId="36CA3A38" w14:textId="77777777" w:rsidR="00787570" w:rsidRDefault="00787570">
            <w:pPr>
              <w:rPr>
                <w:rFonts w:ascii="宋体"/>
              </w:rPr>
            </w:pPr>
          </w:p>
        </w:tc>
        <w:tc>
          <w:tcPr>
            <w:tcW w:w="0" w:type="auto"/>
            <w:shd w:val="clear" w:color="auto" w:fill="auto"/>
          </w:tcPr>
          <w:p w14:paraId="36CA3A39" w14:textId="77777777" w:rsidR="00787570" w:rsidRDefault="00787570">
            <w:pPr>
              <w:rPr>
                <w:rFonts w:ascii="宋体"/>
              </w:rPr>
            </w:pPr>
          </w:p>
        </w:tc>
        <w:tc>
          <w:tcPr>
            <w:tcW w:w="0" w:type="auto"/>
            <w:shd w:val="clear" w:color="auto" w:fill="auto"/>
          </w:tcPr>
          <w:p w14:paraId="36CA3A3A" w14:textId="77777777" w:rsidR="00787570" w:rsidRDefault="00787570">
            <w:pPr>
              <w:rPr>
                <w:rFonts w:ascii="宋体"/>
              </w:rPr>
            </w:pPr>
          </w:p>
        </w:tc>
        <w:tc>
          <w:tcPr>
            <w:tcW w:w="0" w:type="auto"/>
            <w:shd w:val="clear" w:color="auto" w:fill="auto"/>
          </w:tcPr>
          <w:p w14:paraId="36CA3A3B" w14:textId="77777777" w:rsidR="00787570" w:rsidRDefault="00787570">
            <w:pPr>
              <w:rPr>
                <w:rFonts w:ascii="宋体"/>
              </w:rPr>
            </w:pPr>
          </w:p>
        </w:tc>
        <w:tc>
          <w:tcPr>
            <w:tcW w:w="0" w:type="auto"/>
            <w:shd w:val="clear" w:color="auto" w:fill="auto"/>
          </w:tcPr>
          <w:p w14:paraId="36CA3A3C" w14:textId="77777777" w:rsidR="00787570" w:rsidRDefault="00787570">
            <w:pPr>
              <w:rPr>
                <w:rFonts w:ascii="宋体"/>
              </w:rPr>
            </w:pPr>
          </w:p>
        </w:tc>
        <w:tc>
          <w:tcPr>
            <w:tcW w:w="0" w:type="auto"/>
            <w:shd w:val="clear" w:color="auto" w:fill="auto"/>
          </w:tcPr>
          <w:p w14:paraId="36CA3A3D" w14:textId="77777777" w:rsidR="00787570" w:rsidRDefault="00787570">
            <w:pPr>
              <w:rPr>
                <w:rFonts w:ascii="宋体"/>
              </w:rPr>
            </w:pPr>
          </w:p>
        </w:tc>
        <w:tc>
          <w:tcPr>
            <w:tcW w:w="0" w:type="auto"/>
            <w:shd w:val="clear" w:color="auto" w:fill="auto"/>
          </w:tcPr>
          <w:p w14:paraId="36CA3A3E" w14:textId="77777777" w:rsidR="00787570" w:rsidRDefault="00787570">
            <w:pPr>
              <w:rPr>
                <w:rFonts w:ascii="宋体"/>
              </w:rPr>
            </w:pPr>
          </w:p>
        </w:tc>
        <w:tc>
          <w:tcPr>
            <w:tcW w:w="0" w:type="auto"/>
            <w:shd w:val="clear" w:color="auto" w:fill="auto"/>
          </w:tcPr>
          <w:p w14:paraId="36CA3A3F" w14:textId="77777777" w:rsidR="00787570" w:rsidRDefault="00787570">
            <w:pPr>
              <w:rPr>
                <w:rFonts w:ascii="宋体"/>
              </w:rPr>
            </w:pPr>
          </w:p>
        </w:tc>
        <w:tc>
          <w:tcPr>
            <w:tcW w:w="0" w:type="auto"/>
            <w:shd w:val="clear" w:color="auto" w:fill="auto"/>
          </w:tcPr>
          <w:p w14:paraId="36CA3A40" w14:textId="77777777" w:rsidR="00787570" w:rsidRDefault="00787570">
            <w:pPr>
              <w:rPr>
                <w:rFonts w:ascii="宋体"/>
              </w:rPr>
            </w:pPr>
          </w:p>
        </w:tc>
        <w:tc>
          <w:tcPr>
            <w:tcW w:w="0" w:type="auto"/>
            <w:shd w:val="clear" w:color="auto" w:fill="auto"/>
          </w:tcPr>
          <w:p w14:paraId="36CA3A41" w14:textId="77777777" w:rsidR="00787570" w:rsidRDefault="00787570">
            <w:pPr>
              <w:rPr>
                <w:rFonts w:ascii="宋体"/>
              </w:rPr>
            </w:pPr>
          </w:p>
        </w:tc>
      </w:tr>
      <w:tr w:rsidR="00787570" w14:paraId="36CA3A60" w14:textId="77777777">
        <w:tc>
          <w:tcPr>
            <w:tcW w:w="0" w:type="auto"/>
            <w:gridSpan w:val="3"/>
            <w:shd w:val="clear" w:color="auto" w:fill="auto"/>
            <w:tcMar>
              <w:top w:w="40" w:type="dxa"/>
              <w:left w:w="20" w:type="dxa"/>
              <w:bottom w:w="40" w:type="dxa"/>
              <w:right w:w="20" w:type="dxa"/>
            </w:tcMar>
          </w:tcPr>
          <w:p w14:paraId="36CA3A43" w14:textId="77777777" w:rsidR="00787570" w:rsidRDefault="000D56E2">
            <w:pPr>
              <w:textAlignment w:val="top"/>
            </w:pPr>
            <w:r>
              <w:rPr>
                <w:rFonts w:ascii="Arial" w:eastAsia="宋体" w:hAnsi="Arial" w:cs="Arial"/>
                <w:color w:val="333333"/>
                <w:sz w:val="18"/>
                <w:szCs w:val="18"/>
              </w:rPr>
              <w:t>Other long-term assets:</w:t>
            </w:r>
          </w:p>
        </w:tc>
        <w:tc>
          <w:tcPr>
            <w:tcW w:w="0" w:type="auto"/>
            <w:gridSpan w:val="3"/>
            <w:shd w:val="clear" w:color="auto" w:fill="auto"/>
            <w:tcMar>
              <w:left w:w="20" w:type="dxa"/>
              <w:right w:w="20" w:type="dxa"/>
            </w:tcMar>
            <w:vAlign w:val="bottom"/>
          </w:tcPr>
          <w:p w14:paraId="36CA3A44"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3A45"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3A46"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3A47"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3A48"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3A49"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3A4A"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3A4B"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3A4C"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3A4D"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3A4E"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3A4F"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3A50"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3A51"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3A52"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3A53" w14:textId="77777777" w:rsidR="00787570" w:rsidRDefault="00787570">
            <w:pPr>
              <w:rPr>
                <w:rFonts w:ascii="宋体"/>
              </w:rPr>
            </w:pPr>
          </w:p>
        </w:tc>
        <w:tc>
          <w:tcPr>
            <w:tcW w:w="0" w:type="auto"/>
            <w:shd w:val="clear" w:color="auto" w:fill="auto"/>
          </w:tcPr>
          <w:p w14:paraId="36CA3A54" w14:textId="77777777" w:rsidR="00787570" w:rsidRDefault="00787570">
            <w:pPr>
              <w:rPr>
                <w:rFonts w:ascii="宋体"/>
              </w:rPr>
            </w:pPr>
          </w:p>
        </w:tc>
        <w:tc>
          <w:tcPr>
            <w:tcW w:w="0" w:type="auto"/>
            <w:shd w:val="clear" w:color="auto" w:fill="auto"/>
          </w:tcPr>
          <w:p w14:paraId="36CA3A55" w14:textId="77777777" w:rsidR="00787570" w:rsidRDefault="00787570">
            <w:pPr>
              <w:rPr>
                <w:rFonts w:ascii="宋体"/>
              </w:rPr>
            </w:pPr>
          </w:p>
        </w:tc>
        <w:tc>
          <w:tcPr>
            <w:tcW w:w="0" w:type="auto"/>
            <w:shd w:val="clear" w:color="auto" w:fill="auto"/>
          </w:tcPr>
          <w:p w14:paraId="36CA3A56" w14:textId="77777777" w:rsidR="00787570" w:rsidRDefault="00787570">
            <w:pPr>
              <w:rPr>
                <w:rFonts w:ascii="宋体"/>
              </w:rPr>
            </w:pPr>
          </w:p>
        </w:tc>
        <w:tc>
          <w:tcPr>
            <w:tcW w:w="0" w:type="auto"/>
            <w:shd w:val="clear" w:color="auto" w:fill="auto"/>
          </w:tcPr>
          <w:p w14:paraId="36CA3A57" w14:textId="77777777" w:rsidR="00787570" w:rsidRDefault="00787570">
            <w:pPr>
              <w:rPr>
                <w:rFonts w:ascii="宋体"/>
              </w:rPr>
            </w:pPr>
          </w:p>
        </w:tc>
        <w:tc>
          <w:tcPr>
            <w:tcW w:w="0" w:type="auto"/>
            <w:shd w:val="clear" w:color="auto" w:fill="auto"/>
          </w:tcPr>
          <w:p w14:paraId="36CA3A58" w14:textId="77777777" w:rsidR="00787570" w:rsidRDefault="00787570">
            <w:pPr>
              <w:rPr>
                <w:rFonts w:ascii="宋体"/>
              </w:rPr>
            </w:pPr>
          </w:p>
        </w:tc>
        <w:tc>
          <w:tcPr>
            <w:tcW w:w="0" w:type="auto"/>
            <w:shd w:val="clear" w:color="auto" w:fill="auto"/>
          </w:tcPr>
          <w:p w14:paraId="36CA3A59" w14:textId="77777777" w:rsidR="00787570" w:rsidRDefault="00787570">
            <w:pPr>
              <w:rPr>
                <w:rFonts w:ascii="宋体"/>
              </w:rPr>
            </w:pPr>
          </w:p>
        </w:tc>
        <w:tc>
          <w:tcPr>
            <w:tcW w:w="0" w:type="auto"/>
            <w:shd w:val="clear" w:color="auto" w:fill="auto"/>
          </w:tcPr>
          <w:p w14:paraId="36CA3A5A" w14:textId="77777777" w:rsidR="00787570" w:rsidRDefault="00787570">
            <w:pPr>
              <w:rPr>
                <w:rFonts w:ascii="宋体"/>
              </w:rPr>
            </w:pPr>
          </w:p>
        </w:tc>
        <w:tc>
          <w:tcPr>
            <w:tcW w:w="0" w:type="auto"/>
            <w:shd w:val="clear" w:color="auto" w:fill="auto"/>
          </w:tcPr>
          <w:p w14:paraId="36CA3A5B" w14:textId="77777777" w:rsidR="00787570" w:rsidRDefault="00787570">
            <w:pPr>
              <w:rPr>
                <w:rFonts w:ascii="宋体"/>
              </w:rPr>
            </w:pPr>
          </w:p>
        </w:tc>
        <w:tc>
          <w:tcPr>
            <w:tcW w:w="0" w:type="auto"/>
            <w:shd w:val="clear" w:color="auto" w:fill="auto"/>
          </w:tcPr>
          <w:p w14:paraId="36CA3A5C" w14:textId="77777777" w:rsidR="00787570" w:rsidRDefault="00787570">
            <w:pPr>
              <w:rPr>
                <w:rFonts w:ascii="宋体"/>
              </w:rPr>
            </w:pPr>
          </w:p>
        </w:tc>
        <w:tc>
          <w:tcPr>
            <w:tcW w:w="0" w:type="auto"/>
            <w:shd w:val="clear" w:color="auto" w:fill="auto"/>
          </w:tcPr>
          <w:p w14:paraId="36CA3A5D" w14:textId="77777777" w:rsidR="00787570" w:rsidRDefault="00787570">
            <w:pPr>
              <w:rPr>
                <w:rFonts w:ascii="宋体"/>
              </w:rPr>
            </w:pPr>
          </w:p>
        </w:tc>
        <w:tc>
          <w:tcPr>
            <w:tcW w:w="0" w:type="auto"/>
            <w:shd w:val="clear" w:color="auto" w:fill="auto"/>
          </w:tcPr>
          <w:p w14:paraId="36CA3A5E" w14:textId="77777777" w:rsidR="00787570" w:rsidRDefault="00787570">
            <w:pPr>
              <w:rPr>
                <w:rFonts w:ascii="宋体"/>
              </w:rPr>
            </w:pPr>
          </w:p>
        </w:tc>
        <w:tc>
          <w:tcPr>
            <w:tcW w:w="0" w:type="auto"/>
            <w:shd w:val="clear" w:color="auto" w:fill="auto"/>
          </w:tcPr>
          <w:p w14:paraId="36CA3A5F" w14:textId="77777777" w:rsidR="00787570" w:rsidRDefault="00787570">
            <w:pPr>
              <w:rPr>
                <w:rFonts w:ascii="宋体"/>
              </w:rPr>
            </w:pPr>
          </w:p>
        </w:tc>
      </w:tr>
      <w:tr w:rsidR="00787570" w14:paraId="36CA3A86" w14:textId="77777777">
        <w:tc>
          <w:tcPr>
            <w:tcW w:w="0" w:type="auto"/>
            <w:gridSpan w:val="3"/>
            <w:shd w:val="clear" w:color="auto" w:fill="auto"/>
            <w:tcMar>
              <w:top w:w="40" w:type="dxa"/>
              <w:left w:w="135" w:type="dxa"/>
              <w:bottom w:w="40" w:type="dxa"/>
              <w:right w:w="20" w:type="dxa"/>
            </w:tcMar>
          </w:tcPr>
          <w:p w14:paraId="36CA3A61" w14:textId="77777777" w:rsidR="00787570" w:rsidRDefault="000D56E2">
            <w:pPr>
              <w:textAlignment w:val="top"/>
            </w:pPr>
            <w:r>
              <w:rPr>
                <w:rFonts w:ascii="Arial" w:eastAsia="宋体" w:hAnsi="Arial" w:cs="Arial"/>
                <w:color w:val="333333"/>
                <w:sz w:val="18"/>
                <w:szCs w:val="18"/>
              </w:rPr>
              <w:t>Derivative assets</w:t>
            </w:r>
          </w:p>
        </w:tc>
        <w:tc>
          <w:tcPr>
            <w:tcW w:w="0" w:type="auto"/>
            <w:gridSpan w:val="3"/>
            <w:shd w:val="clear" w:color="auto" w:fill="auto"/>
            <w:tcMar>
              <w:left w:w="20" w:type="dxa"/>
              <w:right w:w="20" w:type="dxa"/>
            </w:tcMar>
            <w:vAlign w:val="bottom"/>
          </w:tcPr>
          <w:p w14:paraId="36CA3A62"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3A63" w14:textId="77777777" w:rsidR="00787570" w:rsidRDefault="000D56E2">
            <w:pPr>
              <w:jc w:val="right"/>
              <w:textAlignment w:val="bottom"/>
            </w:pPr>
            <w:r>
              <w:rPr>
                <w:rFonts w:ascii="Arial" w:eastAsia="宋体" w:hAnsi="Arial" w:cs="Arial"/>
                <w:color w:val="026DCE"/>
                <w:sz w:val="18"/>
                <w:szCs w:val="18"/>
              </w:rPr>
              <w:t>— </w:t>
            </w:r>
          </w:p>
        </w:tc>
        <w:tc>
          <w:tcPr>
            <w:tcW w:w="0" w:type="auto"/>
            <w:shd w:val="clear" w:color="auto" w:fill="auto"/>
            <w:tcMar>
              <w:top w:w="40" w:type="dxa"/>
              <w:bottom w:w="40" w:type="dxa"/>
              <w:right w:w="20" w:type="dxa"/>
            </w:tcMar>
            <w:vAlign w:val="bottom"/>
          </w:tcPr>
          <w:p w14:paraId="36CA3A64"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3A65"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3A66" w14:textId="77777777" w:rsidR="00787570" w:rsidRDefault="000D56E2">
            <w:pPr>
              <w:jc w:val="right"/>
              <w:textAlignment w:val="bottom"/>
            </w:pPr>
            <w:r>
              <w:rPr>
                <w:rFonts w:ascii="Arial" w:eastAsia="宋体" w:hAnsi="Arial" w:cs="Arial"/>
                <w:color w:val="026DCE"/>
                <w:sz w:val="18"/>
                <w:szCs w:val="18"/>
              </w:rPr>
              <w:t>1,648 </w:t>
            </w:r>
          </w:p>
        </w:tc>
        <w:tc>
          <w:tcPr>
            <w:tcW w:w="0" w:type="auto"/>
            <w:shd w:val="clear" w:color="auto" w:fill="auto"/>
            <w:tcMar>
              <w:top w:w="40" w:type="dxa"/>
              <w:bottom w:w="40" w:type="dxa"/>
              <w:right w:w="20" w:type="dxa"/>
            </w:tcMar>
            <w:vAlign w:val="bottom"/>
          </w:tcPr>
          <w:p w14:paraId="36CA3A67"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3A68"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3A69" w14:textId="77777777" w:rsidR="00787570" w:rsidRDefault="000D56E2">
            <w:pPr>
              <w:jc w:val="right"/>
              <w:textAlignment w:val="bottom"/>
            </w:pPr>
            <w:r>
              <w:rPr>
                <w:rFonts w:ascii="Arial" w:eastAsia="宋体" w:hAnsi="Arial" w:cs="Arial"/>
                <w:color w:val="026DCE"/>
                <w:sz w:val="18"/>
                <w:szCs w:val="18"/>
              </w:rPr>
              <w:t>31 </w:t>
            </w:r>
          </w:p>
        </w:tc>
        <w:tc>
          <w:tcPr>
            <w:tcW w:w="0" w:type="auto"/>
            <w:shd w:val="clear" w:color="auto" w:fill="auto"/>
            <w:tcMar>
              <w:top w:w="40" w:type="dxa"/>
              <w:bottom w:w="40" w:type="dxa"/>
              <w:right w:w="20" w:type="dxa"/>
            </w:tcMar>
            <w:vAlign w:val="bottom"/>
          </w:tcPr>
          <w:p w14:paraId="36CA3A6A"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3A6B"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3A6C" w14:textId="77777777" w:rsidR="00787570" w:rsidRDefault="000D56E2">
            <w:pPr>
              <w:jc w:val="right"/>
              <w:textAlignment w:val="bottom"/>
            </w:pPr>
            <w:r>
              <w:rPr>
                <w:rFonts w:ascii="Arial" w:eastAsia="宋体" w:hAnsi="Arial" w:cs="Arial"/>
                <w:color w:val="026DCE"/>
                <w:sz w:val="18"/>
                <w:szCs w:val="18"/>
              </w:rPr>
              <w:t>1,679 </w:t>
            </w:r>
          </w:p>
        </w:tc>
        <w:tc>
          <w:tcPr>
            <w:tcW w:w="0" w:type="auto"/>
            <w:shd w:val="clear" w:color="auto" w:fill="auto"/>
            <w:tcMar>
              <w:top w:w="40" w:type="dxa"/>
              <w:bottom w:w="40" w:type="dxa"/>
              <w:right w:w="20" w:type="dxa"/>
            </w:tcMar>
            <w:vAlign w:val="bottom"/>
          </w:tcPr>
          <w:p w14:paraId="36CA3A6D"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3A6E"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3A6F" w14:textId="77777777" w:rsidR="00787570" w:rsidRDefault="000D56E2">
            <w:pPr>
              <w:jc w:val="right"/>
              <w:textAlignment w:val="bottom"/>
            </w:pPr>
            <w:r>
              <w:rPr>
                <w:rFonts w:ascii="Arial" w:eastAsia="宋体" w:hAnsi="Arial" w:cs="Arial"/>
                <w:color w:val="333333"/>
                <w:sz w:val="18"/>
                <w:szCs w:val="18"/>
              </w:rPr>
              <w:t>— </w:t>
            </w:r>
          </w:p>
        </w:tc>
        <w:tc>
          <w:tcPr>
            <w:tcW w:w="0" w:type="auto"/>
            <w:shd w:val="clear" w:color="auto" w:fill="auto"/>
            <w:tcMar>
              <w:top w:w="40" w:type="dxa"/>
              <w:bottom w:w="40" w:type="dxa"/>
              <w:right w:w="20" w:type="dxa"/>
            </w:tcMar>
            <w:vAlign w:val="bottom"/>
          </w:tcPr>
          <w:p w14:paraId="36CA3A70"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3A71"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3A72" w14:textId="77777777" w:rsidR="00787570" w:rsidRDefault="000D56E2">
            <w:pPr>
              <w:jc w:val="right"/>
              <w:textAlignment w:val="bottom"/>
            </w:pPr>
            <w:r>
              <w:rPr>
                <w:rFonts w:ascii="Arial" w:eastAsia="宋体" w:hAnsi="Arial" w:cs="Arial"/>
                <w:color w:val="333333"/>
                <w:sz w:val="18"/>
                <w:szCs w:val="18"/>
              </w:rPr>
              <w:t>690 </w:t>
            </w:r>
          </w:p>
        </w:tc>
        <w:tc>
          <w:tcPr>
            <w:tcW w:w="0" w:type="auto"/>
            <w:shd w:val="clear" w:color="auto" w:fill="auto"/>
            <w:tcMar>
              <w:top w:w="40" w:type="dxa"/>
              <w:bottom w:w="40" w:type="dxa"/>
              <w:right w:w="20" w:type="dxa"/>
            </w:tcMar>
            <w:vAlign w:val="bottom"/>
          </w:tcPr>
          <w:p w14:paraId="36CA3A73"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3A74"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3A75" w14:textId="77777777" w:rsidR="00787570" w:rsidRDefault="000D56E2">
            <w:pPr>
              <w:jc w:val="right"/>
              <w:textAlignment w:val="bottom"/>
            </w:pPr>
            <w:r>
              <w:rPr>
                <w:rFonts w:ascii="Arial" w:eastAsia="宋体" w:hAnsi="Arial" w:cs="Arial"/>
                <w:color w:val="333333"/>
                <w:sz w:val="18"/>
                <w:szCs w:val="18"/>
              </w:rPr>
              <w:t>16 </w:t>
            </w:r>
          </w:p>
        </w:tc>
        <w:tc>
          <w:tcPr>
            <w:tcW w:w="0" w:type="auto"/>
            <w:shd w:val="clear" w:color="auto" w:fill="auto"/>
            <w:tcMar>
              <w:top w:w="40" w:type="dxa"/>
              <w:bottom w:w="40" w:type="dxa"/>
              <w:right w:w="20" w:type="dxa"/>
            </w:tcMar>
            <w:vAlign w:val="bottom"/>
          </w:tcPr>
          <w:p w14:paraId="36CA3A76"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3A77"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3A78" w14:textId="77777777" w:rsidR="00787570" w:rsidRDefault="000D56E2">
            <w:pPr>
              <w:jc w:val="right"/>
              <w:textAlignment w:val="bottom"/>
            </w:pPr>
            <w:r>
              <w:rPr>
                <w:rFonts w:ascii="Arial" w:eastAsia="宋体" w:hAnsi="Arial" w:cs="Arial"/>
                <w:color w:val="333333"/>
                <w:sz w:val="18"/>
                <w:szCs w:val="18"/>
              </w:rPr>
              <w:t>706 </w:t>
            </w:r>
          </w:p>
        </w:tc>
        <w:tc>
          <w:tcPr>
            <w:tcW w:w="0" w:type="auto"/>
            <w:shd w:val="clear" w:color="auto" w:fill="auto"/>
            <w:tcMar>
              <w:top w:w="40" w:type="dxa"/>
              <w:bottom w:w="40" w:type="dxa"/>
              <w:right w:w="20" w:type="dxa"/>
            </w:tcMar>
            <w:vAlign w:val="bottom"/>
          </w:tcPr>
          <w:p w14:paraId="36CA3A79" w14:textId="77777777" w:rsidR="00787570" w:rsidRDefault="00787570">
            <w:pPr>
              <w:jc w:val="right"/>
              <w:rPr>
                <w:rFonts w:ascii="宋体"/>
              </w:rPr>
            </w:pPr>
          </w:p>
        </w:tc>
        <w:tc>
          <w:tcPr>
            <w:tcW w:w="0" w:type="auto"/>
            <w:shd w:val="clear" w:color="auto" w:fill="auto"/>
          </w:tcPr>
          <w:p w14:paraId="36CA3A7A" w14:textId="77777777" w:rsidR="00787570" w:rsidRDefault="00787570">
            <w:pPr>
              <w:rPr>
                <w:rFonts w:ascii="宋体"/>
              </w:rPr>
            </w:pPr>
          </w:p>
        </w:tc>
        <w:tc>
          <w:tcPr>
            <w:tcW w:w="0" w:type="auto"/>
            <w:shd w:val="clear" w:color="auto" w:fill="auto"/>
          </w:tcPr>
          <w:p w14:paraId="36CA3A7B" w14:textId="77777777" w:rsidR="00787570" w:rsidRDefault="00787570">
            <w:pPr>
              <w:rPr>
                <w:rFonts w:ascii="宋体"/>
              </w:rPr>
            </w:pPr>
          </w:p>
        </w:tc>
        <w:tc>
          <w:tcPr>
            <w:tcW w:w="0" w:type="auto"/>
            <w:shd w:val="clear" w:color="auto" w:fill="auto"/>
          </w:tcPr>
          <w:p w14:paraId="36CA3A7C" w14:textId="77777777" w:rsidR="00787570" w:rsidRDefault="00787570">
            <w:pPr>
              <w:rPr>
                <w:rFonts w:ascii="宋体"/>
              </w:rPr>
            </w:pPr>
          </w:p>
        </w:tc>
        <w:tc>
          <w:tcPr>
            <w:tcW w:w="0" w:type="auto"/>
            <w:shd w:val="clear" w:color="auto" w:fill="auto"/>
          </w:tcPr>
          <w:p w14:paraId="36CA3A7D" w14:textId="77777777" w:rsidR="00787570" w:rsidRDefault="00787570">
            <w:pPr>
              <w:rPr>
                <w:rFonts w:ascii="宋体"/>
              </w:rPr>
            </w:pPr>
          </w:p>
        </w:tc>
        <w:tc>
          <w:tcPr>
            <w:tcW w:w="0" w:type="auto"/>
            <w:shd w:val="clear" w:color="auto" w:fill="auto"/>
          </w:tcPr>
          <w:p w14:paraId="36CA3A7E" w14:textId="77777777" w:rsidR="00787570" w:rsidRDefault="00787570">
            <w:pPr>
              <w:rPr>
                <w:rFonts w:ascii="宋体"/>
              </w:rPr>
            </w:pPr>
          </w:p>
        </w:tc>
        <w:tc>
          <w:tcPr>
            <w:tcW w:w="0" w:type="auto"/>
            <w:shd w:val="clear" w:color="auto" w:fill="auto"/>
          </w:tcPr>
          <w:p w14:paraId="36CA3A7F" w14:textId="77777777" w:rsidR="00787570" w:rsidRDefault="00787570">
            <w:pPr>
              <w:rPr>
                <w:rFonts w:ascii="宋体"/>
              </w:rPr>
            </w:pPr>
          </w:p>
        </w:tc>
        <w:tc>
          <w:tcPr>
            <w:tcW w:w="0" w:type="auto"/>
            <w:shd w:val="clear" w:color="auto" w:fill="auto"/>
          </w:tcPr>
          <w:p w14:paraId="36CA3A80" w14:textId="77777777" w:rsidR="00787570" w:rsidRDefault="00787570">
            <w:pPr>
              <w:rPr>
                <w:rFonts w:ascii="宋体"/>
              </w:rPr>
            </w:pPr>
          </w:p>
        </w:tc>
        <w:tc>
          <w:tcPr>
            <w:tcW w:w="0" w:type="auto"/>
            <w:shd w:val="clear" w:color="auto" w:fill="auto"/>
          </w:tcPr>
          <w:p w14:paraId="36CA3A81" w14:textId="77777777" w:rsidR="00787570" w:rsidRDefault="00787570">
            <w:pPr>
              <w:rPr>
                <w:rFonts w:ascii="宋体"/>
              </w:rPr>
            </w:pPr>
          </w:p>
        </w:tc>
        <w:tc>
          <w:tcPr>
            <w:tcW w:w="0" w:type="auto"/>
            <w:shd w:val="clear" w:color="auto" w:fill="auto"/>
          </w:tcPr>
          <w:p w14:paraId="36CA3A82" w14:textId="77777777" w:rsidR="00787570" w:rsidRDefault="00787570">
            <w:pPr>
              <w:rPr>
                <w:rFonts w:ascii="宋体"/>
              </w:rPr>
            </w:pPr>
          </w:p>
        </w:tc>
        <w:tc>
          <w:tcPr>
            <w:tcW w:w="0" w:type="auto"/>
            <w:shd w:val="clear" w:color="auto" w:fill="auto"/>
          </w:tcPr>
          <w:p w14:paraId="36CA3A83" w14:textId="77777777" w:rsidR="00787570" w:rsidRDefault="00787570">
            <w:pPr>
              <w:rPr>
                <w:rFonts w:ascii="宋体"/>
              </w:rPr>
            </w:pPr>
          </w:p>
        </w:tc>
        <w:tc>
          <w:tcPr>
            <w:tcW w:w="0" w:type="auto"/>
            <w:shd w:val="clear" w:color="auto" w:fill="auto"/>
          </w:tcPr>
          <w:p w14:paraId="36CA3A84" w14:textId="77777777" w:rsidR="00787570" w:rsidRDefault="00787570">
            <w:pPr>
              <w:rPr>
                <w:rFonts w:ascii="宋体"/>
              </w:rPr>
            </w:pPr>
          </w:p>
        </w:tc>
        <w:tc>
          <w:tcPr>
            <w:tcW w:w="0" w:type="auto"/>
            <w:shd w:val="clear" w:color="auto" w:fill="auto"/>
          </w:tcPr>
          <w:p w14:paraId="36CA3A85" w14:textId="77777777" w:rsidR="00787570" w:rsidRDefault="00787570">
            <w:pPr>
              <w:rPr>
                <w:rFonts w:ascii="宋体"/>
              </w:rPr>
            </w:pPr>
          </w:p>
        </w:tc>
      </w:tr>
      <w:tr w:rsidR="00787570" w14:paraId="36CA3AAC" w14:textId="77777777">
        <w:tc>
          <w:tcPr>
            <w:tcW w:w="0" w:type="auto"/>
            <w:gridSpan w:val="3"/>
            <w:shd w:val="clear" w:color="auto" w:fill="auto"/>
            <w:tcMar>
              <w:top w:w="40" w:type="dxa"/>
              <w:left w:w="135" w:type="dxa"/>
              <w:bottom w:w="40" w:type="dxa"/>
              <w:right w:w="20" w:type="dxa"/>
            </w:tcMar>
          </w:tcPr>
          <w:p w14:paraId="36CA3A87" w14:textId="77777777" w:rsidR="00787570" w:rsidRDefault="000D56E2">
            <w:pPr>
              <w:textAlignment w:val="top"/>
            </w:pPr>
            <w:r>
              <w:rPr>
                <w:rFonts w:ascii="Arial" w:eastAsia="宋体" w:hAnsi="Arial" w:cs="Arial"/>
                <w:color w:val="333333"/>
                <w:sz w:val="18"/>
                <w:szCs w:val="18"/>
              </w:rPr>
              <w:t>Loans receivable³</w:t>
            </w:r>
          </w:p>
        </w:tc>
        <w:tc>
          <w:tcPr>
            <w:tcW w:w="0" w:type="auto"/>
            <w:gridSpan w:val="3"/>
            <w:shd w:val="clear" w:color="auto" w:fill="auto"/>
            <w:tcMar>
              <w:left w:w="20" w:type="dxa"/>
              <w:right w:w="20" w:type="dxa"/>
            </w:tcMar>
            <w:vAlign w:val="bottom"/>
          </w:tcPr>
          <w:p w14:paraId="36CA3A88"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3A89" w14:textId="77777777" w:rsidR="00787570" w:rsidRDefault="000D56E2">
            <w:pPr>
              <w:jc w:val="right"/>
              <w:textAlignment w:val="bottom"/>
            </w:pPr>
            <w:r>
              <w:rPr>
                <w:rFonts w:ascii="Arial" w:eastAsia="宋体" w:hAnsi="Arial" w:cs="Arial"/>
                <w:color w:val="026DCE"/>
                <w:sz w:val="18"/>
                <w:szCs w:val="18"/>
              </w:rPr>
              <w:t>— </w:t>
            </w:r>
          </w:p>
        </w:tc>
        <w:tc>
          <w:tcPr>
            <w:tcW w:w="0" w:type="auto"/>
            <w:shd w:val="clear" w:color="auto" w:fill="auto"/>
            <w:tcMar>
              <w:top w:w="40" w:type="dxa"/>
              <w:bottom w:w="40" w:type="dxa"/>
              <w:right w:w="20" w:type="dxa"/>
            </w:tcMar>
            <w:vAlign w:val="bottom"/>
          </w:tcPr>
          <w:p w14:paraId="36CA3A8A"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3A8B"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3A8C" w14:textId="77777777" w:rsidR="00787570" w:rsidRDefault="000D56E2">
            <w:pPr>
              <w:jc w:val="right"/>
              <w:textAlignment w:val="bottom"/>
            </w:pPr>
            <w:r>
              <w:rPr>
                <w:rFonts w:ascii="Arial" w:eastAsia="宋体" w:hAnsi="Arial" w:cs="Arial"/>
                <w:color w:val="026DCE"/>
                <w:sz w:val="18"/>
                <w:szCs w:val="18"/>
              </w:rPr>
              <w:t>215 </w:t>
            </w:r>
          </w:p>
        </w:tc>
        <w:tc>
          <w:tcPr>
            <w:tcW w:w="0" w:type="auto"/>
            <w:shd w:val="clear" w:color="auto" w:fill="auto"/>
            <w:tcMar>
              <w:top w:w="40" w:type="dxa"/>
              <w:bottom w:w="40" w:type="dxa"/>
              <w:right w:w="20" w:type="dxa"/>
            </w:tcMar>
            <w:vAlign w:val="bottom"/>
          </w:tcPr>
          <w:p w14:paraId="36CA3A8D"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3A8E"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3A8F" w14:textId="77777777" w:rsidR="00787570" w:rsidRDefault="000D56E2">
            <w:pPr>
              <w:jc w:val="right"/>
              <w:textAlignment w:val="bottom"/>
            </w:pPr>
            <w:r>
              <w:rPr>
                <w:rFonts w:ascii="Arial" w:eastAsia="宋体" w:hAnsi="Arial" w:cs="Arial"/>
                <w:color w:val="026DCE"/>
                <w:sz w:val="18"/>
                <w:szCs w:val="18"/>
              </w:rPr>
              <w:t>— </w:t>
            </w:r>
          </w:p>
        </w:tc>
        <w:tc>
          <w:tcPr>
            <w:tcW w:w="0" w:type="auto"/>
            <w:shd w:val="clear" w:color="auto" w:fill="auto"/>
            <w:tcMar>
              <w:top w:w="40" w:type="dxa"/>
              <w:bottom w:w="40" w:type="dxa"/>
              <w:right w:w="20" w:type="dxa"/>
            </w:tcMar>
            <w:vAlign w:val="bottom"/>
          </w:tcPr>
          <w:p w14:paraId="36CA3A90"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3A91"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3A92" w14:textId="77777777" w:rsidR="00787570" w:rsidRDefault="000D56E2">
            <w:pPr>
              <w:jc w:val="right"/>
              <w:textAlignment w:val="bottom"/>
            </w:pPr>
            <w:r>
              <w:rPr>
                <w:rFonts w:ascii="Arial" w:eastAsia="宋体" w:hAnsi="Arial" w:cs="Arial"/>
                <w:color w:val="026DCE"/>
                <w:sz w:val="18"/>
                <w:szCs w:val="18"/>
              </w:rPr>
              <w:t>215 </w:t>
            </w:r>
          </w:p>
        </w:tc>
        <w:tc>
          <w:tcPr>
            <w:tcW w:w="0" w:type="auto"/>
            <w:shd w:val="clear" w:color="auto" w:fill="auto"/>
            <w:tcMar>
              <w:top w:w="40" w:type="dxa"/>
              <w:bottom w:w="40" w:type="dxa"/>
              <w:right w:w="20" w:type="dxa"/>
            </w:tcMar>
            <w:vAlign w:val="bottom"/>
          </w:tcPr>
          <w:p w14:paraId="36CA3A93"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3A94"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3A95" w14:textId="77777777" w:rsidR="00787570" w:rsidRDefault="000D56E2">
            <w:pPr>
              <w:jc w:val="right"/>
              <w:textAlignment w:val="bottom"/>
            </w:pPr>
            <w:r>
              <w:rPr>
                <w:rFonts w:ascii="Arial" w:eastAsia="宋体" w:hAnsi="Arial" w:cs="Arial"/>
                <w:color w:val="333333"/>
                <w:sz w:val="18"/>
                <w:szCs w:val="18"/>
              </w:rPr>
              <w:t>— </w:t>
            </w:r>
          </w:p>
        </w:tc>
        <w:tc>
          <w:tcPr>
            <w:tcW w:w="0" w:type="auto"/>
            <w:shd w:val="clear" w:color="auto" w:fill="auto"/>
            <w:tcMar>
              <w:top w:w="40" w:type="dxa"/>
              <w:bottom w:w="40" w:type="dxa"/>
              <w:right w:w="20" w:type="dxa"/>
            </w:tcMar>
            <w:vAlign w:val="bottom"/>
          </w:tcPr>
          <w:p w14:paraId="36CA3A96"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3A97"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3A98" w14:textId="77777777" w:rsidR="00787570" w:rsidRDefault="000D56E2">
            <w:pPr>
              <w:jc w:val="right"/>
              <w:textAlignment w:val="bottom"/>
            </w:pPr>
            <w:r>
              <w:rPr>
                <w:rFonts w:ascii="Arial" w:eastAsia="宋体" w:hAnsi="Arial" w:cs="Arial"/>
                <w:color w:val="333333"/>
                <w:sz w:val="18"/>
                <w:szCs w:val="18"/>
              </w:rPr>
              <w:t>554 </w:t>
            </w:r>
          </w:p>
        </w:tc>
        <w:tc>
          <w:tcPr>
            <w:tcW w:w="0" w:type="auto"/>
            <w:shd w:val="clear" w:color="auto" w:fill="auto"/>
            <w:tcMar>
              <w:top w:w="40" w:type="dxa"/>
              <w:bottom w:w="40" w:type="dxa"/>
              <w:right w:w="20" w:type="dxa"/>
            </w:tcMar>
            <w:vAlign w:val="bottom"/>
          </w:tcPr>
          <w:p w14:paraId="36CA3A99"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3A9A"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3A9B" w14:textId="77777777" w:rsidR="00787570" w:rsidRDefault="000D56E2">
            <w:pPr>
              <w:jc w:val="right"/>
              <w:textAlignment w:val="bottom"/>
            </w:pPr>
            <w:r>
              <w:rPr>
                <w:rFonts w:ascii="Arial" w:eastAsia="宋体" w:hAnsi="Arial" w:cs="Arial"/>
                <w:color w:val="333333"/>
                <w:sz w:val="18"/>
                <w:szCs w:val="18"/>
              </w:rPr>
              <w:t>— </w:t>
            </w:r>
          </w:p>
        </w:tc>
        <w:tc>
          <w:tcPr>
            <w:tcW w:w="0" w:type="auto"/>
            <w:shd w:val="clear" w:color="auto" w:fill="auto"/>
            <w:tcMar>
              <w:top w:w="40" w:type="dxa"/>
              <w:bottom w:w="40" w:type="dxa"/>
              <w:right w:w="20" w:type="dxa"/>
            </w:tcMar>
            <w:vAlign w:val="bottom"/>
          </w:tcPr>
          <w:p w14:paraId="36CA3A9C"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3A9D"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3A9E" w14:textId="77777777" w:rsidR="00787570" w:rsidRDefault="000D56E2">
            <w:pPr>
              <w:jc w:val="right"/>
              <w:textAlignment w:val="bottom"/>
            </w:pPr>
            <w:r>
              <w:rPr>
                <w:rFonts w:ascii="Arial" w:eastAsia="宋体" w:hAnsi="Arial" w:cs="Arial"/>
                <w:color w:val="333333"/>
                <w:sz w:val="18"/>
                <w:szCs w:val="18"/>
              </w:rPr>
              <w:t>554 </w:t>
            </w:r>
          </w:p>
        </w:tc>
        <w:tc>
          <w:tcPr>
            <w:tcW w:w="0" w:type="auto"/>
            <w:shd w:val="clear" w:color="auto" w:fill="auto"/>
            <w:tcMar>
              <w:top w:w="40" w:type="dxa"/>
              <w:bottom w:w="40" w:type="dxa"/>
              <w:right w:w="20" w:type="dxa"/>
            </w:tcMar>
            <w:vAlign w:val="bottom"/>
          </w:tcPr>
          <w:p w14:paraId="36CA3A9F" w14:textId="77777777" w:rsidR="00787570" w:rsidRDefault="00787570">
            <w:pPr>
              <w:jc w:val="right"/>
              <w:rPr>
                <w:rFonts w:ascii="宋体"/>
              </w:rPr>
            </w:pPr>
          </w:p>
        </w:tc>
        <w:tc>
          <w:tcPr>
            <w:tcW w:w="0" w:type="auto"/>
            <w:shd w:val="clear" w:color="auto" w:fill="auto"/>
          </w:tcPr>
          <w:p w14:paraId="36CA3AA0" w14:textId="77777777" w:rsidR="00787570" w:rsidRDefault="00787570">
            <w:pPr>
              <w:rPr>
                <w:rFonts w:ascii="宋体"/>
              </w:rPr>
            </w:pPr>
          </w:p>
        </w:tc>
        <w:tc>
          <w:tcPr>
            <w:tcW w:w="0" w:type="auto"/>
            <w:shd w:val="clear" w:color="auto" w:fill="auto"/>
          </w:tcPr>
          <w:p w14:paraId="36CA3AA1" w14:textId="77777777" w:rsidR="00787570" w:rsidRDefault="00787570">
            <w:pPr>
              <w:rPr>
                <w:rFonts w:ascii="宋体"/>
              </w:rPr>
            </w:pPr>
          </w:p>
        </w:tc>
        <w:tc>
          <w:tcPr>
            <w:tcW w:w="0" w:type="auto"/>
            <w:shd w:val="clear" w:color="auto" w:fill="auto"/>
          </w:tcPr>
          <w:p w14:paraId="36CA3AA2" w14:textId="77777777" w:rsidR="00787570" w:rsidRDefault="00787570">
            <w:pPr>
              <w:rPr>
                <w:rFonts w:ascii="宋体"/>
              </w:rPr>
            </w:pPr>
          </w:p>
        </w:tc>
        <w:tc>
          <w:tcPr>
            <w:tcW w:w="0" w:type="auto"/>
            <w:shd w:val="clear" w:color="auto" w:fill="auto"/>
          </w:tcPr>
          <w:p w14:paraId="36CA3AA3" w14:textId="77777777" w:rsidR="00787570" w:rsidRDefault="00787570">
            <w:pPr>
              <w:rPr>
                <w:rFonts w:ascii="宋体"/>
              </w:rPr>
            </w:pPr>
          </w:p>
        </w:tc>
        <w:tc>
          <w:tcPr>
            <w:tcW w:w="0" w:type="auto"/>
            <w:shd w:val="clear" w:color="auto" w:fill="auto"/>
          </w:tcPr>
          <w:p w14:paraId="36CA3AA4" w14:textId="77777777" w:rsidR="00787570" w:rsidRDefault="00787570">
            <w:pPr>
              <w:rPr>
                <w:rFonts w:ascii="宋体"/>
              </w:rPr>
            </w:pPr>
          </w:p>
        </w:tc>
        <w:tc>
          <w:tcPr>
            <w:tcW w:w="0" w:type="auto"/>
            <w:shd w:val="clear" w:color="auto" w:fill="auto"/>
          </w:tcPr>
          <w:p w14:paraId="36CA3AA5" w14:textId="77777777" w:rsidR="00787570" w:rsidRDefault="00787570">
            <w:pPr>
              <w:rPr>
                <w:rFonts w:ascii="宋体"/>
              </w:rPr>
            </w:pPr>
          </w:p>
        </w:tc>
        <w:tc>
          <w:tcPr>
            <w:tcW w:w="0" w:type="auto"/>
            <w:shd w:val="clear" w:color="auto" w:fill="auto"/>
          </w:tcPr>
          <w:p w14:paraId="36CA3AA6" w14:textId="77777777" w:rsidR="00787570" w:rsidRDefault="00787570">
            <w:pPr>
              <w:rPr>
                <w:rFonts w:ascii="宋体"/>
              </w:rPr>
            </w:pPr>
          </w:p>
        </w:tc>
        <w:tc>
          <w:tcPr>
            <w:tcW w:w="0" w:type="auto"/>
            <w:shd w:val="clear" w:color="auto" w:fill="auto"/>
          </w:tcPr>
          <w:p w14:paraId="36CA3AA7" w14:textId="77777777" w:rsidR="00787570" w:rsidRDefault="00787570">
            <w:pPr>
              <w:rPr>
                <w:rFonts w:ascii="宋体"/>
              </w:rPr>
            </w:pPr>
          </w:p>
        </w:tc>
        <w:tc>
          <w:tcPr>
            <w:tcW w:w="0" w:type="auto"/>
            <w:shd w:val="clear" w:color="auto" w:fill="auto"/>
          </w:tcPr>
          <w:p w14:paraId="36CA3AA8" w14:textId="77777777" w:rsidR="00787570" w:rsidRDefault="00787570">
            <w:pPr>
              <w:rPr>
                <w:rFonts w:ascii="宋体"/>
              </w:rPr>
            </w:pPr>
          </w:p>
        </w:tc>
        <w:tc>
          <w:tcPr>
            <w:tcW w:w="0" w:type="auto"/>
            <w:shd w:val="clear" w:color="auto" w:fill="auto"/>
          </w:tcPr>
          <w:p w14:paraId="36CA3AA9" w14:textId="77777777" w:rsidR="00787570" w:rsidRDefault="00787570">
            <w:pPr>
              <w:rPr>
                <w:rFonts w:ascii="宋体"/>
              </w:rPr>
            </w:pPr>
          </w:p>
        </w:tc>
        <w:tc>
          <w:tcPr>
            <w:tcW w:w="0" w:type="auto"/>
            <w:shd w:val="clear" w:color="auto" w:fill="auto"/>
          </w:tcPr>
          <w:p w14:paraId="36CA3AAA" w14:textId="77777777" w:rsidR="00787570" w:rsidRDefault="00787570">
            <w:pPr>
              <w:rPr>
                <w:rFonts w:ascii="宋体"/>
              </w:rPr>
            </w:pPr>
          </w:p>
        </w:tc>
        <w:tc>
          <w:tcPr>
            <w:tcW w:w="0" w:type="auto"/>
            <w:shd w:val="clear" w:color="auto" w:fill="auto"/>
          </w:tcPr>
          <w:p w14:paraId="36CA3AAB" w14:textId="77777777" w:rsidR="00787570" w:rsidRDefault="00787570">
            <w:pPr>
              <w:rPr>
                <w:rFonts w:ascii="宋体"/>
              </w:rPr>
            </w:pPr>
          </w:p>
        </w:tc>
      </w:tr>
      <w:tr w:rsidR="00787570" w14:paraId="36CA3ADA" w14:textId="77777777">
        <w:tc>
          <w:tcPr>
            <w:tcW w:w="0" w:type="auto"/>
            <w:gridSpan w:val="3"/>
            <w:shd w:val="clear" w:color="auto" w:fill="auto"/>
            <w:tcMar>
              <w:top w:w="40" w:type="dxa"/>
              <w:left w:w="20" w:type="dxa"/>
              <w:bottom w:w="40" w:type="dxa"/>
              <w:right w:w="20" w:type="dxa"/>
            </w:tcMar>
          </w:tcPr>
          <w:p w14:paraId="36CA3AAD" w14:textId="77777777" w:rsidR="00787570" w:rsidRDefault="000D56E2">
            <w:pPr>
              <w:textAlignment w:val="top"/>
            </w:pPr>
            <w:r>
              <w:rPr>
                <w:rFonts w:ascii="Arial" w:eastAsia="宋体" w:hAnsi="Arial" w:cs="Arial"/>
                <w:b/>
                <w:bCs/>
                <w:color w:val="333333"/>
                <w:sz w:val="18"/>
                <w:szCs w:val="18"/>
              </w:rPr>
              <w:t>Total assets measured and recorded at fair value</w:t>
            </w:r>
          </w:p>
        </w:tc>
        <w:tc>
          <w:tcPr>
            <w:tcW w:w="0" w:type="auto"/>
            <w:gridSpan w:val="3"/>
            <w:shd w:val="clear" w:color="auto" w:fill="auto"/>
            <w:tcMar>
              <w:left w:w="20" w:type="dxa"/>
              <w:right w:w="20" w:type="dxa"/>
            </w:tcMar>
            <w:vAlign w:val="bottom"/>
          </w:tcPr>
          <w:p w14:paraId="36CA3AAE" w14:textId="77777777" w:rsidR="00787570" w:rsidRDefault="00787570">
            <w:pPr>
              <w:rPr>
                <w:rFonts w:ascii="宋体"/>
              </w:rPr>
            </w:pPr>
          </w:p>
        </w:tc>
        <w:tc>
          <w:tcPr>
            <w:tcW w:w="0" w:type="auto"/>
            <w:tcBorders>
              <w:top w:val="single" w:sz="8" w:space="0" w:color="333333"/>
            </w:tcBorders>
            <w:shd w:val="clear" w:color="auto" w:fill="auto"/>
            <w:tcMar>
              <w:top w:w="40" w:type="dxa"/>
              <w:left w:w="20" w:type="dxa"/>
              <w:bottom w:w="40" w:type="dxa"/>
            </w:tcMar>
            <w:vAlign w:val="bottom"/>
          </w:tcPr>
          <w:p w14:paraId="36CA3AAF" w14:textId="77777777" w:rsidR="00787570" w:rsidRDefault="000D56E2">
            <w:pPr>
              <w:textAlignment w:val="bottom"/>
            </w:pPr>
            <w:r>
              <w:rPr>
                <w:rFonts w:ascii="Arial" w:eastAsia="宋体" w:hAnsi="Arial" w:cs="Arial"/>
                <w:b/>
                <w:bCs/>
                <w:color w:val="026DCE"/>
                <w:sz w:val="18"/>
                <w:szCs w:val="18"/>
              </w:rPr>
              <w:t>$</w:t>
            </w:r>
          </w:p>
        </w:tc>
        <w:tc>
          <w:tcPr>
            <w:tcW w:w="0" w:type="auto"/>
            <w:tcBorders>
              <w:top w:val="single" w:sz="8" w:space="0" w:color="333333"/>
            </w:tcBorders>
            <w:shd w:val="clear" w:color="auto" w:fill="auto"/>
            <w:tcMar>
              <w:top w:w="40" w:type="dxa"/>
              <w:bottom w:w="40" w:type="dxa"/>
              <w:right w:w="0" w:type="dxa"/>
            </w:tcMar>
            <w:vAlign w:val="bottom"/>
          </w:tcPr>
          <w:p w14:paraId="36CA3AB0" w14:textId="77777777" w:rsidR="00787570" w:rsidRDefault="000D56E2">
            <w:pPr>
              <w:jc w:val="right"/>
              <w:textAlignment w:val="bottom"/>
            </w:pPr>
            <w:r>
              <w:rPr>
                <w:rFonts w:ascii="Arial" w:eastAsia="宋体" w:hAnsi="Arial" w:cs="Arial"/>
                <w:b/>
                <w:bCs/>
                <w:color w:val="026DCE"/>
                <w:sz w:val="18"/>
                <w:szCs w:val="18"/>
              </w:rPr>
              <w:t>1,604</w:t>
            </w:r>
            <w:r>
              <w:rPr>
                <w:rFonts w:ascii="Arial" w:eastAsia="宋体" w:hAnsi="Arial" w:cs="Arial"/>
                <w:color w:val="026DCE"/>
                <w:sz w:val="18"/>
                <w:szCs w:val="18"/>
              </w:rPr>
              <w:t> </w:t>
            </w:r>
          </w:p>
        </w:tc>
        <w:tc>
          <w:tcPr>
            <w:tcW w:w="0" w:type="auto"/>
            <w:tcBorders>
              <w:top w:val="single" w:sz="8" w:space="0" w:color="333333"/>
            </w:tcBorders>
            <w:shd w:val="clear" w:color="auto" w:fill="auto"/>
            <w:tcMar>
              <w:top w:w="40" w:type="dxa"/>
              <w:bottom w:w="40" w:type="dxa"/>
              <w:right w:w="20" w:type="dxa"/>
            </w:tcMar>
            <w:vAlign w:val="bottom"/>
          </w:tcPr>
          <w:p w14:paraId="36CA3AB1"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3AB2" w14:textId="77777777" w:rsidR="00787570" w:rsidRDefault="00787570">
            <w:pPr>
              <w:rPr>
                <w:rFonts w:ascii="宋体"/>
              </w:rPr>
            </w:pPr>
          </w:p>
        </w:tc>
        <w:tc>
          <w:tcPr>
            <w:tcW w:w="0" w:type="auto"/>
            <w:tcBorders>
              <w:top w:val="single" w:sz="8" w:space="0" w:color="333333"/>
            </w:tcBorders>
            <w:shd w:val="clear" w:color="auto" w:fill="auto"/>
            <w:tcMar>
              <w:top w:w="40" w:type="dxa"/>
              <w:left w:w="20" w:type="dxa"/>
              <w:bottom w:w="40" w:type="dxa"/>
            </w:tcMar>
            <w:vAlign w:val="bottom"/>
          </w:tcPr>
          <w:p w14:paraId="36CA3AB3" w14:textId="77777777" w:rsidR="00787570" w:rsidRDefault="000D56E2">
            <w:pPr>
              <w:textAlignment w:val="bottom"/>
            </w:pPr>
            <w:r>
              <w:rPr>
                <w:rFonts w:ascii="Arial" w:eastAsia="宋体" w:hAnsi="Arial" w:cs="Arial"/>
                <w:b/>
                <w:bCs/>
                <w:color w:val="026DCE"/>
                <w:sz w:val="18"/>
                <w:szCs w:val="18"/>
              </w:rPr>
              <w:t>$</w:t>
            </w:r>
          </w:p>
        </w:tc>
        <w:tc>
          <w:tcPr>
            <w:tcW w:w="0" w:type="auto"/>
            <w:tcBorders>
              <w:top w:val="single" w:sz="8" w:space="0" w:color="333333"/>
            </w:tcBorders>
            <w:shd w:val="clear" w:color="auto" w:fill="auto"/>
            <w:tcMar>
              <w:top w:w="40" w:type="dxa"/>
              <w:bottom w:w="40" w:type="dxa"/>
              <w:right w:w="0" w:type="dxa"/>
            </w:tcMar>
            <w:vAlign w:val="bottom"/>
          </w:tcPr>
          <w:p w14:paraId="36CA3AB4" w14:textId="77777777" w:rsidR="00787570" w:rsidRDefault="000D56E2">
            <w:pPr>
              <w:jc w:val="right"/>
              <w:textAlignment w:val="bottom"/>
            </w:pPr>
            <w:r>
              <w:rPr>
                <w:rFonts w:ascii="Arial" w:eastAsia="宋体" w:hAnsi="Arial" w:cs="Arial"/>
                <w:b/>
                <w:bCs/>
                <w:color w:val="026DCE"/>
                <w:sz w:val="18"/>
                <w:szCs w:val="18"/>
              </w:rPr>
              <w:t>21,822</w:t>
            </w:r>
            <w:r>
              <w:rPr>
                <w:rFonts w:ascii="Arial" w:eastAsia="宋体" w:hAnsi="Arial" w:cs="Arial"/>
                <w:color w:val="026DCE"/>
                <w:sz w:val="18"/>
                <w:szCs w:val="18"/>
              </w:rPr>
              <w:t> </w:t>
            </w:r>
          </w:p>
        </w:tc>
        <w:tc>
          <w:tcPr>
            <w:tcW w:w="0" w:type="auto"/>
            <w:tcBorders>
              <w:top w:val="single" w:sz="8" w:space="0" w:color="333333"/>
            </w:tcBorders>
            <w:shd w:val="clear" w:color="auto" w:fill="auto"/>
            <w:tcMar>
              <w:top w:w="40" w:type="dxa"/>
              <w:bottom w:w="40" w:type="dxa"/>
              <w:right w:w="20" w:type="dxa"/>
            </w:tcMar>
            <w:vAlign w:val="bottom"/>
          </w:tcPr>
          <w:p w14:paraId="36CA3AB5"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3AB6" w14:textId="77777777" w:rsidR="00787570" w:rsidRDefault="00787570">
            <w:pPr>
              <w:rPr>
                <w:rFonts w:ascii="宋体"/>
              </w:rPr>
            </w:pPr>
          </w:p>
        </w:tc>
        <w:tc>
          <w:tcPr>
            <w:tcW w:w="0" w:type="auto"/>
            <w:tcBorders>
              <w:top w:val="single" w:sz="8" w:space="0" w:color="333333"/>
            </w:tcBorders>
            <w:shd w:val="clear" w:color="auto" w:fill="auto"/>
            <w:tcMar>
              <w:top w:w="40" w:type="dxa"/>
              <w:left w:w="20" w:type="dxa"/>
              <w:bottom w:w="40" w:type="dxa"/>
            </w:tcMar>
            <w:vAlign w:val="bottom"/>
          </w:tcPr>
          <w:p w14:paraId="36CA3AB7" w14:textId="77777777" w:rsidR="00787570" w:rsidRDefault="000D56E2">
            <w:pPr>
              <w:textAlignment w:val="bottom"/>
            </w:pPr>
            <w:r>
              <w:rPr>
                <w:rFonts w:ascii="Arial" w:eastAsia="宋体" w:hAnsi="Arial" w:cs="Arial"/>
                <w:b/>
                <w:bCs/>
                <w:color w:val="026DCE"/>
                <w:sz w:val="18"/>
                <w:szCs w:val="18"/>
              </w:rPr>
              <w:t>$</w:t>
            </w:r>
          </w:p>
        </w:tc>
        <w:tc>
          <w:tcPr>
            <w:tcW w:w="0" w:type="auto"/>
            <w:tcBorders>
              <w:top w:val="single" w:sz="8" w:space="0" w:color="333333"/>
            </w:tcBorders>
            <w:shd w:val="clear" w:color="auto" w:fill="auto"/>
            <w:tcMar>
              <w:top w:w="40" w:type="dxa"/>
              <w:bottom w:w="40" w:type="dxa"/>
              <w:right w:w="0" w:type="dxa"/>
            </w:tcMar>
            <w:vAlign w:val="bottom"/>
          </w:tcPr>
          <w:p w14:paraId="36CA3AB8" w14:textId="77777777" w:rsidR="00787570" w:rsidRDefault="000D56E2">
            <w:pPr>
              <w:jc w:val="right"/>
              <w:textAlignment w:val="bottom"/>
            </w:pPr>
            <w:r>
              <w:rPr>
                <w:rFonts w:ascii="Arial" w:eastAsia="宋体" w:hAnsi="Arial" w:cs="Arial"/>
                <w:b/>
                <w:bCs/>
                <w:color w:val="026DCE"/>
                <w:sz w:val="18"/>
                <w:szCs w:val="18"/>
              </w:rPr>
              <w:t>31</w:t>
            </w:r>
            <w:r>
              <w:rPr>
                <w:rFonts w:ascii="Arial" w:eastAsia="宋体" w:hAnsi="Arial" w:cs="Arial"/>
                <w:color w:val="026DCE"/>
                <w:sz w:val="18"/>
                <w:szCs w:val="18"/>
              </w:rPr>
              <w:t> </w:t>
            </w:r>
          </w:p>
        </w:tc>
        <w:tc>
          <w:tcPr>
            <w:tcW w:w="0" w:type="auto"/>
            <w:tcBorders>
              <w:top w:val="single" w:sz="8" w:space="0" w:color="333333"/>
            </w:tcBorders>
            <w:shd w:val="clear" w:color="auto" w:fill="auto"/>
            <w:tcMar>
              <w:top w:w="40" w:type="dxa"/>
              <w:bottom w:w="40" w:type="dxa"/>
              <w:right w:w="20" w:type="dxa"/>
            </w:tcMar>
            <w:vAlign w:val="bottom"/>
          </w:tcPr>
          <w:p w14:paraId="36CA3AB9"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3ABA" w14:textId="77777777" w:rsidR="00787570" w:rsidRDefault="00787570">
            <w:pPr>
              <w:rPr>
                <w:rFonts w:ascii="宋体"/>
              </w:rPr>
            </w:pPr>
          </w:p>
        </w:tc>
        <w:tc>
          <w:tcPr>
            <w:tcW w:w="0" w:type="auto"/>
            <w:tcBorders>
              <w:top w:val="single" w:sz="8" w:space="0" w:color="333333"/>
            </w:tcBorders>
            <w:shd w:val="clear" w:color="auto" w:fill="auto"/>
            <w:tcMar>
              <w:top w:w="40" w:type="dxa"/>
              <w:left w:w="20" w:type="dxa"/>
              <w:bottom w:w="40" w:type="dxa"/>
            </w:tcMar>
            <w:vAlign w:val="bottom"/>
          </w:tcPr>
          <w:p w14:paraId="36CA3ABB" w14:textId="77777777" w:rsidR="00787570" w:rsidRDefault="000D56E2">
            <w:pPr>
              <w:textAlignment w:val="bottom"/>
            </w:pPr>
            <w:r>
              <w:rPr>
                <w:rFonts w:ascii="Arial" w:eastAsia="宋体" w:hAnsi="Arial" w:cs="Arial"/>
                <w:b/>
                <w:bCs/>
                <w:color w:val="026DCE"/>
                <w:sz w:val="18"/>
                <w:szCs w:val="18"/>
              </w:rPr>
              <w:t>$</w:t>
            </w:r>
          </w:p>
        </w:tc>
        <w:tc>
          <w:tcPr>
            <w:tcW w:w="0" w:type="auto"/>
            <w:tcBorders>
              <w:top w:val="single" w:sz="8" w:space="0" w:color="333333"/>
            </w:tcBorders>
            <w:shd w:val="clear" w:color="auto" w:fill="auto"/>
            <w:tcMar>
              <w:top w:w="40" w:type="dxa"/>
              <w:bottom w:w="40" w:type="dxa"/>
              <w:right w:w="0" w:type="dxa"/>
            </w:tcMar>
            <w:vAlign w:val="bottom"/>
          </w:tcPr>
          <w:p w14:paraId="36CA3ABC" w14:textId="77777777" w:rsidR="00787570" w:rsidRDefault="000D56E2">
            <w:pPr>
              <w:jc w:val="right"/>
              <w:textAlignment w:val="bottom"/>
            </w:pPr>
            <w:r>
              <w:rPr>
                <w:rFonts w:ascii="Arial" w:eastAsia="宋体" w:hAnsi="Arial" w:cs="Arial"/>
                <w:b/>
                <w:bCs/>
                <w:color w:val="026DCE"/>
                <w:sz w:val="18"/>
                <w:szCs w:val="18"/>
              </w:rPr>
              <w:t>23,457</w:t>
            </w:r>
            <w:r>
              <w:rPr>
                <w:rFonts w:ascii="Arial" w:eastAsia="宋体" w:hAnsi="Arial" w:cs="Arial"/>
                <w:color w:val="026DCE"/>
                <w:sz w:val="18"/>
                <w:szCs w:val="18"/>
              </w:rPr>
              <w:t> </w:t>
            </w:r>
          </w:p>
        </w:tc>
        <w:tc>
          <w:tcPr>
            <w:tcW w:w="0" w:type="auto"/>
            <w:tcBorders>
              <w:top w:val="single" w:sz="8" w:space="0" w:color="333333"/>
            </w:tcBorders>
            <w:shd w:val="clear" w:color="auto" w:fill="auto"/>
            <w:tcMar>
              <w:top w:w="40" w:type="dxa"/>
              <w:bottom w:w="40" w:type="dxa"/>
              <w:right w:w="20" w:type="dxa"/>
            </w:tcMar>
            <w:vAlign w:val="bottom"/>
          </w:tcPr>
          <w:p w14:paraId="36CA3ABD"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3ABE" w14:textId="77777777" w:rsidR="00787570" w:rsidRDefault="00787570">
            <w:pPr>
              <w:rPr>
                <w:rFonts w:ascii="宋体"/>
              </w:rPr>
            </w:pPr>
          </w:p>
        </w:tc>
        <w:tc>
          <w:tcPr>
            <w:tcW w:w="0" w:type="auto"/>
            <w:tcBorders>
              <w:top w:val="single" w:sz="8" w:space="0" w:color="333333"/>
            </w:tcBorders>
            <w:shd w:val="clear" w:color="auto" w:fill="auto"/>
            <w:tcMar>
              <w:top w:w="40" w:type="dxa"/>
              <w:left w:w="20" w:type="dxa"/>
              <w:bottom w:w="40" w:type="dxa"/>
            </w:tcMar>
            <w:vAlign w:val="bottom"/>
          </w:tcPr>
          <w:p w14:paraId="36CA3ABF" w14:textId="77777777" w:rsidR="00787570" w:rsidRDefault="000D56E2">
            <w:pPr>
              <w:textAlignment w:val="bottom"/>
            </w:pPr>
            <w:r>
              <w:rPr>
                <w:rFonts w:ascii="Arial" w:eastAsia="宋体" w:hAnsi="Arial" w:cs="Arial"/>
                <w:b/>
                <w:bCs/>
                <w:color w:val="333333"/>
                <w:sz w:val="18"/>
                <w:szCs w:val="18"/>
              </w:rPr>
              <w:t>$</w:t>
            </w:r>
          </w:p>
        </w:tc>
        <w:tc>
          <w:tcPr>
            <w:tcW w:w="0" w:type="auto"/>
            <w:tcBorders>
              <w:top w:val="single" w:sz="8" w:space="0" w:color="333333"/>
            </w:tcBorders>
            <w:shd w:val="clear" w:color="auto" w:fill="auto"/>
            <w:tcMar>
              <w:top w:w="40" w:type="dxa"/>
              <w:bottom w:w="40" w:type="dxa"/>
              <w:right w:w="0" w:type="dxa"/>
            </w:tcMar>
            <w:vAlign w:val="bottom"/>
          </w:tcPr>
          <w:p w14:paraId="36CA3AC0" w14:textId="77777777" w:rsidR="00787570" w:rsidRDefault="000D56E2">
            <w:pPr>
              <w:jc w:val="right"/>
              <w:textAlignment w:val="bottom"/>
            </w:pPr>
            <w:r>
              <w:rPr>
                <w:rFonts w:ascii="Arial" w:eastAsia="宋体" w:hAnsi="Arial" w:cs="Arial"/>
                <w:b/>
                <w:bCs/>
                <w:color w:val="333333"/>
                <w:sz w:val="18"/>
                <w:szCs w:val="18"/>
              </w:rPr>
              <w:t>1,651</w:t>
            </w:r>
            <w:r>
              <w:rPr>
                <w:rFonts w:ascii="Arial" w:eastAsia="宋体" w:hAnsi="Arial" w:cs="Arial"/>
                <w:color w:val="333333"/>
                <w:sz w:val="18"/>
                <w:szCs w:val="18"/>
              </w:rPr>
              <w:t> </w:t>
            </w:r>
          </w:p>
        </w:tc>
        <w:tc>
          <w:tcPr>
            <w:tcW w:w="0" w:type="auto"/>
            <w:tcBorders>
              <w:top w:val="single" w:sz="8" w:space="0" w:color="333333"/>
            </w:tcBorders>
            <w:shd w:val="clear" w:color="auto" w:fill="auto"/>
            <w:tcMar>
              <w:top w:w="40" w:type="dxa"/>
              <w:bottom w:w="40" w:type="dxa"/>
              <w:right w:w="20" w:type="dxa"/>
            </w:tcMar>
            <w:vAlign w:val="bottom"/>
          </w:tcPr>
          <w:p w14:paraId="36CA3AC1"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3AC2" w14:textId="77777777" w:rsidR="00787570" w:rsidRDefault="00787570">
            <w:pPr>
              <w:rPr>
                <w:rFonts w:ascii="宋体"/>
              </w:rPr>
            </w:pPr>
          </w:p>
        </w:tc>
        <w:tc>
          <w:tcPr>
            <w:tcW w:w="0" w:type="auto"/>
            <w:tcBorders>
              <w:top w:val="single" w:sz="8" w:space="0" w:color="333333"/>
            </w:tcBorders>
            <w:shd w:val="clear" w:color="auto" w:fill="auto"/>
            <w:tcMar>
              <w:top w:w="40" w:type="dxa"/>
              <w:left w:w="20" w:type="dxa"/>
              <w:bottom w:w="40" w:type="dxa"/>
            </w:tcMar>
            <w:vAlign w:val="bottom"/>
          </w:tcPr>
          <w:p w14:paraId="36CA3AC3" w14:textId="77777777" w:rsidR="00787570" w:rsidRDefault="000D56E2">
            <w:pPr>
              <w:textAlignment w:val="bottom"/>
            </w:pPr>
            <w:r>
              <w:rPr>
                <w:rFonts w:ascii="Arial" w:eastAsia="宋体" w:hAnsi="Arial" w:cs="Arial"/>
                <w:b/>
                <w:bCs/>
                <w:color w:val="333333"/>
                <w:sz w:val="18"/>
                <w:szCs w:val="18"/>
              </w:rPr>
              <w:t>$</w:t>
            </w:r>
          </w:p>
        </w:tc>
        <w:tc>
          <w:tcPr>
            <w:tcW w:w="0" w:type="auto"/>
            <w:tcBorders>
              <w:top w:val="single" w:sz="8" w:space="0" w:color="333333"/>
            </w:tcBorders>
            <w:shd w:val="clear" w:color="auto" w:fill="auto"/>
            <w:tcMar>
              <w:top w:w="40" w:type="dxa"/>
              <w:bottom w:w="40" w:type="dxa"/>
              <w:right w:w="0" w:type="dxa"/>
            </w:tcMar>
            <w:vAlign w:val="bottom"/>
          </w:tcPr>
          <w:p w14:paraId="36CA3AC4" w14:textId="77777777" w:rsidR="00787570" w:rsidRDefault="000D56E2">
            <w:pPr>
              <w:jc w:val="right"/>
              <w:textAlignment w:val="bottom"/>
            </w:pPr>
            <w:r>
              <w:rPr>
                <w:rFonts w:ascii="Arial" w:eastAsia="宋体" w:hAnsi="Arial" w:cs="Arial"/>
                <w:b/>
                <w:bCs/>
                <w:color w:val="333333"/>
                <w:sz w:val="18"/>
                <w:szCs w:val="18"/>
              </w:rPr>
              <w:t>16,213</w:t>
            </w:r>
            <w:r>
              <w:rPr>
                <w:rFonts w:ascii="Arial" w:eastAsia="宋体" w:hAnsi="Arial" w:cs="Arial"/>
                <w:color w:val="333333"/>
                <w:sz w:val="18"/>
                <w:szCs w:val="18"/>
              </w:rPr>
              <w:t> </w:t>
            </w:r>
          </w:p>
        </w:tc>
        <w:tc>
          <w:tcPr>
            <w:tcW w:w="0" w:type="auto"/>
            <w:tcBorders>
              <w:top w:val="single" w:sz="8" w:space="0" w:color="333333"/>
            </w:tcBorders>
            <w:shd w:val="clear" w:color="auto" w:fill="auto"/>
            <w:tcMar>
              <w:top w:w="40" w:type="dxa"/>
              <w:bottom w:w="40" w:type="dxa"/>
              <w:right w:w="20" w:type="dxa"/>
            </w:tcMar>
            <w:vAlign w:val="bottom"/>
          </w:tcPr>
          <w:p w14:paraId="36CA3AC5"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3AC6" w14:textId="77777777" w:rsidR="00787570" w:rsidRDefault="00787570">
            <w:pPr>
              <w:rPr>
                <w:rFonts w:ascii="宋体"/>
              </w:rPr>
            </w:pPr>
          </w:p>
        </w:tc>
        <w:tc>
          <w:tcPr>
            <w:tcW w:w="0" w:type="auto"/>
            <w:tcBorders>
              <w:top w:val="single" w:sz="8" w:space="0" w:color="333333"/>
            </w:tcBorders>
            <w:shd w:val="clear" w:color="auto" w:fill="auto"/>
            <w:tcMar>
              <w:top w:w="40" w:type="dxa"/>
              <w:left w:w="20" w:type="dxa"/>
              <w:bottom w:w="40" w:type="dxa"/>
            </w:tcMar>
            <w:vAlign w:val="bottom"/>
          </w:tcPr>
          <w:p w14:paraId="36CA3AC7" w14:textId="77777777" w:rsidR="00787570" w:rsidRDefault="000D56E2">
            <w:pPr>
              <w:textAlignment w:val="bottom"/>
            </w:pPr>
            <w:r>
              <w:rPr>
                <w:rFonts w:ascii="Arial" w:eastAsia="宋体" w:hAnsi="Arial" w:cs="Arial"/>
                <w:b/>
                <w:bCs/>
                <w:color w:val="333333"/>
                <w:sz w:val="18"/>
                <w:szCs w:val="18"/>
              </w:rPr>
              <w:t>$</w:t>
            </w:r>
          </w:p>
        </w:tc>
        <w:tc>
          <w:tcPr>
            <w:tcW w:w="0" w:type="auto"/>
            <w:tcBorders>
              <w:top w:val="single" w:sz="8" w:space="0" w:color="333333"/>
            </w:tcBorders>
            <w:shd w:val="clear" w:color="auto" w:fill="auto"/>
            <w:tcMar>
              <w:top w:w="40" w:type="dxa"/>
              <w:bottom w:w="40" w:type="dxa"/>
              <w:right w:w="0" w:type="dxa"/>
            </w:tcMar>
            <w:vAlign w:val="bottom"/>
          </w:tcPr>
          <w:p w14:paraId="36CA3AC8" w14:textId="77777777" w:rsidR="00787570" w:rsidRDefault="000D56E2">
            <w:pPr>
              <w:jc w:val="right"/>
              <w:textAlignment w:val="bottom"/>
            </w:pPr>
            <w:r>
              <w:rPr>
                <w:rFonts w:ascii="Arial" w:eastAsia="宋体" w:hAnsi="Arial" w:cs="Arial"/>
                <w:b/>
                <w:bCs/>
                <w:color w:val="333333"/>
                <w:sz w:val="18"/>
                <w:szCs w:val="18"/>
              </w:rPr>
              <w:t>16</w:t>
            </w:r>
            <w:r>
              <w:rPr>
                <w:rFonts w:ascii="Arial" w:eastAsia="宋体" w:hAnsi="Arial" w:cs="Arial"/>
                <w:color w:val="333333"/>
                <w:sz w:val="18"/>
                <w:szCs w:val="18"/>
              </w:rPr>
              <w:t> </w:t>
            </w:r>
          </w:p>
        </w:tc>
        <w:tc>
          <w:tcPr>
            <w:tcW w:w="0" w:type="auto"/>
            <w:tcBorders>
              <w:top w:val="single" w:sz="8" w:space="0" w:color="333333"/>
            </w:tcBorders>
            <w:shd w:val="clear" w:color="auto" w:fill="auto"/>
            <w:tcMar>
              <w:top w:w="40" w:type="dxa"/>
              <w:bottom w:w="40" w:type="dxa"/>
              <w:right w:w="20" w:type="dxa"/>
            </w:tcMar>
            <w:vAlign w:val="bottom"/>
          </w:tcPr>
          <w:p w14:paraId="36CA3AC9"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3ACA" w14:textId="77777777" w:rsidR="00787570" w:rsidRDefault="00787570">
            <w:pPr>
              <w:rPr>
                <w:rFonts w:ascii="宋体"/>
              </w:rPr>
            </w:pPr>
          </w:p>
        </w:tc>
        <w:tc>
          <w:tcPr>
            <w:tcW w:w="0" w:type="auto"/>
            <w:tcBorders>
              <w:top w:val="single" w:sz="8" w:space="0" w:color="333333"/>
            </w:tcBorders>
            <w:shd w:val="clear" w:color="auto" w:fill="auto"/>
            <w:tcMar>
              <w:top w:w="40" w:type="dxa"/>
              <w:left w:w="20" w:type="dxa"/>
              <w:bottom w:w="40" w:type="dxa"/>
            </w:tcMar>
            <w:vAlign w:val="bottom"/>
          </w:tcPr>
          <w:p w14:paraId="36CA3ACB" w14:textId="77777777" w:rsidR="00787570" w:rsidRDefault="000D56E2">
            <w:pPr>
              <w:textAlignment w:val="bottom"/>
            </w:pPr>
            <w:r>
              <w:rPr>
                <w:rFonts w:ascii="Arial" w:eastAsia="宋体" w:hAnsi="Arial" w:cs="Arial"/>
                <w:b/>
                <w:bCs/>
                <w:color w:val="333333"/>
                <w:sz w:val="18"/>
                <w:szCs w:val="18"/>
              </w:rPr>
              <w:t>$</w:t>
            </w:r>
          </w:p>
        </w:tc>
        <w:tc>
          <w:tcPr>
            <w:tcW w:w="0" w:type="auto"/>
            <w:tcBorders>
              <w:top w:val="single" w:sz="8" w:space="0" w:color="333333"/>
            </w:tcBorders>
            <w:shd w:val="clear" w:color="auto" w:fill="auto"/>
            <w:tcMar>
              <w:top w:w="40" w:type="dxa"/>
              <w:bottom w:w="40" w:type="dxa"/>
              <w:right w:w="0" w:type="dxa"/>
            </w:tcMar>
            <w:vAlign w:val="bottom"/>
          </w:tcPr>
          <w:p w14:paraId="36CA3ACC" w14:textId="77777777" w:rsidR="00787570" w:rsidRDefault="000D56E2">
            <w:pPr>
              <w:jc w:val="right"/>
              <w:textAlignment w:val="bottom"/>
            </w:pPr>
            <w:r>
              <w:rPr>
                <w:rFonts w:ascii="Arial" w:eastAsia="宋体" w:hAnsi="Arial" w:cs="Arial"/>
                <w:b/>
                <w:bCs/>
                <w:color w:val="333333"/>
                <w:sz w:val="18"/>
                <w:szCs w:val="18"/>
              </w:rPr>
              <w:t>17,880</w:t>
            </w:r>
            <w:r>
              <w:rPr>
                <w:rFonts w:ascii="Arial" w:eastAsia="宋体" w:hAnsi="Arial" w:cs="Arial"/>
                <w:color w:val="333333"/>
                <w:sz w:val="18"/>
                <w:szCs w:val="18"/>
              </w:rPr>
              <w:t> </w:t>
            </w:r>
          </w:p>
        </w:tc>
        <w:tc>
          <w:tcPr>
            <w:tcW w:w="0" w:type="auto"/>
            <w:tcBorders>
              <w:top w:val="single" w:sz="8" w:space="0" w:color="333333"/>
            </w:tcBorders>
            <w:shd w:val="clear" w:color="auto" w:fill="auto"/>
            <w:tcMar>
              <w:top w:w="40" w:type="dxa"/>
              <w:bottom w:w="40" w:type="dxa"/>
              <w:right w:w="20" w:type="dxa"/>
            </w:tcMar>
            <w:vAlign w:val="bottom"/>
          </w:tcPr>
          <w:p w14:paraId="36CA3ACD" w14:textId="77777777" w:rsidR="00787570" w:rsidRDefault="00787570">
            <w:pPr>
              <w:jc w:val="right"/>
              <w:rPr>
                <w:rFonts w:ascii="宋体"/>
              </w:rPr>
            </w:pPr>
          </w:p>
        </w:tc>
        <w:tc>
          <w:tcPr>
            <w:tcW w:w="0" w:type="auto"/>
            <w:shd w:val="clear" w:color="auto" w:fill="auto"/>
          </w:tcPr>
          <w:p w14:paraId="36CA3ACE" w14:textId="77777777" w:rsidR="00787570" w:rsidRDefault="00787570">
            <w:pPr>
              <w:rPr>
                <w:rFonts w:ascii="宋体"/>
              </w:rPr>
            </w:pPr>
          </w:p>
        </w:tc>
        <w:tc>
          <w:tcPr>
            <w:tcW w:w="0" w:type="auto"/>
            <w:shd w:val="clear" w:color="auto" w:fill="auto"/>
          </w:tcPr>
          <w:p w14:paraId="36CA3ACF" w14:textId="77777777" w:rsidR="00787570" w:rsidRDefault="00787570">
            <w:pPr>
              <w:rPr>
                <w:rFonts w:ascii="宋体"/>
              </w:rPr>
            </w:pPr>
          </w:p>
        </w:tc>
        <w:tc>
          <w:tcPr>
            <w:tcW w:w="0" w:type="auto"/>
            <w:shd w:val="clear" w:color="auto" w:fill="auto"/>
          </w:tcPr>
          <w:p w14:paraId="36CA3AD0" w14:textId="77777777" w:rsidR="00787570" w:rsidRDefault="00787570">
            <w:pPr>
              <w:rPr>
                <w:rFonts w:ascii="宋体"/>
              </w:rPr>
            </w:pPr>
          </w:p>
        </w:tc>
        <w:tc>
          <w:tcPr>
            <w:tcW w:w="0" w:type="auto"/>
            <w:shd w:val="clear" w:color="auto" w:fill="auto"/>
          </w:tcPr>
          <w:p w14:paraId="36CA3AD1" w14:textId="77777777" w:rsidR="00787570" w:rsidRDefault="00787570">
            <w:pPr>
              <w:rPr>
                <w:rFonts w:ascii="宋体"/>
              </w:rPr>
            </w:pPr>
          </w:p>
        </w:tc>
        <w:tc>
          <w:tcPr>
            <w:tcW w:w="0" w:type="auto"/>
            <w:shd w:val="clear" w:color="auto" w:fill="auto"/>
          </w:tcPr>
          <w:p w14:paraId="36CA3AD2" w14:textId="77777777" w:rsidR="00787570" w:rsidRDefault="00787570">
            <w:pPr>
              <w:rPr>
                <w:rFonts w:ascii="宋体"/>
              </w:rPr>
            </w:pPr>
          </w:p>
        </w:tc>
        <w:tc>
          <w:tcPr>
            <w:tcW w:w="0" w:type="auto"/>
            <w:shd w:val="clear" w:color="auto" w:fill="auto"/>
          </w:tcPr>
          <w:p w14:paraId="36CA3AD3" w14:textId="77777777" w:rsidR="00787570" w:rsidRDefault="00787570">
            <w:pPr>
              <w:rPr>
                <w:rFonts w:ascii="宋体"/>
              </w:rPr>
            </w:pPr>
          </w:p>
        </w:tc>
        <w:tc>
          <w:tcPr>
            <w:tcW w:w="0" w:type="auto"/>
            <w:shd w:val="clear" w:color="auto" w:fill="auto"/>
          </w:tcPr>
          <w:p w14:paraId="36CA3AD4" w14:textId="77777777" w:rsidR="00787570" w:rsidRDefault="00787570">
            <w:pPr>
              <w:rPr>
                <w:rFonts w:ascii="宋体"/>
              </w:rPr>
            </w:pPr>
          </w:p>
        </w:tc>
        <w:tc>
          <w:tcPr>
            <w:tcW w:w="0" w:type="auto"/>
            <w:shd w:val="clear" w:color="auto" w:fill="auto"/>
          </w:tcPr>
          <w:p w14:paraId="36CA3AD5" w14:textId="77777777" w:rsidR="00787570" w:rsidRDefault="00787570">
            <w:pPr>
              <w:rPr>
                <w:rFonts w:ascii="宋体"/>
              </w:rPr>
            </w:pPr>
          </w:p>
        </w:tc>
        <w:tc>
          <w:tcPr>
            <w:tcW w:w="0" w:type="auto"/>
            <w:shd w:val="clear" w:color="auto" w:fill="auto"/>
          </w:tcPr>
          <w:p w14:paraId="36CA3AD6" w14:textId="77777777" w:rsidR="00787570" w:rsidRDefault="00787570">
            <w:pPr>
              <w:rPr>
                <w:rFonts w:ascii="宋体"/>
              </w:rPr>
            </w:pPr>
          </w:p>
        </w:tc>
        <w:tc>
          <w:tcPr>
            <w:tcW w:w="0" w:type="auto"/>
            <w:shd w:val="clear" w:color="auto" w:fill="auto"/>
          </w:tcPr>
          <w:p w14:paraId="36CA3AD7" w14:textId="77777777" w:rsidR="00787570" w:rsidRDefault="00787570">
            <w:pPr>
              <w:rPr>
                <w:rFonts w:ascii="宋体"/>
              </w:rPr>
            </w:pPr>
          </w:p>
        </w:tc>
        <w:tc>
          <w:tcPr>
            <w:tcW w:w="0" w:type="auto"/>
            <w:shd w:val="clear" w:color="auto" w:fill="auto"/>
          </w:tcPr>
          <w:p w14:paraId="36CA3AD8" w14:textId="77777777" w:rsidR="00787570" w:rsidRDefault="00787570">
            <w:pPr>
              <w:rPr>
                <w:rFonts w:ascii="宋体"/>
              </w:rPr>
            </w:pPr>
          </w:p>
        </w:tc>
        <w:tc>
          <w:tcPr>
            <w:tcW w:w="0" w:type="auto"/>
            <w:shd w:val="clear" w:color="auto" w:fill="auto"/>
          </w:tcPr>
          <w:p w14:paraId="36CA3AD9" w14:textId="77777777" w:rsidR="00787570" w:rsidRDefault="00787570">
            <w:pPr>
              <w:rPr>
                <w:rFonts w:ascii="宋体"/>
              </w:rPr>
            </w:pPr>
          </w:p>
        </w:tc>
      </w:tr>
      <w:tr w:rsidR="00787570" w14:paraId="36CA3AF8" w14:textId="77777777">
        <w:tc>
          <w:tcPr>
            <w:tcW w:w="0" w:type="auto"/>
            <w:gridSpan w:val="3"/>
            <w:shd w:val="clear" w:color="auto" w:fill="auto"/>
            <w:tcMar>
              <w:top w:w="40" w:type="dxa"/>
              <w:left w:w="20" w:type="dxa"/>
              <w:bottom w:w="40" w:type="dxa"/>
              <w:right w:w="20" w:type="dxa"/>
            </w:tcMar>
          </w:tcPr>
          <w:p w14:paraId="36CA3ADB" w14:textId="77777777" w:rsidR="00787570" w:rsidRDefault="000D56E2">
            <w:pPr>
              <w:textAlignment w:val="top"/>
            </w:pPr>
            <w:r>
              <w:rPr>
                <w:rFonts w:ascii="Arial" w:eastAsia="宋体" w:hAnsi="Arial" w:cs="Arial"/>
                <w:b/>
                <w:bCs/>
                <w:color w:val="333333"/>
                <w:sz w:val="18"/>
                <w:szCs w:val="18"/>
              </w:rPr>
              <w:t>Liabilities</w:t>
            </w:r>
          </w:p>
        </w:tc>
        <w:tc>
          <w:tcPr>
            <w:tcW w:w="0" w:type="auto"/>
            <w:gridSpan w:val="3"/>
            <w:shd w:val="clear" w:color="auto" w:fill="auto"/>
            <w:tcMar>
              <w:left w:w="20" w:type="dxa"/>
              <w:right w:w="20" w:type="dxa"/>
            </w:tcMar>
            <w:vAlign w:val="bottom"/>
          </w:tcPr>
          <w:p w14:paraId="36CA3ADC" w14:textId="77777777" w:rsidR="00787570" w:rsidRDefault="00787570">
            <w:pPr>
              <w:rPr>
                <w:rFonts w:ascii="宋体"/>
              </w:rPr>
            </w:pPr>
          </w:p>
        </w:tc>
        <w:tc>
          <w:tcPr>
            <w:tcW w:w="0" w:type="auto"/>
            <w:gridSpan w:val="3"/>
            <w:tcBorders>
              <w:top w:val="double" w:sz="6" w:space="0" w:color="333333"/>
            </w:tcBorders>
            <w:shd w:val="clear" w:color="auto" w:fill="auto"/>
            <w:tcMar>
              <w:left w:w="20" w:type="dxa"/>
              <w:right w:w="20" w:type="dxa"/>
            </w:tcMar>
            <w:vAlign w:val="bottom"/>
          </w:tcPr>
          <w:p w14:paraId="36CA3ADD"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3ADE" w14:textId="77777777" w:rsidR="00787570" w:rsidRDefault="00787570">
            <w:pPr>
              <w:rPr>
                <w:rFonts w:ascii="宋体"/>
              </w:rPr>
            </w:pPr>
          </w:p>
        </w:tc>
        <w:tc>
          <w:tcPr>
            <w:tcW w:w="0" w:type="auto"/>
            <w:gridSpan w:val="3"/>
            <w:tcBorders>
              <w:top w:val="double" w:sz="6" w:space="0" w:color="333333"/>
            </w:tcBorders>
            <w:shd w:val="clear" w:color="auto" w:fill="auto"/>
            <w:tcMar>
              <w:left w:w="20" w:type="dxa"/>
              <w:right w:w="20" w:type="dxa"/>
            </w:tcMar>
            <w:vAlign w:val="bottom"/>
          </w:tcPr>
          <w:p w14:paraId="36CA3ADF"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3AE0" w14:textId="77777777" w:rsidR="00787570" w:rsidRDefault="00787570">
            <w:pPr>
              <w:rPr>
                <w:rFonts w:ascii="宋体"/>
              </w:rPr>
            </w:pPr>
          </w:p>
        </w:tc>
        <w:tc>
          <w:tcPr>
            <w:tcW w:w="0" w:type="auto"/>
            <w:gridSpan w:val="3"/>
            <w:tcBorders>
              <w:top w:val="double" w:sz="6" w:space="0" w:color="333333"/>
            </w:tcBorders>
            <w:shd w:val="clear" w:color="auto" w:fill="auto"/>
            <w:tcMar>
              <w:left w:w="20" w:type="dxa"/>
              <w:right w:w="20" w:type="dxa"/>
            </w:tcMar>
            <w:vAlign w:val="bottom"/>
          </w:tcPr>
          <w:p w14:paraId="36CA3AE1"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3AE2" w14:textId="77777777" w:rsidR="00787570" w:rsidRDefault="00787570">
            <w:pPr>
              <w:rPr>
                <w:rFonts w:ascii="宋体"/>
              </w:rPr>
            </w:pPr>
          </w:p>
        </w:tc>
        <w:tc>
          <w:tcPr>
            <w:tcW w:w="0" w:type="auto"/>
            <w:gridSpan w:val="3"/>
            <w:tcBorders>
              <w:top w:val="double" w:sz="6" w:space="0" w:color="333333"/>
            </w:tcBorders>
            <w:shd w:val="clear" w:color="auto" w:fill="auto"/>
            <w:tcMar>
              <w:left w:w="20" w:type="dxa"/>
              <w:right w:w="20" w:type="dxa"/>
            </w:tcMar>
            <w:vAlign w:val="bottom"/>
          </w:tcPr>
          <w:p w14:paraId="36CA3AE3"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3AE4" w14:textId="77777777" w:rsidR="00787570" w:rsidRDefault="00787570">
            <w:pPr>
              <w:rPr>
                <w:rFonts w:ascii="宋体"/>
              </w:rPr>
            </w:pPr>
          </w:p>
        </w:tc>
        <w:tc>
          <w:tcPr>
            <w:tcW w:w="0" w:type="auto"/>
            <w:gridSpan w:val="3"/>
            <w:tcBorders>
              <w:top w:val="double" w:sz="6" w:space="0" w:color="333333"/>
            </w:tcBorders>
            <w:shd w:val="clear" w:color="auto" w:fill="auto"/>
            <w:tcMar>
              <w:left w:w="20" w:type="dxa"/>
              <w:right w:w="20" w:type="dxa"/>
            </w:tcMar>
            <w:vAlign w:val="bottom"/>
          </w:tcPr>
          <w:p w14:paraId="36CA3AE5"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3AE6" w14:textId="77777777" w:rsidR="00787570" w:rsidRDefault="00787570">
            <w:pPr>
              <w:rPr>
                <w:rFonts w:ascii="宋体"/>
              </w:rPr>
            </w:pPr>
          </w:p>
        </w:tc>
        <w:tc>
          <w:tcPr>
            <w:tcW w:w="0" w:type="auto"/>
            <w:gridSpan w:val="3"/>
            <w:tcBorders>
              <w:top w:val="double" w:sz="6" w:space="0" w:color="333333"/>
            </w:tcBorders>
            <w:shd w:val="clear" w:color="auto" w:fill="auto"/>
            <w:tcMar>
              <w:left w:w="20" w:type="dxa"/>
              <w:right w:w="20" w:type="dxa"/>
            </w:tcMar>
            <w:vAlign w:val="bottom"/>
          </w:tcPr>
          <w:p w14:paraId="36CA3AE7"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3AE8" w14:textId="77777777" w:rsidR="00787570" w:rsidRDefault="00787570">
            <w:pPr>
              <w:rPr>
                <w:rFonts w:ascii="宋体"/>
              </w:rPr>
            </w:pPr>
          </w:p>
        </w:tc>
        <w:tc>
          <w:tcPr>
            <w:tcW w:w="0" w:type="auto"/>
            <w:gridSpan w:val="3"/>
            <w:tcBorders>
              <w:top w:val="double" w:sz="6" w:space="0" w:color="333333"/>
            </w:tcBorders>
            <w:shd w:val="clear" w:color="auto" w:fill="auto"/>
            <w:tcMar>
              <w:left w:w="20" w:type="dxa"/>
              <w:right w:w="20" w:type="dxa"/>
            </w:tcMar>
            <w:vAlign w:val="bottom"/>
          </w:tcPr>
          <w:p w14:paraId="36CA3AE9"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3AEA" w14:textId="77777777" w:rsidR="00787570" w:rsidRDefault="00787570">
            <w:pPr>
              <w:rPr>
                <w:rFonts w:ascii="宋体"/>
              </w:rPr>
            </w:pPr>
          </w:p>
        </w:tc>
        <w:tc>
          <w:tcPr>
            <w:tcW w:w="0" w:type="auto"/>
            <w:gridSpan w:val="3"/>
            <w:tcBorders>
              <w:top w:val="double" w:sz="6" w:space="0" w:color="333333"/>
            </w:tcBorders>
            <w:shd w:val="clear" w:color="auto" w:fill="auto"/>
            <w:tcMar>
              <w:left w:w="20" w:type="dxa"/>
              <w:right w:w="20" w:type="dxa"/>
            </w:tcMar>
            <w:vAlign w:val="bottom"/>
          </w:tcPr>
          <w:p w14:paraId="36CA3AEB" w14:textId="77777777" w:rsidR="00787570" w:rsidRDefault="00787570">
            <w:pPr>
              <w:rPr>
                <w:rFonts w:ascii="宋体"/>
              </w:rPr>
            </w:pPr>
          </w:p>
        </w:tc>
        <w:tc>
          <w:tcPr>
            <w:tcW w:w="0" w:type="auto"/>
            <w:shd w:val="clear" w:color="auto" w:fill="auto"/>
          </w:tcPr>
          <w:p w14:paraId="36CA3AEC" w14:textId="77777777" w:rsidR="00787570" w:rsidRDefault="00787570">
            <w:pPr>
              <w:rPr>
                <w:rFonts w:ascii="宋体"/>
              </w:rPr>
            </w:pPr>
          </w:p>
        </w:tc>
        <w:tc>
          <w:tcPr>
            <w:tcW w:w="0" w:type="auto"/>
            <w:shd w:val="clear" w:color="auto" w:fill="auto"/>
          </w:tcPr>
          <w:p w14:paraId="36CA3AED" w14:textId="77777777" w:rsidR="00787570" w:rsidRDefault="00787570">
            <w:pPr>
              <w:rPr>
                <w:rFonts w:ascii="宋体"/>
              </w:rPr>
            </w:pPr>
          </w:p>
        </w:tc>
        <w:tc>
          <w:tcPr>
            <w:tcW w:w="0" w:type="auto"/>
            <w:shd w:val="clear" w:color="auto" w:fill="auto"/>
          </w:tcPr>
          <w:p w14:paraId="36CA3AEE" w14:textId="77777777" w:rsidR="00787570" w:rsidRDefault="00787570">
            <w:pPr>
              <w:rPr>
                <w:rFonts w:ascii="宋体"/>
              </w:rPr>
            </w:pPr>
          </w:p>
        </w:tc>
        <w:tc>
          <w:tcPr>
            <w:tcW w:w="0" w:type="auto"/>
            <w:shd w:val="clear" w:color="auto" w:fill="auto"/>
          </w:tcPr>
          <w:p w14:paraId="36CA3AEF" w14:textId="77777777" w:rsidR="00787570" w:rsidRDefault="00787570">
            <w:pPr>
              <w:rPr>
                <w:rFonts w:ascii="宋体"/>
              </w:rPr>
            </w:pPr>
          </w:p>
        </w:tc>
        <w:tc>
          <w:tcPr>
            <w:tcW w:w="0" w:type="auto"/>
            <w:shd w:val="clear" w:color="auto" w:fill="auto"/>
          </w:tcPr>
          <w:p w14:paraId="36CA3AF0" w14:textId="77777777" w:rsidR="00787570" w:rsidRDefault="00787570">
            <w:pPr>
              <w:rPr>
                <w:rFonts w:ascii="宋体"/>
              </w:rPr>
            </w:pPr>
          </w:p>
        </w:tc>
        <w:tc>
          <w:tcPr>
            <w:tcW w:w="0" w:type="auto"/>
            <w:shd w:val="clear" w:color="auto" w:fill="auto"/>
          </w:tcPr>
          <w:p w14:paraId="36CA3AF1" w14:textId="77777777" w:rsidR="00787570" w:rsidRDefault="00787570">
            <w:pPr>
              <w:rPr>
                <w:rFonts w:ascii="宋体"/>
              </w:rPr>
            </w:pPr>
          </w:p>
        </w:tc>
        <w:tc>
          <w:tcPr>
            <w:tcW w:w="0" w:type="auto"/>
            <w:shd w:val="clear" w:color="auto" w:fill="auto"/>
          </w:tcPr>
          <w:p w14:paraId="36CA3AF2" w14:textId="77777777" w:rsidR="00787570" w:rsidRDefault="00787570">
            <w:pPr>
              <w:rPr>
                <w:rFonts w:ascii="宋体"/>
              </w:rPr>
            </w:pPr>
          </w:p>
        </w:tc>
        <w:tc>
          <w:tcPr>
            <w:tcW w:w="0" w:type="auto"/>
            <w:shd w:val="clear" w:color="auto" w:fill="auto"/>
          </w:tcPr>
          <w:p w14:paraId="36CA3AF3" w14:textId="77777777" w:rsidR="00787570" w:rsidRDefault="00787570">
            <w:pPr>
              <w:rPr>
                <w:rFonts w:ascii="宋体"/>
              </w:rPr>
            </w:pPr>
          </w:p>
        </w:tc>
        <w:tc>
          <w:tcPr>
            <w:tcW w:w="0" w:type="auto"/>
            <w:shd w:val="clear" w:color="auto" w:fill="auto"/>
          </w:tcPr>
          <w:p w14:paraId="36CA3AF4" w14:textId="77777777" w:rsidR="00787570" w:rsidRDefault="00787570">
            <w:pPr>
              <w:rPr>
                <w:rFonts w:ascii="宋体"/>
              </w:rPr>
            </w:pPr>
          </w:p>
        </w:tc>
        <w:tc>
          <w:tcPr>
            <w:tcW w:w="0" w:type="auto"/>
            <w:shd w:val="clear" w:color="auto" w:fill="auto"/>
          </w:tcPr>
          <w:p w14:paraId="36CA3AF5" w14:textId="77777777" w:rsidR="00787570" w:rsidRDefault="00787570">
            <w:pPr>
              <w:rPr>
                <w:rFonts w:ascii="宋体"/>
              </w:rPr>
            </w:pPr>
          </w:p>
        </w:tc>
        <w:tc>
          <w:tcPr>
            <w:tcW w:w="0" w:type="auto"/>
            <w:shd w:val="clear" w:color="auto" w:fill="auto"/>
          </w:tcPr>
          <w:p w14:paraId="36CA3AF6" w14:textId="77777777" w:rsidR="00787570" w:rsidRDefault="00787570">
            <w:pPr>
              <w:rPr>
                <w:rFonts w:ascii="宋体"/>
              </w:rPr>
            </w:pPr>
          </w:p>
        </w:tc>
        <w:tc>
          <w:tcPr>
            <w:tcW w:w="0" w:type="auto"/>
            <w:shd w:val="clear" w:color="auto" w:fill="auto"/>
          </w:tcPr>
          <w:p w14:paraId="36CA3AF7" w14:textId="77777777" w:rsidR="00787570" w:rsidRDefault="00787570">
            <w:pPr>
              <w:rPr>
                <w:rFonts w:ascii="宋体"/>
              </w:rPr>
            </w:pPr>
          </w:p>
        </w:tc>
      </w:tr>
      <w:tr w:rsidR="00787570" w14:paraId="36CA3B16" w14:textId="77777777">
        <w:tc>
          <w:tcPr>
            <w:tcW w:w="0" w:type="auto"/>
            <w:gridSpan w:val="3"/>
            <w:shd w:val="clear" w:color="auto" w:fill="auto"/>
            <w:tcMar>
              <w:top w:w="40" w:type="dxa"/>
              <w:left w:w="20" w:type="dxa"/>
              <w:bottom w:w="40" w:type="dxa"/>
              <w:right w:w="20" w:type="dxa"/>
            </w:tcMar>
          </w:tcPr>
          <w:p w14:paraId="36CA3AF9" w14:textId="77777777" w:rsidR="00787570" w:rsidRDefault="000D56E2">
            <w:pPr>
              <w:textAlignment w:val="top"/>
            </w:pPr>
            <w:r>
              <w:rPr>
                <w:rFonts w:ascii="Arial" w:eastAsia="宋体" w:hAnsi="Arial" w:cs="Arial"/>
                <w:color w:val="333333"/>
                <w:sz w:val="18"/>
                <w:szCs w:val="18"/>
              </w:rPr>
              <w:t>Other accrued liabilities:</w:t>
            </w:r>
          </w:p>
        </w:tc>
        <w:tc>
          <w:tcPr>
            <w:tcW w:w="0" w:type="auto"/>
            <w:gridSpan w:val="3"/>
            <w:shd w:val="clear" w:color="auto" w:fill="auto"/>
            <w:tcMar>
              <w:left w:w="20" w:type="dxa"/>
              <w:right w:w="20" w:type="dxa"/>
            </w:tcMar>
            <w:vAlign w:val="bottom"/>
          </w:tcPr>
          <w:p w14:paraId="36CA3AFA"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3AFB"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3AFC"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3AFD"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3AFE"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3AFF"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3B00"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3B01"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3B02"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3B03"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3B04"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3B05"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3B06"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3B07"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3B08"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3B09" w14:textId="77777777" w:rsidR="00787570" w:rsidRDefault="00787570">
            <w:pPr>
              <w:rPr>
                <w:rFonts w:ascii="宋体"/>
              </w:rPr>
            </w:pPr>
          </w:p>
        </w:tc>
        <w:tc>
          <w:tcPr>
            <w:tcW w:w="0" w:type="auto"/>
            <w:shd w:val="clear" w:color="auto" w:fill="auto"/>
          </w:tcPr>
          <w:p w14:paraId="36CA3B0A" w14:textId="77777777" w:rsidR="00787570" w:rsidRDefault="00787570">
            <w:pPr>
              <w:rPr>
                <w:rFonts w:ascii="宋体"/>
              </w:rPr>
            </w:pPr>
          </w:p>
        </w:tc>
        <w:tc>
          <w:tcPr>
            <w:tcW w:w="0" w:type="auto"/>
            <w:shd w:val="clear" w:color="auto" w:fill="auto"/>
          </w:tcPr>
          <w:p w14:paraId="36CA3B0B" w14:textId="77777777" w:rsidR="00787570" w:rsidRDefault="00787570">
            <w:pPr>
              <w:rPr>
                <w:rFonts w:ascii="宋体"/>
              </w:rPr>
            </w:pPr>
          </w:p>
        </w:tc>
        <w:tc>
          <w:tcPr>
            <w:tcW w:w="0" w:type="auto"/>
            <w:shd w:val="clear" w:color="auto" w:fill="auto"/>
          </w:tcPr>
          <w:p w14:paraId="36CA3B0C" w14:textId="77777777" w:rsidR="00787570" w:rsidRDefault="00787570">
            <w:pPr>
              <w:rPr>
                <w:rFonts w:ascii="宋体"/>
              </w:rPr>
            </w:pPr>
          </w:p>
        </w:tc>
        <w:tc>
          <w:tcPr>
            <w:tcW w:w="0" w:type="auto"/>
            <w:shd w:val="clear" w:color="auto" w:fill="auto"/>
          </w:tcPr>
          <w:p w14:paraId="36CA3B0D" w14:textId="77777777" w:rsidR="00787570" w:rsidRDefault="00787570">
            <w:pPr>
              <w:rPr>
                <w:rFonts w:ascii="宋体"/>
              </w:rPr>
            </w:pPr>
          </w:p>
        </w:tc>
        <w:tc>
          <w:tcPr>
            <w:tcW w:w="0" w:type="auto"/>
            <w:shd w:val="clear" w:color="auto" w:fill="auto"/>
          </w:tcPr>
          <w:p w14:paraId="36CA3B0E" w14:textId="77777777" w:rsidR="00787570" w:rsidRDefault="00787570">
            <w:pPr>
              <w:rPr>
                <w:rFonts w:ascii="宋体"/>
              </w:rPr>
            </w:pPr>
          </w:p>
        </w:tc>
        <w:tc>
          <w:tcPr>
            <w:tcW w:w="0" w:type="auto"/>
            <w:shd w:val="clear" w:color="auto" w:fill="auto"/>
          </w:tcPr>
          <w:p w14:paraId="36CA3B0F" w14:textId="77777777" w:rsidR="00787570" w:rsidRDefault="00787570">
            <w:pPr>
              <w:rPr>
                <w:rFonts w:ascii="宋体"/>
              </w:rPr>
            </w:pPr>
          </w:p>
        </w:tc>
        <w:tc>
          <w:tcPr>
            <w:tcW w:w="0" w:type="auto"/>
            <w:shd w:val="clear" w:color="auto" w:fill="auto"/>
          </w:tcPr>
          <w:p w14:paraId="36CA3B10" w14:textId="77777777" w:rsidR="00787570" w:rsidRDefault="00787570">
            <w:pPr>
              <w:rPr>
                <w:rFonts w:ascii="宋体"/>
              </w:rPr>
            </w:pPr>
          </w:p>
        </w:tc>
        <w:tc>
          <w:tcPr>
            <w:tcW w:w="0" w:type="auto"/>
            <w:shd w:val="clear" w:color="auto" w:fill="auto"/>
          </w:tcPr>
          <w:p w14:paraId="36CA3B11" w14:textId="77777777" w:rsidR="00787570" w:rsidRDefault="00787570">
            <w:pPr>
              <w:rPr>
                <w:rFonts w:ascii="宋体"/>
              </w:rPr>
            </w:pPr>
          </w:p>
        </w:tc>
        <w:tc>
          <w:tcPr>
            <w:tcW w:w="0" w:type="auto"/>
            <w:shd w:val="clear" w:color="auto" w:fill="auto"/>
          </w:tcPr>
          <w:p w14:paraId="36CA3B12" w14:textId="77777777" w:rsidR="00787570" w:rsidRDefault="00787570">
            <w:pPr>
              <w:rPr>
                <w:rFonts w:ascii="宋体"/>
              </w:rPr>
            </w:pPr>
          </w:p>
        </w:tc>
        <w:tc>
          <w:tcPr>
            <w:tcW w:w="0" w:type="auto"/>
            <w:shd w:val="clear" w:color="auto" w:fill="auto"/>
          </w:tcPr>
          <w:p w14:paraId="36CA3B13" w14:textId="77777777" w:rsidR="00787570" w:rsidRDefault="00787570">
            <w:pPr>
              <w:rPr>
                <w:rFonts w:ascii="宋体"/>
              </w:rPr>
            </w:pPr>
          </w:p>
        </w:tc>
        <w:tc>
          <w:tcPr>
            <w:tcW w:w="0" w:type="auto"/>
            <w:shd w:val="clear" w:color="auto" w:fill="auto"/>
          </w:tcPr>
          <w:p w14:paraId="36CA3B14" w14:textId="77777777" w:rsidR="00787570" w:rsidRDefault="00787570">
            <w:pPr>
              <w:rPr>
                <w:rFonts w:ascii="宋体"/>
              </w:rPr>
            </w:pPr>
          </w:p>
        </w:tc>
        <w:tc>
          <w:tcPr>
            <w:tcW w:w="0" w:type="auto"/>
            <w:shd w:val="clear" w:color="auto" w:fill="auto"/>
          </w:tcPr>
          <w:p w14:paraId="36CA3B15" w14:textId="77777777" w:rsidR="00787570" w:rsidRDefault="00787570">
            <w:pPr>
              <w:rPr>
                <w:rFonts w:ascii="宋体"/>
              </w:rPr>
            </w:pPr>
          </w:p>
        </w:tc>
      </w:tr>
      <w:tr w:rsidR="00787570" w14:paraId="36CA3B44" w14:textId="77777777">
        <w:tc>
          <w:tcPr>
            <w:tcW w:w="0" w:type="auto"/>
            <w:gridSpan w:val="3"/>
            <w:shd w:val="clear" w:color="auto" w:fill="auto"/>
            <w:tcMar>
              <w:top w:w="40" w:type="dxa"/>
              <w:left w:w="135" w:type="dxa"/>
              <w:bottom w:w="40" w:type="dxa"/>
              <w:right w:w="20" w:type="dxa"/>
            </w:tcMar>
          </w:tcPr>
          <w:p w14:paraId="36CA3B17" w14:textId="77777777" w:rsidR="00787570" w:rsidRDefault="000D56E2">
            <w:pPr>
              <w:textAlignment w:val="top"/>
            </w:pPr>
            <w:r>
              <w:rPr>
                <w:rFonts w:ascii="Arial" w:eastAsia="宋体" w:hAnsi="Arial" w:cs="Arial"/>
                <w:color w:val="333333"/>
                <w:sz w:val="18"/>
                <w:szCs w:val="18"/>
              </w:rPr>
              <w:t>Derivative liabilities</w:t>
            </w:r>
          </w:p>
        </w:tc>
        <w:tc>
          <w:tcPr>
            <w:tcW w:w="0" w:type="auto"/>
            <w:gridSpan w:val="3"/>
            <w:shd w:val="clear" w:color="auto" w:fill="auto"/>
            <w:tcMar>
              <w:left w:w="20" w:type="dxa"/>
              <w:right w:w="20" w:type="dxa"/>
            </w:tcMar>
            <w:vAlign w:val="bottom"/>
          </w:tcPr>
          <w:p w14:paraId="36CA3B18" w14:textId="77777777" w:rsidR="00787570" w:rsidRDefault="00787570">
            <w:pPr>
              <w:rPr>
                <w:rFonts w:ascii="宋体"/>
              </w:rPr>
            </w:pPr>
          </w:p>
        </w:tc>
        <w:tc>
          <w:tcPr>
            <w:tcW w:w="0" w:type="auto"/>
            <w:shd w:val="clear" w:color="auto" w:fill="auto"/>
            <w:tcMar>
              <w:top w:w="40" w:type="dxa"/>
              <w:left w:w="20" w:type="dxa"/>
              <w:bottom w:w="40" w:type="dxa"/>
            </w:tcMar>
            <w:vAlign w:val="bottom"/>
          </w:tcPr>
          <w:p w14:paraId="36CA3B19" w14:textId="77777777" w:rsidR="00787570" w:rsidRDefault="000D56E2">
            <w:pPr>
              <w:textAlignment w:val="bottom"/>
            </w:pPr>
            <w:r>
              <w:rPr>
                <w:rFonts w:ascii="Arial" w:eastAsia="宋体" w:hAnsi="Arial" w:cs="Arial"/>
                <w:color w:val="026DCE"/>
                <w:sz w:val="18"/>
                <w:szCs w:val="18"/>
              </w:rPr>
              <w:t>$</w:t>
            </w:r>
          </w:p>
        </w:tc>
        <w:tc>
          <w:tcPr>
            <w:tcW w:w="0" w:type="auto"/>
            <w:shd w:val="clear" w:color="auto" w:fill="auto"/>
            <w:tcMar>
              <w:top w:w="40" w:type="dxa"/>
              <w:bottom w:w="40" w:type="dxa"/>
              <w:right w:w="0" w:type="dxa"/>
            </w:tcMar>
            <w:vAlign w:val="bottom"/>
          </w:tcPr>
          <w:p w14:paraId="36CA3B1A" w14:textId="77777777" w:rsidR="00787570" w:rsidRDefault="000D56E2">
            <w:pPr>
              <w:jc w:val="right"/>
              <w:textAlignment w:val="bottom"/>
            </w:pPr>
            <w:r>
              <w:rPr>
                <w:rFonts w:ascii="Arial" w:eastAsia="宋体" w:hAnsi="Arial" w:cs="Arial"/>
                <w:color w:val="026DCE"/>
                <w:sz w:val="18"/>
                <w:szCs w:val="18"/>
              </w:rPr>
              <w:t>52 </w:t>
            </w:r>
          </w:p>
        </w:tc>
        <w:tc>
          <w:tcPr>
            <w:tcW w:w="0" w:type="auto"/>
            <w:shd w:val="clear" w:color="auto" w:fill="auto"/>
            <w:tcMar>
              <w:top w:w="40" w:type="dxa"/>
              <w:bottom w:w="40" w:type="dxa"/>
              <w:right w:w="20" w:type="dxa"/>
            </w:tcMar>
            <w:vAlign w:val="bottom"/>
          </w:tcPr>
          <w:p w14:paraId="36CA3B1B"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3B1C" w14:textId="77777777" w:rsidR="00787570" w:rsidRDefault="00787570">
            <w:pPr>
              <w:rPr>
                <w:rFonts w:ascii="宋体"/>
              </w:rPr>
            </w:pPr>
          </w:p>
        </w:tc>
        <w:tc>
          <w:tcPr>
            <w:tcW w:w="0" w:type="auto"/>
            <w:shd w:val="clear" w:color="auto" w:fill="auto"/>
            <w:tcMar>
              <w:top w:w="40" w:type="dxa"/>
              <w:left w:w="20" w:type="dxa"/>
              <w:bottom w:w="40" w:type="dxa"/>
            </w:tcMar>
            <w:vAlign w:val="bottom"/>
          </w:tcPr>
          <w:p w14:paraId="36CA3B1D" w14:textId="77777777" w:rsidR="00787570" w:rsidRDefault="000D56E2">
            <w:pPr>
              <w:textAlignment w:val="bottom"/>
            </w:pPr>
            <w:r>
              <w:rPr>
                <w:rFonts w:ascii="Arial" w:eastAsia="宋体" w:hAnsi="Arial" w:cs="Arial"/>
                <w:color w:val="026DCE"/>
                <w:sz w:val="18"/>
                <w:szCs w:val="18"/>
              </w:rPr>
              <w:t>$</w:t>
            </w:r>
          </w:p>
        </w:tc>
        <w:tc>
          <w:tcPr>
            <w:tcW w:w="0" w:type="auto"/>
            <w:shd w:val="clear" w:color="auto" w:fill="auto"/>
            <w:tcMar>
              <w:top w:w="40" w:type="dxa"/>
              <w:bottom w:w="40" w:type="dxa"/>
              <w:right w:w="0" w:type="dxa"/>
            </w:tcMar>
            <w:vAlign w:val="bottom"/>
          </w:tcPr>
          <w:p w14:paraId="36CA3B1E" w14:textId="77777777" w:rsidR="00787570" w:rsidRDefault="000D56E2">
            <w:pPr>
              <w:jc w:val="right"/>
              <w:textAlignment w:val="bottom"/>
            </w:pPr>
            <w:r>
              <w:rPr>
                <w:rFonts w:ascii="Arial" w:eastAsia="宋体" w:hAnsi="Arial" w:cs="Arial"/>
                <w:color w:val="026DCE"/>
                <w:sz w:val="18"/>
                <w:szCs w:val="18"/>
              </w:rPr>
              <w:t>556 </w:t>
            </w:r>
          </w:p>
        </w:tc>
        <w:tc>
          <w:tcPr>
            <w:tcW w:w="0" w:type="auto"/>
            <w:shd w:val="clear" w:color="auto" w:fill="auto"/>
            <w:tcMar>
              <w:top w:w="40" w:type="dxa"/>
              <w:bottom w:w="40" w:type="dxa"/>
              <w:right w:w="20" w:type="dxa"/>
            </w:tcMar>
            <w:vAlign w:val="bottom"/>
          </w:tcPr>
          <w:p w14:paraId="36CA3B1F"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3B20" w14:textId="77777777" w:rsidR="00787570" w:rsidRDefault="00787570">
            <w:pPr>
              <w:rPr>
                <w:rFonts w:ascii="宋体"/>
              </w:rPr>
            </w:pPr>
          </w:p>
        </w:tc>
        <w:tc>
          <w:tcPr>
            <w:tcW w:w="0" w:type="auto"/>
            <w:shd w:val="clear" w:color="auto" w:fill="auto"/>
            <w:tcMar>
              <w:top w:w="40" w:type="dxa"/>
              <w:left w:w="20" w:type="dxa"/>
              <w:bottom w:w="40" w:type="dxa"/>
            </w:tcMar>
            <w:vAlign w:val="bottom"/>
          </w:tcPr>
          <w:p w14:paraId="36CA3B21" w14:textId="77777777" w:rsidR="00787570" w:rsidRDefault="000D56E2">
            <w:pPr>
              <w:textAlignment w:val="bottom"/>
            </w:pPr>
            <w:r>
              <w:rPr>
                <w:rFonts w:ascii="Arial" w:eastAsia="宋体" w:hAnsi="Arial" w:cs="Arial"/>
                <w:color w:val="026DCE"/>
                <w:sz w:val="18"/>
                <w:szCs w:val="18"/>
              </w:rPr>
              <w:t>$</w:t>
            </w:r>
          </w:p>
        </w:tc>
        <w:tc>
          <w:tcPr>
            <w:tcW w:w="0" w:type="auto"/>
            <w:shd w:val="clear" w:color="auto" w:fill="auto"/>
            <w:tcMar>
              <w:top w:w="40" w:type="dxa"/>
              <w:bottom w:w="40" w:type="dxa"/>
              <w:right w:w="0" w:type="dxa"/>
            </w:tcMar>
            <w:vAlign w:val="bottom"/>
          </w:tcPr>
          <w:p w14:paraId="36CA3B22" w14:textId="77777777" w:rsidR="00787570" w:rsidRDefault="000D56E2">
            <w:pPr>
              <w:jc w:val="right"/>
              <w:textAlignment w:val="bottom"/>
            </w:pPr>
            <w:r>
              <w:rPr>
                <w:rFonts w:ascii="Arial" w:eastAsia="宋体" w:hAnsi="Arial" w:cs="Arial"/>
                <w:color w:val="026DCE"/>
                <w:sz w:val="18"/>
                <w:szCs w:val="18"/>
              </w:rPr>
              <w:t>— </w:t>
            </w:r>
          </w:p>
        </w:tc>
        <w:tc>
          <w:tcPr>
            <w:tcW w:w="0" w:type="auto"/>
            <w:shd w:val="clear" w:color="auto" w:fill="auto"/>
            <w:tcMar>
              <w:top w:w="40" w:type="dxa"/>
              <w:bottom w:w="40" w:type="dxa"/>
              <w:right w:w="20" w:type="dxa"/>
            </w:tcMar>
            <w:vAlign w:val="bottom"/>
          </w:tcPr>
          <w:p w14:paraId="36CA3B23"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3B24" w14:textId="77777777" w:rsidR="00787570" w:rsidRDefault="00787570">
            <w:pPr>
              <w:rPr>
                <w:rFonts w:ascii="宋体"/>
              </w:rPr>
            </w:pPr>
          </w:p>
        </w:tc>
        <w:tc>
          <w:tcPr>
            <w:tcW w:w="0" w:type="auto"/>
            <w:shd w:val="clear" w:color="auto" w:fill="auto"/>
            <w:tcMar>
              <w:top w:w="40" w:type="dxa"/>
              <w:left w:w="20" w:type="dxa"/>
              <w:bottom w:w="40" w:type="dxa"/>
            </w:tcMar>
            <w:vAlign w:val="bottom"/>
          </w:tcPr>
          <w:p w14:paraId="36CA3B25" w14:textId="77777777" w:rsidR="00787570" w:rsidRDefault="000D56E2">
            <w:pPr>
              <w:textAlignment w:val="bottom"/>
            </w:pPr>
            <w:r>
              <w:rPr>
                <w:rFonts w:ascii="Arial" w:eastAsia="宋体" w:hAnsi="Arial" w:cs="Arial"/>
                <w:color w:val="026DCE"/>
                <w:sz w:val="18"/>
                <w:szCs w:val="18"/>
              </w:rPr>
              <w:t>$</w:t>
            </w:r>
          </w:p>
        </w:tc>
        <w:tc>
          <w:tcPr>
            <w:tcW w:w="0" w:type="auto"/>
            <w:shd w:val="clear" w:color="auto" w:fill="auto"/>
            <w:tcMar>
              <w:top w:w="40" w:type="dxa"/>
              <w:bottom w:w="40" w:type="dxa"/>
              <w:right w:w="0" w:type="dxa"/>
            </w:tcMar>
            <w:vAlign w:val="bottom"/>
          </w:tcPr>
          <w:p w14:paraId="36CA3B26" w14:textId="77777777" w:rsidR="00787570" w:rsidRDefault="000D56E2">
            <w:pPr>
              <w:jc w:val="right"/>
              <w:textAlignment w:val="bottom"/>
            </w:pPr>
            <w:r>
              <w:rPr>
                <w:rFonts w:ascii="Arial" w:eastAsia="宋体" w:hAnsi="Arial" w:cs="Arial"/>
                <w:color w:val="026DCE"/>
                <w:sz w:val="18"/>
                <w:szCs w:val="18"/>
              </w:rPr>
              <w:t>608 </w:t>
            </w:r>
          </w:p>
        </w:tc>
        <w:tc>
          <w:tcPr>
            <w:tcW w:w="0" w:type="auto"/>
            <w:shd w:val="clear" w:color="auto" w:fill="auto"/>
            <w:tcMar>
              <w:top w:w="40" w:type="dxa"/>
              <w:bottom w:w="40" w:type="dxa"/>
              <w:right w:w="20" w:type="dxa"/>
            </w:tcMar>
            <w:vAlign w:val="bottom"/>
          </w:tcPr>
          <w:p w14:paraId="36CA3B27"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3B28" w14:textId="77777777" w:rsidR="00787570" w:rsidRDefault="00787570">
            <w:pPr>
              <w:rPr>
                <w:rFonts w:ascii="宋体"/>
              </w:rPr>
            </w:pPr>
          </w:p>
        </w:tc>
        <w:tc>
          <w:tcPr>
            <w:tcW w:w="0" w:type="auto"/>
            <w:shd w:val="clear" w:color="auto" w:fill="auto"/>
            <w:tcMar>
              <w:top w:w="40" w:type="dxa"/>
              <w:left w:w="20" w:type="dxa"/>
              <w:bottom w:w="40" w:type="dxa"/>
            </w:tcMar>
            <w:vAlign w:val="bottom"/>
          </w:tcPr>
          <w:p w14:paraId="36CA3B29" w14:textId="77777777" w:rsidR="00787570" w:rsidRDefault="000D56E2">
            <w:pPr>
              <w:textAlignment w:val="bottom"/>
            </w:pPr>
            <w:r>
              <w:rPr>
                <w:rFonts w:ascii="Arial" w:eastAsia="宋体" w:hAnsi="Arial" w:cs="Arial"/>
                <w:color w:val="333333"/>
                <w:sz w:val="18"/>
                <w:szCs w:val="18"/>
              </w:rPr>
              <w:t>$</w:t>
            </w:r>
          </w:p>
        </w:tc>
        <w:tc>
          <w:tcPr>
            <w:tcW w:w="0" w:type="auto"/>
            <w:shd w:val="clear" w:color="auto" w:fill="auto"/>
            <w:tcMar>
              <w:top w:w="40" w:type="dxa"/>
              <w:bottom w:w="40" w:type="dxa"/>
              <w:right w:w="0" w:type="dxa"/>
            </w:tcMar>
            <w:vAlign w:val="bottom"/>
          </w:tcPr>
          <w:p w14:paraId="36CA3B2A" w14:textId="77777777" w:rsidR="00787570" w:rsidRDefault="000D56E2">
            <w:pPr>
              <w:jc w:val="right"/>
              <w:textAlignment w:val="bottom"/>
            </w:pPr>
            <w:r>
              <w:rPr>
                <w:rFonts w:ascii="Arial" w:eastAsia="宋体" w:hAnsi="Arial" w:cs="Arial"/>
                <w:color w:val="333333"/>
                <w:sz w:val="18"/>
                <w:szCs w:val="18"/>
              </w:rPr>
              <w:t>3 </w:t>
            </w:r>
          </w:p>
        </w:tc>
        <w:tc>
          <w:tcPr>
            <w:tcW w:w="0" w:type="auto"/>
            <w:shd w:val="clear" w:color="auto" w:fill="auto"/>
            <w:tcMar>
              <w:top w:w="40" w:type="dxa"/>
              <w:bottom w:w="40" w:type="dxa"/>
              <w:right w:w="20" w:type="dxa"/>
            </w:tcMar>
            <w:vAlign w:val="bottom"/>
          </w:tcPr>
          <w:p w14:paraId="36CA3B2B"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3B2C" w14:textId="77777777" w:rsidR="00787570" w:rsidRDefault="00787570">
            <w:pPr>
              <w:rPr>
                <w:rFonts w:ascii="宋体"/>
              </w:rPr>
            </w:pPr>
          </w:p>
        </w:tc>
        <w:tc>
          <w:tcPr>
            <w:tcW w:w="0" w:type="auto"/>
            <w:shd w:val="clear" w:color="auto" w:fill="auto"/>
            <w:tcMar>
              <w:top w:w="40" w:type="dxa"/>
              <w:left w:w="20" w:type="dxa"/>
              <w:bottom w:w="40" w:type="dxa"/>
            </w:tcMar>
            <w:vAlign w:val="bottom"/>
          </w:tcPr>
          <w:p w14:paraId="36CA3B2D" w14:textId="77777777" w:rsidR="00787570" w:rsidRDefault="000D56E2">
            <w:pPr>
              <w:textAlignment w:val="bottom"/>
            </w:pPr>
            <w:r>
              <w:rPr>
                <w:rFonts w:ascii="Arial" w:eastAsia="宋体" w:hAnsi="Arial" w:cs="Arial"/>
                <w:color w:val="333333"/>
                <w:sz w:val="18"/>
                <w:szCs w:val="18"/>
              </w:rPr>
              <w:t>$</w:t>
            </w:r>
          </w:p>
        </w:tc>
        <w:tc>
          <w:tcPr>
            <w:tcW w:w="0" w:type="auto"/>
            <w:shd w:val="clear" w:color="auto" w:fill="auto"/>
            <w:tcMar>
              <w:top w:w="40" w:type="dxa"/>
              <w:bottom w:w="40" w:type="dxa"/>
              <w:right w:w="0" w:type="dxa"/>
            </w:tcMar>
            <w:vAlign w:val="bottom"/>
          </w:tcPr>
          <w:p w14:paraId="36CA3B2E" w14:textId="77777777" w:rsidR="00787570" w:rsidRDefault="000D56E2">
            <w:pPr>
              <w:jc w:val="right"/>
              <w:textAlignment w:val="bottom"/>
            </w:pPr>
            <w:r>
              <w:rPr>
                <w:rFonts w:ascii="Arial" w:eastAsia="宋体" w:hAnsi="Arial" w:cs="Arial"/>
                <w:color w:val="333333"/>
                <w:sz w:val="18"/>
                <w:szCs w:val="18"/>
              </w:rPr>
              <w:t>287 </w:t>
            </w:r>
          </w:p>
        </w:tc>
        <w:tc>
          <w:tcPr>
            <w:tcW w:w="0" w:type="auto"/>
            <w:shd w:val="clear" w:color="auto" w:fill="auto"/>
            <w:tcMar>
              <w:top w:w="40" w:type="dxa"/>
              <w:bottom w:w="40" w:type="dxa"/>
              <w:right w:w="20" w:type="dxa"/>
            </w:tcMar>
            <w:vAlign w:val="bottom"/>
          </w:tcPr>
          <w:p w14:paraId="36CA3B2F"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3B30" w14:textId="77777777" w:rsidR="00787570" w:rsidRDefault="00787570">
            <w:pPr>
              <w:rPr>
                <w:rFonts w:ascii="宋体"/>
              </w:rPr>
            </w:pPr>
          </w:p>
        </w:tc>
        <w:tc>
          <w:tcPr>
            <w:tcW w:w="0" w:type="auto"/>
            <w:shd w:val="clear" w:color="auto" w:fill="auto"/>
            <w:tcMar>
              <w:top w:w="40" w:type="dxa"/>
              <w:left w:w="20" w:type="dxa"/>
              <w:bottom w:w="40" w:type="dxa"/>
            </w:tcMar>
            <w:vAlign w:val="bottom"/>
          </w:tcPr>
          <w:p w14:paraId="36CA3B31" w14:textId="77777777" w:rsidR="00787570" w:rsidRDefault="000D56E2">
            <w:pPr>
              <w:textAlignment w:val="bottom"/>
            </w:pPr>
            <w:r>
              <w:rPr>
                <w:rFonts w:ascii="Arial" w:eastAsia="宋体" w:hAnsi="Arial" w:cs="Arial"/>
                <w:color w:val="333333"/>
                <w:sz w:val="18"/>
                <w:szCs w:val="18"/>
              </w:rPr>
              <w:t>$</w:t>
            </w:r>
          </w:p>
        </w:tc>
        <w:tc>
          <w:tcPr>
            <w:tcW w:w="0" w:type="auto"/>
            <w:shd w:val="clear" w:color="auto" w:fill="auto"/>
            <w:tcMar>
              <w:top w:w="40" w:type="dxa"/>
              <w:bottom w:w="40" w:type="dxa"/>
              <w:right w:w="0" w:type="dxa"/>
            </w:tcMar>
            <w:vAlign w:val="bottom"/>
          </w:tcPr>
          <w:p w14:paraId="36CA3B32" w14:textId="77777777" w:rsidR="00787570" w:rsidRDefault="000D56E2">
            <w:pPr>
              <w:jc w:val="right"/>
              <w:textAlignment w:val="bottom"/>
            </w:pPr>
            <w:r>
              <w:rPr>
                <w:rFonts w:ascii="Arial" w:eastAsia="宋体" w:hAnsi="Arial" w:cs="Arial"/>
                <w:color w:val="333333"/>
                <w:sz w:val="18"/>
                <w:szCs w:val="18"/>
              </w:rPr>
              <w:t>— </w:t>
            </w:r>
          </w:p>
        </w:tc>
        <w:tc>
          <w:tcPr>
            <w:tcW w:w="0" w:type="auto"/>
            <w:shd w:val="clear" w:color="auto" w:fill="auto"/>
            <w:tcMar>
              <w:top w:w="40" w:type="dxa"/>
              <w:bottom w:w="40" w:type="dxa"/>
              <w:right w:w="20" w:type="dxa"/>
            </w:tcMar>
            <w:vAlign w:val="bottom"/>
          </w:tcPr>
          <w:p w14:paraId="36CA3B33"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3B34" w14:textId="77777777" w:rsidR="00787570" w:rsidRDefault="00787570">
            <w:pPr>
              <w:rPr>
                <w:rFonts w:ascii="宋体"/>
              </w:rPr>
            </w:pPr>
          </w:p>
        </w:tc>
        <w:tc>
          <w:tcPr>
            <w:tcW w:w="0" w:type="auto"/>
            <w:shd w:val="clear" w:color="auto" w:fill="auto"/>
            <w:tcMar>
              <w:top w:w="40" w:type="dxa"/>
              <w:left w:w="20" w:type="dxa"/>
              <w:bottom w:w="40" w:type="dxa"/>
            </w:tcMar>
            <w:vAlign w:val="bottom"/>
          </w:tcPr>
          <w:p w14:paraId="36CA3B35" w14:textId="77777777" w:rsidR="00787570" w:rsidRDefault="000D56E2">
            <w:pPr>
              <w:textAlignment w:val="bottom"/>
            </w:pPr>
            <w:r>
              <w:rPr>
                <w:rFonts w:ascii="Arial" w:eastAsia="宋体" w:hAnsi="Arial" w:cs="Arial"/>
                <w:color w:val="333333"/>
                <w:sz w:val="18"/>
                <w:szCs w:val="18"/>
              </w:rPr>
              <w:t>$</w:t>
            </w:r>
          </w:p>
        </w:tc>
        <w:tc>
          <w:tcPr>
            <w:tcW w:w="0" w:type="auto"/>
            <w:shd w:val="clear" w:color="auto" w:fill="auto"/>
            <w:tcMar>
              <w:top w:w="40" w:type="dxa"/>
              <w:bottom w:w="40" w:type="dxa"/>
              <w:right w:w="0" w:type="dxa"/>
            </w:tcMar>
            <w:vAlign w:val="bottom"/>
          </w:tcPr>
          <w:p w14:paraId="36CA3B36" w14:textId="77777777" w:rsidR="00787570" w:rsidRDefault="000D56E2">
            <w:pPr>
              <w:jc w:val="right"/>
              <w:textAlignment w:val="bottom"/>
            </w:pPr>
            <w:r>
              <w:rPr>
                <w:rFonts w:ascii="Arial" w:eastAsia="宋体" w:hAnsi="Arial" w:cs="Arial"/>
                <w:color w:val="333333"/>
                <w:sz w:val="18"/>
                <w:szCs w:val="18"/>
              </w:rPr>
              <w:t>290 </w:t>
            </w:r>
          </w:p>
        </w:tc>
        <w:tc>
          <w:tcPr>
            <w:tcW w:w="0" w:type="auto"/>
            <w:shd w:val="clear" w:color="auto" w:fill="auto"/>
            <w:tcMar>
              <w:top w:w="40" w:type="dxa"/>
              <w:bottom w:w="40" w:type="dxa"/>
              <w:right w:w="20" w:type="dxa"/>
            </w:tcMar>
            <w:vAlign w:val="bottom"/>
          </w:tcPr>
          <w:p w14:paraId="36CA3B37" w14:textId="77777777" w:rsidR="00787570" w:rsidRDefault="00787570">
            <w:pPr>
              <w:jc w:val="right"/>
              <w:rPr>
                <w:rFonts w:ascii="宋体"/>
              </w:rPr>
            </w:pPr>
          </w:p>
        </w:tc>
        <w:tc>
          <w:tcPr>
            <w:tcW w:w="0" w:type="auto"/>
            <w:shd w:val="clear" w:color="auto" w:fill="auto"/>
          </w:tcPr>
          <w:p w14:paraId="36CA3B38" w14:textId="77777777" w:rsidR="00787570" w:rsidRDefault="00787570">
            <w:pPr>
              <w:rPr>
                <w:rFonts w:ascii="宋体"/>
              </w:rPr>
            </w:pPr>
          </w:p>
        </w:tc>
        <w:tc>
          <w:tcPr>
            <w:tcW w:w="0" w:type="auto"/>
            <w:shd w:val="clear" w:color="auto" w:fill="auto"/>
          </w:tcPr>
          <w:p w14:paraId="36CA3B39" w14:textId="77777777" w:rsidR="00787570" w:rsidRDefault="00787570">
            <w:pPr>
              <w:rPr>
                <w:rFonts w:ascii="宋体"/>
              </w:rPr>
            </w:pPr>
          </w:p>
        </w:tc>
        <w:tc>
          <w:tcPr>
            <w:tcW w:w="0" w:type="auto"/>
            <w:shd w:val="clear" w:color="auto" w:fill="auto"/>
          </w:tcPr>
          <w:p w14:paraId="36CA3B3A" w14:textId="77777777" w:rsidR="00787570" w:rsidRDefault="00787570">
            <w:pPr>
              <w:rPr>
                <w:rFonts w:ascii="宋体"/>
              </w:rPr>
            </w:pPr>
          </w:p>
        </w:tc>
        <w:tc>
          <w:tcPr>
            <w:tcW w:w="0" w:type="auto"/>
            <w:shd w:val="clear" w:color="auto" w:fill="auto"/>
          </w:tcPr>
          <w:p w14:paraId="36CA3B3B" w14:textId="77777777" w:rsidR="00787570" w:rsidRDefault="00787570">
            <w:pPr>
              <w:rPr>
                <w:rFonts w:ascii="宋体"/>
              </w:rPr>
            </w:pPr>
          </w:p>
        </w:tc>
        <w:tc>
          <w:tcPr>
            <w:tcW w:w="0" w:type="auto"/>
            <w:shd w:val="clear" w:color="auto" w:fill="auto"/>
          </w:tcPr>
          <w:p w14:paraId="36CA3B3C" w14:textId="77777777" w:rsidR="00787570" w:rsidRDefault="00787570">
            <w:pPr>
              <w:rPr>
                <w:rFonts w:ascii="宋体"/>
              </w:rPr>
            </w:pPr>
          </w:p>
        </w:tc>
        <w:tc>
          <w:tcPr>
            <w:tcW w:w="0" w:type="auto"/>
            <w:shd w:val="clear" w:color="auto" w:fill="auto"/>
          </w:tcPr>
          <w:p w14:paraId="36CA3B3D" w14:textId="77777777" w:rsidR="00787570" w:rsidRDefault="00787570">
            <w:pPr>
              <w:rPr>
                <w:rFonts w:ascii="宋体"/>
              </w:rPr>
            </w:pPr>
          </w:p>
        </w:tc>
        <w:tc>
          <w:tcPr>
            <w:tcW w:w="0" w:type="auto"/>
            <w:shd w:val="clear" w:color="auto" w:fill="auto"/>
          </w:tcPr>
          <w:p w14:paraId="36CA3B3E" w14:textId="77777777" w:rsidR="00787570" w:rsidRDefault="00787570">
            <w:pPr>
              <w:rPr>
                <w:rFonts w:ascii="宋体"/>
              </w:rPr>
            </w:pPr>
          </w:p>
        </w:tc>
        <w:tc>
          <w:tcPr>
            <w:tcW w:w="0" w:type="auto"/>
            <w:shd w:val="clear" w:color="auto" w:fill="auto"/>
          </w:tcPr>
          <w:p w14:paraId="36CA3B3F" w14:textId="77777777" w:rsidR="00787570" w:rsidRDefault="00787570">
            <w:pPr>
              <w:rPr>
                <w:rFonts w:ascii="宋体"/>
              </w:rPr>
            </w:pPr>
          </w:p>
        </w:tc>
        <w:tc>
          <w:tcPr>
            <w:tcW w:w="0" w:type="auto"/>
            <w:shd w:val="clear" w:color="auto" w:fill="auto"/>
          </w:tcPr>
          <w:p w14:paraId="36CA3B40" w14:textId="77777777" w:rsidR="00787570" w:rsidRDefault="00787570">
            <w:pPr>
              <w:rPr>
                <w:rFonts w:ascii="宋体"/>
              </w:rPr>
            </w:pPr>
          </w:p>
        </w:tc>
        <w:tc>
          <w:tcPr>
            <w:tcW w:w="0" w:type="auto"/>
            <w:shd w:val="clear" w:color="auto" w:fill="auto"/>
          </w:tcPr>
          <w:p w14:paraId="36CA3B41" w14:textId="77777777" w:rsidR="00787570" w:rsidRDefault="00787570">
            <w:pPr>
              <w:rPr>
                <w:rFonts w:ascii="宋体"/>
              </w:rPr>
            </w:pPr>
          </w:p>
        </w:tc>
        <w:tc>
          <w:tcPr>
            <w:tcW w:w="0" w:type="auto"/>
            <w:shd w:val="clear" w:color="auto" w:fill="auto"/>
          </w:tcPr>
          <w:p w14:paraId="36CA3B42" w14:textId="77777777" w:rsidR="00787570" w:rsidRDefault="00787570">
            <w:pPr>
              <w:rPr>
                <w:rFonts w:ascii="宋体"/>
              </w:rPr>
            </w:pPr>
          </w:p>
        </w:tc>
        <w:tc>
          <w:tcPr>
            <w:tcW w:w="0" w:type="auto"/>
            <w:shd w:val="clear" w:color="auto" w:fill="auto"/>
          </w:tcPr>
          <w:p w14:paraId="36CA3B43" w14:textId="77777777" w:rsidR="00787570" w:rsidRDefault="00787570">
            <w:pPr>
              <w:rPr>
                <w:rFonts w:ascii="宋体"/>
              </w:rPr>
            </w:pPr>
          </w:p>
        </w:tc>
      </w:tr>
      <w:tr w:rsidR="00787570" w14:paraId="36CA3B62" w14:textId="77777777">
        <w:trPr>
          <w:hidden/>
        </w:trPr>
        <w:tc>
          <w:tcPr>
            <w:tcW w:w="0" w:type="auto"/>
            <w:gridSpan w:val="3"/>
            <w:shd w:val="clear" w:color="auto" w:fill="auto"/>
          </w:tcPr>
          <w:p w14:paraId="36CA3B45" w14:textId="77777777" w:rsidR="00787570" w:rsidRDefault="00787570">
            <w:pPr>
              <w:rPr>
                <w:rFonts w:ascii="宋体"/>
                <w:vanish/>
              </w:rPr>
            </w:pPr>
          </w:p>
        </w:tc>
        <w:tc>
          <w:tcPr>
            <w:tcW w:w="0" w:type="auto"/>
            <w:gridSpan w:val="3"/>
            <w:shd w:val="clear" w:color="auto" w:fill="auto"/>
          </w:tcPr>
          <w:p w14:paraId="36CA3B46" w14:textId="77777777" w:rsidR="00787570" w:rsidRDefault="00787570">
            <w:pPr>
              <w:rPr>
                <w:rFonts w:ascii="宋体"/>
                <w:vanish/>
              </w:rPr>
            </w:pPr>
          </w:p>
        </w:tc>
        <w:tc>
          <w:tcPr>
            <w:tcW w:w="0" w:type="auto"/>
            <w:gridSpan w:val="3"/>
            <w:shd w:val="clear" w:color="auto" w:fill="auto"/>
          </w:tcPr>
          <w:p w14:paraId="36CA3B47" w14:textId="77777777" w:rsidR="00787570" w:rsidRDefault="00787570">
            <w:pPr>
              <w:rPr>
                <w:rFonts w:ascii="宋体"/>
                <w:vanish/>
              </w:rPr>
            </w:pPr>
          </w:p>
        </w:tc>
        <w:tc>
          <w:tcPr>
            <w:tcW w:w="0" w:type="auto"/>
            <w:gridSpan w:val="3"/>
            <w:shd w:val="clear" w:color="auto" w:fill="auto"/>
          </w:tcPr>
          <w:p w14:paraId="36CA3B48" w14:textId="77777777" w:rsidR="00787570" w:rsidRDefault="00787570">
            <w:pPr>
              <w:rPr>
                <w:rFonts w:ascii="宋体"/>
                <w:vanish/>
              </w:rPr>
            </w:pPr>
          </w:p>
        </w:tc>
        <w:tc>
          <w:tcPr>
            <w:tcW w:w="0" w:type="auto"/>
            <w:gridSpan w:val="3"/>
            <w:shd w:val="clear" w:color="auto" w:fill="auto"/>
          </w:tcPr>
          <w:p w14:paraId="36CA3B49" w14:textId="77777777" w:rsidR="00787570" w:rsidRDefault="00787570">
            <w:pPr>
              <w:rPr>
                <w:rFonts w:ascii="宋体"/>
                <w:vanish/>
              </w:rPr>
            </w:pPr>
          </w:p>
        </w:tc>
        <w:tc>
          <w:tcPr>
            <w:tcW w:w="0" w:type="auto"/>
            <w:gridSpan w:val="3"/>
            <w:shd w:val="clear" w:color="auto" w:fill="auto"/>
          </w:tcPr>
          <w:p w14:paraId="36CA3B4A" w14:textId="77777777" w:rsidR="00787570" w:rsidRDefault="00787570">
            <w:pPr>
              <w:rPr>
                <w:rFonts w:ascii="宋体"/>
                <w:vanish/>
              </w:rPr>
            </w:pPr>
          </w:p>
        </w:tc>
        <w:tc>
          <w:tcPr>
            <w:tcW w:w="0" w:type="auto"/>
            <w:gridSpan w:val="3"/>
            <w:shd w:val="clear" w:color="auto" w:fill="auto"/>
          </w:tcPr>
          <w:p w14:paraId="36CA3B4B" w14:textId="77777777" w:rsidR="00787570" w:rsidRDefault="00787570">
            <w:pPr>
              <w:rPr>
                <w:rFonts w:ascii="宋体"/>
                <w:vanish/>
              </w:rPr>
            </w:pPr>
          </w:p>
        </w:tc>
        <w:tc>
          <w:tcPr>
            <w:tcW w:w="0" w:type="auto"/>
            <w:gridSpan w:val="3"/>
            <w:shd w:val="clear" w:color="auto" w:fill="auto"/>
          </w:tcPr>
          <w:p w14:paraId="36CA3B4C" w14:textId="77777777" w:rsidR="00787570" w:rsidRDefault="00787570">
            <w:pPr>
              <w:rPr>
                <w:rFonts w:ascii="宋体"/>
                <w:vanish/>
              </w:rPr>
            </w:pPr>
          </w:p>
        </w:tc>
        <w:tc>
          <w:tcPr>
            <w:tcW w:w="0" w:type="auto"/>
            <w:gridSpan w:val="3"/>
            <w:shd w:val="clear" w:color="auto" w:fill="auto"/>
          </w:tcPr>
          <w:p w14:paraId="36CA3B4D" w14:textId="77777777" w:rsidR="00787570" w:rsidRDefault="00787570">
            <w:pPr>
              <w:rPr>
                <w:rFonts w:ascii="宋体"/>
                <w:vanish/>
              </w:rPr>
            </w:pPr>
          </w:p>
        </w:tc>
        <w:tc>
          <w:tcPr>
            <w:tcW w:w="0" w:type="auto"/>
            <w:gridSpan w:val="3"/>
            <w:shd w:val="clear" w:color="auto" w:fill="auto"/>
          </w:tcPr>
          <w:p w14:paraId="36CA3B4E" w14:textId="77777777" w:rsidR="00787570" w:rsidRDefault="00787570">
            <w:pPr>
              <w:rPr>
                <w:rFonts w:ascii="宋体"/>
                <w:vanish/>
              </w:rPr>
            </w:pPr>
          </w:p>
        </w:tc>
        <w:tc>
          <w:tcPr>
            <w:tcW w:w="0" w:type="auto"/>
            <w:gridSpan w:val="3"/>
            <w:shd w:val="clear" w:color="auto" w:fill="auto"/>
          </w:tcPr>
          <w:p w14:paraId="36CA3B4F" w14:textId="77777777" w:rsidR="00787570" w:rsidRDefault="00787570">
            <w:pPr>
              <w:rPr>
                <w:rFonts w:ascii="宋体"/>
                <w:vanish/>
              </w:rPr>
            </w:pPr>
          </w:p>
        </w:tc>
        <w:tc>
          <w:tcPr>
            <w:tcW w:w="0" w:type="auto"/>
            <w:gridSpan w:val="3"/>
            <w:shd w:val="clear" w:color="auto" w:fill="auto"/>
          </w:tcPr>
          <w:p w14:paraId="36CA3B50" w14:textId="77777777" w:rsidR="00787570" w:rsidRDefault="00787570">
            <w:pPr>
              <w:rPr>
                <w:rFonts w:ascii="宋体"/>
                <w:vanish/>
              </w:rPr>
            </w:pPr>
          </w:p>
        </w:tc>
        <w:tc>
          <w:tcPr>
            <w:tcW w:w="0" w:type="auto"/>
            <w:gridSpan w:val="3"/>
            <w:shd w:val="clear" w:color="auto" w:fill="auto"/>
          </w:tcPr>
          <w:p w14:paraId="36CA3B51" w14:textId="77777777" w:rsidR="00787570" w:rsidRDefault="00787570">
            <w:pPr>
              <w:rPr>
                <w:rFonts w:ascii="宋体"/>
                <w:vanish/>
              </w:rPr>
            </w:pPr>
          </w:p>
        </w:tc>
        <w:tc>
          <w:tcPr>
            <w:tcW w:w="0" w:type="auto"/>
            <w:gridSpan w:val="3"/>
            <w:shd w:val="clear" w:color="auto" w:fill="auto"/>
          </w:tcPr>
          <w:p w14:paraId="36CA3B52" w14:textId="77777777" w:rsidR="00787570" w:rsidRDefault="00787570">
            <w:pPr>
              <w:rPr>
                <w:rFonts w:ascii="宋体"/>
                <w:vanish/>
              </w:rPr>
            </w:pPr>
          </w:p>
        </w:tc>
        <w:tc>
          <w:tcPr>
            <w:tcW w:w="0" w:type="auto"/>
            <w:gridSpan w:val="3"/>
            <w:shd w:val="clear" w:color="auto" w:fill="auto"/>
          </w:tcPr>
          <w:p w14:paraId="36CA3B53" w14:textId="77777777" w:rsidR="00787570" w:rsidRDefault="00787570">
            <w:pPr>
              <w:rPr>
                <w:rFonts w:ascii="宋体"/>
                <w:vanish/>
              </w:rPr>
            </w:pPr>
          </w:p>
        </w:tc>
        <w:tc>
          <w:tcPr>
            <w:tcW w:w="0" w:type="auto"/>
            <w:gridSpan w:val="3"/>
            <w:shd w:val="clear" w:color="auto" w:fill="auto"/>
          </w:tcPr>
          <w:p w14:paraId="36CA3B54" w14:textId="77777777" w:rsidR="00787570" w:rsidRDefault="00787570">
            <w:pPr>
              <w:rPr>
                <w:rFonts w:ascii="宋体"/>
                <w:vanish/>
              </w:rPr>
            </w:pPr>
          </w:p>
        </w:tc>
        <w:tc>
          <w:tcPr>
            <w:tcW w:w="0" w:type="auto"/>
            <w:gridSpan w:val="3"/>
            <w:shd w:val="clear" w:color="auto" w:fill="auto"/>
          </w:tcPr>
          <w:p w14:paraId="36CA3B55" w14:textId="77777777" w:rsidR="00787570" w:rsidRDefault="00787570">
            <w:pPr>
              <w:rPr>
                <w:rFonts w:ascii="宋体"/>
                <w:vanish/>
              </w:rPr>
            </w:pPr>
          </w:p>
        </w:tc>
        <w:tc>
          <w:tcPr>
            <w:tcW w:w="0" w:type="auto"/>
            <w:shd w:val="clear" w:color="auto" w:fill="auto"/>
          </w:tcPr>
          <w:p w14:paraId="36CA3B56" w14:textId="77777777" w:rsidR="00787570" w:rsidRDefault="00787570">
            <w:pPr>
              <w:rPr>
                <w:rFonts w:ascii="宋体"/>
              </w:rPr>
            </w:pPr>
          </w:p>
        </w:tc>
        <w:tc>
          <w:tcPr>
            <w:tcW w:w="0" w:type="auto"/>
            <w:shd w:val="clear" w:color="auto" w:fill="auto"/>
          </w:tcPr>
          <w:p w14:paraId="36CA3B57" w14:textId="77777777" w:rsidR="00787570" w:rsidRDefault="00787570">
            <w:pPr>
              <w:rPr>
                <w:rFonts w:ascii="宋体"/>
              </w:rPr>
            </w:pPr>
          </w:p>
        </w:tc>
        <w:tc>
          <w:tcPr>
            <w:tcW w:w="0" w:type="auto"/>
            <w:shd w:val="clear" w:color="auto" w:fill="auto"/>
          </w:tcPr>
          <w:p w14:paraId="36CA3B58" w14:textId="77777777" w:rsidR="00787570" w:rsidRDefault="00787570">
            <w:pPr>
              <w:rPr>
                <w:rFonts w:ascii="宋体"/>
              </w:rPr>
            </w:pPr>
          </w:p>
        </w:tc>
        <w:tc>
          <w:tcPr>
            <w:tcW w:w="0" w:type="auto"/>
            <w:shd w:val="clear" w:color="auto" w:fill="auto"/>
          </w:tcPr>
          <w:p w14:paraId="36CA3B59" w14:textId="77777777" w:rsidR="00787570" w:rsidRDefault="00787570">
            <w:pPr>
              <w:rPr>
                <w:rFonts w:ascii="宋体"/>
              </w:rPr>
            </w:pPr>
          </w:p>
        </w:tc>
        <w:tc>
          <w:tcPr>
            <w:tcW w:w="0" w:type="auto"/>
            <w:shd w:val="clear" w:color="auto" w:fill="auto"/>
          </w:tcPr>
          <w:p w14:paraId="36CA3B5A" w14:textId="77777777" w:rsidR="00787570" w:rsidRDefault="00787570">
            <w:pPr>
              <w:rPr>
                <w:rFonts w:ascii="宋体"/>
              </w:rPr>
            </w:pPr>
          </w:p>
        </w:tc>
        <w:tc>
          <w:tcPr>
            <w:tcW w:w="0" w:type="auto"/>
            <w:shd w:val="clear" w:color="auto" w:fill="auto"/>
          </w:tcPr>
          <w:p w14:paraId="36CA3B5B" w14:textId="77777777" w:rsidR="00787570" w:rsidRDefault="00787570">
            <w:pPr>
              <w:rPr>
                <w:rFonts w:ascii="宋体"/>
              </w:rPr>
            </w:pPr>
          </w:p>
        </w:tc>
        <w:tc>
          <w:tcPr>
            <w:tcW w:w="0" w:type="auto"/>
            <w:shd w:val="clear" w:color="auto" w:fill="auto"/>
          </w:tcPr>
          <w:p w14:paraId="36CA3B5C" w14:textId="77777777" w:rsidR="00787570" w:rsidRDefault="00787570">
            <w:pPr>
              <w:rPr>
                <w:rFonts w:ascii="宋体"/>
              </w:rPr>
            </w:pPr>
          </w:p>
        </w:tc>
        <w:tc>
          <w:tcPr>
            <w:tcW w:w="0" w:type="auto"/>
            <w:shd w:val="clear" w:color="auto" w:fill="auto"/>
          </w:tcPr>
          <w:p w14:paraId="36CA3B5D" w14:textId="77777777" w:rsidR="00787570" w:rsidRDefault="00787570">
            <w:pPr>
              <w:rPr>
                <w:rFonts w:ascii="宋体"/>
              </w:rPr>
            </w:pPr>
          </w:p>
        </w:tc>
        <w:tc>
          <w:tcPr>
            <w:tcW w:w="0" w:type="auto"/>
            <w:shd w:val="clear" w:color="auto" w:fill="auto"/>
          </w:tcPr>
          <w:p w14:paraId="36CA3B5E" w14:textId="77777777" w:rsidR="00787570" w:rsidRDefault="00787570">
            <w:pPr>
              <w:rPr>
                <w:rFonts w:ascii="宋体"/>
              </w:rPr>
            </w:pPr>
          </w:p>
        </w:tc>
        <w:tc>
          <w:tcPr>
            <w:tcW w:w="0" w:type="auto"/>
            <w:shd w:val="clear" w:color="auto" w:fill="auto"/>
          </w:tcPr>
          <w:p w14:paraId="36CA3B5F" w14:textId="77777777" w:rsidR="00787570" w:rsidRDefault="00787570">
            <w:pPr>
              <w:rPr>
                <w:rFonts w:ascii="宋体"/>
              </w:rPr>
            </w:pPr>
          </w:p>
        </w:tc>
        <w:tc>
          <w:tcPr>
            <w:tcW w:w="0" w:type="auto"/>
            <w:shd w:val="clear" w:color="auto" w:fill="auto"/>
          </w:tcPr>
          <w:p w14:paraId="36CA3B60" w14:textId="77777777" w:rsidR="00787570" w:rsidRDefault="00787570">
            <w:pPr>
              <w:rPr>
                <w:rFonts w:ascii="宋体"/>
              </w:rPr>
            </w:pPr>
          </w:p>
        </w:tc>
        <w:tc>
          <w:tcPr>
            <w:tcW w:w="0" w:type="auto"/>
            <w:shd w:val="clear" w:color="auto" w:fill="auto"/>
          </w:tcPr>
          <w:p w14:paraId="36CA3B61" w14:textId="77777777" w:rsidR="00787570" w:rsidRDefault="00787570">
            <w:pPr>
              <w:rPr>
                <w:rFonts w:ascii="宋体"/>
              </w:rPr>
            </w:pPr>
          </w:p>
        </w:tc>
      </w:tr>
      <w:tr w:rsidR="00787570" w14:paraId="36CA3B80" w14:textId="77777777">
        <w:tc>
          <w:tcPr>
            <w:tcW w:w="0" w:type="auto"/>
            <w:gridSpan w:val="3"/>
            <w:shd w:val="clear" w:color="auto" w:fill="auto"/>
            <w:tcMar>
              <w:top w:w="40" w:type="dxa"/>
              <w:left w:w="20" w:type="dxa"/>
              <w:bottom w:w="40" w:type="dxa"/>
              <w:right w:w="20" w:type="dxa"/>
            </w:tcMar>
          </w:tcPr>
          <w:p w14:paraId="36CA3B63" w14:textId="77777777" w:rsidR="00787570" w:rsidRDefault="000D56E2">
            <w:pPr>
              <w:textAlignment w:val="top"/>
            </w:pPr>
            <w:r>
              <w:rPr>
                <w:rFonts w:ascii="Arial" w:eastAsia="宋体" w:hAnsi="Arial" w:cs="Arial"/>
                <w:color w:val="333333"/>
                <w:sz w:val="18"/>
                <w:szCs w:val="18"/>
              </w:rPr>
              <w:t>Other long-term liabilities:</w:t>
            </w:r>
          </w:p>
        </w:tc>
        <w:tc>
          <w:tcPr>
            <w:tcW w:w="0" w:type="auto"/>
            <w:gridSpan w:val="3"/>
            <w:shd w:val="clear" w:color="auto" w:fill="auto"/>
            <w:tcMar>
              <w:left w:w="20" w:type="dxa"/>
              <w:right w:w="20" w:type="dxa"/>
            </w:tcMar>
            <w:vAlign w:val="bottom"/>
          </w:tcPr>
          <w:p w14:paraId="36CA3B64"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3B65"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3B66"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3B67"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3B68"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3B69"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3B6A"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3B6B"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3B6C"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3B6D"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3B6E"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3B6F"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3B70"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3B71"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3B72"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3B73" w14:textId="77777777" w:rsidR="00787570" w:rsidRDefault="00787570">
            <w:pPr>
              <w:rPr>
                <w:rFonts w:ascii="宋体"/>
              </w:rPr>
            </w:pPr>
          </w:p>
        </w:tc>
        <w:tc>
          <w:tcPr>
            <w:tcW w:w="0" w:type="auto"/>
            <w:shd w:val="clear" w:color="auto" w:fill="auto"/>
          </w:tcPr>
          <w:p w14:paraId="36CA3B74" w14:textId="77777777" w:rsidR="00787570" w:rsidRDefault="00787570">
            <w:pPr>
              <w:rPr>
                <w:rFonts w:ascii="宋体"/>
              </w:rPr>
            </w:pPr>
          </w:p>
        </w:tc>
        <w:tc>
          <w:tcPr>
            <w:tcW w:w="0" w:type="auto"/>
            <w:shd w:val="clear" w:color="auto" w:fill="auto"/>
          </w:tcPr>
          <w:p w14:paraId="36CA3B75" w14:textId="77777777" w:rsidR="00787570" w:rsidRDefault="00787570">
            <w:pPr>
              <w:rPr>
                <w:rFonts w:ascii="宋体"/>
              </w:rPr>
            </w:pPr>
          </w:p>
        </w:tc>
        <w:tc>
          <w:tcPr>
            <w:tcW w:w="0" w:type="auto"/>
            <w:shd w:val="clear" w:color="auto" w:fill="auto"/>
          </w:tcPr>
          <w:p w14:paraId="36CA3B76" w14:textId="77777777" w:rsidR="00787570" w:rsidRDefault="00787570">
            <w:pPr>
              <w:rPr>
                <w:rFonts w:ascii="宋体"/>
              </w:rPr>
            </w:pPr>
          </w:p>
        </w:tc>
        <w:tc>
          <w:tcPr>
            <w:tcW w:w="0" w:type="auto"/>
            <w:shd w:val="clear" w:color="auto" w:fill="auto"/>
          </w:tcPr>
          <w:p w14:paraId="36CA3B77" w14:textId="77777777" w:rsidR="00787570" w:rsidRDefault="00787570">
            <w:pPr>
              <w:rPr>
                <w:rFonts w:ascii="宋体"/>
              </w:rPr>
            </w:pPr>
          </w:p>
        </w:tc>
        <w:tc>
          <w:tcPr>
            <w:tcW w:w="0" w:type="auto"/>
            <w:shd w:val="clear" w:color="auto" w:fill="auto"/>
          </w:tcPr>
          <w:p w14:paraId="36CA3B78" w14:textId="77777777" w:rsidR="00787570" w:rsidRDefault="00787570">
            <w:pPr>
              <w:rPr>
                <w:rFonts w:ascii="宋体"/>
              </w:rPr>
            </w:pPr>
          </w:p>
        </w:tc>
        <w:tc>
          <w:tcPr>
            <w:tcW w:w="0" w:type="auto"/>
            <w:shd w:val="clear" w:color="auto" w:fill="auto"/>
          </w:tcPr>
          <w:p w14:paraId="36CA3B79" w14:textId="77777777" w:rsidR="00787570" w:rsidRDefault="00787570">
            <w:pPr>
              <w:rPr>
                <w:rFonts w:ascii="宋体"/>
              </w:rPr>
            </w:pPr>
          </w:p>
        </w:tc>
        <w:tc>
          <w:tcPr>
            <w:tcW w:w="0" w:type="auto"/>
            <w:shd w:val="clear" w:color="auto" w:fill="auto"/>
          </w:tcPr>
          <w:p w14:paraId="36CA3B7A" w14:textId="77777777" w:rsidR="00787570" w:rsidRDefault="00787570">
            <w:pPr>
              <w:rPr>
                <w:rFonts w:ascii="宋体"/>
              </w:rPr>
            </w:pPr>
          </w:p>
        </w:tc>
        <w:tc>
          <w:tcPr>
            <w:tcW w:w="0" w:type="auto"/>
            <w:shd w:val="clear" w:color="auto" w:fill="auto"/>
          </w:tcPr>
          <w:p w14:paraId="36CA3B7B" w14:textId="77777777" w:rsidR="00787570" w:rsidRDefault="00787570">
            <w:pPr>
              <w:rPr>
                <w:rFonts w:ascii="宋体"/>
              </w:rPr>
            </w:pPr>
          </w:p>
        </w:tc>
        <w:tc>
          <w:tcPr>
            <w:tcW w:w="0" w:type="auto"/>
            <w:shd w:val="clear" w:color="auto" w:fill="auto"/>
          </w:tcPr>
          <w:p w14:paraId="36CA3B7C" w14:textId="77777777" w:rsidR="00787570" w:rsidRDefault="00787570">
            <w:pPr>
              <w:rPr>
                <w:rFonts w:ascii="宋体"/>
              </w:rPr>
            </w:pPr>
          </w:p>
        </w:tc>
        <w:tc>
          <w:tcPr>
            <w:tcW w:w="0" w:type="auto"/>
            <w:shd w:val="clear" w:color="auto" w:fill="auto"/>
          </w:tcPr>
          <w:p w14:paraId="36CA3B7D" w14:textId="77777777" w:rsidR="00787570" w:rsidRDefault="00787570">
            <w:pPr>
              <w:rPr>
                <w:rFonts w:ascii="宋体"/>
              </w:rPr>
            </w:pPr>
          </w:p>
        </w:tc>
        <w:tc>
          <w:tcPr>
            <w:tcW w:w="0" w:type="auto"/>
            <w:shd w:val="clear" w:color="auto" w:fill="auto"/>
          </w:tcPr>
          <w:p w14:paraId="36CA3B7E" w14:textId="77777777" w:rsidR="00787570" w:rsidRDefault="00787570">
            <w:pPr>
              <w:rPr>
                <w:rFonts w:ascii="宋体"/>
              </w:rPr>
            </w:pPr>
          </w:p>
        </w:tc>
        <w:tc>
          <w:tcPr>
            <w:tcW w:w="0" w:type="auto"/>
            <w:shd w:val="clear" w:color="auto" w:fill="auto"/>
          </w:tcPr>
          <w:p w14:paraId="36CA3B7F" w14:textId="77777777" w:rsidR="00787570" w:rsidRDefault="00787570">
            <w:pPr>
              <w:rPr>
                <w:rFonts w:ascii="宋体"/>
              </w:rPr>
            </w:pPr>
          </w:p>
        </w:tc>
      </w:tr>
      <w:tr w:rsidR="00787570" w14:paraId="36CA3BA6" w14:textId="77777777">
        <w:tc>
          <w:tcPr>
            <w:tcW w:w="0" w:type="auto"/>
            <w:gridSpan w:val="3"/>
            <w:shd w:val="clear" w:color="auto" w:fill="auto"/>
            <w:tcMar>
              <w:top w:w="40" w:type="dxa"/>
              <w:left w:w="135" w:type="dxa"/>
              <w:bottom w:w="40" w:type="dxa"/>
              <w:right w:w="20" w:type="dxa"/>
            </w:tcMar>
          </w:tcPr>
          <w:p w14:paraId="36CA3B81" w14:textId="77777777" w:rsidR="00787570" w:rsidRDefault="000D56E2">
            <w:pPr>
              <w:textAlignment w:val="top"/>
            </w:pPr>
            <w:r>
              <w:rPr>
                <w:rFonts w:ascii="Arial" w:eastAsia="宋体" w:hAnsi="Arial" w:cs="Arial"/>
                <w:color w:val="333333"/>
                <w:sz w:val="18"/>
                <w:szCs w:val="18"/>
              </w:rPr>
              <w:t>Derivative liabilities</w:t>
            </w:r>
          </w:p>
        </w:tc>
        <w:tc>
          <w:tcPr>
            <w:tcW w:w="0" w:type="auto"/>
            <w:gridSpan w:val="3"/>
            <w:shd w:val="clear" w:color="auto" w:fill="auto"/>
            <w:tcMar>
              <w:left w:w="20" w:type="dxa"/>
              <w:right w:w="20" w:type="dxa"/>
            </w:tcMar>
            <w:vAlign w:val="bottom"/>
          </w:tcPr>
          <w:p w14:paraId="36CA3B82"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3B83" w14:textId="77777777" w:rsidR="00787570" w:rsidRDefault="000D56E2">
            <w:pPr>
              <w:jc w:val="right"/>
              <w:textAlignment w:val="bottom"/>
            </w:pPr>
            <w:r>
              <w:rPr>
                <w:rFonts w:ascii="Arial" w:eastAsia="宋体" w:hAnsi="Arial" w:cs="Arial"/>
                <w:color w:val="026DCE"/>
                <w:sz w:val="18"/>
                <w:szCs w:val="18"/>
              </w:rPr>
              <w:t>— </w:t>
            </w:r>
          </w:p>
        </w:tc>
        <w:tc>
          <w:tcPr>
            <w:tcW w:w="0" w:type="auto"/>
            <w:shd w:val="clear" w:color="auto" w:fill="auto"/>
            <w:tcMar>
              <w:top w:w="40" w:type="dxa"/>
              <w:bottom w:w="40" w:type="dxa"/>
              <w:right w:w="20" w:type="dxa"/>
            </w:tcMar>
            <w:vAlign w:val="bottom"/>
          </w:tcPr>
          <w:p w14:paraId="36CA3B84"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3B85"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3B86" w14:textId="77777777" w:rsidR="00787570" w:rsidRDefault="000D56E2">
            <w:pPr>
              <w:jc w:val="right"/>
              <w:textAlignment w:val="bottom"/>
            </w:pPr>
            <w:r>
              <w:rPr>
                <w:rFonts w:ascii="Arial" w:eastAsia="宋体" w:hAnsi="Arial" w:cs="Arial"/>
                <w:color w:val="026DCE"/>
                <w:sz w:val="18"/>
                <w:szCs w:val="18"/>
              </w:rPr>
              <w:t>26 </w:t>
            </w:r>
          </w:p>
        </w:tc>
        <w:tc>
          <w:tcPr>
            <w:tcW w:w="0" w:type="auto"/>
            <w:shd w:val="clear" w:color="auto" w:fill="auto"/>
            <w:tcMar>
              <w:top w:w="40" w:type="dxa"/>
              <w:bottom w:w="40" w:type="dxa"/>
              <w:right w:w="20" w:type="dxa"/>
            </w:tcMar>
            <w:vAlign w:val="bottom"/>
          </w:tcPr>
          <w:p w14:paraId="36CA3B87"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3B88"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3B89" w14:textId="77777777" w:rsidR="00787570" w:rsidRDefault="000D56E2">
            <w:pPr>
              <w:jc w:val="right"/>
              <w:textAlignment w:val="bottom"/>
            </w:pPr>
            <w:r>
              <w:rPr>
                <w:rFonts w:ascii="Arial" w:eastAsia="宋体" w:hAnsi="Arial" w:cs="Arial"/>
                <w:color w:val="026DCE"/>
                <w:sz w:val="18"/>
                <w:szCs w:val="18"/>
              </w:rPr>
              <w:t>— </w:t>
            </w:r>
          </w:p>
        </w:tc>
        <w:tc>
          <w:tcPr>
            <w:tcW w:w="0" w:type="auto"/>
            <w:shd w:val="clear" w:color="auto" w:fill="auto"/>
            <w:tcMar>
              <w:top w:w="40" w:type="dxa"/>
              <w:bottom w:w="40" w:type="dxa"/>
              <w:right w:w="20" w:type="dxa"/>
            </w:tcMar>
            <w:vAlign w:val="bottom"/>
          </w:tcPr>
          <w:p w14:paraId="36CA3B8A"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3B8B"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3B8C" w14:textId="77777777" w:rsidR="00787570" w:rsidRDefault="000D56E2">
            <w:pPr>
              <w:jc w:val="right"/>
              <w:textAlignment w:val="bottom"/>
            </w:pPr>
            <w:r>
              <w:rPr>
                <w:rFonts w:ascii="Arial" w:eastAsia="宋体" w:hAnsi="Arial" w:cs="Arial"/>
                <w:color w:val="026DCE"/>
                <w:sz w:val="18"/>
                <w:szCs w:val="18"/>
              </w:rPr>
              <w:t>26 </w:t>
            </w:r>
          </w:p>
        </w:tc>
        <w:tc>
          <w:tcPr>
            <w:tcW w:w="0" w:type="auto"/>
            <w:shd w:val="clear" w:color="auto" w:fill="auto"/>
            <w:tcMar>
              <w:top w:w="40" w:type="dxa"/>
              <w:bottom w:w="40" w:type="dxa"/>
              <w:right w:w="20" w:type="dxa"/>
            </w:tcMar>
            <w:vAlign w:val="bottom"/>
          </w:tcPr>
          <w:p w14:paraId="36CA3B8D"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3B8E"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3B8F" w14:textId="77777777" w:rsidR="00787570" w:rsidRDefault="000D56E2">
            <w:pPr>
              <w:jc w:val="right"/>
              <w:textAlignment w:val="bottom"/>
            </w:pPr>
            <w:r>
              <w:rPr>
                <w:rFonts w:ascii="Arial" w:eastAsia="宋体" w:hAnsi="Arial" w:cs="Arial"/>
                <w:color w:val="333333"/>
                <w:sz w:val="18"/>
                <w:szCs w:val="18"/>
              </w:rPr>
              <w:t>— </w:t>
            </w:r>
          </w:p>
        </w:tc>
        <w:tc>
          <w:tcPr>
            <w:tcW w:w="0" w:type="auto"/>
            <w:shd w:val="clear" w:color="auto" w:fill="auto"/>
            <w:tcMar>
              <w:top w:w="40" w:type="dxa"/>
              <w:bottom w:w="40" w:type="dxa"/>
              <w:right w:w="20" w:type="dxa"/>
            </w:tcMar>
            <w:vAlign w:val="bottom"/>
          </w:tcPr>
          <w:p w14:paraId="36CA3B90"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3B91"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3B92" w14:textId="77777777" w:rsidR="00787570" w:rsidRDefault="000D56E2">
            <w:pPr>
              <w:jc w:val="right"/>
              <w:textAlignment w:val="bottom"/>
            </w:pPr>
            <w:r>
              <w:rPr>
                <w:rFonts w:ascii="Arial" w:eastAsia="宋体" w:hAnsi="Arial" w:cs="Arial"/>
                <w:color w:val="333333"/>
                <w:sz w:val="18"/>
                <w:szCs w:val="18"/>
              </w:rPr>
              <w:t>13 </w:t>
            </w:r>
          </w:p>
        </w:tc>
        <w:tc>
          <w:tcPr>
            <w:tcW w:w="0" w:type="auto"/>
            <w:shd w:val="clear" w:color="auto" w:fill="auto"/>
            <w:tcMar>
              <w:top w:w="40" w:type="dxa"/>
              <w:bottom w:w="40" w:type="dxa"/>
              <w:right w:w="20" w:type="dxa"/>
            </w:tcMar>
            <w:vAlign w:val="bottom"/>
          </w:tcPr>
          <w:p w14:paraId="36CA3B93"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3B94"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3B95" w14:textId="77777777" w:rsidR="00787570" w:rsidRDefault="000D56E2">
            <w:pPr>
              <w:jc w:val="right"/>
              <w:textAlignment w:val="bottom"/>
            </w:pPr>
            <w:r>
              <w:rPr>
                <w:rFonts w:ascii="Arial" w:eastAsia="宋体" w:hAnsi="Arial" w:cs="Arial"/>
                <w:color w:val="333333"/>
                <w:sz w:val="18"/>
                <w:szCs w:val="18"/>
              </w:rPr>
              <w:t>— </w:t>
            </w:r>
          </w:p>
        </w:tc>
        <w:tc>
          <w:tcPr>
            <w:tcW w:w="0" w:type="auto"/>
            <w:shd w:val="clear" w:color="auto" w:fill="auto"/>
            <w:tcMar>
              <w:top w:w="40" w:type="dxa"/>
              <w:bottom w:w="40" w:type="dxa"/>
              <w:right w:w="20" w:type="dxa"/>
            </w:tcMar>
            <w:vAlign w:val="bottom"/>
          </w:tcPr>
          <w:p w14:paraId="36CA3B96"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3B97"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3B98" w14:textId="77777777" w:rsidR="00787570" w:rsidRDefault="000D56E2">
            <w:pPr>
              <w:jc w:val="right"/>
              <w:textAlignment w:val="bottom"/>
            </w:pPr>
            <w:r>
              <w:rPr>
                <w:rFonts w:ascii="Arial" w:eastAsia="宋体" w:hAnsi="Arial" w:cs="Arial"/>
                <w:color w:val="333333"/>
                <w:sz w:val="18"/>
                <w:szCs w:val="18"/>
              </w:rPr>
              <w:t>13 </w:t>
            </w:r>
          </w:p>
        </w:tc>
        <w:tc>
          <w:tcPr>
            <w:tcW w:w="0" w:type="auto"/>
            <w:shd w:val="clear" w:color="auto" w:fill="auto"/>
            <w:tcMar>
              <w:top w:w="40" w:type="dxa"/>
              <w:bottom w:w="40" w:type="dxa"/>
              <w:right w:w="20" w:type="dxa"/>
            </w:tcMar>
            <w:vAlign w:val="bottom"/>
          </w:tcPr>
          <w:p w14:paraId="36CA3B99" w14:textId="77777777" w:rsidR="00787570" w:rsidRDefault="00787570">
            <w:pPr>
              <w:jc w:val="right"/>
              <w:rPr>
                <w:rFonts w:ascii="宋体"/>
              </w:rPr>
            </w:pPr>
          </w:p>
        </w:tc>
        <w:tc>
          <w:tcPr>
            <w:tcW w:w="0" w:type="auto"/>
            <w:shd w:val="clear" w:color="auto" w:fill="auto"/>
          </w:tcPr>
          <w:p w14:paraId="36CA3B9A" w14:textId="77777777" w:rsidR="00787570" w:rsidRDefault="00787570">
            <w:pPr>
              <w:rPr>
                <w:rFonts w:ascii="宋体"/>
              </w:rPr>
            </w:pPr>
          </w:p>
        </w:tc>
        <w:tc>
          <w:tcPr>
            <w:tcW w:w="0" w:type="auto"/>
            <w:shd w:val="clear" w:color="auto" w:fill="auto"/>
          </w:tcPr>
          <w:p w14:paraId="36CA3B9B" w14:textId="77777777" w:rsidR="00787570" w:rsidRDefault="00787570">
            <w:pPr>
              <w:rPr>
                <w:rFonts w:ascii="宋体"/>
              </w:rPr>
            </w:pPr>
          </w:p>
        </w:tc>
        <w:tc>
          <w:tcPr>
            <w:tcW w:w="0" w:type="auto"/>
            <w:shd w:val="clear" w:color="auto" w:fill="auto"/>
          </w:tcPr>
          <w:p w14:paraId="36CA3B9C" w14:textId="77777777" w:rsidR="00787570" w:rsidRDefault="00787570">
            <w:pPr>
              <w:rPr>
                <w:rFonts w:ascii="宋体"/>
              </w:rPr>
            </w:pPr>
          </w:p>
        </w:tc>
        <w:tc>
          <w:tcPr>
            <w:tcW w:w="0" w:type="auto"/>
            <w:shd w:val="clear" w:color="auto" w:fill="auto"/>
          </w:tcPr>
          <w:p w14:paraId="36CA3B9D" w14:textId="77777777" w:rsidR="00787570" w:rsidRDefault="00787570">
            <w:pPr>
              <w:rPr>
                <w:rFonts w:ascii="宋体"/>
              </w:rPr>
            </w:pPr>
          </w:p>
        </w:tc>
        <w:tc>
          <w:tcPr>
            <w:tcW w:w="0" w:type="auto"/>
            <w:shd w:val="clear" w:color="auto" w:fill="auto"/>
          </w:tcPr>
          <w:p w14:paraId="36CA3B9E" w14:textId="77777777" w:rsidR="00787570" w:rsidRDefault="00787570">
            <w:pPr>
              <w:rPr>
                <w:rFonts w:ascii="宋体"/>
              </w:rPr>
            </w:pPr>
          </w:p>
        </w:tc>
        <w:tc>
          <w:tcPr>
            <w:tcW w:w="0" w:type="auto"/>
            <w:shd w:val="clear" w:color="auto" w:fill="auto"/>
          </w:tcPr>
          <w:p w14:paraId="36CA3B9F" w14:textId="77777777" w:rsidR="00787570" w:rsidRDefault="00787570">
            <w:pPr>
              <w:rPr>
                <w:rFonts w:ascii="宋体"/>
              </w:rPr>
            </w:pPr>
          </w:p>
        </w:tc>
        <w:tc>
          <w:tcPr>
            <w:tcW w:w="0" w:type="auto"/>
            <w:shd w:val="clear" w:color="auto" w:fill="auto"/>
          </w:tcPr>
          <w:p w14:paraId="36CA3BA0" w14:textId="77777777" w:rsidR="00787570" w:rsidRDefault="00787570">
            <w:pPr>
              <w:rPr>
                <w:rFonts w:ascii="宋体"/>
              </w:rPr>
            </w:pPr>
          </w:p>
        </w:tc>
        <w:tc>
          <w:tcPr>
            <w:tcW w:w="0" w:type="auto"/>
            <w:shd w:val="clear" w:color="auto" w:fill="auto"/>
          </w:tcPr>
          <w:p w14:paraId="36CA3BA1" w14:textId="77777777" w:rsidR="00787570" w:rsidRDefault="00787570">
            <w:pPr>
              <w:rPr>
                <w:rFonts w:ascii="宋体"/>
              </w:rPr>
            </w:pPr>
          </w:p>
        </w:tc>
        <w:tc>
          <w:tcPr>
            <w:tcW w:w="0" w:type="auto"/>
            <w:shd w:val="clear" w:color="auto" w:fill="auto"/>
          </w:tcPr>
          <w:p w14:paraId="36CA3BA2" w14:textId="77777777" w:rsidR="00787570" w:rsidRDefault="00787570">
            <w:pPr>
              <w:rPr>
                <w:rFonts w:ascii="宋体"/>
              </w:rPr>
            </w:pPr>
          </w:p>
        </w:tc>
        <w:tc>
          <w:tcPr>
            <w:tcW w:w="0" w:type="auto"/>
            <w:shd w:val="clear" w:color="auto" w:fill="auto"/>
          </w:tcPr>
          <w:p w14:paraId="36CA3BA3" w14:textId="77777777" w:rsidR="00787570" w:rsidRDefault="00787570">
            <w:pPr>
              <w:rPr>
                <w:rFonts w:ascii="宋体"/>
              </w:rPr>
            </w:pPr>
          </w:p>
        </w:tc>
        <w:tc>
          <w:tcPr>
            <w:tcW w:w="0" w:type="auto"/>
            <w:shd w:val="clear" w:color="auto" w:fill="auto"/>
          </w:tcPr>
          <w:p w14:paraId="36CA3BA4" w14:textId="77777777" w:rsidR="00787570" w:rsidRDefault="00787570">
            <w:pPr>
              <w:rPr>
                <w:rFonts w:ascii="宋体"/>
              </w:rPr>
            </w:pPr>
          </w:p>
        </w:tc>
        <w:tc>
          <w:tcPr>
            <w:tcW w:w="0" w:type="auto"/>
            <w:shd w:val="clear" w:color="auto" w:fill="auto"/>
          </w:tcPr>
          <w:p w14:paraId="36CA3BA5" w14:textId="77777777" w:rsidR="00787570" w:rsidRDefault="00787570">
            <w:pPr>
              <w:rPr>
                <w:rFonts w:ascii="宋体"/>
              </w:rPr>
            </w:pPr>
          </w:p>
        </w:tc>
      </w:tr>
      <w:tr w:rsidR="00787570" w14:paraId="36CA3BD4" w14:textId="77777777">
        <w:tc>
          <w:tcPr>
            <w:tcW w:w="0" w:type="auto"/>
            <w:gridSpan w:val="3"/>
            <w:shd w:val="clear" w:color="auto" w:fill="auto"/>
            <w:tcMar>
              <w:top w:w="40" w:type="dxa"/>
              <w:left w:w="20" w:type="dxa"/>
              <w:bottom w:w="40" w:type="dxa"/>
              <w:right w:w="20" w:type="dxa"/>
            </w:tcMar>
          </w:tcPr>
          <w:p w14:paraId="36CA3BA7" w14:textId="77777777" w:rsidR="00787570" w:rsidRDefault="000D56E2">
            <w:pPr>
              <w:textAlignment w:val="top"/>
            </w:pPr>
            <w:r>
              <w:rPr>
                <w:rFonts w:ascii="Arial" w:eastAsia="宋体" w:hAnsi="Arial" w:cs="Arial"/>
                <w:b/>
                <w:bCs/>
                <w:color w:val="333333"/>
                <w:sz w:val="18"/>
                <w:szCs w:val="18"/>
              </w:rPr>
              <w:t>Total liabilities measured and recorded at fair value</w:t>
            </w:r>
          </w:p>
        </w:tc>
        <w:tc>
          <w:tcPr>
            <w:tcW w:w="0" w:type="auto"/>
            <w:gridSpan w:val="3"/>
            <w:shd w:val="clear" w:color="auto" w:fill="auto"/>
            <w:tcMar>
              <w:left w:w="20" w:type="dxa"/>
              <w:right w:w="20" w:type="dxa"/>
            </w:tcMar>
            <w:vAlign w:val="bottom"/>
          </w:tcPr>
          <w:p w14:paraId="36CA3BA8" w14:textId="77777777" w:rsidR="00787570" w:rsidRDefault="00787570">
            <w:pPr>
              <w:rPr>
                <w:rFonts w:ascii="宋体"/>
              </w:rPr>
            </w:pPr>
          </w:p>
        </w:tc>
        <w:tc>
          <w:tcPr>
            <w:tcW w:w="0" w:type="auto"/>
            <w:tcBorders>
              <w:top w:val="single" w:sz="8" w:space="0" w:color="333333"/>
              <w:bottom w:val="double" w:sz="6" w:space="0" w:color="333333"/>
            </w:tcBorders>
            <w:shd w:val="clear" w:color="auto" w:fill="auto"/>
            <w:tcMar>
              <w:top w:w="40" w:type="dxa"/>
              <w:left w:w="20" w:type="dxa"/>
              <w:bottom w:w="40" w:type="dxa"/>
            </w:tcMar>
            <w:vAlign w:val="bottom"/>
          </w:tcPr>
          <w:p w14:paraId="36CA3BA9" w14:textId="77777777" w:rsidR="00787570" w:rsidRDefault="000D56E2">
            <w:pPr>
              <w:textAlignment w:val="bottom"/>
            </w:pPr>
            <w:r>
              <w:rPr>
                <w:rFonts w:ascii="Arial" w:eastAsia="宋体" w:hAnsi="Arial" w:cs="Arial"/>
                <w:b/>
                <w:bCs/>
                <w:color w:val="026DCE"/>
                <w:sz w:val="18"/>
                <w:szCs w:val="18"/>
              </w:rPr>
              <w:t>$</w:t>
            </w:r>
          </w:p>
        </w:tc>
        <w:tc>
          <w:tcPr>
            <w:tcW w:w="0" w:type="auto"/>
            <w:tcBorders>
              <w:top w:val="single" w:sz="8" w:space="0" w:color="333333"/>
              <w:bottom w:val="double" w:sz="6" w:space="0" w:color="333333"/>
            </w:tcBorders>
            <w:shd w:val="clear" w:color="auto" w:fill="auto"/>
            <w:tcMar>
              <w:top w:w="40" w:type="dxa"/>
              <w:bottom w:w="40" w:type="dxa"/>
              <w:right w:w="0" w:type="dxa"/>
            </w:tcMar>
            <w:vAlign w:val="bottom"/>
          </w:tcPr>
          <w:p w14:paraId="36CA3BAA" w14:textId="77777777" w:rsidR="00787570" w:rsidRDefault="000D56E2">
            <w:pPr>
              <w:jc w:val="right"/>
              <w:textAlignment w:val="bottom"/>
            </w:pPr>
            <w:r>
              <w:rPr>
                <w:rFonts w:ascii="Arial" w:eastAsia="宋体" w:hAnsi="Arial" w:cs="Arial"/>
                <w:b/>
                <w:bCs/>
                <w:color w:val="026DCE"/>
                <w:sz w:val="18"/>
                <w:szCs w:val="18"/>
              </w:rPr>
              <w:t>52</w:t>
            </w:r>
            <w:r>
              <w:rPr>
                <w:rFonts w:ascii="Arial" w:eastAsia="宋体" w:hAnsi="Arial" w:cs="Arial"/>
                <w:color w:val="026DCE"/>
                <w:sz w:val="18"/>
                <w:szCs w:val="18"/>
              </w:rPr>
              <w:t> </w:t>
            </w:r>
          </w:p>
        </w:tc>
        <w:tc>
          <w:tcPr>
            <w:tcW w:w="0" w:type="auto"/>
            <w:tcBorders>
              <w:top w:val="single" w:sz="8" w:space="0" w:color="333333"/>
              <w:bottom w:val="double" w:sz="6" w:space="0" w:color="333333"/>
            </w:tcBorders>
            <w:shd w:val="clear" w:color="auto" w:fill="auto"/>
            <w:tcMar>
              <w:top w:w="40" w:type="dxa"/>
              <w:bottom w:w="40" w:type="dxa"/>
              <w:right w:w="20" w:type="dxa"/>
            </w:tcMar>
            <w:vAlign w:val="bottom"/>
          </w:tcPr>
          <w:p w14:paraId="36CA3BAB"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3BAC" w14:textId="77777777" w:rsidR="00787570" w:rsidRDefault="00787570">
            <w:pPr>
              <w:rPr>
                <w:rFonts w:ascii="宋体"/>
              </w:rPr>
            </w:pPr>
          </w:p>
        </w:tc>
        <w:tc>
          <w:tcPr>
            <w:tcW w:w="0" w:type="auto"/>
            <w:tcBorders>
              <w:top w:val="single" w:sz="8" w:space="0" w:color="333333"/>
              <w:bottom w:val="double" w:sz="6" w:space="0" w:color="333333"/>
            </w:tcBorders>
            <w:shd w:val="clear" w:color="auto" w:fill="auto"/>
            <w:tcMar>
              <w:top w:w="40" w:type="dxa"/>
              <w:left w:w="20" w:type="dxa"/>
              <w:bottom w:w="40" w:type="dxa"/>
            </w:tcMar>
            <w:vAlign w:val="bottom"/>
          </w:tcPr>
          <w:p w14:paraId="36CA3BAD" w14:textId="77777777" w:rsidR="00787570" w:rsidRDefault="000D56E2">
            <w:pPr>
              <w:textAlignment w:val="bottom"/>
            </w:pPr>
            <w:r>
              <w:rPr>
                <w:rFonts w:ascii="Arial" w:eastAsia="宋体" w:hAnsi="Arial" w:cs="Arial"/>
                <w:b/>
                <w:bCs/>
                <w:color w:val="026DCE"/>
                <w:sz w:val="18"/>
                <w:szCs w:val="18"/>
              </w:rPr>
              <w:t>$</w:t>
            </w:r>
          </w:p>
        </w:tc>
        <w:tc>
          <w:tcPr>
            <w:tcW w:w="0" w:type="auto"/>
            <w:tcBorders>
              <w:top w:val="single" w:sz="8" w:space="0" w:color="333333"/>
              <w:bottom w:val="double" w:sz="6" w:space="0" w:color="333333"/>
            </w:tcBorders>
            <w:shd w:val="clear" w:color="auto" w:fill="auto"/>
            <w:tcMar>
              <w:top w:w="40" w:type="dxa"/>
              <w:bottom w:w="40" w:type="dxa"/>
              <w:right w:w="0" w:type="dxa"/>
            </w:tcMar>
            <w:vAlign w:val="bottom"/>
          </w:tcPr>
          <w:p w14:paraId="36CA3BAE" w14:textId="77777777" w:rsidR="00787570" w:rsidRDefault="000D56E2">
            <w:pPr>
              <w:jc w:val="right"/>
              <w:textAlignment w:val="bottom"/>
            </w:pPr>
            <w:r>
              <w:rPr>
                <w:rFonts w:ascii="Arial" w:eastAsia="宋体" w:hAnsi="Arial" w:cs="Arial"/>
                <w:b/>
                <w:bCs/>
                <w:color w:val="026DCE"/>
                <w:sz w:val="18"/>
                <w:szCs w:val="18"/>
              </w:rPr>
              <w:t>582</w:t>
            </w:r>
            <w:r>
              <w:rPr>
                <w:rFonts w:ascii="Arial" w:eastAsia="宋体" w:hAnsi="Arial" w:cs="Arial"/>
                <w:color w:val="026DCE"/>
                <w:sz w:val="18"/>
                <w:szCs w:val="18"/>
              </w:rPr>
              <w:t> </w:t>
            </w:r>
          </w:p>
        </w:tc>
        <w:tc>
          <w:tcPr>
            <w:tcW w:w="0" w:type="auto"/>
            <w:tcBorders>
              <w:top w:val="single" w:sz="8" w:space="0" w:color="333333"/>
              <w:bottom w:val="double" w:sz="6" w:space="0" w:color="333333"/>
            </w:tcBorders>
            <w:shd w:val="clear" w:color="auto" w:fill="auto"/>
            <w:tcMar>
              <w:top w:w="40" w:type="dxa"/>
              <w:bottom w:w="40" w:type="dxa"/>
              <w:right w:w="20" w:type="dxa"/>
            </w:tcMar>
            <w:vAlign w:val="bottom"/>
          </w:tcPr>
          <w:p w14:paraId="36CA3BAF"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3BB0" w14:textId="77777777" w:rsidR="00787570" w:rsidRDefault="00787570">
            <w:pPr>
              <w:rPr>
                <w:rFonts w:ascii="宋体"/>
              </w:rPr>
            </w:pPr>
          </w:p>
        </w:tc>
        <w:tc>
          <w:tcPr>
            <w:tcW w:w="0" w:type="auto"/>
            <w:tcBorders>
              <w:top w:val="single" w:sz="8" w:space="0" w:color="333333"/>
              <w:bottom w:val="double" w:sz="6" w:space="0" w:color="333333"/>
            </w:tcBorders>
            <w:shd w:val="clear" w:color="auto" w:fill="auto"/>
            <w:tcMar>
              <w:top w:w="40" w:type="dxa"/>
              <w:left w:w="20" w:type="dxa"/>
              <w:bottom w:w="40" w:type="dxa"/>
            </w:tcMar>
            <w:vAlign w:val="bottom"/>
          </w:tcPr>
          <w:p w14:paraId="36CA3BB1" w14:textId="77777777" w:rsidR="00787570" w:rsidRDefault="000D56E2">
            <w:pPr>
              <w:textAlignment w:val="bottom"/>
            </w:pPr>
            <w:r>
              <w:rPr>
                <w:rFonts w:ascii="Arial" w:eastAsia="宋体" w:hAnsi="Arial" w:cs="Arial"/>
                <w:b/>
                <w:bCs/>
                <w:color w:val="026DCE"/>
                <w:sz w:val="18"/>
                <w:szCs w:val="18"/>
              </w:rPr>
              <w:t>$</w:t>
            </w:r>
          </w:p>
        </w:tc>
        <w:tc>
          <w:tcPr>
            <w:tcW w:w="0" w:type="auto"/>
            <w:tcBorders>
              <w:top w:val="single" w:sz="8" w:space="0" w:color="333333"/>
              <w:bottom w:val="double" w:sz="6" w:space="0" w:color="333333"/>
            </w:tcBorders>
            <w:shd w:val="clear" w:color="auto" w:fill="auto"/>
            <w:tcMar>
              <w:top w:w="40" w:type="dxa"/>
              <w:bottom w:w="40" w:type="dxa"/>
              <w:right w:w="0" w:type="dxa"/>
            </w:tcMar>
            <w:vAlign w:val="bottom"/>
          </w:tcPr>
          <w:p w14:paraId="36CA3BB2" w14:textId="77777777" w:rsidR="00787570" w:rsidRDefault="000D56E2">
            <w:pPr>
              <w:jc w:val="right"/>
              <w:textAlignment w:val="bottom"/>
            </w:pPr>
            <w:r>
              <w:rPr>
                <w:rFonts w:ascii="Arial" w:eastAsia="宋体" w:hAnsi="Arial" w:cs="Arial"/>
                <w:b/>
                <w:bCs/>
                <w:color w:val="026DCE"/>
                <w:sz w:val="18"/>
                <w:szCs w:val="18"/>
              </w:rPr>
              <w:t>—</w:t>
            </w:r>
            <w:r>
              <w:rPr>
                <w:rFonts w:ascii="Arial" w:eastAsia="宋体" w:hAnsi="Arial" w:cs="Arial"/>
                <w:color w:val="026DCE"/>
                <w:sz w:val="18"/>
                <w:szCs w:val="18"/>
              </w:rPr>
              <w:t> </w:t>
            </w:r>
          </w:p>
        </w:tc>
        <w:tc>
          <w:tcPr>
            <w:tcW w:w="0" w:type="auto"/>
            <w:tcBorders>
              <w:top w:val="single" w:sz="8" w:space="0" w:color="333333"/>
              <w:bottom w:val="double" w:sz="6" w:space="0" w:color="333333"/>
            </w:tcBorders>
            <w:shd w:val="clear" w:color="auto" w:fill="auto"/>
            <w:tcMar>
              <w:top w:w="40" w:type="dxa"/>
              <w:bottom w:w="40" w:type="dxa"/>
              <w:right w:w="20" w:type="dxa"/>
            </w:tcMar>
            <w:vAlign w:val="bottom"/>
          </w:tcPr>
          <w:p w14:paraId="36CA3BB3"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3BB4" w14:textId="77777777" w:rsidR="00787570" w:rsidRDefault="00787570">
            <w:pPr>
              <w:rPr>
                <w:rFonts w:ascii="宋体"/>
              </w:rPr>
            </w:pPr>
          </w:p>
        </w:tc>
        <w:tc>
          <w:tcPr>
            <w:tcW w:w="0" w:type="auto"/>
            <w:tcBorders>
              <w:top w:val="single" w:sz="8" w:space="0" w:color="333333"/>
              <w:bottom w:val="double" w:sz="6" w:space="0" w:color="333333"/>
            </w:tcBorders>
            <w:shd w:val="clear" w:color="auto" w:fill="auto"/>
            <w:tcMar>
              <w:top w:w="40" w:type="dxa"/>
              <w:left w:w="20" w:type="dxa"/>
              <w:bottom w:w="40" w:type="dxa"/>
            </w:tcMar>
            <w:vAlign w:val="bottom"/>
          </w:tcPr>
          <w:p w14:paraId="36CA3BB5" w14:textId="77777777" w:rsidR="00787570" w:rsidRDefault="000D56E2">
            <w:pPr>
              <w:textAlignment w:val="bottom"/>
            </w:pPr>
            <w:r>
              <w:rPr>
                <w:rFonts w:ascii="Arial" w:eastAsia="宋体" w:hAnsi="Arial" w:cs="Arial"/>
                <w:b/>
                <w:bCs/>
                <w:color w:val="026DCE"/>
                <w:sz w:val="18"/>
                <w:szCs w:val="18"/>
              </w:rPr>
              <w:t>$</w:t>
            </w:r>
          </w:p>
        </w:tc>
        <w:tc>
          <w:tcPr>
            <w:tcW w:w="0" w:type="auto"/>
            <w:tcBorders>
              <w:top w:val="single" w:sz="8" w:space="0" w:color="333333"/>
              <w:bottom w:val="double" w:sz="6" w:space="0" w:color="333333"/>
            </w:tcBorders>
            <w:shd w:val="clear" w:color="auto" w:fill="auto"/>
            <w:tcMar>
              <w:top w:w="40" w:type="dxa"/>
              <w:bottom w:w="40" w:type="dxa"/>
              <w:right w:w="0" w:type="dxa"/>
            </w:tcMar>
            <w:vAlign w:val="bottom"/>
          </w:tcPr>
          <w:p w14:paraId="36CA3BB6" w14:textId="77777777" w:rsidR="00787570" w:rsidRDefault="000D56E2">
            <w:pPr>
              <w:jc w:val="right"/>
              <w:textAlignment w:val="bottom"/>
            </w:pPr>
            <w:r>
              <w:rPr>
                <w:rFonts w:ascii="Arial" w:eastAsia="宋体" w:hAnsi="Arial" w:cs="Arial"/>
                <w:b/>
                <w:bCs/>
                <w:color w:val="026DCE"/>
                <w:sz w:val="18"/>
                <w:szCs w:val="18"/>
              </w:rPr>
              <w:t>634</w:t>
            </w:r>
            <w:r>
              <w:rPr>
                <w:rFonts w:ascii="Arial" w:eastAsia="宋体" w:hAnsi="Arial" w:cs="Arial"/>
                <w:color w:val="026DCE"/>
                <w:sz w:val="18"/>
                <w:szCs w:val="18"/>
              </w:rPr>
              <w:t> </w:t>
            </w:r>
          </w:p>
        </w:tc>
        <w:tc>
          <w:tcPr>
            <w:tcW w:w="0" w:type="auto"/>
            <w:tcBorders>
              <w:top w:val="single" w:sz="8" w:space="0" w:color="333333"/>
              <w:bottom w:val="double" w:sz="6" w:space="0" w:color="333333"/>
            </w:tcBorders>
            <w:shd w:val="clear" w:color="auto" w:fill="auto"/>
            <w:tcMar>
              <w:top w:w="40" w:type="dxa"/>
              <w:bottom w:w="40" w:type="dxa"/>
              <w:right w:w="20" w:type="dxa"/>
            </w:tcMar>
            <w:vAlign w:val="bottom"/>
          </w:tcPr>
          <w:p w14:paraId="36CA3BB7"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3BB8" w14:textId="77777777" w:rsidR="00787570" w:rsidRDefault="00787570">
            <w:pPr>
              <w:rPr>
                <w:rFonts w:ascii="宋体"/>
              </w:rPr>
            </w:pPr>
          </w:p>
        </w:tc>
        <w:tc>
          <w:tcPr>
            <w:tcW w:w="0" w:type="auto"/>
            <w:tcBorders>
              <w:top w:val="single" w:sz="8" w:space="0" w:color="333333"/>
              <w:bottom w:val="double" w:sz="6" w:space="0" w:color="333333"/>
            </w:tcBorders>
            <w:shd w:val="clear" w:color="auto" w:fill="auto"/>
            <w:tcMar>
              <w:top w:w="40" w:type="dxa"/>
              <w:left w:w="20" w:type="dxa"/>
              <w:bottom w:w="40" w:type="dxa"/>
            </w:tcMar>
            <w:vAlign w:val="bottom"/>
          </w:tcPr>
          <w:p w14:paraId="36CA3BB9" w14:textId="77777777" w:rsidR="00787570" w:rsidRDefault="000D56E2">
            <w:pPr>
              <w:textAlignment w:val="bottom"/>
            </w:pPr>
            <w:r>
              <w:rPr>
                <w:rFonts w:ascii="Arial" w:eastAsia="宋体" w:hAnsi="Arial" w:cs="Arial"/>
                <w:b/>
                <w:bCs/>
                <w:color w:val="333333"/>
                <w:sz w:val="18"/>
                <w:szCs w:val="18"/>
              </w:rPr>
              <w:t>$</w:t>
            </w:r>
          </w:p>
        </w:tc>
        <w:tc>
          <w:tcPr>
            <w:tcW w:w="0" w:type="auto"/>
            <w:tcBorders>
              <w:top w:val="single" w:sz="8" w:space="0" w:color="333333"/>
              <w:bottom w:val="double" w:sz="6" w:space="0" w:color="333333"/>
            </w:tcBorders>
            <w:shd w:val="clear" w:color="auto" w:fill="auto"/>
            <w:tcMar>
              <w:top w:w="40" w:type="dxa"/>
              <w:bottom w:w="40" w:type="dxa"/>
              <w:right w:w="0" w:type="dxa"/>
            </w:tcMar>
            <w:vAlign w:val="bottom"/>
          </w:tcPr>
          <w:p w14:paraId="36CA3BBA" w14:textId="77777777" w:rsidR="00787570" w:rsidRDefault="000D56E2">
            <w:pPr>
              <w:jc w:val="right"/>
              <w:textAlignment w:val="bottom"/>
            </w:pPr>
            <w:r>
              <w:rPr>
                <w:rFonts w:ascii="Arial" w:eastAsia="宋体" w:hAnsi="Arial" w:cs="Arial"/>
                <w:b/>
                <w:bCs/>
                <w:color w:val="333333"/>
                <w:sz w:val="18"/>
                <w:szCs w:val="18"/>
              </w:rPr>
              <w:t>3</w:t>
            </w:r>
            <w:r>
              <w:rPr>
                <w:rFonts w:ascii="Arial" w:eastAsia="宋体" w:hAnsi="Arial" w:cs="Arial"/>
                <w:color w:val="333333"/>
                <w:sz w:val="18"/>
                <w:szCs w:val="18"/>
              </w:rPr>
              <w:t> </w:t>
            </w:r>
          </w:p>
        </w:tc>
        <w:tc>
          <w:tcPr>
            <w:tcW w:w="0" w:type="auto"/>
            <w:tcBorders>
              <w:top w:val="single" w:sz="8" w:space="0" w:color="333333"/>
              <w:bottom w:val="double" w:sz="6" w:space="0" w:color="333333"/>
            </w:tcBorders>
            <w:shd w:val="clear" w:color="auto" w:fill="auto"/>
            <w:tcMar>
              <w:top w:w="40" w:type="dxa"/>
              <w:bottom w:w="40" w:type="dxa"/>
              <w:right w:w="20" w:type="dxa"/>
            </w:tcMar>
            <w:vAlign w:val="bottom"/>
          </w:tcPr>
          <w:p w14:paraId="36CA3BBB"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3BBC" w14:textId="77777777" w:rsidR="00787570" w:rsidRDefault="00787570">
            <w:pPr>
              <w:rPr>
                <w:rFonts w:ascii="宋体"/>
              </w:rPr>
            </w:pPr>
          </w:p>
        </w:tc>
        <w:tc>
          <w:tcPr>
            <w:tcW w:w="0" w:type="auto"/>
            <w:tcBorders>
              <w:top w:val="single" w:sz="8" w:space="0" w:color="333333"/>
              <w:bottom w:val="double" w:sz="6" w:space="0" w:color="333333"/>
            </w:tcBorders>
            <w:shd w:val="clear" w:color="auto" w:fill="auto"/>
            <w:tcMar>
              <w:top w:w="40" w:type="dxa"/>
              <w:left w:w="20" w:type="dxa"/>
              <w:bottom w:w="40" w:type="dxa"/>
            </w:tcMar>
            <w:vAlign w:val="bottom"/>
          </w:tcPr>
          <w:p w14:paraId="36CA3BBD" w14:textId="77777777" w:rsidR="00787570" w:rsidRDefault="000D56E2">
            <w:pPr>
              <w:textAlignment w:val="bottom"/>
            </w:pPr>
            <w:r>
              <w:rPr>
                <w:rFonts w:ascii="Arial" w:eastAsia="宋体" w:hAnsi="Arial" w:cs="Arial"/>
                <w:b/>
                <w:bCs/>
                <w:color w:val="333333"/>
                <w:sz w:val="18"/>
                <w:szCs w:val="18"/>
              </w:rPr>
              <w:t>$</w:t>
            </w:r>
          </w:p>
        </w:tc>
        <w:tc>
          <w:tcPr>
            <w:tcW w:w="0" w:type="auto"/>
            <w:tcBorders>
              <w:top w:val="single" w:sz="8" w:space="0" w:color="333333"/>
              <w:bottom w:val="double" w:sz="6" w:space="0" w:color="333333"/>
            </w:tcBorders>
            <w:shd w:val="clear" w:color="auto" w:fill="auto"/>
            <w:tcMar>
              <w:top w:w="40" w:type="dxa"/>
              <w:bottom w:w="40" w:type="dxa"/>
              <w:right w:w="0" w:type="dxa"/>
            </w:tcMar>
            <w:vAlign w:val="bottom"/>
          </w:tcPr>
          <w:p w14:paraId="36CA3BBE" w14:textId="77777777" w:rsidR="00787570" w:rsidRDefault="000D56E2">
            <w:pPr>
              <w:jc w:val="right"/>
              <w:textAlignment w:val="bottom"/>
            </w:pPr>
            <w:r>
              <w:rPr>
                <w:rFonts w:ascii="Arial" w:eastAsia="宋体" w:hAnsi="Arial" w:cs="Arial"/>
                <w:b/>
                <w:bCs/>
                <w:color w:val="333333"/>
                <w:sz w:val="18"/>
                <w:szCs w:val="18"/>
              </w:rPr>
              <w:t>300</w:t>
            </w:r>
            <w:r>
              <w:rPr>
                <w:rFonts w:ascii="Arial" w:eastAsia="宋体" w:hAnsi="Arial" w:cs="Arial"/>
                <w:color w:val="333333"/>
                <w:sz w:val="18"/>
                <w:szCs w:val="18"/>
              </w:rPr>
              <w:t> </w:t>
            </w:r>
          </w:p>
        </w:tc>
        <w:tc>
          <w:tcPr>
            <w:tcW w:w="0" w:type="auto"/>
            <w:tcBorders>
              <w:top w:val="single" w:sz="8" w:space="0" w:color="333333"/>
              <w:bottom w:val="double" w:sz="6" w:space="0" w:color="333333"/>
            </w:tcBorders>
            <w:shd w:val="clear" w:color="auto" w:fill="auto"/>
            <w:tcMar>
              <w:top w:w="40" w:type="dxa"/>
              <w:bottom w:w="40" w:type="dxa"/>
              <w:right w:w="20" w:type="dxa"/>
            </w:tcMar>
            <w:vAlign w:val="bottom"/>
          </w:tcPr>
          <w:p w14:paraId="36CA3BBF"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3BC0" w14:textId="77777777" w:rsidR="00787570" w:rsidRDefault="00787570">
            <w:pPr>
              <w:rPr>
                <w:rFonts w:ascii="宋体"/>
              </w:rPr>
            </w:pPr>
          </w:p>
        </w:tc>
        <w:tc>
          <w:tcPr>
            <w:tcW w:w="0" w:type="auto"/>
            <w:tcBorders>
              <w:top w:val="single" w:sz="8" w:space="0" w:color="333333"/>
              <w:bottom w:val="double" w:sz="6" w:space="0" w:color="333333"/>
            </w:tcBorders>
            <w:shd w:val="clear" w:color="auto" w:fill="auto"/>
            <w:tcMar>
              <w:top w:w="40" w:type="dxa"/>
              <w:left w:w="20" w:type="dxa"/>
              <w:bottom w:w="40" w:type="dxa"/>
            </w:tcMar>
            <w:vAlign w:val="bottom"/>
          </w:tcPr>
          <w:p w14:paraId="36CA3BC1" w14:textId="77777777" w:rsidR="00787570" w:rsidRDefault="000D56E2">
            <w:pPr>
              <w:textAlignment w:val="bottom"/>
            </w:pPr>
            <w:r>
              <w:rPr>
                <w:rFonts w:ascii="Arial" w:eastAsia="宋体" w:hAnsi="Arial" w:cs="Arial"/>
                <w:b/>
                <w:bCs/>
                <w:color w:val="333333"/>
                <w:sz w:val="18"/>
                <w:szCs w:val="18"/>
              </w:rPr>
              <w:t>$</w:t>
            </w:r>
          </w:p>
        </w:tc>
        <w:tc>
          <w:tcPr>
            <w:tcW w:w="0" w:type="auto"/>
            <w:tcBorders>
              <w:top w:val="single" w:sz="8" w:space="0" w:color="333333"/>
              <w:bottom w:val="double" w:sz="6" w:space="0" w:color="333333"/>
            </w:tcBorders>
            <w:shd w:val="clear" w:color="auto" w:fill="auto"/>
            <w:tcMar>
              <w:top w:w="40" w:type="dxa"/>
              <w:bottom w:w="40" w:type="dxa"/>
              <w:right w:w="0" w:type="dxa"/>
            </w:tcMar>
            <w:vAlign w:val="bottom"/>
          </w:tcPr>
          <w:p w14:paraId="36CA3BC2" w14:textId="77777777" w:rsidR="00787570" w:rsidRDefault="000D56E2">
            <w:pPr>
              <w:jc w:val="right"/>
              <w:textAlignment w:val="bottom"/>
            </w:pPr>
            <w:r>
              <w:rPr>
                <w:rFonts w:ascii="Arial" w:eastAsia="宋体" w:hAnsi="Arial" w:cs="Arial"/>
                <w:b/>
                <w:bCs/>
                <w:color w:val="333333"/>
                <w:sz w:val="18"/>
                <w:szCs w:val="18"/>
              </w:rPr>
              <w:t>—</w:t>
            </w:r>
            <w:r>
              <w:rPr>
                <w:rFonts w:ascii="Arial" w:eastAsia="宋体" w:hAnsi="Arial" w:cs="Arial"/>
                <w:color w:val="333333"/>
                <w:sz w:val="18"/>
                <w:szCs w:val="18"/>
              </w:rPr>
              <w:t> </w:t>
            </w:r>
          </w:p>
        </w:tc>
        <w:tc>
          <w:tcPr>
            <w:tcW w:w="0" w:type="auto"/>
            <w:tcBorders>
              <w:top w:val="single" w:sz="8" w:space="0" w:color="333333"/>
              <w:bottom w:val="double" w:sz="6" w:space="0" w:color="333333"/>
            </w:tcBorders>
            <w:shd w:val="clear" w:color="auto" w:fill="auto"/>
            <w:tcMar>
              <w:top w:w="40" w:type="dxa"/>
              <w:bottom w:w="40" w:type="dxa"/>
              <w:right w:w="20" w:type="dxa"/>
            </w:tcMar>
            <w:vAlign w:val="bottom"/>
          </w:tcPr>
          <w:p w14:paraId="36CA3BC3"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3BC4" w14:textId="77777777" w:rsidR="00787570" w:rsidRDefault="00787570">
            <w:pPr>
              <w:rPr>
                <w:rFonts w:ascii="宋体"/>
              </w:rPr>
            </w:pPr>
          </w:p>
        </w:tc>
        <w:tc>
          <w:tcPr>
            <w:tcW w:w="0" w:type="auto"/>
            <w:tcBorders>
              <w:top w:val="single" w:sz="8" w:space="0" w:color="333333"/>
              <w:bottom w:val="double" w:sz="6" w:space="0" w:color="333333"/>
            </w:tcBorders>
            <w:shd w:val="clear" w:color="auto" w:fill="auto"/>
            <w:tcMar>
              <w:top w:w="40" w:type="dxa"/>
              <w:left w:w="20" w:type="dxa"/>
              <w:bottom w:w="40" w:type="dxa"/>
            </w:tcMar>
            <w:vAlign w:val="bottom"/>
          </w:tcPr>
          <w:p w14:paraId="36CA3BC5" w14:textId="77777777" w:rsidR="00787570" w:rsidRDefault="000D56E2">
            <w:pPr>
              <w:textAlignment w:val="bottom"/>
            </w:pPr>
            <w:r>
              <w:rPr>
                <w:rFonts w:ascii="Arial" w:eastAsia="宋体" w:hAnsi="Arial" w:cs="Arial"/>
                <w:b/>
                <w:bCs/>
                <w:color w:val="333333"/>
                <w:sz w:val="18"/>
                <w:szCs w:val="18"/>
              </w:rPr>
              <w:t>$</w:t>
            </w:r>
          </w:p>
        </w:tc>
        <w:tc>
          <w:tcPr>
            <w:tcW w:w="0" w:type="auto"/>
            <w:tcBorders>
              <w:top w:val="single" w:sz="8" w:space="0" w:color="333333"/>
              <w:bottom w:val="double" w:sz="6" w:space="0" w:color="333333"/>
            </w:tcBorders>
            <w:shd w:val="clear" w:color="auto" w:fill="auto"/>
            <w:tcMar>
              <w:top w:w="40" w:type="dxa"/>
              <w:bottom w:w="40" w:type="dxa"/>
              <w:right w:w="0" w:type="dxa"/>
            </w:tcMar>
            <w:vAlign w:val="bottom"/>
          </w:tcPr>
          <w:p w14:paraId="36CA3BC6" w14:textId="77777777" w:rsidR="00787570" w:rsidRDefault="000D56E2">
            <w:pPr>
              <w:jc w:val="right"/>
              <w:textAlignment w:val="bottom"/>
            </w:pPr>
            <w:r>
              <w:rPr>
                <w:rFonts w:ascii="Arial" w:eastAsia="宋体" w:hAnsi="Arial" w:cs="Arial"/>
                <w:b/>
                <w:bCs/>
                <w:color w:val="333333"/>
                <w:sz w:val="18"/>
                <w:szCs w:val="18"/>
              </w:rPr>
              <w:t>303</w:t>
            </w:r>
            <w:r>
              <w:rPr>
                <w:rFonts w:ascii="Arial" w:eastAsia="宋体" w:hAnsi="Arial" w:cs="Arial"/>
                <w:color w:val="333333"/>
                <w:sz w:val="18"/>
                <w:szCs w:val="18"/>
              </w:rPr>
              <w:t> </w:t>
            </w:r>
          </w:p>
        </w:tc>
        <w:tc>
          <w:tcPr>
            <w:tcW w:w="0" w:type="auto"/>
            <w:tcBorders>
              <w:top w:val="single" w:sz="8" w:space="0" w:color="333333"/>
              <w:bottom w:val="double" w:sz="6" w:space="0" w:color="333333"/>
            </w:tcBorders>
            <w:shd w:val="clear" w:color="auto" w:fill="auto"/>
            <w:tcMar>
              <w:top w:w="40" w:type="dxa"/>
              <w:bottom w:w="40" w:type="dxa"/>
              <w:right w:w="20" w:type="dxa"/>
            </w:tcMar>
            <w:vAlign w:val="bottom"/>
          </w:tcPr>
          <w:p w14:paraId="36CA3BC7" w14:textId="77777777" w:rsidR="00787570" w:rsidRDefault="00787570">
            <w:pPr>
              <w:jc w:val="right"/>
              <w:rPr>
                <w:rFonts w:ascii="宋体"/>
              </w:rPr>
            </w:pPr>
          </w:p>
        </w:tc>
        <w:tc>
          <w:tcPr>
            <w:tcW w:w="0" w:type="auto"/>
            <w:shd w:val="clear" w:color="auto" w:fill="auto"/>
          </w:tcPr>
          <w:p w14:paraId="36CA3BC8" w14:textId="77777777" w:rsidR="00787570" w:rsidRDefault="00787570">
            <w:pPr>
              <w:rPr>
                <w:rFonts w:ascii="宋体"/>
              </w:rPr>
            </w:pPr>
          </w:p>
        </w:tc>
        <w:tc>
          <w:tcPr>
            <w:tcW w:w="0" w:type="auto"/>
            <w:shd w:val="clear" w:color="auto" w:fill="auto"/>
          </w:tcPr>
          <w:p w14:paraId="36CA3BC9" w14:textId="77777777" w:rsidR="00787570" w:rsidRDefault="00787570">
            <w:pPr>
              <w:rPr>
                <w:rFonts w:ascii="宋体"/>
              </w:rPr>
            </w:pPr>
          </w:p>
        </w:tc>
        <w:tc>
          <w:tcPr>
            <w:tcW w:w="0" w:type="auto"/>
            <w:shd w:val="clear" w:color="auto" w:fill="auto"/>
          </w:tcPr>
          <w:p w14:paraId="36CA3BCA" w14:textId="77777777" w:rsidR="00787570" w:rsidRDefault="00787570">
            <w:pPr>
              <w:rPr>
                <w:rFonts w:ascii="宋体"/>
              </w:rPr>
            </w:pPr>
          </w:p>
        </w:tc>
        <w:tc>
          <w:tcPr>
            <w:tcW w:w="0" w:type="auto"/>
            <w:shd w:val="clear" w:color="auto" w:fill="auto"/>
          </w:tcPr>
          <w:p w14:paraId="36CA3BCB" w14:textId="77777777" w:rsidR="00787570" w:rsidRDefault="00787570">
            <w:pPr>
              <w:rPr>
                <w:rFonts w:ascii="宋体"/>
              </w:rPr>
            </w:pPr>
          </w:p>
        </w:tc>
        <w:tc>
          <w:tcPr>
            <w:tcW w:w="0" w:type="auto"/>
            <w:shd w:val="clear" w:color="auto" w:fill="auto"/>
          </w:tcPr>
          <w:p w14:paraId="36CA3BCC" w14:textId="77777777" w:rsidR="00787570" w:rsidRDefault="00787570">
            <w:pPr>
              <w:rPr>
                <w:rFonts w:ascii="宋体"/>
              </w:rPr>
            </w:pPr>
          </w:p>
        </w:tc>
        <w:tc>
          <w:tcPr>
            <w:tcW w:w="0" w:type="auto"/>
            <w:shd w:val="clear" w:color="auto" w:fill="auto"/>
          </w:tcPr>
          <w:p w14:paraId="36CA3BCD" w14:textId="77777777" w:rsidR="00787570" w:rsidRDefault="00787570">
            <w:pPr>
              <w:rPr>
                <w:rFonts w:ascii="宋体"/>
              </w:rPr>
            </w:pPr>
          </w:p>
        </w:tc>
        <w:tc>
          <w:tcPr>
            <w:tcW w:w="0" w:type="auto"/>
            <w:shd w:val="clear" w:color="auto" w:fill="auto"/>
          </w:tcPr>
          <w:p w14:paraId="36CA3BCE" w14:textId="77777777" w:rsidR="00787570" w:rsidRDefault="00787570">
            <w:pPr>
              <w:rPr>
                <w:rFonts w:ascii="宋体"/>
              </w:rPr>
            </w:pPr>
          </w:p>
        </w:tc>
        <w:tc>
          <w:tcPr>
            <w:tcW w:w="0" w:type="auto"/>
            <w:shd w:val="clear" w:color="auto" w:fill="auto"/>
          </w:tcPr>
          <w:p w14:paraId="36CA3BCF" w14:textId="77777777" w:rsidR="00787570" w:rsidRDefault="00787570">
            <w:pPr>
              <w:rPr>
                <w:rFonts w:ascii="宋体"/>
              </w:rPr>
            </w:pPr>
          </w:p>
        </w:tc>
        <w:tc>
          <w:tcPr>
            <w:tcW w:w="0" w:type="auto"/>
            <w:shd w:val="clear" w:color="auto" w:fill="auto"/>
          </w:tcPr>
          <w:p w14:paraId="36CA3BD0" w14:textId="77777777" w:rsidR="00787570" w:rsidRDefault="00787570">
            <w:pPr>
              <w:rPr>
                <w:rFonts w:ascii="宋体"/>
              </w:rPr>
            </w:pPr>
          </w:p>
        </w:tc>
        <w:tc>
          <w:tcPr>
            <w:tcW w:w="0" w:type="auto"/>
            <w:shd w:val="clear" w:color="auto" w:fill="auto"/>
          </w:tcPr>
          <w:p w14:paraId="36CA3BD1" w14:textId="77777777" w:rsidR="00787570" w:rsidRDefault="00787570">
            <w:pPr>
              <w:rPr>
                <w:rFonts w:ascii="宋体"/>
              </w:rPr>
            </w:pPr>
          </w:p>
        </w:tc>
        <w:tc>
          <w:tcPr>
            <w:tcW w:w="0" w:type="auto"/>
            <w:shd w:val="clear" w:color="auto" w:fill="auto"/>
          </w:tcPr>
          <w:p w14:paraId="36CA3BD2" w14:textId="77777777" w:rsidR="00787570" w:rsidRDefault="00787570">
            <w:pPr>
              <w:rPr>
                <w:rFonts w:ascii="宋体"/>
              </w:rPr>
            </w:pPr>
          </w:p>
        </w:tc>
        <w:tc>
          <w:tcPr>
            <w:tcW w:w="0" w:type="auto"/>
            <w:shd w:val="clear" w:color="auto" w:fill="auto"/>
          </w:tcPr>
          <w:p w14:paraId="36CA3BD3" w14:textId="77777777" w:rsidR="00787570" w:rsidRDefault="00787570">
            <w:pPr>
              <w:rPr>
                <w:rFonts w:ascii="宋体"/>
              </w:rPr>
            </w:pPr>
          </w:p>
        </w:tc>
      </w:tr>
    </w:tbl>
    <w:p w14:paraId="36CA3BD5" w14:textId="77777777" w:rsidR="00787570" w:rsidRDefault="000D56E2">
      <w:pPr>
        <w:ind w:hanging="180"/>
      </w:pPr>
      <w:r>
        <w:rPr>
          <w:rFonts w:ascii="Arial" w:eastAsia="宋体" w:hAnsi="Arial" w:cs="Arial"/>
          <w:i/>
          <w:iCs/>
          <w:color w:val="333333"/>
          <w:sz w:val="10"/>
          <w:szCs w:val="10"/>
        </w:rPr>
        <w:t>1</w:t>
      </w:r>
      <w:r>
        <w:rPr>
          <w:rFonts w:ascii="Arial" w:eastAsia="宋体" w:hAnsi="Arial" w:cs="Arial"/>
          <w:i/>
          <w:iCs/>
          <w:color w:val="333333"/>
          <w:sz w:val="16"/>
          <w:szCs w:val="16"/>
        </w:rPr>
        <w:t>Level 1 investment</w:t>
      </w:r>
      <w:r>
        <w:rPr>
          <w:rFonts w:ascii="Arial" w:eastAsia="宋体" w:hAnsi="Arial" w:cs="Arial"/>
          <w:i/>
          <w:iCs/>
          <w:color w:val="333333"/>
          <w:sz w:val="16"/>
          <w:szCs w:val="16"/>
        </w:rPr>
        <w:t>s consist of money market funds. Level 2 investments consist primarily of commercial paper, certificates of deposit, time deposits, and notes and bonds issued by financial institutions.</w:t>
      </w:r>
    </w:p>
    <w:p w14:paraId="36CA3BD6" w14:textId="77777777" w:rsidR="00787570" w:rsidRDefault="000D56E2">
      <w:pPr>
        <w:ind w:hanging="180"/>
      </w:pPr>
      <w:r>
        <w:rPr>
          <w:rFonts w:ascii="Arial" w:eastAsia="宋体" w:hAnsi="Arial" w:cs="Arial"/>
          <w:i/>
          <w:iCs/>
          <w:color w:val="333333"/>
          <w:sz w:val="10"/>
          <w:szCs w:val="10"/>
        </w:rPr>
        <w:t>2</w:t>
      </w:r>
      <w:r>
        <w:rPr>
          <w:rFonts w:ascii="Arial" w:eastAsia="宋体" w:hAnsi="Arial" w:cs="Arial"/>
          <w:i/>
          <w:iCs/>
          <w:color w:val="333333"/>
          <w:sz w:val="16"/>
          <w:szCs w:val="16"/>
        </w:rPr>
        <w:t xml:space="preserve">Level 2 investments consist primarily of U.S. agency notes and </w:t>
      </w:r>
      <w:r>
        <w:rPr>
          <w:rFonts w:ascii="Arial" w:eastAsia="宋体" w:hAnsi="Arial" w:cs="Arial"/>
          <w:i/>
          <w:iCs/>
          <w:color w:val="333333"/>
          <w:sz w:val="16"/>
          <w:szCs w:val="16"/>
        </w:rPr>
        <w:t>non-U.S. government debt.</w:t>
      </w:r>
    </w:p>
    <w:p w14:paraId="36CA3BD7" w14:textId="77777777" w:rsidR="00787570" w:rsidRDefault="000D56E2">
      <w:pPr>
        <w:spacing w:after="180"/>
        <w:ind w:hanging="180"/>
      </w:pPr>
      <w:r>
        <w:rPr>
          <w:rFonts w:ascii="Arial" w:eastAsia="宋体" w:hAnsi="Arial" w:cs="Arial"/>
          <w:i/>
          <w:iCs/>
          <w:color w:val="333333"/>
          <w:sz w:val="10"/>
          <w:szCs w:val="10"/>
        </w:rPr>
        <w:t>3</w:t>
      </w:r>
      <w:r>
        <w:rPr>
          <w:rFonts w:ascii="Arial" w:eastAsia="宋体" w:hAnsi="Arial" w:cs="Arial"/>
          <w:i/>
          <w:iCs/>
          <w:color w:val="333333"/>
          <w:sz w:val="16"/>
          <w:szCs w:val="16"/>
        </w:rPr>
        <w:t>The fair value of our loans receivable for which we elected the fair value option did not significantly differ from the contractual principal balance based on the contractual currency.</w:t>
      </w:r>
    </w:p>
    <w:p w14:paraId="36CA3BD8" w14:textId="77777777" w:rsidR="00787570" w:rsidRDefault="00787570">
      <w:pPr>
        <w:spacing w:after="180"/>
      </w:pPr>
    </w:p>
    <w:p w14:paraId="36CA3BD9" w14:textId="77777777" w:rsidR="00787570" w:rsidRDefault="00787570">
      <w:pPr>
        <w:spacing w:after="180"/>
      </w:pPr>
    </w:p>
    <w:p w14:paraId="36CA3BDA" w14:textId="77777777" w:rsidR="00787570" w:rsidRDefault="00787570">
      <w:pPr>
        <w:spacing w:after="180"/>
      </w:pPr>
    </w:p>
    <w:p w14:paraId="36CA3BDB" w14:textId="77777777" w:rsidR="00787570" w:rsidRDefault="00787570">
      <w:pPr>
        <w:spacing w:after="180"/>
      </w:pPr>
    </w:p>
    <w:p w14:paraId="36CA3BDC" w14:textId="77777777" w:rsidR="00787570" w:rsidRDefault="00787570">
      <w:pPr>
        <w:spacing w:after="180"/>
      </w:pPr>
    </w:p>
    <w:p w14:paraId="36CA3BDD" w14:textId="77777777" w:rsidR="00787570" w:rsidRDefault="00787570">
      <w:pPr>
        <w:spacing w:after="180"/>
      </w:pPr>
    </w:p>
    <w:p w14:paraId="36CA3BDE" w14:textId="77777777" w:rsidR="00787570" w:rsidRDefault="00787570">
      <w:pPr>
        <w:spacing w:after="180"/>
      </w:pPr>
    </w:p>
    <w:tbl>
      <w:tblPr>
        <w:tblW w:w="5000" w:type="pct"/>
        <w:tblCellMar>
          <w:top w:w="15" w:type="dxa"/>
          <w:left w:w="15" w:type="dxa"/>
          <w:bottom w:w="15" w:type="dxa"/>
          <w:right w:w="15" w:type="dxa"/>
        </w:tblCellMar>
        <w:tblLook w:val="04A0" w:firstRow="1" w:lastRow="0" w:firstColumn="1" w:lastColumn="0" w:noHBand="0" w:noVBand="1"/>
      </w:tblPr>
      <w:tblGrid>
        <w:gridCol w:w="86"/>
        <w:gridCol w:w="426"/>
        <w:gridCol w:w="36"/>
        <w:gridCol w:w="62"/>
        <w:gridCol w:w="1676"/>
        <w:gridCol w:w="36"/>
        <w:gridCol w:w="62"/>
        <w:gridCol w:w="3655"/>
        <w:gridCol w:w="36"/>
        <w:gridCol w:w="63"/>
        <w:gridCol w:w="2162"/>
        <w:gridCol w:w="36"/>
      </w:tblGrid>
      <w:tr w:rsidR="00787570" w14:paraId="36CA3BEB" w14:textId="77777777">
        <w:tc>
          <w:tcPr>
            <w:tcW w:w="50" w:type="pct"/>
            <w:shd w:val="clear" w:color="auto" w:fill="auto"/>
            <w:vAlign w:val="bottom"/>
          </w:tcPr>
          <w:p w14:paraId="36CA3BDF" w14:textId="77777777" w:rsidR="00787570" w:rsidRDefault="00787570">
            <w:pPr>
              <w:rPr>
                <w:rFonts w:ascii="宋体"/>
              </w:rPr>
            </w:pPr>
          </w:p>
        </w:tc>
        <w:tc>
          <w:tcPr>
            <w:tcW w:w="248" w:type="pct"/>
            <w:shd w:val="clear" w:color="auto" w:fill="auto"/>
            <w:vAlign w:val="bottom"/>
          </w:tcPr>
          <w:p w14:paraId="36CA3BE0" w14:textId="77777777" w:rsidR="00787570" w:rsidRDefault="00787570">
            <w:pPr>
              <w:rPr>
                <w:rFonts w:ascii="宋体"/>
              </w:rPr>
            </w:pPr>
          </w:p>
        </w:tc>
        <w:tc>
          <w:tcPr>
            <w:tcW w:w="5" w:type="pct"/>
            <w:shd w:val="clear" w:color="auto" w:fill="auto"/>
            <w:vAlign w:val="bottom"/>
          </w:tcPr>
          <w:p w14:paraId="36CA3BE1" w14:textId="77777777" w:rsidR="00787570" w:rsidRDefault="00787570">
            <w:pPr>
              <w:rPr>
                <w:rFonts w:ascii="宋体"/>
              </w:rPr>
            </w:pPr>
          </w:p>
        </w:tc>
        <w:tc>
          <w:tcPr>
            <w:tcW w:w="50" w:type="pct"/>
            <w:shd w:val="clear" w:color="auto" w:fill="auto"/>
            <w:vAlign w:val="bottom"/>
          </w:tcPr>
          <w:p w14:paraId="36CA3BE2" w14:textId="77777777" w:rsidR="00787570" w:rsidRDefault="00787570">
            <w:pPr>
              <w:rPr>
                <w:rFonts w:ascii="宋体"/>
              </w:rPr>
            </w:pPr>
          </w:p>
        </w:tc>
        <w:tc>
          <w:tcPr>
            <w:tcW w:w="1018" w:type="pct"/>
            <w:shd w:val="clear" w:color="auto" w:fill="auto"/>
            <w:vAlign w:val="bottom"/>
          </w:tcPr>
          <w:p w14:paraId="36CA3BE3" w14:textId="77777777" w:rsidR="00787570" w:rsidRDefault="00787570">
            <w:pPr>
              <w:rPr>
                <w:rFonts w:ascii="宋体"/>
              </w:rPr>
            </w:pPr>
          </w:p>
        </w:tc>
        <w:tc>
          <w:tcPr>
            <w:tcW w:w="5" w:type="pct"/>
            <w:shd w:val="clear" w:color="auto" w:fill="auto"/>
            <w:vAlign w:val="bottom"/>
          </w:tcPr>
          <w:p w14:paraId="36CA3BE4" w14:textId="77777777" w:rsidR="00787570" w:rsidRDefault="00787570">
            <w:pPr>
              <w:rPr>
                <w:rFonts w:ascii="宋体"/>
              </w:rPr>
            </w:pPr>
          </w:p>
        </w:tc>
        <w:tc>
          <w:tcPr>
            <w:tcW w:w="50" w:type="pct"/>
            <w:shd w:val="clear" w:color="auto" w:fill="auto"/>
            <w:vAlign w:val="bottom"/>
          </w:tcPr>
          <w:p w14:paraId="36CA3BE5" w14:textId="77777777" w:rsidR="00787570" w:rsidRDefault="00787570">
            <w:pPr>
              <w:rPr>
                <w:rFonts w:ascii="宋体"/>
              </w:rPr>
            </w:pPr>
          </w:p>
        </w:tc>
        <w:tc>
          <w:tcPr>
            <w:tcW w:w="2204" w:type="pct"/>
            <w:shd w:val="clear" w:color="auto" w:fill="auto"/>
            <w:vAlign w:val="bottom"/>
          </w:tcPr>
          <w:p w14:paraId="36CA3BE6" w14:textId="77777777" w:rsidR="00787570" w:rsidRDefault="00787570">
            <w:pPr>
              <w:rPr>
                <w:rFonts w:ascii="宋体"/>
              </w:rPr>
            </w:pPr>
          </w:p>
        </w:tc>
        <w:tc>
          <w:tcPr>
            <w:tcW w:w="5" w:type="pct"/>
            <w:shd w:val="clear" w:color="auto" w:fill="auto"/>
            <w:vAlign w:val="bottom"/>
          </w:tcPr>
          <w:p w14:paraId="36CA3BE7" w14:textId="77777777" w:rsidR="00787570" w:rsidRDefault="00787570">
            <w:pPr>
              <w:rPr>
                <w:rFonts w:ascii="宋体"/>
              </w:rPr>
            </w:pPr>
          </w:p>
        </w:tc>
        <w:tc>
          <w:tcPr>
            <w:tcW w:w="50" w:type="pct"/>
            <w:shd w:val="clear" w:color="auto" w:fill="auto"/>
            <w:vAlign w:val="bottom"/>
          </w:tcPr>
          <w:p w14:paraId="36CA3BE8" w14:textId="77777777" w:rsidR="00787570" w:rsidRDefault="00787570">
            <w:pPr>
              <w:rPr>
                <w:rFonts w:ascii="宋体"/>
              </w:rPr>
            </w:pPr>
          </w:p>
        </w:tc>
        <w:tc>
          <w:tcPr>
            <w:tcW w:w="1308" w:type="pct"/>
            <w:shd w:val="clear" w:color="auto" w:fill="auto"/>
            <w:vAlign w:val="bottom"/>
          </w:tcPr>
          <w:p w14:paraId="36CA3BE9" w14:textId="77777777" w:rsidR="00787570" w:rsidRDefault="00787570">
            <w:pPr>
              <w:rPr>
                <w:rFonts w:ascii="宋体"/>
              </w:rPr>
            </w:pPr>
          </w:p>
        </w:tc>
        <w:tc>
          <w:tcPr>
            <w:tcW w:w="5" w:type="pct"/>
            <w:shd w:val="clear" w:color="auto" w:fill="auto"/>
            <w:vAlign w:val="bottom"/>
          </w:tcPr>
          <w:p w14:paraId="36CA3BEA" w14:textId="77777777" w:rsidR="00787570" w:rsidRDefault="00787570">
            <w:pPr>
              <w:rPr>
                <w:rFonts w:ascii="宋体"/>
              </w:rPr>
            </w:pPr>
          </w:p>
        </w:tc>
      </w:tr>
      <w:tr w:rsidR="00787570" w14:paraId="36CA3BF0" w14:textId="77777777">
        <w:tc>
          <w:tcPr>
            <w:tcW w:w="0" w:type="auto"/>
            <w:gridSpan w:val="3"/>
            <w:tcBorders>
              <w:top w:val="single" w:sz="8" w:space="0" w:color="0071C5"/>
            </w:tcBorders>
            <w:shd w:val="clear" w:color="auto" w:fill="auto"/>
            <w:tcMar>
              <w:left w:w="20" w:type="dxa"/>
              <w:right w:w="20" w:type="dxa"/>
            </w:tcMar>
            <w:vAlign w:val="center"/>
          </w:tcPr>
          <w:p w14:paraId="36CA3BEC" w14:textId="77777777" w:rsidR="00787570" w:rsidRDefault="000D56E2">
            <w:pPr>
              <w:textAlignment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Viewer9_files/intc-20200926_g2.jpg"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36CA5C1E" wp14:editId="36CA5C1F">
                  <wp:extent cx="304800" cy="304800"/>
                  <wp:effectExtent l="0" t="0" r="0" b="0"/>
                  <wp:docPr id="29" name="图片 77" descr="IMG_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77" descr="IMG_329"/>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8" w:space="0" w:color="0071C5"/>
            </w:tcBorders>
            <w:shd w:val="clear" w:color="auto" w:fill="auto"/>
            <w:tcMar>
              <w:top w:w="40" w:type="dxa"/>
              <w:left w:w="20" w:type="dxa"/>
              <w:bottom w:w="40" w:type="dxa"/>
              <w:right w:w="20" w:type="dxa"/>
            </w:tcMar>
            <w:vAlign w:val="center"/>
          </w:tcPr>
          <w:p w14:paraId="36CA3BED" w14:textId="77777777" w:rsidR="00787570" w:rsidRDefault="000D56E2">
            <w:pPr>
              <w:textAlignment w:val="center"/>
            </w:pPr>
            <w:r>
              <w:rPr>
                <w:rFonts w:ascii="Arial" w:eastAsia="宋体" w:hAnsi="Arial" w:cs="Arial"/>
                <w:color w:val="333333"/>
                <w:sz w:val="16"/>
                <w:szCs w:val="16"/>
              </w:rPr>
              <w:t> FINANCIAL STATEMENTS</w:t>
            </w:r>
          </w:p>
        </w:tc>
        <w:tc>
          <w:tcPr>
            <w:tcW w:w="0" w:type="auto"/>
            <w:gridSpan w:val="3"/>
            <w:tcBorders>
              <w:top w:val="single" w:sz="8" w:space="0" w:color="0071C5"/>
              <w:left w:val="single" w:sz="24" w:space="0" w:color="0071C5"/>
            </w:tcBorders>
            <w:shd w:val="clear" w:color="auto" w:fill="auto"/>
            <w:tcMar>
              <w:top w:w="40" w:type="dxa"/>
              <w:left w:w="20" w:type="dxa"/>
              <w:bottom w:w="40" w:type="dxa"/>
              <w:right w:w="20" w:type="dxa"/>
            </w:tcMar>
            <w:vAlign w:val="center"/>
          </w:tcPr>
          <w:p w14:paraId="36CA3BEE" w14:textId="77777777" w:rsidR="00787570" w:rsidRDefault="000D56E2">
            <w:pPr>
              <w:textAlignment w:val="center"/>
            </w:pPr>
            <w:r>
              <w:rPr>
                <w:rFonts w:ascii="Arial" w:eastAsia="宋体" w:hAnsi="Arial" w:cs="Arial"/>
                <w:color w:val="333333"/>
                <w:sz w:val="16"/>
                <w:szCs w:val="16"/>
              </w:rPr>
              <w:t>  Notes to Financial Statements</w:t>
            </w:r>
          </w:p>
        </w:tc>
        <w:tc>
          <w:tcPr>
            <w:tcW w:w="0" w:type="auto"/>
            <w:gridSpan w:val="3"/>
            <w:tcBorders>
              <w:top w:val="single" w:sz="8" w:space="0" w:color="0071C5"/>
            </w:tcBorders>
            <w:shd w:val="clear" w:color="auto" w:fill="auto"/>
            <w:tcMar>
              <w:top w:w="40" w:type="dxa"/>
              <w:left w:w="20" w:type="dxa"/>
              <w:bottom w:w="40" w:type="dxa"/>
              <w:right w:w="20" w:type="dxa"/>
            </w:tcMar>
            <w:vAlign w:val="center"/>
          </w:tcPr>
          <w:p w14:paraId="36CA3BEF" w14:textId="77777777" w:rsidR="00787570" w:rsidRDefault="000D56E2">
            <w:pPr>
              <w:jc w:val="right"/>
              <w:textAlignment w:val="center"/>
            </w:pPr>
            <w:r>
              <w:rPr>
                <w:rFonts w:ascii="Arial" w:eastAsia="宋体" w:hAnsi="Arial" w:cs="Arial"/>
                <w:color w:val="333333"/>
                <w:sz w:val="16"/>
                <w:szCs w:val="16"/>
              </w:rPr>
              <w:t>19</w:t>
            </w:r>
          </w:p>
        </w:tc>
      </w:tr>
    </w:tbl>
    <w:p w14:paraId="36CA3BF1" w14:textId="77777777" w:rsidR="00787570" w:rsidRDefault="000D56E2">
      <w:r>
        <w:pict w14:anchorId="36CA5C20">
          <v:rect id="_x0000_i1045" style="width:415.3pt;height:1.5pt" o:hralign="center" o:hrstd="t" o:hr="t" fillcolor="#a0a0a0" stroked="f"/>
        </w:pict>
      </w:r>
    </w:p>
    <w:p w14:paraId="36CA3BF2" w14:textId="77777777" w:rsidR="00787570" w:rsidRDefault="000D56E2">
      <w:pPr>
        <w:spacing w:after="180"/>
        <w:jc w:val="right"/>
      </w:pPr>
      <w:hyperlink r:id="rId47" w:anchor="i32771df14e9449d2bec5be911426bf04_7" w:history="1">
        <w:r>
          <w:rPr>
            <w:rStyle w:val="a5"/>
            <w:rFonts w:ascii="Arial" w:eastAsia="宋体" w:hAnsi="Arial" w:cs="Arial"/>
            <w:b/>
            <w:bCs/>
            <w:sz w:val="16"/>
            <w:szCs w:val="16"/>
          </w:rPr>
          <w:t>Table of Contents</w:t>
        </w:r>
      </w:hyperlink>
    </w:p>
    <w:p w14:paraId="36CA3BF3" w14:textId="77777777" w:rsidR="00787570" w:rsidRDefault="00787570">
      <w:pPr>
        <w:spacing w:after="180"/>
        <w:jc w:val="right"/>
      </w:pPr>
    </w:p>
    <w:p w14:paraId="36CA3BF4" w14:textId="77777777" w:rsidR="00787570" w:rsidRDefault="000D56E2">
      <w:pPr>
        <w:spacing w:after="180"/>
      </w:pPr>
      <w:r>
        <w:rPr>
          <w:rFonts w:ascii="Arial" w:eastAsia="宋体" w:hAnsi="Arial" w:cs="Arial"/>
          <w:b/>
          <w:bCs/>
          <w:color w:val="0071C5"/>
        </w:rPr>
        <w:t>ASSETS MEASURED AND RECORDED AT FAIR VALUE ON A NON-RECURRING BASIS</w:t>
      </w:r>
    </w:p>
    <w:p w14:paraId="36CA3BF5" w14:textId="77777777" w:rsidR="00787570" w:rsidRDefault="000D56E2">
      <w:pPr>
        <w:spacing w:after="180"/>
      </w:pPr>
      <w:r>
        <w:rPr>
          <w:rFonts w:ascii="Arial" w:eastAsia="宋体" w:hAnsi="Arial" w:cs="Arial"/>
          <w:color w:val="333333"/>
          <w:sz w:val="18"/>
          <w:szCs w:val="18"/>
        </w:rPr>
        <w:t>Our non-marketable equity securities, equity method investments, and certain non-financial assets, such as intangible assets and property, plant and equipment, are recorded at fair value only if an impairment or observable price adjustment is recognized in</w:t>
      </w:r>
      <w:r>
        <w:rPr>
          <w:rFonts w:ascii="Arial" w:eastAsia="宋体" w:hAnsi="Arial" w:cs="Arial"/>
          <w:color w:val="333333"/>
          <w:sz w:val="18"/>
          <w:szCs w:val="18"/>
        </w:rPr>
        <w:t xml:space="preserve"> the current period. If an observable price adjustment or impairment is recognized on our non-marketable equity securities during the period, we classify these assets as Level 3 within the fair value hierarchy based on the nature of the fair value inputs. </w:t>
      </w:r>
    </w:p>
    <w:p w14:paraId="36CA3BF6" w14:textId="77777777" w:rsidR="00787570" w:rsidRDefault="000D56E2">
      <w:pPr>
        <w:spacing w:after="180"/>
      </w:pPr>
      <w:r>
        <w:rPr>
          <w:rFonts w:ascii="Arial" w:eastAsia="宋体" w:hAnsi="Arial" w:cs="Arial"/>
          <w:b/>
          <w:bCs/>
          <w:color w:val="0071C5"/>
        </w:rPr>
        <w:t>FINANCIAL INSTRUMENTS NOT RECORDED AT FAIR VALUE ON A RECURRING BASIS</w:t>
      </w:r>
    </w:p>
    <w:p w14:paraId="36CA3BF7" w14:textId="77777777" w:rsidR="00787570" w:rsidRDefault="000D56E2">
      <w:pPr>
        <w:spacing w:after="180"/>
      </w:pPr>
      <w:r>
        <w:rPr>
          <w:rFonts w:ascii="Arial" w:eastAsia="宋体" w:hAnsi="Arial" w:cs="Arial"/>
          <w:color w:val="333333"/>
          <w:sz w:val="18"/>
          <w:szCs w:val="18"/>
        </w:rPr>
        <w:t>Financial instruments not recorded at fair value on a recurring basis include non-marketable equity securities and equity method investments that have not been remeasured or impaired in</w:t>
      </w:r>
      <w:r>
        <w:rPr>
          <w:rFonts w:ascii="Arial" w:eastAsia="宋体" w:hAnsi="Arial" w:cs="Arial"/>
          <w:color w:val="333333"/>
          <w:sz w:val="18"/>
          <w:szCs w:val="18"/>
        </w:rPr>
        <w:t xml:space="preserve"> the current period, grants receivable, reverse repurchase agreements with original maturities greater than three months, and issued debt.</w:t>
      </w:r>
    </w:p>
    <w:p w14:paraId="36CA3BF8" w14:textId="77777777" w:rsidR="00787570" w:rsidRDefault="000D56E2">
      <w:pPr>
        <w:spacing w:after="180"/>
      </w:pPr>
      <w:r>
        <w:rPr>
          <w:rFonts w:ascii="Arial" w:eastAsia="宋体" w:hAnsi="Arial" w:cs="Arial"/>
          <w:color w:val="333333"/>
          <w:sz w:val="18"/>
          <w:szCs w:val="18"/>
        </w:rPr>
        <w:t>As of September 26, 2020, the aggregate carrying value of grants receivable and reverse repurchase agreements with or</w:t>
      </w:r>
      <w:r>
        <w:rPr>
          <w:rFonts w:ascii="Arial" w:eastAsia="宋体" w:hAnsi="Arial" w:cs="Arial"/>
          <w:color w:val="333333"/>
          <w:sz w:val="18"/>
          <w:szCs w:val="18"/>
        </w:rPr>
        <w:t>iginal maturities greater than three months was $206 million ($543 million as of December 28, 2019). The estimated fair value of these financial instruments approximates their carrying value and is categorized as Level 2 within the fair value hierarchy bas</w:t>
      </w:r>
      <w:r>
        <w:rPr>
          <w:rFonts w:ascii="Arial" w:eastAsia="宋体" w:hAnsi="Arial" w:cs="Arial"/>
          <w:color w:val="333333"/>
          <w:sz w:val="18"/>
          <w:szCs w:val="18"/>
        </w:rPr>
        <w:t>ed on the nature of the fair value inputs.</w:t>
      </w:r>
    </w:p>
    <w:p w14:paraId="36CA3BF9" w14:textId="77777777" w:rsidR="00787570" w:rsidRDefault="000D56E2">
      <w:pPr>
        <w:spacing w:after="180"/>
      </w:pPr>
      <w:r>
        <w:rPr>
          <w:rFonts w:ascii="Arial" w:eastAsia="宋体" w:hAnsi="Arial" w:cs="Arial"/>
          <w:color w:val="333333"/>
          <w:sz w:val="18"/>
          <w:szCs w:val="18"/>
        </w:rPr>
        <w:t>As of September 26, 2020, the fair value of our issued debt was</w:t>
      </w:r>
      <w:r>
        <w:rPr>
          <w:rFonts w:ascii="Arial" w:eastAsia="宋体" w:hAnsi="Arial" w:cs="Arial"/>
          <w:b/>
          <w:bCs/>
          <w:color w:val="333333"/>
          <w:sz w:val="18"/>
          <w:szCs w:val="18"/>
        </w:rPr>
        <w:t xml:space="preserve"> </w:t>
      </w:r>
      <w:r>
        <w:rPr>
          <w:rFonts w:ascii="Arial" w:eastAsia="宋体" w:hAnsi="Arial" w:cs="Arial"/>
          <w:color w:val="333333"/>
          <w:sz w:val="18"/>
          <w:szCs w:val="18"/>
        </w:rPr>
        <w:t>$41.0 billion</w:t>
      </w:r>
      <w:r>
        <w:rPr>
          <w:rFonts w:ascii="Arial" w:eastAsia="宋体" w:hAnsi="Arial" w:cs="Arial"/>
          <w:b/>
          <w:bCs/>
          <w:color w:val="333333"/>
          <w:sz w:val="18"/>
          <w:szCs w:val="18"/>
        </w:rPr>
        <w:t xml:space="preserve"> </w:t>
      </w:r>
      <w:r>
        <w:rPr>
          <w:rFonts w:ascii="Arial" w:eastAsia="宋体" w:hAnsi="Arial" w:cs="Arial"/>
          <w:color w:val="333333"/>
          <w:sz w:val="18"/>
          <w:szCs w:val="18"/>
        </w:rPr>
        <w:t>($30.6 billion as of December 28, 2019). These liabilities are classified as Level 2 within the fair value hierarchy based on the natur</w:t>
      </w:r>
      <w:r>
        <w:rPr>
          <w:rFonts w:ascii="Arial" w:eastAsia="宋体" w:hAnsi="Arial" w:cs="Arial"/>
          <w:color w:val="333333"/>
          <w:sz w:val="18"/>
          <w:szCs w:val="18"/>
        </w:rPr>
        <w:t xml:space="preserve">e of the fair value inputs. </w:t>
      </w:r>
    </w:p>
    <w:tbl>
      <w:tblPr>
        <w:tblW w:w="5000" w:type="pct"/>
        <w:tblCellMar>
          <w:top w:w="15" w:type="dxa"/>
          <w:left w:w="15" w:type="dxa"/>
          <w:bottom w:w="15" w:type="dxa"/>
          <w:right w:w="15" w:type="dxa"/>
        </w:tblCellMar>
        <w:tblLook w:val="04A0" w:firstRow="1" w:lastRow="0" w:firstColumn="1" w:lastColumn="0" w:noHBand="0" w:noVBand="1"/>
      </w:tblPr>
      <w:tblGrid>
        <w:gridCol w:w="69"/>
        <w:gridCol w:w="998"/>
        <w:gridCol w:w="36"/>
        <w:gridCol w:w="69"/>
        <w:gridCol w:w="7128"/>
        <w:gridCol w:w="36"/>
      </w:tblGrid>
      <w:tr w:rsidR="00787570" w14:paraId="36CA3C00" w14:textId="77777777">
        <w:tc>
          <w:tcPr>
            <w:tcW w:w="50" w:type="pct"/>
            <w:shd w:val="clear" w:color="auto" w:fill="auto"/>
          </w:tcPr>
          <w:p w14:paraId="36CA3BFA" w14:textId="77777777" w:rsidR="00787570" w:rsidRDefault="00787570">
            <w:pPr>
              <w:rPr>
                <w:rFonts w:ascii="宋体"/>
              </w:rPr>
            </w:pPr>
          </w:p>
        </w:tc>
        <w:tc>
          <w:tcPr>
            <w:tcW w:w="607" w:type="pct"/>
            <w:shd w:val="clear" w:color="auto" w:fill="auto"/>
          </w:tcPr>
          <w:p w14:paraId="36CA3BFB" w14:textId="77777777" w:rsidR="00787570" w:rsidRDefault="00787570">
            <w:pPr>
              <w:rPr>
                <w:rFonts w:ascii="宋体"/>
              </w:rPr>
            </w:pPr>
          </w:p>
        </w:tc>
        <w:tc>
          <w:tcPr>
            <w:tcW w:w="5" w:type="pct"/>
            <w:shd w:val="clear" w:color="auto" w:fill="auto"/>
          </w:tcPr>
          <w:p w14:paraId="36CA3BFC" w14:textId="77777777" w:rsidR="00787570" w:rsidRDefault="00787570">
            <w:pPr>
              <w:rPr>
                <w:rFonts w:ascii="宋体"/>
              </w:rPr>
            </w:pPr>
          </w:p>
        </w:tc>
        <w:tc>
          <w:tcPr>
            <w:tcW w:w="50" w:type="pct"/>
            <w:shd w:val="clear" w:color="auto" w:fill="auto"/>
          </w:tcPr>
          <w:p w14:paraId="36CA3BFD" w14:textId="77777777" w:rsidR="00787570" w:rsidRDefault="00787570">
            <w:pPr>
              <w:rPr>
                <w:rFonts w:ascii="宋体"/>
              </w:rPr>
            </w:pPr>
          </w:p>
        </w:tc>
        <w:tc>
          <w:tcPr>
            <w:tcW w:w="4282" w:type="pct"/>
            <w:shd w:val="clear" w:color="auto" w:fill="auto"/>
          </w:tcPr>
          <w:p w14:paraId="36CA3BFE" w14:textId="77777777" w:rsidR="00787570" w:rsidRDefault="00787570">
            <w:pPr>
              <w:rPr>
                <w:rFonts w:ascii="宋体"/>
              </w:rPr>
            </w:pPr>
          </w:p>
        </w:tc>
        <w:tc>
          <w:tcPr>
            <w:tcW w:w="5" w:type="pct"/>
            <w:shd w:val="clear" w:color="auto" w:fill="auto"/>
          </w:tcPr>
          <w:p w14:paraId="36CA3BFF" w14:textId="77777777" w:rsidR="00787570" w:rsidRDefault="00787570">
            <w:pPr>
              <w:rPr>
                <w:rFonts w:ascii="宋体"/>
              </w:rPr>
            </w:pPr>
          </w:p>
        </w:tc>
      </w:tr>
      <w:tr w:rsidR="00787570" w14:paraId="36CA3C03" w14:textId="77777777">
        <w:tc>
          <w:tcPr>
            <w:tcW w:w="0" w:type="auto"/>
            <w:gridSpan w:val="3"/>
            <w:tcBorders>
              <w:bottom w:val="single" w:sz="8" w:space="0" w:color="0071C5"/>
            </w:tcBorders>
            <w:shd w:val="clear" w:color="auto" w:fill="0071C5"/>
            <w:tcMar>
              <w:top w:w="40" w:type="dxa"/>
              <w:left w:w="20" w:type="dxa"/>
              <w:bottom w:w="40" w:type="dxa"/>
              <w:right w:w="20" w:type="dxa"/>
            </w:tcMar>
            <w:vAlign w:val="bottom"/>
          </w:tcPr>
          <w:p w14:paraId="36CA3C01" w14:textId="77777777" w:rsidR="00787570" w:rsidRDefault="000D56E2">
            <w:pPr>
              <w:textAlignment w:val="bottom"/>
            </w:pPr>
            <w:r>
              <w:rPr>
                <w:rFonts w:ascii="Arial" w:eastAsia="宋体" w:hAnsi="Arial" w:cs="Arial"/>
                <w:b/>
                <w:bCs/>
                <w:color w:val="FFFFFF"/>
                <w:sz w:val="28"/>
                <w:szCs w:val="28"/>
              </w:rPr>
              <w:t xml:space="preserve">NOTE 11 : </w:t>
            </w:r>
          </w:p>
        </w:tc>
        <w:tc>
          <w:tcPr>
            <w:tcW w:w="0" w:type="auto"/>
            <w:gridSpan w:val="3"/>
            <w:tcBorders>
              <w:bottom w:val="single" w:sz="8" w:space="0" w:color="0071C5"/>
            </w:tcBorders>
            <w:shd w:val="clear" w:color="auto" w:fill="auto"/>
            <w:tcMar>
              <w:top w:w="40" w:type="dxa"/>
              <w:left w:w="20" w:type="dxa"/>
              <w:bottom w:w="40" w:type="dxa"/>
              <w:right w:w="20" w:type="dxa"/>
            </w:tcMar>
            <w:vAlign w:val="bottom"/>
          </w:tcPr>
          <w:p w14:paraId="36CA3C02" w14:textId="77777777" w:rsidR="00787570" w:rsidRDefault="000D56E2">
            <w:pPr>
              <w:textAlignment w:val="bottom"/>
            </w:pPr>
            <w:r>
              <w:rPr>
                <w:rFonts w:ascii="Arial" w:eastAsia="宋体" w:hAnsi="Arial" w:cs="Arial"/>
                <w:b/>
                <w:bCs/>
                <w:color w:val="0071C5"/>
                <w:sz w:val="28"/>
                <w:szCs w:val="28"/>
              </w:rPr>
              <w:t>OTHER COMPREHENSIVE INCOME (LOSS)</w:t>
            </w:r>
          </w:p>
        </w:tc>
      </w:tr>
    </w:tbl>
    <w:p w14:paraId="36CA3C04" w14:textId="77777777" w:rsidR="00787570" w:rsidRDefault="000D56E2">
      <w:pPr>
        <w:spacing w:before="180" w:after="120"/>
      </w:pPr>
      <w:r>
        <w:rPr>
          <w:rFonts w:ascii="Arial" w:eastAsia="宋体" w:hAnsi="Arial" w:cs="Arial"/>
          <w:color w:val="333333"/>
          <w:sz w:val="18"/>
          <w:szCs w:val="18"/>
        </w:rPr>
        <w:t>The changes in accumulated other comprehensive income (loss) by component and related tax effects in the first nine months of 2020 were as follows:</w:t>
      </w:r>
    </w:p>
    <w:tbl>
      <w:tblPr>
        <w:tblW w:w="5000" w:type="pct"/>
        <w:tblCellMar>
          <w:top w:w="15" w:type="dxa"/>
          <w:left w:w="15" w:type="dxa"/>
          <w:bottom w:w="15" w:type="dxa"/>
          <w:right w:w="15" w:type="dxa"/>
        </w:tblCellMar>
        <w:tblLook w:val="04A0" w:firstRow="1" w:lastRow="0" w:firstColumn="1" w:lastColumn="0" w:noHBand="0" w:noVBand="1"/>
      </w:tblPr>
      <w:tblGrid>
        <w:gridCol w:w="40"/>
        <w:gridCol w:w="3654"/>
        <w:gridCol w:w="39"/>
        <w:gridCol w:w="36"/>
        <w:gridCol w:w="36"/>
        <w:gridCol w:w="36"/>
        <w:gridCol w:w="36"/>
        <w:gridCol w:w="36"/>
        <w:gridCol w:w="36"/>
        <w:gridCol w:w="36"/>
        <w:gridCol w:w="137"/>
        <w:gridCol w:w="907"/>
        <w:gridCol w:w="41"/>
        <w:gridCol w:w="36"/>
        <w:gridCol w:w="36"/>
        <w:gridCol w:w="36"/>
        <w:gridCol w:w="137"/>
        <w:gridCol w:w="798"/>
        <w:gridCol w:w="41"/>
        <w:gridCol w:w="36"/>
        <w:gridCol w:w="36"/>
        <w:gridCol w:w="36"/>
        <w:gridCol w:w="137"/>
        <w:gridCol w:w="1025"/>
        <w:gridCol w:w="41"/>
        <w:gridCol w:w="36"/>
        <w:gridCol w:w="36"/>
        <w:gridCol w:w="36"/>
        <w:gridCol w:w="136"/>
        <w:gridCol w:w="586"/>
        <w:gridCol w:w="41"/>
      </w:tblGrid>
      <w:tr w:rsidR="00787570" w14:paraId="36CA3C24" w14:textId="77777777">
        <w:tc>
          <w:tcPr>
            <w:tcW w:w="50" w:type="pct"/>
            <w:shd w:val="clear" w:color="auto" w:fill="auto"/>
          </w:tcPr>
          <w:p w14:paraId="36CA3C05" w14:textId="77777777" w:rsidR="00787570" w:rsidRDefault="00787570">
            <w:pPr>
              <w:rPr>
                <w:rFonts w:ascii="宋体"/>
              </w:rPr>
            </w:pPr>
          </w:p>
        </w:tc>
        <w:tc>
          <w:tcPr>
            <w:tcW w:w="2458" w:type="pct"/>
            <w:shd w:val="clear" w:color="auto" w:fill="auto"/>
          </w:tcPr>
          <w:p w14:paraId="36CA3C06" w14:textId="77777777" w:rsidR="00787570" w:rsidRDefault="00787570">
            <w:pPr>
              <w:rPr>
                <w:rFonts w:ascii="宋体"/>
              </w:rPr>
            </w:pPr>
          </w:p>
        </w:tc>
        <w:tc>
          <w:tcPr>
            <w:tcW w:w="5" w:type="pct"/>
            <w:shd w:val="clear" w:color="auto" w:fill="auto"/>
          </w:tcPr>
          <w:p w14:paraId="36CA3C07" w14:textId="77777777" w:rsidR="00787570" w:rsidRDefault="00787570">
            <w:pPr>
              <w:rPr>
                <w:rFonts w:ascii="宋体"/>
              </w:rPr>
            </w:pPr>
          </w:p>
        </w:tc>
        <w:tc>
          <w:tcPr>
            <w:tcW w:w="0" w:type="auto"/>
            <w:shd w:val="clear" w:color="auto" w:fill="auto"/>
          </w:tcPr>
          <w:p w14:paraId="36CA3C08" w14:textId="77777777" w:rsidR="00787570" w:rsidRDefault="00787570">
            <w:pPr>
              <w:rPr>
                <w:rFonts w:ascii="宋体"/>
                <w:vanish/>
              </w:rPr>
            </w:pPr>
          </w:p>
        </w:tc>
        <w:tc>
          <w:tcPr>
            <w:tcW w:w="0" w:type="auto"/>
            <w:shd w:val="clear" w:color="auto" w:fill="auto"/>
          </w:tcPr>
          <w:p w14:paraId="36CA3C09" w14:textId="77777777" w:rsidR="00787570" w:rsidRDefault="00787570">
            <w:pPr>
              <w:rPr>
                <w:rFonts w:ascii="宋体"/>
                <w:vanish/>
              </w:rPr>
            </w:pPr>
          </w:p>
        </w:tc>
        <w:tc>
          <w:tcPr>
            <w:tcW w:w="0" w:type="auto"/>
            <w:shd w:val="clear" w:color="auto" w:fill="auto"/>
          </w:tcPr>
          <w:p w14:paraId="36CA3C0A" w14:textId="77777777" w:rsidR="00787570" w:rsidRDefault="00787570">
            <w:pPr>
              <w:rPr>
                <w:rFonts w:ascii="宋体"/>
                <w:vanish/>
              </w:rPr>
            </w:pPr>
          </w:p>
        </w:tc>
        <w:tc>
          <w:tcPr>
            <w:tcW w:w="0" w:type="auto"/>
            <w:shd w:val="clear" w:color="auto" w:fill="auto"/>
          </w:tcPr>
          <w:p w14:paraId="36CA3C0B" w14:textId="77777777" w:rsidR="00787570" w:rsidRDefault="00787570">
            <w:pPr>
              <w:rPr>
                <w:rFonts w:ascii="宋体"/>
                <w:vanish/>
              </w:rPr>
            </w:pPr>
          </w:p>
        </w:tc>
        <w:tc>
          <w:tcPr>
            <w:tcW w:w="5" w:type="pct"/>
            <w:shd w:val="clear" w:color="auto" w:fill="auto"/>
          </w:tcPr>
          <w:p w14:paraId="36CA3C0C" w14:textId="77777777" w:rsidR="00787570" w:rsidRDefault="00787570">
            <w:pPr>
              <w:rPr>
                <w:rFonts w:ascii="宋体"/>
              </w:rPr>
            </w:pPr>
          </w:p>
        </w:tc>
        <w:tc>
          <w:tcPr>
            <w:tcW w:w="24" w:type="pct"/>
            <w:shd w:val="clear" w:color="auto" w:fill="auto"/>
          </w:tcPr>
          <w:p w14:paraId="36CA3C0D" w14:textId="77777777" w:rsidR="00787570" w:rsidRDefault="00787570">
            <w:pPr>
              <w:rPr>
                <w:rFonts w:ascii="宋体"/>
              </w:rPr>
            </w:pPr>
          </w:p>
        </w:tc>
        <w:tc>
          <w:tcPr>
            <w:tcW w:w="5" w:type="pct"/>
            <w:shd w:val="clear" w:color="auto" w:fill="auto"/>
          </w:tcPr>
          <w:p w14:paraId="36CA3C0E" w14:textId="77777777" w:rsidR="00787570" w:rsidRDefault="00787570">
            <w:pPr>
              <w:rPr>
                <w:rFonts w:ascii="宋体"/>
              </w:rPr>
            </w:pPr>
          </w:p>
        </w:tc>
        <w:tc>
          <w:tcPr>
            <w:tcW w:w="50" w:type="pct"/>
            <w:shd w:val="clear" w:color="auto" w:fill="auto"/>
          </w:tcPr>
          <w:p w14:paraId="36CA3C0F" w14:textId="77777777" w:rsidR="00787570" w:rsidRDefault="00787570">
            <w:pPr>
              <w:rPr>
                <w:rFonts w:ascii="宋体"/>
              </w:rPr>
            </w:pPr>
          </w:p>
        </w:tc>
        <w:tc>
          <w:tcPr>
            <w:tcW w:w="532" w:type="pct"/>
            <w:shd w:val="clear" w:color="auto" w:fill="auto"/>
          </w:tcPr>
          <w:p w14:paraId="36CA3C10" w14:textId="77777777" w:rsidR="00787570" w:rsidRDefault="00787570">
            <w:pPr>
              <w:rPr>
                <w:rFonts w:ascii="宋体"/>
              </w:rPr>
            </w:pPr>
          </w:p>
        </w:tc>
        <w:tc>
          <w:tcPr>
            <w:tcW w:w="5" w:type="pct"/>
            <w:shd w:val="clear" w:color="auto" w:fill="auto"/>
          </w:tcPr>
          <w:p w14:paraId="36CA3C11" w14:textId="77777777" w:rsidR="00787570" w:rsidRDefault="00787570">
            <w:pPr>
              <w:rPr>
                <w:rFonts w:ascii="宋体"/>
              </w:rPr>
            </w:pPr>
          </w:p>
        </w:tc>
        <w:tc>
          <w:tcPr>
            <w:tcW w:w="5" w:type="pct"/>
            <w:shd w:val="clear" w:color="auto" w:fill="auto"/>
          </w:tcPr>
          <w:p w14:paraId="36CA3C12" w14:textId="77777777" w:rsidR="00787570" w:rsidRDefault="00787570">
            <w:pPr>
              <w:rPr>
                <w:rFonts w:ascii="宋体"/>
              </w:rPr>
            </w:pPr>
          </w:p>
        </w:tc>
        <w:tc>
          <w:tcPr>
            <w:tcW w:w="24" w:type="pct"/>
            <w:shd w:val="clear" w:color="auto" w:fill="auto"/>
          </w:tcPr>
          <w:p w14:paraId="36CA3C13" w14:textId="77777777" w:rsidR="00787570" w:rsidRDefault="00787570">
            <w:pPr>
              <w:rPr>
                <w:rFonts w:ascii="宋体"/>
              </w:rPr>
            </w:pPr>
          </w:p>
        </w:tc>
        <w:tc>
          <w:tcPr>
            <w:tcW w:w="5" w:type="pct"/>
            <w:shd w:val="clear" w:color="auto" w:fill="auto"/>
          </w:tcPr>
          <w:p w14:paraId="36CA3C14" w14:textId="77777777" w:rsidR="00787570" w:rsidRDefault="00787570">
            <w:pPr>
              <w:rPr>
                <w:rFonts w:ascii="宋体"/>
              </w:rPr>
            </w:pPr>
          </w:p>
        </w:tc>
        <w:tc>
          <w:tcPr>
            <w:tcW w:w="50" w:type="pct"/>
            <w:shd w:val="clear" w:color="auto" w:fill="auto"/>
          </w:tcPr>
          <w:p w14:paraId="36CA3C15" w14:textId="77777777" w:rsidR="00787570" w:rsidRDefault="00787570">
            <w:pPr>
              <w:rPr>
                <w:rFonts w:ascii="宋体"/>
              </w:rPr>
            </w:pPr>
          </w:p>
        </w:tc>
        <w:tc>
          <w:tcPr>
            <w:tcW w:w="532" w:type="pct"/>
            <w:shd w:val="clear" w:color="auto" w:fill="auto"/>
          </w:tcPr>
          <w:p w14:paraId="36CA3C16" w14:textId="77777777" w:rsidR="00787570" w:rsidRDefault="00787570">
            <w:pPr>
              <w:rPr>
                <w:rFonts w:ascii="宋体"/>
              </w:rPr>
            </w:pPr>
          </w:p>
        </w:tc>
        <w:tc>
          <w:tcPr>
            <w:tcW w:w="5" w:type="pct"/>
            <w:shd w:val="clear" w:color="auto" w:fill="auto"/>
          </w:tcPr>
          <w:p w14:paraId="36CA3C17" w14:textId="77777777" w:rsidR="00787570" w:rsidRDefault="00787570">
            <w:pPr>
              <w:rPr>
                <w:rFonts w:ascii="宋体"/>
              </w:rPr>
            </w:pPr>
          </w:p>
        </w:tc>
        <w:tc>
          <w:tcPr>
            <w:tcW w:w="5" w:type="pct"/>
            <w:shd w:val="clear" w:color="auto" w:fill="auto"/>
          </w:tcPr>
          <w:p w14:paraId="36CA3C18" w14:textId="77777777" w:rsidR="00787570" w:rsidRDefault="00787570">
            <w:pPr>
              <w:rPr>
                <w:rFonts w:ascii="宋体"/>
              </w:rPr>
            </w:pPr>
          </w:p>
        </w:tc>
        <w:tc>
          <w:tcPr>
            <w:tcW w:w="24" w:type="pct"/>
            <w:shd w:val="clear" w:color="auto" w:fill="auto"/>
          </w:tcPr>
          <w:p w14:paraId="36CA3C19" w14:textId="77777777" w:rsidR="00787570" w:rsidRDefault="00787570">
            <w:pPr>
              <w:rPr>
                <w:rFonts w:ascii="宋体"/>
              </w:rPr>
            </w:pPr>
          </w:p>
        </w:tc>
        <w:tc>
          <w:tcPr>
            <w:tcW w:w="5" w:type="pct"/>
            <w:shd w:val="clear" w:color="auto" w:fill="auto"/>
          </w:tcPr>
          <w:p w14:paraId="36CA3C1A" w14:textId="77777777" w:rsidR="00787570" w:rsidRDefault="00787570">
            <w:pPr>
              <w:rPr>
                <w:rFonts w:ascii="宋体"/>
              </w:rPr>
            </w:pPr>
          </w:p>
        </w:tc>
        <w:tc>
          <w:tcPr>
            <w:tcW w:w="50" w:type="pct"/>
            <w:shd w:val="clear" w:color="auto" w:fill="auto"/>
          </w:tcPr>
          <w:p w14:paraId="36CA3C1B" w14:textId="77777777" w:rsidR="00787570" w:rsidRDefault="00787570">
            <w:pPr>
              <w:rPr>
                <w:rFonts w:ascii="宋体"/>
              </w:rPr>
            </w:pPr>
          </w:p>
        </w:tc>
        <w:tc>
          <w:tcPr>
            <w:tcW w:w="532" w:type="pct"/>
            <w:shd w:val="clear" w:color="auto" w:fill="auto"/>
          </w:tcPr>
          <w:p w14:paraId="36CA3C1C" w14:textId="77777777" w:rsidR="00787570" w:rsidRDefault="00787570">
            <w:pPr>
              <w:rPr>
                <w:rFonts w:ascii="宋体"/>
              </w:rPr>
            </w:pPr>
          </w:p>
        </w:tc>
        <w:tc>
          <w:tcPr>
            <w:tcW w:w="5" w:type="pct"/>
            <w:shd w:val="clear" w:color="auto" w:fill="auto"/>
          </w:tcPr>
          <w:p w14:paraId="36CA3C1D" w14:textId="77777777" w:rsidR="00787570" w:rsidRDefault="00787570">
            <w:pPr>
              <w:rPr>
                <w:rFonts w:ascii="宋体"/>
              </w:rPr>
            </w:pPr>
          </w:p>
        </w:tc>
        <w:tc>
          <w:tcPr>
            <w:tcW w:w="5" w:type="pct"/>
            <w:shd w:val="clear" w:color="auto" w:fill="auto"/>
          </w:tcPr>
          <w:p w14:paraId="36CA3C1E" w14:textId="77777777" w:rsidR="00787570" w:rsidRDefault="00787570">
            <w:pPr>
              <w:rPr>
                <w:rFonts w:ascii="宋体"/>
              </w:rPr>
            </w:pPr>
          </w:p>
        </w:tc>
        <w:tc>
          <w:tcPr>
            <w:tcW w:w="24" w:type="pct"/>
            <w:shd w:val="clear" w:color="auto" w:fill="auto"/>
          </w:tcPr>
          <w:p w14:paraId="36CA3C1F" w14:textId="77777777" w:rsidR="00787570" w:rsidRDefault="00787570">
            <w:pPr>
              <w:rPr>
                <w:rFonts w:ascii="宋体"/>
              </w:rPr>
            </w:pPr>
          </w:p>
        </w:tc>
        <w:tc>
          <w:tcPr>
            <w:tcW w:w="5" w:type="pct"/>
            <w:shd w:val="clear" w:color="auto" w:fill="auto"/>
          </w:tcPr>
          <w:p w14:paraId="36CA3C20" w14:textId="77777777" w:rsidR="00787570" w:rsidRDefault="00787570">
            <w:pPr>
              <w:rPr>
                <w:rFonts w:ascii="宋体"/>
              </w:rPr>
            </w:pPr>
          </w:p>
        </w:tc>
        <w:tc>
          <w:tcPr>
            <w:tcW w:w="50" w:type="pct"/>
            <w:shd w:val="clear" w:color="auto" w:fill="auto"/>
          </w:tcPr>
          <w:p w14:paraId="36CA3C21" w14:textId="77777777" w:rsidR="00787570" w:rsidRDefault="00787570">
            <w:pPr>
              <w:rPr>
                <w:rFonts w:ascii="宋体"/>
              </w:rPr>
            </w:pPr>
          </w:p>
        </w:tc>
        <w:tc>
          <w:tcPr>
            <w:tcW w:w="532" w:type="pct"/>
            <w:shd w:val="clear" w:color="auto" w:fill="auto"/>
          </w:tcPr>
          <w:p w14:paraId="36CA3C22" w14:textId="77777777" w:rsidR="00787570" w:rsidRDefault="00787570">
            <w:pPr>
              <w:rPr>
                <w:rFonts w:ascii="宋体"/>
              </w:rPr>
            </w:pPr>
          </w:p>
        </w:tc>
        <w:tc>
          <w:tcPr>
            <w:tcW w:w="5" w:type="pct"/>
            <w:shd w:val="clear" w:color="auto" w:fill="auto"/>
          </w:tcPr>
          <w:p w14:paraId="36CA3C23" w14:textId="77777777" w:rsidR="00787570" w:rsidRDefault="00787570">
            <w:pPr>
              <w:rPr>
                <w:rFonts w:ascii="宋体"/>
              </w:rPr>
            </w:pPr>
          </w:p>
        </w:tc>
      </w:tr>
      <w:tr w:rsidR="00787570" w14:paraId="36CA3C32" w14:textId="77777777">
        <w:tc>
          <w:tcPr>
            <w:tcW w:w="0" w:type="auto"/>
            <w:gridSpan w:val="3"/>
            <w:shd w:val="clear" w:color="auto" w:fill="auto"/>
            <w:tcMar>
              <w:top w:w="40" w:type="dxa"/>
              <w:left w:w="20" w:type="dxa"/>
              <w:bottom w:w="40" w:type="dxa"/>
              <w:right w:w="20" w:type="dxa"/>
            </w:tcMar>
            <w:vAlign w:val="bottom"/>
          </w:tcPr>
          <w:p w14:paraId="36CA3C25" w14:textId="77777777" w:rsidR="00787570" w:rsidRDefault="000D56E2">
            <w:pPr>
              <w:textAlignment w:val="bottom"/>
            </w:pPr>
            <w:r>
              <w:rPr>
                <w:rFonts w:ascii="Arial" w:eastAsia="宋体" w:hAnsi="Arial" w:cs="Arial"/>
                <w:b/>
                <w:bCs/>
                <w:color w:val="333333"/>
                <w:sz w:val="18"/>
                <w:szCs w:val="18"/>
              </w:rPr>
              <w:t>(In Millions)</w:t>
            </w:r>
          </w:p>
        </w:tc>
        <w:tc>
          <w:tcPr>
            <w:tcW w:w="0" w:type="auto"/>
            <w:shd w:val="clear" w:color="auto" w:fill="auto"/>
          </w:tcPr>
          <w:p w14:paraId="36CA3C26" w14:textId="77777777" w:rsidR="00787570" w:rsidRDefault="00787570">
            <w:pPr>
              <w:rPr>
                <w:rFonts w:ascii="宋体"/>
                <w:vanish/>
              </w:rPr>
            </w:pPr>
          </w:p>
        </w:tc>
        <w:tc>
          <w:tcPr>
            <w:tcW w:w="0" w:type="auto"/>
            <w:shd w:val="clear" w:color="auto" w:fill="auto"/>
          </w:tcPr>
          <w:p w14:paraId="36CA3C27" w14:textId="77777777" w:rsidR="00787570" w:rsidRDefault="00787570">
            <w:pPr>
              <w:rPr>
                <w:rFonts w:ascii="宋体"/>
                <w:vanish/>
              </w:rPr>
            </w:pPr>
          </w:p>
        </w:tc>
        <w:tc>
          <w:tcPr>
            <w:tcW w:w="0" w:type="auto"/>
            <w:shd w:val="clear" w:color="auto" w:fill="auto"/>
          </w:tcPr>
          <w:p w14:paraId="36CA3C28" w14:textId="77777777" w:rsidR="00787570" w:rsidRDefault="00787570">
            <w:pPr>
              <w:rPr>
                <w:rFonts w:ascii="宋体"/>
                <w:vanish/>
              </w:rPr>
            </w:pPr>
          </w:p>
        </w:tc>
        <w:tc>
          <w:tcPr>
            <w:tcW w:w="0" w:type="auto"/>
            <w:shd w:val="clear" w:color="auto" w:fill="auto"/>
          </w:tcPr>
          <w:p w14:paraId="36CA3C29" w14:textId="77777777" w:rsidR="00787570" w:rsidRDefault="00787570">
            <w:pPr>
              <w:rPr>
                <w:rFonts w:ascii="宋体"/>
                <w:vanish/>
              </w:rPr>
            </w:pPr>
          </w:p>
        </w:tc>
        <w:tc>
          <w:tcPr>
            <w:tcW w:w="0" w:type="auto"/>
            <w:gridSpan w:val="3"/>
            <w:shd w:val="clear" w:color="auto" w:fill="auto"/>
            <w:tcMar>
              <w:left w:w="20" w:type="dxa"/>
              <w:right w:w="20" w:type="dxa"/>
            </w:tcMar>
            <w:vAlign w:val="bottom"/>
          </w:tcPr>
          <w:p w14:paraId="36CA3C2A" w14:textId="77777777" w:rsidR="00787570" w:rsidRDefault="00787570">
            <w:pPr>
              <w:rPr>
                <w:rFonts w:ascii="宋体"/>
              </w:rPr>
            </w:pPr>
          </w:p>
        </w:tc>
        <w:tc>
          <w:tcPr>
            <w:tcW w:w="0" w:type="auto"/>
            <w:gridSpan w:val="3"/>
            <w:shd w:val="clear" w:color="auto" w:fill="auto"/>
            <w:tcMar>
              <w:top w:w="40" w:type="dxa"/>
              <w:left w:w="20" w:type="dxa"/>
              <w:bottom w:w="40" w:type="dxa"/>
              <w:right w:w="20" w:type="dxa"/>
            </w:tcMar>
            <w:vAlign w:val="bottom"/>
          </w:tcPr>
          <w:p w14:paraId="36CA3C2B" w14:textId="77777777" w:rsidR="00787570" w:rsidRDefault="000D56E2">
            <w:pPr>
              <w:jc w:val="center"/>
              <w:textAlignment w:val="bottom"/>
            </w:pPr>
            <w:r>
              <w:rPr>
                <w:rFonts w:ascii="Arial" w:eastAsia="宋体" w:hAnsi="Arial" w:cs="Arial"/>
                <w:b/>
                <w:bCs/>
                <w:color w:val="333333"/>
                <w:sz w:val="18"/>
                <w:szCs w:val="18"/>
              </w:rPr>
              <w:t>Unrealized Holding Gains (Losses) on Derivatives</w:t>
            </w:r>
          </w:p>
        </w:tc>
        <w:tc>
          <w:tcPr>
            <w:tcW w:w="0" w:type="auto"/>
            <w:gridSpan w:val="3"/>
            <w:shd w:val="clear" w:color="auto" w:fill="auto"/>
            <w:tcMar>
              <w:left w:w="20" w:type="dxa"/>
              <w:right w:w="20" w:type="dxa"/>
            </w:tcMar>
            <w:vAlign w:val="bottom"/>
          </w:tcPr>
          <w:p w14:paraId="36CA3C2C" w14:textId="77777777" w:rsidR="00787570" w:rsidRDefault="00787570">
            <w:pPr>
              <w:rPr>
                <w:rFonts w:ascii="宋体"/>
              </w:rPr>
            </w:pPr>
          </w:p>
        </w:tc>
        <w:tc>
          <w:tcPr>
            <w:tcW w:w="0" w:type="auto"/>
            <w:gridSpan w:val="3"/>
            <w:shd w:val="clear" w:color="auto" w:fill="auto"/>
            <w:tcMar>
              <w:top w:w="40" w:type="dxa"/>
              <w:left w:w="20" w:type="dxa"/>
              <w:bottom w:w="40" w:type="dxa"/>
              <w:right w:w="20" w:type="dxa"/>
            </w:tcMar>
            <w:vAlign w:val="bottom"/>
          </w:tcPr>
          <w:p w14:paraId="36CA3C2D" w14:textId="77777777" w:rsidR="00787570" w:rsidRDefault="000D56E2">
            <w:pPr>
              <w:jc w:val="center"/>
              <w:textAlignment w:val="bottom"/>
            </w:pPr>
            <w:r>
              <w:rPr>
                <w:rFonts w:ascii="Arial" w:eastAsia="宋体" w:hAnsi="Arial" w:cs="Arial"/>
                <w:b/>
                <w:bCs/>
                <w:color w:val="333333"/>
                <w:sz w:val="18"/>
                <w:szCs w:val="18"/>
              </w:rPr>
              <w:t>Actuarial Valuation and Other Pension Expenses</w:t>
            </w:r>
          </w:p>
        </w:tc>
        <w:tc>
          <w:tcPr>
            <w:tcW w:w="0" w:type="auto"/>
            <w:gridSpan w:val="3"/>
            <w:shd w:val="clear" w:color="auto" w:fill="auto"/>
            <w:tcMar>
              <w:left w:w="20" w:type="dxa"/>
              <w:right w:w="20" w:type="dxa"/>
            </w:tcMar>
            <w:vAlign w:val="bottom"/>
          </w:tcPr>
          <w:p w14:paraId="36CA3C2E" w14:textId="77777777" w:rsidR="00787570" w:rsidRDefault="00787570">
            <w:pPr>
              <w:rPr>
                <w:rFonts w:ascii="宋体"/>
              </w:rPr>
            </w:pPr>
          </w:p>
        </w:tc>
        <w:tc>
          <w:tcPr>
            <w:tcW w:w="0" w:type="auto"/>
            <w:gridSpan w:val="3"/>
            <w:shd w:val="clear" w:color="auto" w:fill="auto"/>
            <w:tcMar>
              <w:top w:w="40" w:type="dxa"/>
              <w:left w:w="20" w:type="dxa"/>
              <w:bottom w:w="40" w:type="dxa"/>
              <w:right w:w="20" w:type="dxa"/>
            </w:tcMar>
            <w:vAlign w:val="bottom"/>
          </w:tcPr>
          <w:p w14:paraId="36CA3C2F" w14:textId="77777777" w:rsidR="00787570" w:rsidRDefault="000D56E2">
            <w:pPr>
              <w:jc w:val="center"/>
              <w:textAlignment w:val="bottom"/>
            </w:pPr>
            <w:r>
              <w:rPr>
                <w:rFonts w:ascii="Arial" w:eastAsia="宋体" w:hAnsi="Arial" w:cs="Arial"/>
                <w:b/>
                <w:bCs/>
                <w:color w:val="333333"/>
                <w:sz w:val="18"/>
                <w:szCs w:val="18"/>
              </w:rPr>
              <w:t>Translation Adjustments and Other</w:t>
            </w:r>
          </w:p>
        </w:tc>
        <w:tc>
          <w:tcPr>
            <w:tcW w:w="0" w:type="auto"/>
            <w:gridSpan w:val="3"/>
            <w:shd w:val="clear" w:color="auto" w:fill="auto"/>
            <w:tcMar>
              <w:left w:w="20" w:type="dxa"/>
              <w:right w:w="20" w:type="dxa"/>
            </w:tcMar>
            <w:vAlign w:val="bottom"/>
          </w:tcPr>
          <w:p w14:paraId="36CA3C30" w14:textId="77777777" w:rsidR="00787570" w:rsidRDefault="00787570">
            <w:pPr>
              <w:rPr>
                <w:rFonts w:ascii="宋体"/>
              </w:rPr>
            </w:pPr>
          </w:p>
        </w:tc>
        <w:tc>
          <w:tcPr>
            <w:tcW w:w="0" w:type="auto"/>
            <w:gridSpan w:val="3"/>
            <w:shd w:val="clear" w:color="auto" w:fill="auto"/>
            <w:tcMar>
              <w:top w:w="40" w:type="dxa"/>
              <w:left w:w="20" w:type="dxa"/>
              <w:bottom w:w="40" w:type="dxa"/>
              <w:right w:w="20" w:type="dxa"/>
            </w:tcMar>
            <w:vAlign w:val="bottom"/>
          </w:tcPr>
          <w:p w14:paraId="36CA3C31" w14:textId="77777777" w:rsidR="00787570" w:rsidRDefault="000D56E2">
            <w:pPr>
              <w:jc w:val="center"/>
              <w:textAlignment w:val="bottom"/>
            </w:pPr>
            <w:r>
              <w:rPr>
                <w:rFonts w:ascii="Arial" w:eastAsia="宋体" w:hAnsi="Arial" w:cs="Arial"/>
                <w:b/>
                <w:bCs/>
                <w:color w:val="333333"/>
                <w:sz w:val="18"/>
                <w:szCs w:val="18"/>
              </w:rPr>
              <w:t>Total</w:t>
            </w:r>
          </w:p>
        </w:tc>
      </w:tr>
      <w:tr w:rsidR="00787570" w14:paraId="36CA3C48" w14:textId="77777777">
        <w:tc>
          <w:tcPr>
            <w:tcW w:w="0" w:type="auto"/>
            <w:gridSpan w:val="3"/>
            <w:tcBorders>
              <w:top w:val="single" w:sz="8" w:space="0" w:color="0071C5"/>
            </w:tcBorders>
            <w:shd w:val="clear" w:color="auto" w:fill="auto"/>
            <w:tcMar>
              <w:top w:w="40" w:type="dxa"/>
              <w:left w:w="20" w:type="dxa"/>
              <w:bottom w:w="40" w:type="dxa"/>
              <w:right w:w="20" w:type="dxa"/>
            </w:tcMar>
            <w:vAlign w:val="bottom"/>
          </w:tcPr>
          <w:p w14:paraId="36CA3C33" w14:textId="77777777" w:rsidR="00787570" w:rsidRDefault="000D56E2">
            <w:pPr>
              <w:textAlignment w:val="bottom"/>
            </w:pPr>
            <w:r>
              <w:rPr>
                <w:rFonts w:ascii="Arial" w:eastAsia="宋体" w:hAnsi="Arial" w:cs="Arial"/>
                <w:b/>
                <w:bCs/>
                <w:color w:val="333333"/>
                <w:sz w:val="18"/>
                <w:szCs w:val="18"/>
              </w:rPr>
              <w:t>Balance as of December 28, 2019</w:t>
            </w:r>
          </w:p>
        </w:tc>
        <w:tc>
          <w:tcPr>
            <w:tcW w:w="0" w:type="auto"/>
            <w:shd w:val="clear" w:color="auto" w:fill="auto"/>
          </w:tcPr>
          <w:p w14:paraId="36CA3C34" w14:textId="77777777" w:rsidR="00787570" w:rsidRDefault="00787570">
            <w:pPr>
              <w:rPr>
                <w:rFonts w:ascii="宋体"/>
                <w:vanish/>
              </w:rPr>
            </w:pPr>
          </w:p>
        </w:tc>
        <w:tc>
          <w:tcPr>
            <w:tcW w:w="0" w:type="auto"/>
            <w:shd w:val="clear" w:color="auto" w:fill="auto"/>
          </w:tcPr>
          <w:p w14:paraId="36CA3C35" w14:textId="77777777" w:rsidR="00787570" w:rsidRDefault="00787570">
            <w:pPr>
              <w:rPr>
                <w:rFonts w:ascii="宋体"/>
                <w:vanish/>
              </w:rPr>
            </w:pPr>
          </w:p>
        </w:tc>
        <w:tc>
          <w:tcPr>
            <w:tcW w:w="0" w:type="auto"/>
            <w:shd w:val="clear" w:color="auto" w:fill="auto"/>
          </w:tcPr>
          <w:p w14:paraId="36CA3C36" w14:textId="77777777" w:rsidR="00787570" w:rsidRDefault="00787570">
            <w:pPr>
              <w:rPr>
                <w:rFonts w:ascii="宋体"/>
                <w:vanish/>
              </w:rPr>
            </w:pPr>
          </w:p>
        </w:tc>
        <w:tc>
          <w:tcPr>
            <w:tcW w:w="0" w:type="auto"/>
            <w:shd w:val="clear" w:color="auto" w:fill="auto"/>
          </w:tcPr>
          <w:p w14:paraId="36CA3C37" w14:textId="77777777" w:rsidR="00787570" w:rsidRDefault="00787570">
            <w:pPr>
              <w:rPr>
                <w:rFonts w:ascii="宋体"/>
                <w:vanish/>
              </w:rPr>
            </w:pPr>
          </w:p>
        </w:tc>
        <w:tc>
          <w:tcPr>
            <w:tcW w:w="0" w:type="auto"/>
            <w:gridSpan w:val="3"/>
            <w:shd w:val="clear" w:color="auto" w:fill="auto"/>
            <w:tcMar>
              <w:left w:w="20" w:type="dxa"/>
              <w:right w:w="20" w:type="dxa"/>
            </w:tcMar>
            <w:vAlign w:val="bottom"/>
          </w:tcPr>
          <w:p w14:paraId="36CA3C38" w14:textId="77777777" w:rsidR="00787570" w:rsidRDefault="00787570">
            <w:pPr>
              <w:rPr>
                <w:rFonts w:ascii="宋体"/>
              </w:rPr>
            </w:pPr>
          </w:p>
        </w:tc>
        <w:tc>
          <w:tcPr>
            <w:tcW w:w="0" w:type="auto"/>
            <w:tcBorders>
              <w:top w:val="single" w:sz="8" w:space="0" w:color="0071C5"/>
            </w:tcBorders>
            <w:shd w:val="clear" w:color="auto" w:fill="auto"/>
            <w:tcMar>
              <w:top w:w="40" w:type="dxa"/>
              <w:left w:w="20" w:type="dxa"/>
              <w:bottom w:w="40" w:type="dxa"/>
            </w:tcMar>
            <w:vAlign w:val="bottom"/>
          </w:tcPr>
          <w:p w14:paraId="36CA3C39" w14:textId="77777777" w:rsidR="00787570" w:rsidRDefault="000D56E2">
            <w:pPr>
              <w:textAlignment w:val="bottom"/>
            </w:pPr>
            <w:r>
              <w:rPr>
                <w:rFonts w:ascii="Arial" w:eastAsia="宋体" w:hAnsi="Arial" w:cs="Arial"/>
                <w:b/>
                <w:bCs/>
                <w:color w:val="333333"/>
                <w:sz w:val="18"/>
                <w:szCs w:val="18"/>
              </w:rPr>
              <w:t>$</w:t>
            </w:r>
          </w:p>
        </w:tc>
        <w:tc>
          <w:tcPr>
            <w:tcW w:w="0" w:type="auto"/>
            <w:tcBorders>
              <w:top w:val="single" w:sz="8" w:space="0" w:color="0071C5"/>
            </w:tcBorders>
            <w:shd w:val="clear" w:color="auto" w:fill="auto"/>
            <w:tcMar>
              <w:top w:w="40" w:type="dxa"/>
              <w:bottom w:w="40" w:type="dxa"/>
              <w:right w:w="0" w:type="dxa"/>
            </w:tcMar>
            <w:vAlign w:val="bottom"/>
          </w:tcPr>
          <w:p w14:paraId="36CA3C3A" w14:textId="77777777" w:rsidR="00787570" w:rsidRDefault="000D56E2">
            <w:pPr>
              <w:jc w:val="right"/>
              <w:textAlignment w:val="bottom"/>
            </w:pPr>
            <w:r>
              <w:rPr>
                <w:rFonts w:ascii="Arial" w:eastAsia="宋体" w:hAnsi="Arial" w:cs="Arial"/>
                <w:b/>
                <w:bCs/>
                <w:color w:val="333333"/>
                <w:sz w:val="18"/>
                <w:szCs w:val="18"/>
              </w:rPr>
              <w:t>54</w:t>
            </w:r>
            <w:r>
              <w:rPr>
                <w:rFonts w:ascii="Arial" w:eastAsia="宋体" w:hAnsi="Arial" w:cs="Arial"/>
                <w:color w:val="333333"/>
                <w:sz w:val="18"/>
                <w:szCs w:val="18"/>
              </w:rPr>
              <w:t> </w:t>
            </w:r>
          </w:p>
        </w:tc>
        <w:tc>
          <w:tcPr>
            <w:tcW w:w="0" w:type="auto"/>
            <w:tcBorders>
              <w:top w:val="single" w:sz="8" w:space="0" w:color="0071C5"/>
            </w:tcBorders>
            <w:shd w:val="clear" w:color="auto" w:fill="auto"/>
            <w:tcMar>
              <w:top w:w="40" w:type="dxa"/>
              <w:bottom w:w="40" w:type="dxa"/>
              <w:right w:w="20" w:type="dxa"/>
            </w:tcMar>
            <w:vAlign w:val="bottom"/>
          </w:tcPr>
          <w:p w14:paraId="36CA3C3B"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3C3C" w14:textId="77777777" w:rsidR="00787570" w:rsidRDefault="00787570">
            <w:pPr>
              <w:rPr>
                <w:rFonts w:ascii="宋体"/>
              </w:rPr>
            </w:pPr>
          </w:p>
        </w:tc>
        <w:tc>
          <w:tcPr>
            <w:tcW w:w="0" w:type="auto"/>
            <w:tcBorders>
              <w:top w:val="single" w:sz="8" w:space="0" w:color="0071C5"/>
            </w:tcBorders>
            <w:shd w:val="clear" w:color="auto" w:fill="auto"/>
            <w:tcMar>
              <w:top w:w="40" w:type="dxa"/>
              <w:left w:w="20" w:type="dxa"/>
              <w:bottom w:w="40" w:type="dxa"/>
            </w:tcMar>
            <w:vAlign w:val="bottom"/>
          </w:tcPr>
          <w:p w14:paraId="36CA3C3D" w14:textId="77777777" w:rsidR="00787570" w:rsidRDefault="000D56E2">
            <w:pPr>
              <w:textAlignment w:val="bottom"/>
            </w:pPr>
            <w:r>
              <w:rPr>
                <w:rFonts w:ascii="Arial" w:eastAsia="宋体" w:hAnsi="Arial" w:cs="Arial"/>
                <w:b/>
                <w:bCs/>
                <w:color w:val="333333"/>
                <w:sz w:val="18"/>
                <w:szCs w:val="18"/>
              </w:rPr>
              <w:t>$</w:t>
            </w:r>
          </w:p>
        </w:tc>
        <w:tc>
          <w:tcPr>
            <w:tcW w:w="0" w:type="auto"/>
            <w:tcBorders>
              <w:top w:val="single" w:sz="8" w:space="0" w:color="0071C5"/>
            </w:tcBorders>
            <w:shd w:val="clear" w:color="auto" w:fill="auto"/>
            <w:tcMar>
              <w:top w:w="40" w:type="dxa"/>
              <w:bottom w:w="40" w:type="dxa"/>
              <w:right w:w="0" w:type="dxa"/>
            </w:tcMar>
            <w:vAlign w:val="bottom"/>
          </w:tcPr>
          <w:p w14:paraId="36CA3C3E" w14:textId="77777777" w:rsidR="00787570" w:rsidRDefault="000D56E2">
            <w:pPr>
              <w:jc w:val="right"/>
              <w:textAlignment w:val="bottom"/>
            </w:pPr>
            <w:r>
              <w:rPr>
                <w:rFonts w:ascii="Arial" w:eastAsia="宋体" w:hAnsi="Arial" w:cs="Arial"/>
                <w:b/>
                <w:bCs/>
                <w:color w:val="333333"/>
                <w:sz w:val="18"/>
                <w:szCs w:val="18"/>
              </w:rPr>
              <w:t>(1,382)</w:t>
            </w:r>
          </w:p>
        </w:tc>
        <w:tc>
          <w:tcPr>
            <w:tcW w:w="0" w:type="auto"/>
            <w:tcBorders>
              <w:top w:val="single" w:sz="8" w:space="0" w:color="0071C5"/>
            </w:tcBorders>
            <w:shd w:val="clear" w:color="auto" w:fill="auto"/>
            <w:tcMar>
              <w:top w:w="40" w:type="dxa"/>
              <w:bottom w:w="40" w:type="dxa"/>
              <w:right w:w="20" w:type="dxa"/>
            </w:tcMar>
            <w:vAlign w:val="bottom"/>
          </w:tcPr>
          <w:p w14:paraId="36CA3C3F"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3C40" w14:textId="77777777" w:rsidR="00787570" w:rsidRDefault="00787570">
            <w:pPr>
              <w:rPr>
                <w:rFonts w:ascii="宋体"/>
              </w:rPr>
            </w:pPr>
          </w:p>
        </w:tc>
        <w:tc>
          <w:tcPr>
            <w:tcW w:w="0" w:type="auto"/>
            <w:tcBorders>
              <w:top w:val="single" w:sz="8" w:space="0" w:color="0071C5"/>
            </w:tcBorders>
            <w:shd w:val="clear" w:color="auto" w:fill="auto"/>
            <w:tcMar>
              <w:top w:w="40" w:type="dxa"/>
              <w:left w:w="20" w:type="dxa"/>
              <w:bottom w:w="40" w:type="dxa"/>
            </w:tcMar>
            <w:vAlign w:val="bottom"/>
          </w:tcPr>
          <w:p w14:paraId="36CA3C41" w14:textId="77777777" w:rsidR="00787570" w:rsidRDefault="000D56E2">
            <w:pPr>
              <w:textAlignment w:val="bottom"/>
            </w:pPr>
            <w:r>
              <w:rPr>
                <w:rFonts w:ascii="Arial" w:eastAsia="宋体" w:hAnsi="Arial" w:cs="Arial"/>
                <w:b/>
                <w:bCs/>
                <w:color w:val="333333"/>
                <w:sz w:val="18"/>
                <w:szCs w:val="18"/>
              </w:rPr>
              <w:t>$</w:t>
            </w:r>
          </w:p>
        </w:tc>
        <w:tc>
          <w:tcPr>
            <w:tcW w:w="0" w:type="auto"/>
            <w:tcBorders>
              <w:top w:val="single" w:sz="8" w:space="0" w:color="0071C5"/>
            </w:tcBorders>
            <w:shd w:val="clear" w:color="auto" w:fill="auto"/>
            <w:tcMar>
              <w:top w:w="40" w:type="dxa"/>
              <w:bottom w:w="40" w:type="dxa"/>
              <w:right w:w="0" w:type="dxa"/>
            </w:tcMar>
            <w:vAlign w:val="bottom"/>
          </w:tcPr>
          <w:p w14:paraId="36CA3C42" w14:textId="77777777" w:rsidR="00787570" w:rsidRDefault="000D56E2">
            <w:pPr>
              <w:jc w:val="right"/>
              <w:textAlignment w:val="bottom"/>
            </w:pPr>
            <w:r>
              <w:rPr>
                <w:rFonts w:ascii="Arial" w:eastAsia="宋体" w:hAnsi="Arial" w:cs="Arial"/>
                <w:b/>
                <w:bCs/>
                <w:color w:val="333333"/>
                <w:sz w:val="18"/>
                <w:szCs w:val="18"/>
              </w:rPr>
              <w:t>48</w:t>
            </w:r>
            <w:r>
              <w:rPr>
                <w:rFonts w:ascii="Arial" w:eastAsia="宋体" w:hAnsi="Arial" w:cs="Arial"/>
                <w:color w:val="333333"/>
                <w:sz w:val="18"/>
                <w:szCs w:val="18"/>
              </w:rPr>
              <w:t> </w:t>
            </w:r>
          </w:p>
        </w:tc>
        <w:tc>
          <w:tcPr>
            <w:tcW w:w="0" w:type="auto"/>
            <w:tcBorders>
              <w:top w:val="single" w:sz="8" w:space="0" w:color="0071C5"/>
            </w:tcBorders>
            <w:shd w:val="clear" w:color="auto" w:fill="auto"/>
            <w:tcMar>
              <w:top w:w="40" w:type="dxa"/>
              <w:bottom w:w="40" w:type="dxa"/>
              <w:right w:w="20" w:type="dxa"/>
            </w:tcMar>
            <w:vAlign w:val="bottom"/>
          </w:tcPr>
          <w:p w14:paraId="36CA3C43"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3C44" w14:textId="77777777" w:rsidR="00787570" w:rsidRDefault="00787570">
            <w:pPr>
              <w:rPr>
                <w:rFonts w:ascii="宋体"/>
              </w:rPr>
            </w:pPr>
          </w:p>
        </w:tc>
        <w:tc>
          <w:tcPr>
            <w:tcW w:w="0" w:type="auto"/>
            <w:tcBorders>
              <w:top w:val="single" w:sz="8" w:space="0" w:color="0071C5"/>
            </w:tcBorders>
            <w:shd w:val="clear" w:color="auto" w:fill="auto"/>
            <w:tcMar>
              <w:top w:w="40" w:type="dxa"/>
              <w:left w:w="20" w:type="dxa"/>
              <w:bottom w:w="40" w:type="dxa"/>
            </w:tcMar>
            <w:vAlign w:val="bottom"/>
          </w:tcPr>
          <w:p w14:paraId="36CA3C45" w14:textId="77777777" w:rsidR="00787570" w:rsidRDefault="000D56E2">
            <w:pPr>
              <w:textAlignment w:val="bottom"/>
            </w:pPr>
            <w:r>
              <w:rPr>
                <w:rFonts w:ascii="Arial" w:eastAsia="宋体" w:hAnsi="Arial" w:cs="Arial"/>
                <w:b/>
                <w:bCs/>
                <w:color w:val="333333"/>
                <w:sz w:val="18"/>
                <w:szCs w:val="18"/>
              </w:rPr>
              <w:t>$</w:t>
            </w:r>
          </w:p>
        </w:tc>
        <w:tc>
          <w:tcPr>
            <w:tcW w:w="0" w:type="auto"/>
            <w:tcBorders>
              <w:top w:val="single" w:sz="8" w:space="0" w:color="0071C5"/>
            </w:tcBorders>
            <w:shd w:val="clear" w:color="auto" w:fill="auto"/>
            <w:tcMar>
              <w:top w:w="40" w:type="dxa"/>
              <w:bottom w:w="40" w:type="dxa"/>
              <w:right w:w="0" w:type="dxa"/>
            </w:tcMar>
            <w:vAlign w:val="bottom"/>
          </w:tcPr>
          <w:p w14:paraId="36CA3C46" w14:textId="77777777" w:rsidR="00787570" w:rsidRDefault="000D56E2">
            <w:pPr>
              <w:jc w:val="right"/>
              <w:textAlignment w:val="bottom"/>
            </w:pPr>
            <w:r>
              <w:rPr>
                <w:rFonts w:ascii="Arial" w:eastAsia="宋体" w:hAnsi="Arial" w:cs="Arial"/>
                <w:b/>
                <w:bCs/>
                <w:color w:val="333333"/>
                <w:sz w:val="18"/>
                <w:szCs w:val="18"/>
              </w:rPr>
              <w:t>(1,280)</w:t>
            </w:r>
          </w:p>
        </w:tc>
        <w:tc>
          <w:tcPr>
            <w:tcW w:w="0" w:type="auto"/>
            <w:tcBorders>
              <w:top w:val="single" w:sz="8" w:space="0" w:color="0071C5"/>
            </w:tcBorders>
            <w:shd w:val="clear" w:color="auto" w:fill="auto"/>
            <w:tcMar>
              <w:top w:w="40" w:type="dxa"/>
              <w:bottom w:w="40" w:type="dxa"/>
              <w:right w:w="20" w:type="dxa"/>
            </w:tcMar>
            <w:vAlign w:val="bottom"/>
          </w:tcPr>
          <w:p w14:paraId="36CA3C47" w14:textId="77777777" w:rsidR="00787570" w:rsidRDefault="00787570">
            <w:pPr>
              <w:jc w:val="right"/>
              <w:rPr>
                <w:rFonts w:ascii="宋体"/>
              </w:rPr>
            </w:pPr>
          </w:p>
        </w:tc>
      </w:tr>
      <w:tr w:rsidR="00787570" w14:paraId="36CA3C5A" w14:textId="77777777">
        <w:tc>
          <w:tcPr>
            <w:tcW w:w="0" w:type="auto"/>
            <w:gridSpan w:val="3"/>
            <w:shd w:val="clear" w:color="auto" w:fill="auto"/>
            <w:tcMar>
              <w:top w:w="40" w:type="dxa"/>
              <w:left w:w="20" w:type="dxa"/>
              <w:bottom w:w="40" w:type="dxa"/>
              <w:right w:w="20" w:type="dxa"/>
            </w:tcMar>
            <w:vAlign w:val="bottom"/>
          </w:tcPr>
          <w:p w14:paraId="36CA3C49" w14:textId="77777777" w:rsidR="00787570" w:rsidRDefault="000D56E2">
            <w:pPr>
              <w:ind w:hanging="180"/>
              <w:textAlignment w:val="bottom"/>
            </w:pPr>
            <w:r>
              <w:rPr>
                <w:rFonts w:ascii="Arial" w:eastAsia="宋体" w:hAnsi="Arial" w:cs="Arial"/>
                <w:color w:val="333333"/>
                <w:sz w:val="18"/>
                <w:szCs w:val="18"/>
              </w:rPr>
              <w:t>Other comprehensive income (loss) before reclassifications</w:t>
            </w:r>
          </w:p>
        </w:tc>
        <w:tc>
          <w:tcPr>
            <w:tcW w:w="0" w:type="auto"/>
            <w:shd w:val="clear" w:color="auto" w:fill="auto"/>
          </w:tcPr>
          <w:p w14:paraId="36CA3C4A" w14:textId="77777777" w:rsidR="00787570" w:rsidRDefault="00787570">
            <w:pPr>
              <w:rPr>
                <w:rFonts w:ascii="宋体"/>
                <w:vanish/>
              </w:rPr>
            </w:pPr>
          </w:p>
        </w:tc>
        <w:tc>
          <w:tcPr>
            <w:tcW w:w="0" w:type="auto"/>
            <w:shd w:val="clear" w:color="auto" w:fill="auto"/>
          </w:tcPr>
          <w:p w14:paraId="36CA3C4B" w14:textId="77777777" w:rsidR="00787570" w:rsidRDefault="00787570">
            <w:pPr>
              <w:rPr>
                <w:rFonts w:ascii="宋体"/>
                <w:vanish/>
              </w:rPr>
            </w:pPr>
          </w:p>
        </w:tc>
        <w:tc>
          <w:tcPr>
            <w:tcW w:w="0" w:type="auto"/>
            <w:shd w:val="clear" w:color="auto" w:fill="auto"/>
          </w:tcPr>
          <w:p w14:paraId="36CA3C4C" w14:textId="77777777" w:rsidR="00787570" w:rsidRDefault="00787570">
            <w:pPr>
              <w:rPr>
                <w:rFonts w:ascii="宋体"/>
                <w:vanish/>
              </w:rPr>
            </w:pPr>
          </w:p>
        </w:tc>
        <w:tc>
          <w:tcPr>
            <w:tcW w:w="0" w:type="auto"/>
            <w:shd w:val="clear" w:color="auto" w:fill="auto"/>
          </w:tcPr>
          <w:p w14:paraId="36CA3C4D" w14:textId="77777777" w:rsidR="00787570" w:rsidRDefault="00787570">
            <w:pPr>
              <w:rPr>
                <w:rFonts w:ascii="宋体"/>
                <w:vanish/>
              </w:rPr>
            </w:pPr>
          </w:p>
        </w:tc>
        <w:tc>
          <w:tcPr>
            <w:tcW w:w="0" w:type="auto"/>
            <w:gridSpan w:val="3"/>
            <w:shd w:val="clear" w:color="auto" w:fill="auto"/>
            <w:tcMar>
              <w:left w:w="20" w:type="dxa"/>
              <w:right w:w="20" w:type="dxa"/>
            </w:tcMar>
            <w:vAlign w:val="bottom"/>
          </w:tcPr>
          <w:p w14:paraId="36CA3C4E"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3C4F" w14:textId="77777777" w:rsidR="00787570" w:rsidRDefault="000D56E2">
            <w:pPr>
              <w:jc w:val="right"/>
              <w:textAlignment w:val="bottom"/>
            </w:pPr>
            <w:r>
              <w:rPr>
                <w:rFonts w:ascii="Arial" w:eastAsia="宋体" w:hAnsi="Arial" w:cs="Arial"/>
                <w:color w:val="0071C5"/>
                <w:sz w:val="18"/>
                <w:szCs w:val="18"/>
              </w:rPr>
              <w:t>286 </w:t>
            </w:r>
          </w:p>
        </w:tc>
        <w:tc>
          <w:tcPr>
            <w:tcW w:w="0" w:type="auto"/>
            <w:shd w:val="clear" w:color="auto" w:fill="auto"/>
            <w:tcMar>
              <w:top w:w="40" w:type="dxa"/>
              <w:bottom w:w="40" w:type="dxa"/>
              <w:right w:w="20" w:type="dxa"/>
            </w:tcMar>
            <w:vAlign w:val="bottom"/>
          </w:tcPr>
          <w:p w14:paraId="36CA3C50"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3C51"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3C52" w14:textId="77777777" w:rsidR="00787570" w:rsidRDefault="000D56E2">
            <w:pPr>
              <w:jc w:val="right"/>
              <w:textAlignment w:val="bottom"/>
            </w:pPr>
            <w:r>
              <w:rPr>
                <w:rFonts w:ascii="Arial" w:eastAsia="宋体" w:hAnsi="Arial" w:cs="Arial"/>
                <w:color w:val="0071C5"/>
                <w:sz w:val="18"/>
                <w:szCs w:val="18"/>
              </w:rPr>
              <w:t>(8)</w:t>
            </w:r>
          </w:p>
        </w:tc>
        <w:tc>
          <w:tcPr>
            <w:tcW w:w="0" w:type="auto"/>
            <w:shd w:val="clear" w:color="auto" w:fill="auto"/>
            <w:tcMar>
              <w:top w:w="40" w:type="dxa"/>
              <w:bottom w:w="40" w:type="dxa"/>
              <w:right w:w="20" w:type="dxa"/>
            </w:tcMar>
            <w:vAlign w:val="bottom"/>
          </w:tcPr>
          <w:p w14:paraId="36CA3C53"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3C54"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3C55" w14:textId="77777777" w:rsidR="00787570" w:rsidRDefault="000D56E2">
            <w:pPr>
              <w:jc w:val="right"/>
              <w:textAlignment w:val="bottom"/>
            </w:pPr>
            <w:r>
              <w:rPr>
                <w:rFonts w:ascii="Arial" w:eastAsia="宋体" w:hAnsi="Arial" w:cs="Arial"/>
                <w:color w:val="0071C5"/>
                <w:sz w:val="18"/>
                <w:szCs w:val="18"/>
              </w:rPr>
              <w:t>62 </w:t>
            </w:r>
          </w:p>
        </w:tc>
        <w:tc>
          <w:tcPr>
            <w:tcW w:w="0" w:type="auto"/>
            <w:shd w:val="clear" w:color="auto" w:fill="auto"/>
            <w:tcMar>
              <w:top w:w="40" w:type="dxa"/>
              <w:bottom w:w="40" w:type="dxa"/>
              <w:right w:w="20" w:type="dxa"/>
            </w:tcMar>
            <w:vAlign w:val="bottom"/>
          </w:tcPr>
          <w:p w14:paraId="36CA3C56"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3C57"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3C58" w14:textId="77777777" w:rsidR="00787570" w:rsidRDefault="000D56E2">
            <w:pPr>
              <w:jc w:val="right"/>
              <w:textAlignment w:val="bottom"/>
            </w:pPr>
            <w:r>
              <w:rPr>
                <w:rFonts w:ascii="Arial" w:eastAsia="宋体" w:hAnsi="Arial" w:cs="Arial"/>
                <w:color w:val="0071C5"/>
                <w:sz w:val="18"/>
                <w:szCs w:val="18"/>
              </w:rPr>
              <w:t>340 </w:t>
            </w:r>
          </w:p>
        </w:tc>
        <w:tc>
          <w:tcPr>
            <w:tcW w:w="0" w:type="auto"/>
            <w:shd w:val="clear" w:color="auto" w:fill="auto"/>
            <w:tcMar>
              <w:top w:w="40" w:type="dxa"/>
              <w:bottom w:w="40" w:type="dxa"/>
              <w:right w:w="20" w:type="dxa"/>
            </w:tcMar>
            <w:vAlign w:val="bottom"/>
          </w:tcPr>
          <w:p w14:paraId="36CA3C59" w14:textId="77777777" w:rsidR="00787570" w:rsidRDefault="00787570">
            <w:pPr>
              <w:jc w:val="right"/>
              <w:rPr>
                <w:rFonts w:ascii="宋体"/>
              </w:rPr>
            </w:pPr>
          </w:p>
        </w:tc>
      </w:tr>
      <w:tr w:rsidR="00787570" w14:paraId="36CA3C6C" w14:textId="77777777">
        <w:tc>
          <w:tcPr>
            <w:tcW w:w="0" w:type="auto"/>
            <w:gridSpan w:val="3"/>
            <w:shd w:val="clear" w:color="auto" w:fill="auto"/>
            <w:tcMar>
              <w:top w:w="40" w:type="dxa"/>
              <w:left w:w="20" w:type="dxa"/>
              <w:bottom w:w="40" w:type="dxa"/>
              <w:right w:w="20" w:type="dxa"/>
            </w:tcMar>
          </w:tcPr>
          <w:p w14:paraId="36CA3C5B" w14:textId="77777777" w:rsidR="00787570" w:rsidRDefault="000D56E2">
            <w:pPr>
              <w:textAlignment w:val="top"/>
            </w:pPr>
            <w:r>
              <w:rPr>
                <w:rFonts w:ascii="Arial" w:eastAsia="宋体" w:hAnsi="Arial" w:cs="Arial"/>
                <w:color w:val="333333"/>
                <w:sz w:val="18"/>
                <w:szCs w:val="18"/>
              </w:rPr>
              <w:t>Amounts reclassified out of accumulated other comprehensive</w:t>
            </w:r>
            <w:r>
              <w:rPr>
                <w:rFonts w:ascii="Arial" w:eastAsia="宋体" w:hAnsi="Arial" w:cs="Arial"/>
                <w:color w:val="333333"/>
                <w:sz w:val="18"/>
                <w:szCs w:val="18"/>
              </w:rPr>
              <w:br/>
              <w:t>income (loss)</w:t>
            </w:r>
          </w:p>
        </w:tc>
        <w:tc>
          <w:tcPr>
            <w:tcW w:w="0" w:type="auto"/>
            <w:shd w:val="clear" w:color="auto" w:fill="auto"/>
          </w:tcPr>
          <w:p w14:paraId="36CA3C5C" w14:textId="77777777" w:rsidR="00787570" w:rsidRDefault="00787570">
            <w:pPr>
              <w:rPr>
                <w:rFonts w:ascii="宋体"/>
                <w:vanish/>
              </w:rPr>
            </w:pPr>
          </w:p>
        </w:tc>
        <w:tc>
          <w:tcPr>
            <w:tcW w:w="0" w:type="auto"/>
            <w:shd w:val="clear" w:color="auto" w:fill="auto"/>
          </w:tcPr>
          <w:p w14:paraId="36CA3C5D" w14:textId="77777777" w:rsidR="00787570" w:rsidRDefault="00787570">
            <w:pPr>
              <w:rPr>
                <w:rFonts w:ascii="宋体"/>
                <w:vanish/>
              </w:rPr>
            </w:pPr>
          </w:p>
        </w:tc>
        <w:tc>
          <w:tcPr>
            <w:tcW w:w="0" w:type="auto"/>
            <w:shd w:val="clear" w:color="auto" w:fill="auto"/>
          </w:tcPr>
          <w:p w14:paraId="36CA3C5E" w14:textId="77777777" w:rsidR="00787570" w:rsidRDefault="00787570">
            <w:pPr>
              <w:rPr>
                <w:rFonts w:ascii="宋体"/>
                <w:vanish/>
              </w:rPr>
            </w:pPr>
          </w:p>
        </w:tc>
        <w:tc>
          <w:tcPr>
            <w:tcW w:w="0" w:type="auto"/>
            <w:shd w:val="clear" w:color="auto" w:fill="auto"/>
          </w:tcPr>
          <w:p w14:paraId="36CA3C5F" w14:textId="77777777" w:rsidR="00787570" w:rsidRDefault="00787570">
            <w:pPr>
              <w:rPr>
                <w:rFonts w:ascii="宋体"/>
                <w:vanish/>
              </w:rPr>
            </w:pPr>
          </w:p>
        </w:tc>
        <w:tc>
          <w:tcPr>
            <w:tcW w:w="0" w:type="auto"/>
            <w:gridSpan w:val="3"/>
            <w:shd w:val="clear" w:color="auto" w:fill="auto"/>
            <w:tcMar>
              <w:left w:w="20" w:type="dxa"/>
              <w:right w:w="20" w:type="dxa"/>
            </w:tcMar>
            <w:vAlign w:val="bottom"/>
          </w:tcPr>
          <w:p w14:paraId="36CA3C60"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3C61" w14:textId="77777777" w:rsidR="00787570" w:rsidRDefault="000D56E2">
            <w:pPr>
              <w:jc w:val="right"/>
              <w:textAlignment w:val="bottom"/>
            </w:pPr>
            <w:r>
              <w:rPr>
                <w:rFonts w:ascii="Arial" w:eastAsia="宋体" w:hAnsi="Arial" w:cs="Arial"/>
                <w:color w:val="0071C5"/>
                <w:sz w:val="18"/>
                <w:szCs w:val="18"/>
              </w:rPr>
              <w:t>48 </w:t>
            </w:r>
          </w:p>
        </w:tc>
        <w:tc>
          <w:tcPr>
            <w:tcW w:w="0" w:type="auto"/>
            <w:shd w:val="clear" w:color="auto" w:fill="auto"/>
            <w:tcMar>
              <w:top w:w="40" w:type="dxa"/>
              <w:bottom w:w="40" w:type="dxa"/>
              <w:right w:w="20" w:type="dxa"/>
            </w:tcMar>
            <w:vAlign w:val="bottom"/>
          </w:tcPr>
          <w:p w14:paraId="36CA3C62"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3C63"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3C64" w14:textId="77777777" w:rsidR="00787570" w:rsidRDefault="000D56E2">
            <w:pPr>
              <w:jc w:val="right"/>
              <w:textAlignment w:val="bottom"/>
            </w:pPr>
            <w:r>
              <w:rPr>
                <w:rFonts w:ascii="Arial" w:eastAsia="宋体" w:hAnsi="Arial" w:cs="Arial"/>
                <w:color w:val="0071C5"/>
                <w:sz w:val="18"/>
                <w:szCs w:val="18"/>
              </w:rPr>
              <w:t>43 </w:t>
            </w:r>
          </w:p>
        </w:tc>
        <w:tc>
          <w:tcPr>
            <w:tcW w:w="0" w:type="auto"/>
            <w:shd w:val="clear" w:color="auto" w:fill="auto"/>
            <w:tcMar>
              <w:top w:w="40" w:type="dxa"/>
              <w:bottom w:w="40" w:type="dxa"/>
              <w:right w:w="20" w:type="dxa"/>
            </w:tcMar>
            <w:vAlign w:val="bottom"/>
          </w:tcPr>
          <w:p w14:paraId="36CA3C65"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3C66"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3C67" w14:textId="77777777" w:rsidR="00787570" w:rsidRDefault="000D56E2">
            <w:pPr>
              <w:jc w:val="right"/>
              <w:textAlignment w:val="bottom"/>
            </w:pPr>
            <w:r>
              <w:rPr>
                <w:rFonts w:ascii="Arial" w:eastAsia="宋体" w:hAnsi="Arial" w:cs="Arial"/>
                <w:color w:val="0071C5"/>
                <w:sz w:val="18"/>
                <w:szCs w:val="18"/>
              </w:rPr>
              <w:t>— </w:t>
            </w:r>
          </w:p>
        </w:tc>
        <w:tc>
          <w:tcPr>
            <w:tcW w:w="0" w:type="auto"/>
            <w:shd w:val="clear" w:color="auto" w:fill="auto"/>
            <w:tcMar>
              <w:top w:w="40" w:type="dxa"/>
              <w:bottom w:w="40" w:type="dxa"/>
              <w:right w:w="20" w:type="dxa"/>
            </w:tcMar>
            <w:vAlign w:val="bottom"/>
          </w:tcPr>
          <w:p w14:paraId="36CA3C68"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3C69"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3C6A" w14:textId="77777777" w:rsidR="00787570" w:rsidRDefault="000D56E2">
            <w:pPr>
              <w:jc w:val="right"/>
              <w:textAlignment w:val="bottom"/>
            </w:pPr>
            <w:r>
              <w:rPr>
                <w:rFonts w:ascii="Arial" w:eastAsia="宋体" w:hAnsi="Arial" w:cs="Arial"/>
                <w:color w:val="0071C5"/>
                <w:sz w:val="18"/>
                <w:szCs w:val="18"/>
              </w:rPr>
              <w:t>91 </w:t>
            </w:r>
          </w:p>
        </w:tc>
        <w:tc>
          <w:tcPr>
            <w:tcW w:w="0" w:type="auto"/>
            <w:shd w:val="clear" w:color="auto" w:fill="auto"/>
            <w:tcMar>
              <w:top w:w="40" w:type="dxa"/>
              <w:bottom w:w="40" w:type="dxa"/>
              <w:right w:w="20" w:type="dxa"/>
            </w:tcMar>
            <w:vAlign w:val="bottom"/>
          </w:tcPr>
          <w:p w14:paraId="36CA3C6B" w14:textId="77777777" w:rsidR="00787570" w:rsidRDefault="00787570">
            <w:pPr>
              <w:jc w:val="right"/>
              <w:rPr>
                <w:rFonts w:ascii="宋体"/>
              </w:rPr>
            </w:pPr>
          </w:p>
        </w:tc>
      </w:tr>
      <w:tr w:rsidR="00787570" w14:paraId="36CA3C7E" w14:textId="77777777">
        <w:tc>
          <w:tcPr>
            <w:tcW w:w="0" w:type="auto"/>
            <w:gridSpan w:val="3"/>
            <w:shd w:val="clear" w:color="auto" w:fill="auto"/>
            <w:tcMar>
              <w:top w:w="40" w:type="dxa"/>
              <w:left w:w="20" w:type="dxa"/>
              <w:bottom w:w="40" w:type="dxa"/>
              <w:right w:w="20" w:type="dxa"/>
            </w:tcMar>
            <w:vAlign w:val="bottom"/>
          </w:tcPr>
          <w:p w14:paraId="36CA3C6D" w14:textId="77777777" w:rsidR="00787570" w:rsidRDefault="000D56E2">
            <w:pPr>
              <w:textAlignment w:val="bottom"/>
            </w:pPr>
            <w:r>
              <w:rPr>
                <w:rFonts w:ascii="Arial" w:eastAsia="宋体" w:hAnsi="Arial" w:cs="Arial"/>
                <w:color w:val="333333"/>
                <w:sz w:val="18"/>
                <w:szCs w:val="18"/>
              </w:rPr>
              <w:t>Tax effects</w:t>
            </w:r>
          </w:p>
        </w:tc>
        <w:tc>
          <w:tcPr>
            <w:tcW w:w="0" w:type="auto"/>
            <w:shd w:val="clear" w:color="auto" w:fill="auto"/>
          </w:tcPr>
          <w:p w14:paraId="36CA3C6E" w14:textId="77777777" w:rsidR="00787570" w:rsidRDefault="00787570">
            <w:pPr>
              <w:rPr>
                <w:rFonts w:ascii="宋体"/>
                <w:vanish/>
              </w:rPr>
            </w:pPr>
          </w:p>
        </w:tc>
        <w:tc>
          <w:tcPr>
            <w:tcW w:w="0" w:type="auto"/>
            <w:shd w:val="clear" w:color="auto" w:fill="auto"/>
          </w:tcPr>
          <w:p w14:paraId="36CA3C6F" w14:textId="77777777" w:rsidR="00787570" w:rsidRDefault="00787570">
            <w:pPr>
              <w:rPr>
                <w:rFonts w:ascii="宋体"/>
                <w:vanish/>
              </w:rPr>
            </w:pPr>
          </w:p>
        </w:tc>
        <w:tc>
          <w:tcPr>
            <w:tcW w:w="0" w:type="auto"/>
            <w:shd w:val="clear" w:color="auto" w:fill="auto"/>
          </w:tcPr>
          <w:p w14:paraId="36CA3C70" w14:textId="77777777" w:rsidR="00787570" w:rsidRDefault="00787570">
            <w:pPr>
              <w:rPr>
                <w:rFonts w:ascii="宋体"/>
                <w:vanish/>
              </w:rPr>
            </w:pPr>
          </w:p>
        </w:tc>
        <w:tc>
          <w:tcPr>
            <w:tcW w:w="0" w:type="auto"/>
            <w:shd w:val="clear" w:color="auto" w:fill="auto"/>
          </w:tcPr>
          <w:p w14:paraId="36CA3C71" w14:textId="77777777" w:rsidR="00787570" w:rsidRDefault="00787570">
            <w:pPr>
              <w:rPr>
                <w:rFonts w:ascii="宋体"/>
                <w:vanish/>
              </w:rPr>
            </w:pPr>
          </w:p>
        </w:tc>
        <w:tc>
          <w:tcPr>
            <w:tcW w:w="0" w:type="auto"/>
            <w:gridSpan w:val="3"/>
            <w:shd w:val="clear" w:color="auto" w:fill="auto"/>
            <w:tcMar>
              <w:left w:w="20" w:type="dxa"/>
              <w:right w:w="20" w:type="dxa"/>
            </w:tcMar>
            <w:vAlign w:val="bottom"/>
          </w:tcPr>
          <w:p w14:paraId="36CA3C72"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3C73" w14:textId="77777777" w:rsidR="00787570" w:rsidRDefault="000D56E2">
            <w:pPr>
              <w:jc w:val="right"/>
              <w:textAlignment w:val="bottom"/>
            </w:pPr>
            <w:r>
              <w:rPr>
                <w:rFonts w:ascii="Arial" w:eastAsia="宋体" w:hAnsi="Arial" w:cs="Arial"/>
                <w:color w:val="0071C5"/>
                <w:sz w:val="18"/>
                <w:szCs w:val="18"/>
              </w:rPr>
              <w:t>(77)</w:t>
            </w:r>
          </w:p>
        </w:tc>
        <w:tc>
          <w:tcPr>
            <w:tcW w:w="0" w:type="auto"/>
            <w:shd w:val="clear" w:color="auto" w:fill="auto"/>
            <w:tcMar>
              <w:top w:w="40" w:type="dxa"/>
              <w:bottom w:w="40" w:type="dxa"/>
              <w:right w:w="20" w:type="dxa"/>
            </w:tcMar>
            <w:vAlign w:val="bottom"/>
          </w:tcPr>
          <w:p w14:paraId="36CA3C74"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3C75"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3C76" w14:textId="77777777" w:rsidR="00787570" w:rsidRDefault="000D56E2">
            <w:pPr>
              <w:jc w:val="right"/>
              <w:textAlignment w:val="bottom"/>
            </w:pPr>
            <w:r>
              <w:rPr>
                <w:rFonts w:ascii="Arial" w:eastAsia="宋体" w:hAnsi="Arial" w:cs="Arial"/>
                <w:color w:val="0071C5"/>
                <w:sz w:val="18"/>
                <w:szCs w:val="18"/>
              </w:rPr>
              <w:t>(1)</w:t>
            </w:r>
          </w:p>
        </w:tc>
        <w:tc>
          <w:tcPr>
            <w:tcW w:w="0" w:type="auto"/>
            <w:shd w:val="clear" w:color="auto" w:fill="auto"/>
            <w:tcMar>
              <w:top w:w="40" w:type="dxa"/>
              <w:bottom w:w="40" w:type="dxa"/>
              <w:right w:w="20" w:type="dxa"/>
            </w:tcMar>
            <w:vAlign w:val="bottom"/>
          </w:tcPr>
          <w:p w14:paraId="36CA3C77"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3C78"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3C79" w14:textId="77777777" w:rsidR="00787570" w:rsidRDefault="000D56E2">
            <w:pPr>
              <w:jc w:val="right"/>
              <w:textAlignment w:val="bottom"/>
            </w:pPr>
            <w:r>
              <w:rPr>
                <w:rFonts w:ascii="Arial" w:eastAsia="宋体" w:hAnsi="Arial" w:cs="Arial"/>
                <w:color w:val="0071C5"/>
                <w:sz w:val="18"/>
                <w:szCs w:val="18"/>
              </w:rPr>
              <w:t>(13)</w:t>
            </w:r>
          </w:p>
        </w:tc>
        <w:tc>
          <w:tcPr>
            <w:tcW w:w="0" w:type="auto"/>
            <w:shd w:val="clear" w:color="auto" w:fill="auto"/>
            <w:tcMar>
              <w:top w:w="40" w:type="dxa"/>
              <w:bottom w:w="40" w:type="dxa"/>
              <w:right w:w="20" w:type="dxa"/>
            </w:tcMar>
            <w:vAlign w:val="bottom"/>
          </w:tcPr>
          <w:p w14:paraId="36CA3C7A"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3C7B"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3C7C" w14:textId="77777777" w:rsidR="00787570" w:rsidRDefault="000D56E2">
            <w:pPr>
              <w:jc w:val="right"/>
              <w:textAlignment w:val="bottom"/>
            </w:pPr>
            <w:r>
              <w:rPr>
                <w:rFonts w:ascii="Arial" w:eastAsia="宋体" w:hAnsi="Arial" w:cs="Arial"/>
                <w:color w:val="0071C5"/>
                <w:sz w:val="18"/>
                <w:szCs w:val="18"/>
              </w:rPr>
              <w:t>(91)</w:t>
            </w:r>
          </w:p>
        </w:tc>
        <w:tc>
          <w:tcPr>
            <w:tcW w:w="0" w:type="auto"/>
            <w:shd w:val="clear" w:color="auto" w:fill="auto"/>
            <w:tcMar>
              <w:top w:w="40" w:type="dxa"/>
              <w:bottom w:w="40" w:type="dxa"/>
              <w:right w:w="20" w:type="dxa"/>
            </w:tcMar>
            <w:vAlign w:val="bottom"/>
          </w:tcPr>
          <w:p w14:paraId="36CA3C7D" w14:textId="77777777" w:rsidR="00787570" w:rsidRDefault="00787570">
            <w:pPr>
              <w:jc w:val="right"/>
              <w:rPr>
                <w:rFonts w:ascii="宋体"/>
              </w:rPr>
            </w:pPr>
          </w:p>
        </w:tc>
      </w:tr>
      <w:tr w:rsidR="00787570" w14:paraId="36CA3C90" w14:textId="77777777">
        <w:tc>
          <w:tcPr>
            <w:tcW w:w="0" w:type="auto"/>
            <w:gridSpan w:val="3"/>
            <w:shd w:val="clear" w:color="auto" w:fill="auto"/>
            <w:tcMar>
              <w:top w:w="40" w:type="dxa"/>
              <w:left w:w="20" w:type="dxa"/>
              <w:bottom w:w="40" w:type="dxa"/>
              <w:right w:w="20" w:type="dxa"/>
            </w:tcMar>
            <w:vAlign w:val="bottom"/>
          </w:tcPr>
          <w:p w14:paraId="36CA3C7F" w14:textId="77777777" w:rsidR="00787570" w:rsidRDefault="000D56E2">
            <w:pPr>
              <w:ind w:hanging="180"/>
              <w:textAlignment w:val="bottom"/>
            </w:pPr>
            <w:r>
              <w:rPr>
                <w:rFonts w:ascii="Arial" w:eastAsia="宋体" w:hAnsi="Arial" w:cs="Arial"/>
                <w:b/>
                <w:bCs/>
                <w:color w:val="333333"/>
                <w:sz w:val="18"/>
                <w:szCs w:val="18"/>
              </w:rPr>
              <w:t>Other comprehensive income (loss)</w:t>
            </w:r>
          </w:p>
        </w:tc>
        <w:tc>
          <w:tcPr>
            <w:tcW w:w="0" w:type="auto"/>
            <w:shd w:val="clear" w:color="auto" w:fill="auto"/>
          </w:tcPr>
          <w:p w14:paraId="36CA3C80" w14:textId="77777777" w:rsidR="00787570" w:rsidRDefault="00787570">
            <w:pPr>
              <w:rPr>
                <w:rFonts w:ascii="宋体"/>
                <w:vanish/>
              </w:rPr>
            </w:pPr>
          </w:p>
        </w:tc>
        <w:tc>
          <w:tcPr>
            <w:tcW w:w="0" w:type="auto"/>
            <w:shd w:val="clear" w:color="auto" w:fill="auto"/>
          </w:tcPr>
          <w:p w14:paraId="36CA3C81" w14:textId="77777777" w:rsidR="00787570" w:rsidRDefault="00787570">
            <w:pPr>
              <w:rPr>
                <w:rFonts w:ascii="宋体"/>
                <w:vanish/>
              </w:rPr>
            </w:pPr>
          </w:p>
        </w:tc>
        <w:tc>
          <w:tcPr>
            <w:tcW w:w="0" w:type="auto"/>
            <w:shd w:val="clear" w:color="auto" w:fill="auto"/>
          </w:tcPr>
          <w:p w14:paraId="36CA3C82" w14:textId="77777777" w:rsidR="00787570" w:rsidRDefault="00787570">
            <w:pPr>
              <w:rPr>
                <w:rFonts w:ascii="宋体"/>
                <w:vanish/>
              </w:rPr>
            </w:pPr>
          </w:p>
        </w:tc>
        <w:tc>
          <w:tcPr>
            <w:tcW w:w="0" w:type="auto"/>
            <w:shd w:val="clear" w:color="auto" w:fill="auto"/>
          </w:tcPr>
          <w:p w14:paraId="36CA3C83" w14:textId="77777777" w:rsidR="00787570" w:rsidRDefault="00787570">
            <w:pPr>
              <w:rPr>
                <w:rFonts w:ascii="宋体"/>
                <w:vanish/>
              </w:rPr>
            </w:pPr>
          </w:p>
        </w:tc>
        <w:tc>
          <w:tcPr>
            <w:tcW w:w="0" w:type="auto"/>
            <w:gridSpan w:val="3"/>
            <w:shd w:val="clear" w:color="auto" w:fill="auto"/>
            <w:tcMar>
              <w:left w:w="20" w:type="dxa"/>
              <w:right w:w="20" w:type="dxa"/>
            </w:tcMar>
            <w:vAlign w:val="bottom"/>
          </w:tcPr>
          <w:p w14:paraId="36CA3C84" w14:textId="77777777" w:rsidR="00787570" w:rsidRDefault="00787570">
            <w:pPr>
              <w:rPr>
                <w:rFonts w:ascii="宋体"/>
              </w:rPr>
            </w:pPr>
          </w:p>
        </w:tc>
        <w:tc>
          <w:tcPr>
            <w:tcW w:w="0" w:type="auto"/>
            <w:gridSpan w:val="2"/>
            <w:tcBorders>
              <w:top w:val="single" w:sz="8" w:space="0" w:color="333333"/>
            </w:tcBorders>
            <w:shd w:val="clear" w:color="auto" w:fill="auto"/>
            <w:tcMar>
              <w:top w:w="40" w:type="dxa"/>
              <w:left w:w="20" w:type="dxa"/>
              <w:bottom w:w="40" w:type="dxa"/>
              <w:right w:w="0" w:type="dxa"/>
            </w:tcMar>
            <w:vAlign w:val="bottom"/>
          </w:tcPr>
          <w:p w14:paraId="36CA3C85" w14:textId="77777777" w:rsidR="00787570" w:rsidRDefault="000D56E2">
            <w:pPr>
              <w:jc w:val="right"/>
              <w:textAlignment w:val="bottom"/>
            </w:pPr>
            <w:r>
              <w:rPr>
                <w:rFonts w:ascii="Arial" w:eastAsia="宋体" w:hAnsi="Arial" w:cs="Arial"/>
                <w:b/>
                <w:bCs/>
                <w:color w:val="0071C5"/>
                <w:sz w:val="18"/>
                <w:szCs w:val="18"/>
              </w:rPr>
              <w:t>257</w:t>
            </w:r>
            <w:r>
              <w:rPr>
                <w:rFonts w:ascii="Arial" w:eastAsia="宋体" w:hAnsi="Arial" w:cs="Arial"/>
                <w:color w:val="0071C5"/>
                <w:sz w:val="18"/>
                <w:szCs w:val="18"/>
              </w:rPr>
              <w:t> </w:t>
            </w:r>
          </w:p>
        </w:tc>
        <w:tc>
          <w:tcPr>
            <w:tcW w:w="0" w:type="auto"/>
            <w:tcBorders>
              <w:top w:val="single" w:sz="8" w:space="0" w:color="333333"/>
            </w:tcBorders>
            <w:shd w:val="clear" w:color="auto" w:fill="auto"/>
            <w:tcMar>
              <w:top w:w="40" w:type="dxa"/>
              <w:bottom w:w="40" w:type="dxa"/>
              <w:right w:w="20" w:type="dxa"/>
            </w:tcMar>
            <w:vAlign w:val="bottom"/>
          </w:tcPr>
          <w:p w14:paraId="36CA3C86"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3C87" w14:textId="77777777" w:rsidR="00787570" w:rsidRDefault="00787570">
            <w:pPr>
              <w:rPr>
                <w:rFonts w:ascii="宋体"/>
              </w:rPr>
            </w:pPr>
          </w:p>
        </w:tc>
        <w:tc>
          <w:tcPr>
            <w:tcW w:w="0" w:type="auto"/>
            <w:gridSpan w:val="2"/>
            <w:tcBorders>
              <w:top w:val="single" w:sz="8" w:space="0" w:color="333333"/>
            </w:tcBorders>
            <w:shd w:val="clear" w:color="auto" w:fill="auto"/>
            <w:tcMar>
              <w:top w:w="40" w:type="dxa"/>
              <w:left w:w="20" w:type="dxa"/>
              <w:bottom w:w="40" w:type="dxa"/>
              <w:right w:w="0" w:type="dxa"/>
            </w:tcMar>
            <w:vAlign w:val="bottom"/>
          </w:tcPr>
          <w:p w14:paraId="36CA3C88" w14:textId="77777777" w:rsidR="00787570" w:rsidRDefault="000D56E2">
            <w:pPr>
              <w:jc w:val="right"/>
              <w:textAlignment w:val="bottom"/>
            </w:pPr>
            <w:r>
              <w:rPr>
                <w:rFonts w:ascii="Arial" w:eastAsia="宋体" w:hAnsi="Arial" w:cs="Arial"/>
                <w:b/>
                <w:bCs/>
                <w:color w:val="0071C5"/>
                <w:sz w:val="18"/>
                <w:szCs w:val="18"/>
              </w:rPr>
              <w:t>34</w:t>
            </w:r>
            <w:r>
              <w:rPr>
                <w:rFonts w:ascii="Arial" w:eastAsia="宋体" w:hAnsi="Arial" w:cs="Arial"/>
                <w:color w:val="0071C5"/>
                <w:sz w:val="18"/>
                <w:szCs w:val="18"/>
              </w:rPr>
              <w:t> </w:t>
            </w:r>
          </w:p>
        </w:tc>
        <w:tc>
          <w:tcPr>
            <w:tcW w:w="0" w:type="auto"/>
            <w:tcBorders>
              <w:top w:val="single" w:sz="8" w:space="0" w:color="333333"/>
            </w:tcBorders>
            <w:shd w:val="clear" w:color="auto" w:fill="auto"/>
            <w:tcMar>
              <w:top w:w="40" w:type="dxa"/>
              <w:bottom w:w="40" w:type="dxa"/>
              <w:right w:w="20" w:type="dxa"/>
            </w:tcMar>
            <w:vAlign w:val="bottom"/>
          </w:tcPr>
          <w:p w14:paraId="36CA3C89"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3C8A" w14:textId="77777777" w:rsidR="00787570" w:rsidRDefault="00787570">
            <w:pPr>
              <w:rPr>
                <w:rFonts w:ascii="宋体"/>
              </w:rPr>
            </w:pPr>
          </w:p>
        </w:tc>
        <w:tc>
          <w:tcPr>
            <w:tcW w:w="0" w:type="auto"/>
            <w:gridSpan w:val="2"/>
            <w:tcBorders>
              <w:top w:val="single" w:sz="8" w:space="0" w:color="333333"/>
            </w:tcBorders>
            <w:shd w:val="clear" w:color="auto" w:fill="auto"/>
            <w:tcMar>
              <w:top w:w="40" w:type="dxa"/>
              <w:left w:w="20" w:type="dxa"/>
              <w:bottom w:w="40" w:type="dxa"/>
              <w:right w:w="0" w:type="dxa"/>
            </w:tcMar>
            <w:vAlign w:val="bottom"/>
          </w:tcPr>
          <w:p w14:paraId="36CA3C8B" w14:textId="77777777" w:rsidR="00787570" w:rsidRDefault="000D56E2">
            <w:pPr>
              <w:jc w:val="right"/>
              <w:textAlignment w:val="bottom"/>
            </w:pPr>
            <w:r>
              <w:rPr>
                <w:rFonts w:ascii="Arial" w:eastAsia="宋体" w:hAnsi="Arial" w:cs="Arial"/>
                <w:b/>
                <w:bCs/>
                <w:color w:val="0071C5"/>
                <w:sz w:val="18"/>
                <w:szCs w:val="18"/>
              </w:rPr>
              <w:t>49</w:t>
            </w:r>
            <w:r>
              <w:rPr>
                <w:rFonts w:ascii="Arial" w:eastAsia="宋体" w:hAnsi="Arial" w:cs="Arial"/>
                <w:color w:val="0071C5"/>
                <w:sz w:val="18"/>
                <w:szCs w:val="18"/>
              </w:rPr>
              <w:t> </w:t>
            </w:r>
          </w:p>
        </w:tc>
        <w:tc>
          <w:tcPr>
            <w:tcW w:w="0" w:type="auto"/>
            <w:tcBorders>
              <w:top w:val="single" w:sz="8" w:space="0" w:color="333333"/>
            </w:tcBorders>
            <w:shd w:val="clear" w:color="auto" w:fill="auto"/>
            <w:tcMar>
              <w:top w:w="40" w:type="dxa"/>
              <w:bottom w:w="40" w:type="dxa"/>
              <w:right w:w="20" w:type="dxa"/>
            </w:tcMar>
            <w:vAlign w:val="bottom"/>
          </w:tcPr>
          <w:p w14:paraId="36CA3C8C"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3C8D" w14:textId="77777777" w:rsidR="00787570" w:rsidRDefault="00787570">
            <w:pPr>
              <w:rPr>
                <w:rFonts w:ascii="宋体"/>
              </w:rPr>
            </w:pPr>
          </w:p>
        </w:tc>
        <w:tc>
          <w:tcPr>
            <w:tcW w:w="0" w:type="auto"/>
            <w:gridSpan w:val="2"/>
            <w:tcBorders>
              <w:top w:val="single" w:sz="8" w:space="0" w:color="333333"/>
            </w:tcBorders>
            <w:shd w:val="clear" w:color="auto" w:fill="auto"/>
            <w:tcMar>
              <w:top w:w="40" w:type="dxa"/>
              <w:left w:w="20" w:type="dxa"/>
              <w:bottom w:w="40" w:type="dxa"/>
              <w:right w:w="0" w:type="dxa"/>
            </w:tcMar>
            <w:vAlign w:val="bottom"/>
          </w:tcPr>
          <w:p w14:paraId="36CA3C8E" w14:textId="77777777" w:rsidR="00787570" w:rsidRDefault="000D56E2">
            <w:pPr>
              <w:jc w:val="right"/>
              <w:textAlignment w:val="bottom"/>
            </w:pPr>
            <w:r>
              <w:rPr>
                <w:rFonts w:ascii="Arial" w:eastAsia="宋体" w:hAnsi="Arial" w:cs="Arial"/>
                <w:b/>
                <w:bCs/>
                <w:color w:val="0071C5"/>
                <w:sz w:val="18"/>
                <w:szCs w:val="18"/>
              </w:rPr>
              <w:t>340</w:t>
            </w:r>
            <w:r>
              <w:rPr>
                <w:rFonts w:ascii="Arial" w:eastAsia="宋体" w:hAnsi="Arial" w:cs="Arial"/>
                <w:color w:val="0071C5"/>
                <w:sz w:val="18"/>
                <w:szCs w:val="18"/>
              </w:rPr>
              <w:t> </w:t>
            </w:r>
          </w:p>
        </w:tc>
        <w:tc>
          <w:tcPr>
            <w:tcW w:w="0" w:type="auto"/>
            <w:tcBorders>
              <w:top w:val="single" w:sz="8" w:space="0" w:color="333333"/>
            </w:tcBorders>
            <w:shd w:val="clear" w:color="auto" w:fill="auto"/>
            <w:tcMar>
              <w:top w:w="40" w:type="dxa"/>
              <w:bottom w:w="40" w:type="dxa"/>
              <w:right w:w="20" w:type="dxa"/>
            </w:tcMar>
            <w:vAlign w:val="bottom"/>
          </w:tcPr>
          <w:p w14:paraId="36CA3C8F" w14:textId="77777777" w:rsidR="00787570" w:rsidRDefault="00787570">
            <w:pPr>
              <w:jc w:val="right"/>
              <w:rPr>
                <w:rFonts w:ascii="宋体"/>
              </w:rPr>
            </w:pPr>
          </w:p>
        </w:tc>
      </w:tr>
      <w:tr w:rsidR="00787570" w14:paraId="36CA3CA6" w14:textId="77777777">
        <w:tc>
          <w:tcPr>
            <w:tcW w:w="0" w:type="auto"/>
            <w:gridSpan w:val="3"/>
            <w:shd w:val="clear" w:color="auto" w:fill="auto"/>
            <w:tcMar>
              <w:top w:w="40" w:type="dxa"/>
              <w:left w:w="20" w:type="dxa"/>
              <w:bottom w:w="40" w:type="dxa"/>
              <w:right w:w="20" w:type="dxa"/>
            </w:tcMar>
            <w:vAlign w:val="bottom"/>
          </w:tcPr>
          <w:p w14:paraId="36CA3C91" w14:textId="77777777" w:rsidR="00787570" w:rsidRDefault="000D56E2">
            <w:pPr>
              <w:textAlignment w:val="bottom"/>
            </w:pPr>
            <w:r>
              <w:rPr>
                <w:rFonts w:ascii="Arial" w:eastAsia="宋体" w:hAnsi="Arial" w:cs="Arial"/>
                <w:b/>
                <w:bCs/>
                <w:color w:val="333333"/>
                <w:sz w:val="18"/>
                <w:szCs w:val="18"/>
              </w:rPr>
              <w:t>Balance as of September 26, 2020</w:t>
            </w:r>
          </w:p>
        </w:tc>
        <w:tc>
          <w:tcPr>
            <w:tcW w:w="0" w:type="auto"/>
            <w:shd w:val="clear" w:color="auto" w:fill="auto"/>
          </w:tcPr>
          <w:p w14:paraId="36CA3C92" w14:textId="77777777" w:rsidR="00787570" w:rsidRDefault="00787570">
            <w:pPr>
              <w:rPr>
                <w:rFonts w:ascii="宋体"/>
                <w:vanish/>
              </w:rPr>
            </w:pPr>
          </w:p>
        </w:tc>
        <w:tc>
          <w:tcPr>
            <w:tcW w:w="0" w:type="auto"/>
            <w:shd w:val="clear" w:color="auto" w:fill="auto"/>
          </w:tcPr>
          <w:p w14:paraId="36CA3C93" w14:textId="77777777" w:rsidR="00787570" w:rsidRDefault="00787570">
            <w:pPr>
              <w:rPr>
                <w:rFonts w:ascii="宋体"/>
                <w:vanish/>
              </w:rPr>
            </w:pPr>
          </w:p>
        </w:tc>
        <w:tc>
          <w:tcPr>
            <w:tcW w:w="0" w:type="auto"/>
            <w:shd w:val="clear" w:color="auto" w:fill="auto"/>
          </w:tcPr>
          <w:p w14:paraId="36CA3C94" w14:textId="77777777" w:rsidR="00787570" w:rsidRDefault="00787570">
            <w:pPr>
              <w:rPr>
                <w:rFonts w:ascii="宋体"/>
                <w:vanish/>
              </w:rPr>
            </w:pPr>
          </w:p>
        </w:tc>
        <w:tc>
          <w:tcPr>
            <w:tcW w:w="0" w:type="auto"/>
            <w:shd w:val="clear" w:color="auto" w:fill="auto"/>
          </w:tcPr>
          <w:p w14:paraId="36CA3C95" w14:textId="77777777" w:rsidR="00787570" w:rsidRDefault="00787570">
            <w:pPr>
              <w:rPr>
                <w:rFonts w:ascii="宋体"/>
                <w:vanish/>
              </w:rPr>
            </w:pPr>
          </w:p>
        </w:tc>
        <w:tc>
          <w:tcPr>
            <w:tcW w:w="0" w:type="auto"/>
            <w:gridSpan w:val="3"/>
            <w:shd w:val="clear" w:color="auto" w:fill="auto"/>
            <w:tcMar>
              <w:left w:w="20" w:type="dxa"/>
              <w:right w:w="20" w:type="dxa"/>
            </w:tcMar>
            <w:vAlign w:val="bottom"/>
          </w:tcPr>
          <w:p w14:paraId="36CA3C96" w14:textId="77777777" w:rsidR="00787570" w:rsidRDefault="00787570">
            <w:pPr>
              <w:rPr>
                <w:rFonts w:ascii="宋体"/>
              </w:rPr>
            </w:pPr>
          </w:p>
        </w:tc>
        <w:tc>
          <w:tcPr>
            <w:tcW w:w="0" w:type="auto"/>
            <w:tcBorders>
              <w:top w:val="single" w:sz="8" w:space="0" w:color="333333"/>
              <w:bottom w:val="double" w:sz="6" w:space="0" w:color="333333"/>
            </w:tcBorders>
            <w:shd w:val="clear" w:color="auto" w:fill="auto"/>
            <w:tcMar>
              <w:top w:w="40" w:type="dxa"/>
              <w:left w:w="20" w:type="dxa"/>
              <w:bottom w:w="40" w:type="dxa"/>
            </w:tcMar>
            <w:vAlign w:val="bottom"/>
          </w:tcPr>
          <w:p w14:paraId="36CA3C97" w14:textId="77777777" w:rsidR="00787570" w:rsidRDefault="000D56E2">
            <w:pPr>
              <w:textAlignment w:val="bottom"/>
            </w:pPr>
            <w:r>
              <w:rPr>
                <w:rFonts w:ascii="Arial" w:eastAsia="宋体" w:hAnsi="Arial" w:cs="Arial"/>
                <w:b/>
                <w:bCs/>
                <w:color w:val="0071C5"/>
                <w:sz w:val="18"/>
                <w:szCs w:val="18"/>
              </w:rPr>
              <w:t>$</w:t>
            </w:r>
          </w:p>
        </w:tc>
        <w:tc>
          <w:tcPr>
            <w:tcW w:w="0" w:type="auto"/>
            <w:tcBorders>
              <w:top w:val="single" w:sz="8" w:space="0" w:color="333333"/>
              <w:bottom w:val="double" w:sz="6" w:space="0" w:color="333333"/>
            </w:tcBorders>
            <w:shd w:val="clear" w:color="auto" w:fill="auto"/>
            <w:tcMar>
              <w:top w:w="40" w:type="dxa"/>
              <w:bottom w:w="40" w:type="dxa"/>
              <w:right w:w="0" w:type="dxa"/>
            </w:tcMar>
            <w:vAlign w:val="bottom"/>
          </w:tcPr>
          <w:p w14:paraId="36CA3C98" w14:textId="77777777" w:rsidR="00787570" w:rsidRDefault="000D56E2">
            <w:pPr>
              <w:jc w:val="right"/>
              <w:textAlignment w:val="bottom"/>
            </w:pPr>
            <w:r>
              <w:rPr>
                <w:rFonts w:ascii="Arial" w:eastAsia="宋体" w:hAnsi="Arial" w:cs="Arial"/>
                <w:b/>
                <w:bCs/>
                <w:color w:val="0071C5"/>
                <w:sz w:val="18"/>
                <w:szCs w:val="18"/>
              </w:rPr>
              <w:t>311</w:t>
            </w:r>
            <w:r>
              <w:rPr>
                <w:rFonts w:ascii="Arial" w:eastAsia="宋体" w:hAnsi="Arial" w:cs="Arial"/>
                <w:color w:val="0071C5"/>
                <w:sz w:val="18"/>
                <w:szCs w:val="18"/>
              </w:rPr>
              <w:t> </w:t>
            </w:r>
          </w:p>
        </w:tc>
        <w:tc>
          <w:tcPr>
            <w:tcW w:w="0" w:type="auto"/>
            <w:tcBorders>
              <w:top w:val="single" w:sz="8" w:space="0" w:color="333333"/>
              <w:bottom w:val="double" w:sz="6" w:space="0" w:color="333333"/>
            </w:tcBorders>
            <w:shd w:val="clear" w:color="auto" w:fill="auto"/>
            <w:tcMar>
              <w:top w:w="40" w:type="dxa"/>
              <w:bottom w:w="40" w:type="dxa"/>
              <w:right w:w="20" w:type="dxa"/>
            </w:tcMar>
            <w:vAlign w:val="bottom"/>
          </w:tcPr>
          <w:p w14:paraId="36CA3C99"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3C9A" w14:textId="77777777" w:rsidR="00787570" w:rsidRDefault="00787570">
            <w:pPr>
              <w:rPr>
                <w:rFonts w:ascii="宋体"/>
              </w:rPr>
            </w:pPr>
          </w:p>
        </w:tc>
        <w:tc>
          <w:tcPr>
            <w:tcW w:w="0" w:type="auto"/>
            <w:tcBorders>
              <w:top w:val="single" w:sz="8" w:space="0" w:color="333333"/>
              <w:bottom w:val="double" w:sz="6" w:space="0" w:color="333333"/>
            </w:tcBorders>
            <w:shd w:val="clear" w:color="auto" w:fill="auto"/>
            <w:tcMar>
              <w:top w:w="40" w:type="dxa"/>
              <w:left w:w="20" w:type="dxa"/>
              <w:bottom w:w="40" w:type="dxa"/>
            </w:tcMar>
            <w:vAlign w:val="bottom"/>
          </w:tcPr>
          <w:p w14:paraId="36CA3C9B" w14:textId="77777777" w:rsidR="00787570" w:rsidRDefault="000D56E2">
            <w:pPr>
              <w:textAlignment w:val="bottom"/>
            </w:pPr>
            <w:r>
              <w:rPr>
                <w:rFonts w:ascii="Arial" w:eastAsia="宋体" w:hAnsi="Arial" w:cs="Arial"/>
                <w:b/>
                <w:bCs/>
                <w:color w:val="0071C5"/>
                <w:sz w:val="18"/>
                <w:szCs w:val="18"/>
              </w:rPr>
              <w:t>$</w:t>
            </w:r>
          </w:p>
        </w:tc>
        <w:tc>
          <w:tcPr>
            <w:tcW w:w="0" w:type="auto"/>
            <w:tcBorders>
              <w:top w:val="single" w:sz="8" w:space="0" w:color="333333"/>
              <w:bottom w:val="double" w:sz="6" w:space="0" w:color="333333"/>
            </w:tcBorders>
            <w:shd w:val="clear" w:color="auto" w:fill="auto"/>
            <w:tcMar>
              <w:top w:w="40" w:type="dxa"/>
              <w:bottom w:w="40" w:type="dxa"/>
              <w:right w:w="0" w:type="dxa"/>
            </w:tcMar>
            <w:vAlign w:val="bottom"/>
          </w:tcPr>
          <w:p w14:paraId="36CA3C9C" w14:textId="77777777" w:rsidR="00787570" w:rsidRDefault="000D56E2">
            <w:pPr>
              <w:jc w:val="right"/>
              <w:textAlignment w:val="bottom"/>
            </w:pPr>
            <w:r>
              <w:rPr>
                <w:rFonts w:ascii="Arial" w:eastAsia="宋体" w:hAnsi="Arial" w:cs="Arial"/>
                <w:b/>
                <w:bCs/>
                <w:color w:val="0071C5"/>
                <w:sz w:val="18"/>
                <w:szCs w:val="18"/>
              </w:rPr>
              <w:t>(1,348)</w:t>
            </w:r>
          </w:p>
        </w:tc>
        <w:tc>
          <w:tcPr>
            <w:tcW w:w="0" w:type="auto"/>
            <w:tcBorders>
              <w:top w:val="single" w:sz="8" w:space="0" w:color="333333"/>
              <w:bottom w:val="double" w:sz="6" w:space="0" w:color="333333"/>
            </w:tcBorders>
            <w:shd w:val="clear" w:color="auto" w:fill="auto"/>
            <w:tcMar>
              <w:top w:w="40" w:type="dxa"/>
              <w:bottom w:w="40" w:type="dxa"/>
              <w:right w:w="20" w:type="dxa"/>
            </w:tcMar>
            <w:vAlign w:val="bottom"/>
          </w:tcPr>
          <w:p w14:paraId="36CA3C9D"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3C9E" w14:textId="77777777" w:rsidR="00787570" w:rsidRDefault="00787570">
            <w:pPr>
              <w:rPr>
                <w:rFonts w:ascii="宋体"/>
              </w:rPr>
            </w:pPr>
          </w:p>
        </w:tc>
        <w:tc>
          <w:tcPr>
            <w:tcW w:w="0" w:type="auto"/>
            <w:tcBorders>
              <w:top w:val="single" w:sz="8" w:space="0" w:color="333333"/>
              <w:bottom w:val="double" w:sz="6" w:space="0" w:color="333333"/>
            </w:tcBorders>
            <w:shd w:val="clear" w:color="auto" w:fill="auto"/>
            <w:tcMar>
              <w:top w:w="40" w:type="dxa"/>
              <w:left w:w="20" w:type="dxa"/>
              <w:bottom w:w="40" w:type="dxa"/>
            </w:tcMar>
            <w:vAlign w:val="bottom"/>
          </w:tcPr>
          <w:p w14:paraId="36CA3C9F" w14:textId="77777777" w:rsidR="00787570" w:rsidRDefault="000D56E2">
            <w:pPr>
              <w:textAlignment w:val="bottom"/>
            </w:pPr>
            <w:r>
              <w:rPr>
                <w:rFonts w:ascii="Arial" w:eastAsia="宋体" w:hAnsi="Arial" w:cs="Arial"/>
                <w:b/>
                <w:bCs/>
                <w:color w:val="0071C5"/>
                <w:sz w:val="18"/>
                <w:szCs w:val="18"/>
              </w:rPr>
              <w:t>$</w:t>
            </w:r>
          </w:p>
        </w:tc>
        <w:tc>
          <w:tcPr>
            <w:tcW w:w="0" w:type="auto"/>
            <w:tcBorders>
              <w:top w:val="single" w:sz="8" w:space="0" w:color="333333"/>
              <w:bottom w:val="double" w:sz="6" w:space="0" w:color="333333"/>
            </w:tcBorders>
            <w:shd w:val="clear" w:color="auto" w:fill="auto"/>
            <w:tcMar>
              <w:top w:w="40" w:type="dxa"/>
              <w:bottom w:w="40" w:type="dxa"/>
              <w:right w:w="0" w:type="dxa"/>
            </w:tcMar>
            <w:vAlign w:val="bottom"/>
          </w:tcPr>
          <w:p w14:paraId="36CA3CA0" w14:textId="77777777" w:rsidR="00787570" w:rsidRDefault="000D56E2">
            <w:pPr>
              <w:jc w:val="right"/>
              <w:textAlignment w:val="bottom"/>
            </w:pPr>
            <w:r>
              <w:rPr>
                <w:rFonts w:ascii="Arial" w:eastAsia="宋体" w:hAnsi="Arial" w:cs="Arial"/>
                <w:b/>
                <w:bCs/>
                <w:color w:val="0071C5"/>
                <w:sz w:val="18"/>
                <w:szCs w:val="18"/>
              </w:rPr>
              <w:t>97</w:t>
            </w:r>
            <w:r>
              <w:rPr>
                <w:rFonts w:ascii="Arial" w:eastAsia="宋体" w:hAnsi="Arial" w:cs="Arial"/>
                <w:color w:val="0071C5"/>
                <w:sz w:val="18"/>
                <w:szCs w:val="18"/>
              </w:rPr>
              <w:t> </w:t>
            </w:r>
          </w:p>
        </w:tc>
        <w:tc>
          <w:tcPr>
            <w:tcW w:w="0" w:type="auto"/>
            <w:tcBorders>
              <w:top w:val="single" w:sz="8" w:space="0" w:color="333333"/>
              <w:bottom w:val="double" w:sz="6" w:space="0" w:color="333333"/>
            </w:tcBorders>
            <w:shd w:val="clear" w:color="auto" w:fill="auto"/>
            <w:tcMar>
              <w:top w:w="40" w:type="dxa"/>
              <w:bottom w:w="40" w:type="dxa"/>
              <w:right w:w="20" w:type="dxa"/>
            </w:tcMar>
            <w:vAlign w:val="bottom"/>
          </w:tcPr>
          <w:p w14:paraId="36CA3CA1"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3CA2" w14:textId="77777777" w:rsidR="00787570" w:rsidRDefault="00787570">
            <w:pPr>
              <w:rPr>
                <w:rFonts w:ascii="宋体"/>
              </w:rPr>
            </w:pPr>
          </w:p>
        </w:tc>
        <w:tc>
          <w:tcPr>
            <w:tcW w:w="0" w:type="auto"/>
            <w:tcBorders>
              <w:top w:val="single" w:sz="8" w:space="0" w:color="333333"/>
              <w:bottom w:val="double" w:sz="6" w:space="0" w:color="333333"/>
            </w:tcBorders>
            <w:shd w:val="clear" w:color="auto" w:fill="auto"/>
            <w:tcMar>
              <w:top w:w="40" w:type="dxa"/>
              <w:left w:w="20" w:type="dxa"/>
              <w:bottom w:w="40" w:type="dxa"/>
            </w:tcMar>
            <w:vAlign w:val="bottom"/>
          </w:tcPr>
          <w:p w14:paraId="36CA3CA3" w14:textId="77777777" w:rsidR="00787570" w:rsidRDefault="000D56E2">
            <w:pPr>
              <w:textAlignment w:val="bottom"/>
            </w:pPr>
            <w:r>
              <w:rPr>
                <w:rFonts w:ascii="Arial" w:eastAsia="宋体" w:hAnsi="Arial" w:cs="Arial"/>
                <w:b/>
                <w:bCs/>
                <w:color w:val="0071C5"/>
                <w:sz w:val="18"/>
                <w:szCs w:val="18"/>
              </w:rPr>
              <w:t>$</w:t>
            </w:r>
          </w:p>
        </w:tc>
        <w:tc>
          <w:tcPr>
            <w:tcW w:w="0" w:type="auto"/>
            <w:tcBorders>
              <w:top w:val="single" w:sz="8" w:space="0" w:color="333333"/>
              <w:bottom w:val="double" w:sz="6" w:space="0" w:color="333333"/>
            </w:tcBorders>
            <w:shd w:val="clear" w:color="auto" w:fill="auto"/>
            <w:tcMar>
              <w:top w:w="40" w:type="dxa"/>
              <w:bottom w:w="40" w:type="dxa"/>
              <w:right w:w="0" w:type="dxa"/>
            </w:tcMar>
            <w:vAlign w:val="bottom"/>
          </w:tcPr>
          <w:p w14:paraId="36CA3CA4" w14:textId="77777777" w:rsidR="00787570" w:rsidRDefault="000D56E2">
            <w:pPr>
              <w:jc w:val="right"/>
              <w:textAlignment w:val="bottom"/>
            </w:pPr>
            <w:r>
              <w:rPr>
                <w:rFonts w:ascii="Arial" w:eastAsia="宋体" w:hAnsi="Arial" w:cs="Arial"/>
                <w:b/>
                <w:bCs/>
                <w:color w:val="0071C5"/>
                <w:sz w:val="18"/>
                <w:szCs w:val="18"/>
              </w:rPr>
              <w:t>(940)</w:t>
            </w:r>
          </w:p>
        </w:tc>
        <w:tc>
          <w:tcPr>
            <w:tcW w:w="0" w:type="auto"/>
            <w:tcBorders>
              <w:top w:val="single" w:sz="8" w:space="0" w:color="333333"/>
              <w:bottom w:val="double" w:sz="6" w:space="0" w:color="333333"/>
            </w:tcBorders>
            <w:shd w:val="clear" w:color="auto" w:fill="auto"/>
            <w:tcMar>
              <w:top w:w="40" w:type="dxa"/>
              <w:bottom w:w="40" w:type="dxa"/>
              <w:right w:w="20" w:type="dxa"/>
            </w:tcMar>
            <w:vAlign w:val="bottom"/>
          </w:tcPr>
          <w:p w14:paraId="36CA3CA5" w14:textId="77777777" w:rsidR="00787570" w:rsidRDefault="00787570">
            <w:pPr>
              <w:jc w:val="right"/>
              <w:rPr>
                <w:rFonts w:ascii="宋体"/>
              </w:rPr>
            </w:pPr>
          </w:p>
        </w:tc>
      </w:tr>
    </w:tbl>
    <w:p w14:paraId="36CA3CA7" w14:textId="77777777" w:rsidR="00787570" w:rsidRDefault="000D56E2">
      <w:pPr>
        <w:spacing w:before="300" w:after="180"/>
      </w:pPr>
      <w:r>
        <w:rPr>
          <w:rFonts w:ascii="Arial" w:eastAsia="宋体" w:hAnsi="Arial" w:cs="Arial"/>
          <w:color w:val="333333"/>
          <w:sz w:val="18"/>
          <w:szCs w:val="18"/>
        </w:rPr>
        <w:t>We estimate that we will reclassify approximately $118 million (before taxes) of net derivative gains included in accumula</w:t>
      </w:r>
      <w:r>
        <w:rPr>
          <w:rFonts w:ascii="Arial" w:eastAsia="宋体" w:hAnsi="Arial" w:cs="Arial"/>
          <w:color w:val="333333"/>
          <w:sz w:val="18"/>
          <w:szCs w:val="18"/>
        </w:rPr>
        <w:t xml:space="preserve">ted other comprehensive income (loss) into earnings within the next 12 months. </w:t>
      </w:r>
    </w:p>
    <w:p w14:paraId="36CA3CA8" w14:textId="77777777" w:rsidR="00787570" w:rsidRDefault="00787570">
      <w:pPr>
        <w:spacing w:after="180"/>
      </w:pPr>
    </w:p>
    <w:p w14:paraId="36CA3CA9" w14:textId="77777777" w:rsidR="00787570" w:rsidRDefault="00787570">
      <w:pPr>
        <w:spacing w:after="180"/>
      </w:pPr>
    </w:p>
    <w:p w14:paraId="36CA3CAA" w14:textId="77777777" w:rsidR="00787570" w:rsidRDefault="00787570">
      <w:pPr>
        <w:spacing w:after="180"/>
      </w:pPr>
    </w:p>
    <w:p w14:paraId="36CA3CAB" w14:textId="77777777" w:rsidR="00787570" w:rsidRDefault="00787570">
      <w:pPr>
        <w:spacing w:after="180"/>
      </w:pPr>
    </w:p>
    <w:p w14:paraId="36CA3CAC" w14:textId="77777777" w:rsidR="00787570" w:rsidRDefault="00787570">
      <w:pPr>
        <w:spacing w:after="180"/>
      </w:pPr>
    </w:p>
    <w:p w14:paraId="36CA3CAD" w14:textId="77777777" w:rsidR="00787570" w:rsidRDefault="00787570">
      <w:pPr>
        <w:spacing w:after="180"/>
      </w:pPr>
    </w:p>
    <w:p w14:paraId="36CA3CAE" w14:textId="77777777" w:rsidR="00787570" w:rsidRDefault="00787570">
      <w:pPr>
        <w:spacing w:after="180"/>
      </w:pPr>
    </w:p>
    <w:tbl>
      <w:tblPr>
        <w:tblW w:w="5000" w:type="pct"/>
        <w:tblCellMar>
          <w:top w:w="15" w:type="dxa"/>
          <w:left w:w="15" w:type="dxa"/>
          <w:bottom w:w="15" w:type="dxa"/>
          <w:right w:w="15" w:type="dxa"/>
        </w:tblCellMar>
        <w:tblLook w:val="04A0" w:firstRow="1" w:lastRow="0" w:firstColumn="1" w:lastColumn="0" w:noHBand="0" w:noVBand="1"/>
      </w:tblPr>
      <w:tblGrid>
        <w:gridCol w:w="86"/>
        <w:gridCol w:w="426"/>
        <w:gridCol w:w="36"/>
        <w:gridCol w:w="62"/>
        <w:gridCol w:w="1676"/>
        <w:gridCol w:w="36"/>
        <w:gridCol w:w="62"/>
        <w:gridCol w:w="3655"/>
        <w:gridCol w:w="36"/>
        <w:gridCol w:w="63"/>
        <w:gridCol w:w="2162"/>
        <w:gridCol w:w="36"/>
      </w:tblGrid>
      <w:tr w:rsidR="00787570" w14:paraId="36CA3CBB" w14:textId="77777777">
        <w:tc>
          <w:tcPr>
            <w:tcW w:w="50" w:type="pct"/>
            <w:shd w:val="clear" w:color="auto" w:fill="auto"/>
            <w:vAlign w:val="bottom"/>
          </w:tcPr>
          <w:p w14:paraId="36CA3CAF" w14:textId="77777777" w:rsidR="00787570" w:rsidRDefault="00787570">
            <w:pPr>
              <w:rPr>
                <w:rFonts w:ascii="宋体"/>
              </w:rPr>
            </w:pPr>
          </w:p>
        </w:tc>
        <w:tc>
          <w:tcPr>
            <w:tcW w:w="248" w:type="pct"/>
            <w:shd w:val="clear" w:color="auto" w:fill="auto"/>
            <w:vAlign w:val="bottom"/>
          </w:tcPr>
          <w:p w14:paraId="36CA3CB0" w14:textId="77777777" w:rsidR="00787570" w:rsidRDefault="00787570">
            <w:pPr>
              <w:rPr>
                <w:rFonts w:ascii="宋体"/>
              </w:rPr>
            </w:pPr>
          </w:p>
        </w:tc>
        <w:tc>
          <w:tcPr>
            <w:tcW w:w="5" w:type="pct"/>
            <w:shd w:val="clear" w:color="auto" w:fill="auto"/>
            <w:vAlign w:val="bottom"/>
          </w:tcPr>
          <w:p w14:paraId="36CA3CB1" w14:textId="77777777" w:rsidR="00787570" w:rsidRDefault="00787570">
            <w:pPr>
              <w:rPr>
                <w:rFonts w:ascii="宋体"/>
              </w:rPr>
            </w:pPr>
          </w:p>
        </w:tc>
        <w:tc>
          <w:tcPr>
            <w:tcW w:w="50" w:type="pct"/>
            <w:shd w:val="clear" w:color="auto" w:fill="auto"/>
            <w:vAlign w:val="bottom"/>
          </w:tcPr>
          <w:p w14:paraId="36CA3CB2" w14:textId="77777777" w:rsidR="00787570" w:rsidRDefault="00787570">
            <w:pPr>
              <w:rPr>
                <w:rFonts w:ascii="宋体"/>
              </w:rPr>
            </w:pPr>
          </w:p>
        </w:tc>
        <w:tc>
          <w:tcPr>
            <w:tcW w:w="1018" w:type="pct"/>
            <w:shd w:val="clear" w:color="auto" w:fill="auto"/>
            <w:vAlign w:val="bottom"/>
          </w:tcPr>
          <w:p w14:paraId="36CA3CB3" w14:textId="77777777" w:rsidR="00787570" w:rsidRDefault="00787570">
            <w:pPr>
              <w:rPr>
                <w:rFonts w:ascii="宋体"/>
              </w:rPr>
            </w:pPr>
          </w:p>
        </w:tc>
        <w:tc>
          <w:tcPr>
            <w:tcW w:w="5" w:type="pct"/>
            <w:shd w:val="clear" w:color="auto" w:fill="auto"/>
            <w:vAlign w:val="bottom"/>
          </w:tcPr>
          <w:p w14:paraId="36CA3CB4" w14:textId="77777777" w:rsidR="00787570" w:rsidRDefault="00787570">
            <w:pPr>
              <w:rPr>
                <w:rFonts w:ascii="宋体"/>
              </w:rPr>
            </w:pPr>
          </w:p>
        </w:tc>
        <w:tc>
          <w:tcPr>
            <w:tcW w:w="50" w:type="pct"/>
            <w:shd w:val="clear" w:color="auto" w:fill="auto"/>
            <w:vAlign w:val="bottom"/>
          </w:tcPr>
          <w:p w14:paraId="36CA3CB5" w14:textId="77777777" w:rsidR="00787570" w:rsidRDefault="00787570">
            <w:pPr>
              <w:rPr>
                <w:rFonts w:ascii="宋体"/>
              </w:rPr>
            </w:pPr>
          </w:p>
        </w:tc>
        <w:tc>
          <w:tcPr>
            <w:tcW w:w="2204" w:type="pct"/>
            <w:shd w:val="clear" w:color="auto" w:fill="auto"/>
            <w:vAlign w:val="bottom"/>
          </w:tcPr>
          <w:p w14:paraId="36CA3CB6" w14:textId="77777777" w:rsidR="00787570" w:rsidRDefault="00787570">
            <w:pPr>
              <w:rPr>
                <w:rFonts w:ascii="宋体"/>
              </w:rPr>
            </w:pPr>
          </w:p>
        </w:tc>
        <w:tc>
          <w:tcPr>
            <w:tcW w:w="5" w:type="pct"/>
            <w:shd w:val="clear" w:color="auto" w:fill="auto"/>
            <w:vAlign w:val="bottom"/>
          </w:tcPr>
          <w:p w14:paraId="36CA3CB7" w14:textId="77777777" w:rsidR="00787570" w:rsidRDefault="00787570">
            <w:pPr>
              <w:rPr>
                <w:rFonts w:ascii="宋体"/>
              </w:rPr>
            </w:pPr>
          </w:p>
        </w:tc>
        <w:tc>
          <w:tcPr>
            <w:tcW w:w="50" w:type="pct"/>
            <w:shd w:val="clear" w:color="auto" w:fill="auto"/>
            <w:vAlign w:val="bottom"/>
          </w:tcPr>
          <w:p w14:paraId="36CA3CB8" w14:textId="77777777" w:rsidR="00787570" w:rsidRDefault="00787570">
            <w:pPr>
              <w:rPr>
                <w:rFonts w:ascii="宋体"/>
              </w:rPr>
            </w:pPr>
          </w:p>
        </w:tc>
        <w:tc>
          <w:tcPr>
            <w:tcW w:w="1308" w:type="pct"/>
            <w:shd w:val="clear" w:color="auto" w:fill="auto"/>
            <w:vAlign w:val="bottom"/>
          </w:tcPr>
          <w:p w14:paraId="36CA3CB9" w14:textId="77777777" w:rsidR="00787570" w:rsidRDefault="00787570">
            <w:pPr>
              <w:rPr>
                <w:rFonts w:ascii="宋体"/>
              </w:rPr>
            </w:pPr>
          </w:p>
        </w:tc>
        <w:tc>
          <w:tcPr>
            <w:tcW w:w="5" w:type="pct"/>
            <w:shd w:val="clear" w:color="auto" w:fill="auto"/>
            <w:vAlign w:val="bottom"/>
          </w:tcPr>
          <w:p w14:paraId="36CA3CBA" w14:textId="77777777" w:rsidR="00787570" w:rsidRDefault="00787570">
            <w:pPr>
              <w:rPr>
                <w:rFonts w:ascii="宋体"/>
              </w:rPr>
            </w:pPr>
          </w:p>
        </w:tc>
      </w:tr>
      <w:tr w:rsidR="00787570" w14:paraId="36CA3CC0" w14:textId="77777777">
        <w:tc>
          <w:tcPr>
            <w:tcW w:w="0" w:type="auto"/>
            <w:gridSpan w:val="3"/>
            <w:tcBorders>
              <w:top w:val="single" w:sz="8" w:space="0" w:color="0071C5"/>
            </w:tcBorders>
            <w:shd w:val="clear" w:color="auto" w:fill="auto"/>
            <w:tcMar>
              <w:left w:w="20" w:type="dxa"/>
              <w:right w:w="20" w:type="dxa"/>
            </w:tcMar>
            <w:vAlign w:val="center"/>
          </w:tcPr>
          <w:p w14:paraId="36CA3CBC" w14:textId="77777777" w:rsidR="00787570" w:rsidRDefault="000D56E2">
            <w:pPr>
              <w:textAlignment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Viewer9_files/intc-20200926_g2.jpg"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36CA5C21" wp14:editId="36CA5C22">
                  <wp:extent cx="304800" cy="304800"/>
                  <wp:effectExtent l="0" t="0" r="0" b="0"/>
                  <wp:docPr id="26" name="图片 79" descr="IMG_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79" descr="IMG_329"/>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8" w:space="0" w:color="0071C5"/>
            </w:tcBorders>
            <w:shd w:val="clear" w:color="auto" w:fill="auto"/>
            <w:tcMar>
              <w:top w:w="40" w:type="dxa"/>
              <w:left w:w="20" w:type="dxa"/>
              <w:bottom w:w="40" w:type="dxa"/>
              <w:right w:w="20" w:type="dxa"/>
            </w:tcMar>
            <w:vAlign w:val="center"/>
          </w:tcPr>
          <w:p w14:paraId="36CA3CBD" w14:textId="77777777" w:rsidR="00787570" w:rsidRDefault="000D56E2">
            <w:pPr>
              <w:textAlignment w:val="center"/>
            </w:pPr>
            <w:r>
              <w:rPr>
                <w:rFonts w:ascii="Arial" w:eastAsia="宋体" w:hAnsi="Arial" w:cs="Arial"/>
                <w:color w:val="333333"/>
                <w:sz w:val="16"/>
                <w:szCs w:val="16"/>
              </w:rPr>
              <w:t> FINANCIAL STATEMENTS</w:t>
            </w:r>
          </w:p>
        </w:tc>
        <w:tc>
          <w:tcPr>
            <w:tcW w:w="0" w:type="auto"/>
            <w:gridSpan w:val="3"/>
            <w:tcBorders>
              <w:top w:val="single" w:sz="8" w:space="0" w:color="0071C5"/>
              <w:left w:val="single" w:sz="24" w:space="0" w:color="0071C5"/>
            </w:tcBorders>
            <w:shd w:val="clear" w:color="auto" w:fill="auto"/>
            <w:tcMar>
              <w:top w:w="40" w:type="dxa"/>
              <w:left w:w="20" w:type="dxa"/>
              <w:bottom w:w="40" w:type="dxa"/>
              <w:right w:w="20" w:type="dxa"/>
            </w:tcMar>
            <w:vAlign w:val="center"/>
          </w:tcPr>
          <w:p w14:paraId="36CA3CBE" w14:textId="77777777" w:rsidR="00787570" w:rsidRDefault="000D56E2">
            <w:pPr>
              <w:textAlignment w:val="center"/>
            </w:pPr>
            <w:r>
              <w:rPr>
                <w:rFonts w:ascii="Arial" w:eastAsia="宋体" w:hAnsi="Arial" w:cs="Arial"/>
                <w:color w:val="333333"/>
                <w:sz w:val="16"/>
                <w:szCs w:val="16"/>
              </w:rPr>
              <w:t>  Notes to Financial Statements</w:t>
            </w:r>
          </w:p>
        </w:tc>
        <w:tc>
          <w:tcPr>
            <w:tcW w:w="0" w:type="auto"/>
            <w:gridSpan w:val="3"/>
            <w:tcBorders>
              <w:top w:val="single" w:sz="8" w:space="0" w:color="0071C5"/>
            </w:tcBorders>
            <w:shd w:val="clear" w:color="auto" w:fill="auto"/>
            <w:tcMar>
              <w:top w:w="40" w:type="dxa"/>
              <w:left w:w="20" w:type="dxa"/>
              <w:bottom w:w="40" w:type="dxa"/>
              <w:right w:w="20" w:type="dxa"/>
            </w:tcMar>
            <w:vAlign w:val="center"/>
          </w:tcPr>
          <w:p w14:paraId="36CA3CBF" w14:textId="77777777" w:rsidR="00787570" w:rsidRDefault="000D56E2">
            <w:pPr>
              <w:jc w:val="right"/>
              <w:textAlignment w:val="center"/>
            </w:pPr>
            <w:r>
              <w:rPr>
                <w:rFonts w:ascii="Arial" w:eastAsia="宋体" w:hAnsi="Arial" w:cs="Arial"/>
                <w:color w:val="333333"/>
                <w:sz w:val="16"/>
                <w:szCs w:val="16"/>
              </w:rPr>
              <w:t>20</w:t>
            </w:r>
          </w:p>
        </w:tc>
      </w:tr>
    </w:tbl>
    <w:p w14:paraId="36CA3CC1" w14:textId="77777777" w:rsidR="00787570" w:rsidRDefault="000D56E2">
      <w:r>
        <w:pict w14:anchorId="36CA5C23">
          <v:rect id="_x0000_i1046" style="width:415.3pt;height:1.5pt" o:hralign="center" o:hrstd="t" o:hr="t" fillcolor="#a0a0a0" stroked="f"/>
        </w:pict>
      </w:r>
    </w:p>
    <w:p w14:paraId="36CA3CC2" w14:textId="77777777" w:rsidR="00787570" w:rsidRDefault="000D56E2">
      <w:pPr>
        <w:spacing w:after="180"/>
        <w:jc w:val="right"/>
      </w:pPr>
      <w:hyperlink r:id="rId48" w:anchor="i32771df14e9449d2bec5be911426bf04_7" w:history="1">
        <w:r>
          <w:rPr>
            <w:rStyle w:val="a5"/>
            <w:rFonts w:ascii="Arial" w:eastAsia="宋体" w:hAnsi="Arial" w:cs="Arial"/>
            <w:b/>
            <w:bCs/>
            <w:sz w:val="16"/>
            <w:szCs w:val="16"/>
          </w:rPr>
          <w:t>Table of Contents</w:t>
        </w:r>
      </w:hyperlink>
    </w:p>
    <w:p w14:paraId="36CA3CC3" w14:textId="77777777" w:rsidR="00787570" w:rsidRDefault="00787570">
      <w:pPr>
        <w:spacing w:after="180"/>
        <w:jc w:val="right"/>
      </w:pPr>
    </w:p>
    <w:tbl>
      <w:tblPr>
        <w:tblW w:w="5000" w:type="pct"/>
        <w:tblCellMar>
          <w:top w:w="15" w:type="dxa"/>
          <w:left w:w="15" w:type="dxa"/>
          <w:bottom w:w="15" w:type="dxa"/>
          <w:right w:w="15" w:type="dxa"/>
        </w:tblCellMar>
        <w:tblLook w:val="04A0" w:firstRow="1" w:lastRow="0" w:firstColumn="1" w:lastColumn="0" w:noHBand="0" w:noVBand="1"/>
      </w:tblPr>
      <w:tblGrid>
        <w:gridCol w:w="69"/>
        <w:gridCol w:w="998"/>
        <w:gridCol w:w="36"/>
        <w:gridCol w:w="69"/>
        <w:gridCol w:w="7128"/>
        <w:gridCol w:w="36"/>
      </w:tblGrid>
      <w:tr w:rsidR="00787570" w14:paraId="36CA3CCA" w14:textId="77777777">
        <w:tc>
          <w:tcPr>
            <w:tcW w:w="50" w:type="pct"/>
            <w:shd w:val="clear" w:color="auto" w:fill="auto"/>
          </w:tcPr>
          <w:p w14:paraId="36CA3CC4" w14:textId="77777777" w:rsidR="00787570" w:rsidRDefault="00787570">
            <w:pPr>
              <w:rPr>
                <w:rFonts w:ascii="宋体"/>
              </w:rPr>
            </w:pPr>
          </w:p>
        </w:tc>
        <w:tc>
          <w:tcPr>
            <w:tcW w:w="607" w:type="pct"/>
            <w:shd w:val="clear" w:color="auto" w:fill="auto"/>
          </w:tcPr>
          <w:p w14:paraId="36CA3CC5" w14:textId="77777777" w:rsidR="00787570" w:rsidRDefault="00787570">
            <w:pPr>
              <w:rPr>
                <w:rFonts w:ascii="宋体"/>
              </w:rPr>
            </w:pPr>
          </w:p>
        </w:tc>
        <w:tc>
          <w:tcPr>
            <w:tcW w:w="5" w:type="pct"/>
            <w:shd w:val="clear" w:color="auto" w:fill="auto"/>
          </w:tcPr>
          <w:p w14:paraId="36CA3CC6" w14:textId="77777777" w:rsidR="00787570" w:rsidRDefault="00787570">
            <w:pPr>
              <w:rPr>
                <w:rFonts w:ascii="宋体"/>
              </w:rPr>
            </w:pPr>
          </w:p>
        </w:tc>
        <w:tc>
          <w:tcPr>
            <w:tcW w:w="50" w:type="pct"/>
            <w:shd w:val="clear" w:color="auto" w:fill="auto"/>
          </w:tcPr>
          <w:p w14:paraId="36CA3CC7" w14:textId="77777777" w:rsidR="00787570" w:rsidRDefault="00787570">
            <w:pPr>
              <w:rPr>
                <w:rFonts w:ascii="宋体"/>
              </w:rPr>
            </w:pPr>
          </w:p>
        </w:tc>
        <w:tc>
          <w:tcPr>
            <w:tcW w:w="4282" w:type="pct"/>
            <w:shd w:val="clear" w:color="auto" w:fill="auto"/>
          </w:tcPr>
          <w:p w14:paraId="36CA3CC8" w14:textId="77777777" w:rsidR="00787570" w:rsidRDefault="00787570">
            <w:pPr>
              <w:rPr>
                <w:rFonts w:ascii="宋体"/>
              </w:rPr>
            </w:pPr>
          </w:p>
        </w:tc>
        <w:tc>
          <w:tcPr>
            <w:tcW w:w="5" w:type="pct"/>
            <w:shd w:val="clear" w:color="auto" w:fill="auto"/>
          </w:tcPr>
          <w:p w14:paraId="36CA3CC9" w14:textId="77777777" w:rsidR="00787570" w:rsidRDefault="00787570">
            <w:pPr>
              <w:rPr>
                <w:rFonts w:ascii="宋体"/>
              </w:rPr>
            </w:pPr>
          </w:p>
        </w:tc>
      </w:tr>
      <w:tr w:rsidR="00787570" w14:paraId="36CA3CCD" w14:textId="77777777">
        <w:tc>
          <w:tcPr>
            <w:tcW w:w="0" w:type="auto"/>
            <w:gridSpan w:val="3"/>
            <w:tcBorders>
              <w:bottom w:val="single" w:sz="8" w:space="0" w:color="0071C5"/>
            </w:tcBorders>
            <w:shd w:val="clear" w:color="auto" w:fill="0071C5"/>
            <w:tcMar>
              <w:top w:w="40" w:type="dxa"/>
              <w:left w:w="20" w:type="dxa"/>
              <w:bottom w:w="40" w:type="dxa"/>
              <w:right w:w="20" w:type="dxa"/>
            </w:tcMar>
            <w:vAlign w:val="bottom"/>
          </w:tcPr>
          <w:p w14:paraId="36CA3CCB" w14:textId="77777777" w:rsidR="00787570" w:rsidRDefault="000D56E2">
            <w:pPr>
              <w:textAlignment w:val="bottom"/>
            </w:pPr>
            <w:r>
              <w:rPr>
                <w:rFonts w:ascii="Arial" w:eastAsia="宋体" w:hAnsi="Arial" w:cs="Arial"/>
                <w:b/>
                <w:bCs/>
                <w:color w:val="FFFFFF"/>
                <w:sz w:val="28"/>
                <w:szCs w:val="28"/>
              </w:rPr>
              <w:t xml:space="preserve">NOTE 12 : </w:t>
            </w:r>
          </w:p>
        </w:tc>
        <w:tc>
          <w:tcPr>
            <w:tcW w:w="0" w:type="auto"/>
            <w:gridSpan w:val="3"/>
            <w:tcBorders>
              <w:bottom w:val="single" w:sz="8" w:space="0" w:color="0071C5"/>
            </w:tcBorders>
            <w:shd w:val="clear" w:color="auto" w:fill="auto"/>
            <w:tcMar>
              <w:top w:w="40" w:type="dxa"/>
              <w:left w:w="20" w:type="dxa"/>
              <w:bottom w:w="40" w:type="dxa"/>
              <w:right w:w="20" w:type="dxa"/>
            </w:tcMar>
            <w:vAlign w:val="bottom"/>
          </w:tcPr>
          <w:p w14:paraId="36CA3CCC" w14:textId="77777777" w:rsidR="00787570" w:rsidRDefault="000D56E2">
            <w:pPr>
              <w:textAlignment w:val="bottom"/>
            </w:pPr>
            <w:r>
              <w:rPr>
                <w:rFonts w:ascii="Arial" w:eastAsia="宋体" w:hAnsi="Arial" w:cs="Arial"/>
                <w:b/>
                <w:bCs/>
                <w:color w:val="0071C5"/>
                <w:sz w:val="28"/>
                <w:szCs w:val="28"/>
              </w:rPr>
              <w:t>DERIVATIVE FINANCIAL INSTRUMENTS</w:t>
            </w:r>
          </w:p>
        </w:tc>
      </w:tr>
    </w:tbl>
    <w:p w14:paraId="36CA3CCE" w14:textId="77777777" w:rsidR="00787570" w:rsidRDefault="000D56E2">
      <w:pPr>
        <w:spacing w:before="300" w:after="180"/>
      </w:pPr>
      <w:r>
        <w:rPr>
          <w:rFonts w:ascii="Arial" w:eastAsia="宋体" w:hAnsi="Arial" w:cs="Arial"/>
          <w:b/>
          <w:bCs/>
          <w:color w:val="0071C5"/>
        </w:rPr>
        <w:t xml:space="preserve">VOLUME OF DERIVATIVE </w:t>
      </w:r>
      <w:r>
        <w:rPr>
          <w:rFonts w:ascii="Arial" w:eastAsia="宋体" w:hAnsi="Arial" w:cs="Arial"/>
          <w:b/>
          <w:bCs/>
          <w:color w:val="0071C5"/>
        </w:rPr>
        <w:t>ACTIVITY</w:t>
      </w:r>
    </w:p>
    <w:p w14:paraId="36CA3CCF" w14:textId="77777777" w:rsidR="00787570" w:rsidRDefault="000D56E2">
      <w:pPr>
        <w:spacing w:after="120"/>
      </w:pPr>
      <w:r>
        <w:rPr>
          <w:rFonts w:ascii="Arial" w:eastAsia="宋体" w:hAnsi="Arial" w:cs="Arial"/>
          <w:color w:val="333333"/>
          <w:sz w:val="18"/>
          <w:szCs w:val="18"/>
        </w:rPr>
        <w:t>Total gross notional amounts for outstanding derivatives (recorded at fair value) at the end of each period were as follows: </w:t>
      </w:r>
    </w:p>
    <w:tbl>
      <w:tblPr>
        <w:tblW w:w="5000" w:type="pct"/>
        <w:tblCellMar>
          <w:top w:w="15" w:type="dxa"/>
          <w:left w:w="15" w:type="dxa"/>
          <w:bottom w:w="15" w:type="dxa"/>
          <w:right w:w="15" w:type="dxa"/>
        </w:tblCellMar>
        <w:tblLook w:val="04A0" w:firstRow="1" w:lastRow="0" w:firstColumn="1" w:lastColumn="0" w:noHBand="0" w:noVBand="1"/>
      </w:tblPr>
      <w:tblGrid>
        <w:gridCol w:w="37"/>
        <w:gridCol w:w="6039"/>
        <w:gridCol w:w="36"/>
        <w:gridCol w:w="36"/>
        <w:gridCol w:w="36"/>
        <w:gridCol w:w="36"/>
        <w:gridCol w:w="136"/>
        <w:gridCol w:w="790"/>
        <w:gridCol w:w="41"/>
        <w:gridCol w:w="36"/>
        <w:gridCol w:w="36"/>
        <w:gridCol w:w="36"/>
        <w:gridCol w:w="136"/>
        <w:gridCol w:w="792"/>
        <w:gridCol w:w="41"/>
        <w:gridCol w:w="36"/>
        <w:gridCol w:w="36"/>
      </w:tblGrid>
      <w:tr w:rsidR="00787570" w14:paraId="36CA3CE1" w14:textId="77777777">
        <w:tc>
          <w:tcPr>
            <w:tcW w:w="50" w:type="pct"/>
            <w:shd w:val="clear" w:color="auto" w:fill="auto"/>
          </w:tcPr>
          <w:p w14:paraId="36CA3CD0" w14:textId="77777777" w:rsidR="00787570" w:rsidRDefault="00787570">
            <w:pPr>
              <w:rPr>
                <w:rFonts w:ascii="宋体"/>
              </w:rPr>
            </w:pPr>
          </w:p>
        </w:tc>
        <w:tc>
          <w:tcPr>
            <w:tcW w:w="3688" w:type="pct"/>
            <w:shd w:val="clear" w:color="auto" w:fill="auto"/>
          </w:tcPr>
          <w:p w14:paraId="36CA3CD1" w14:textId="77777777" w:rsidR="00787570" w:rsidRDefault="00787570">
            <w:pPr>
              <w:rPr>
                <w:rFonts w:ascii="宋体"/>
              </w:rPr>
            </w:pPr>
          </w:p>
        </w:tc>
        <w:tc>
          <w:tcPr>
            <w:tcW w:w="5" w:type="pct"/>
            <w:shd w:val="clear" w:color="auto" w:fill="auto"/>
          </w:tcPr>
          <w:p w14:paraId="36CA3CD2" w14:textId="77777777" w:rsidR="00787570" w:rsidRDefault="00787570">
            <w:pPr>
              <w:rPr>
                <w:rFonts w:ascii="宋体"/>
              </w:rPr>
            </w:pPr>
          </w:p>
        </w:tc>
        <w:tc>
          <w:tcPr>
            <w:tcW w:w="5" w:type="pct"/>
            <w:shd w:val="clear" w:color="auto" w:fill="auto"/>
          </w:tcPr>
          <w:p w14:paraId="36CA3CD3" w14:textId="77777777" w:rsidR="00787570" w:rsidRDefault="00787570">
            <w:pPr>
              <w:rPr>
                <w:rFonts w:ascii="宋体"/>
              </w:rPr>
            </w:pPr>
          </w:p>
        </w:tc>
        <w:tc>
          <w:tcPr>
            <w:tcW w:w="24" w:type="pct"/>
            <w:shd w:val="clear" w:color="auto" w:fill="auto"/>
          </w:tcPr>
          <w:p w14:paraId="36CA3CD4" w14:textId="77777777" w:rsidR="00787570" w:rsidRDefault="00787570">
            <w:pPr>
              <w:rPr>
                <w:rFonts w:ascii="宋体"/>
              </w:rPr>
            </w:pPr>
          </w:p>
        </w:tc>
        <w:tc>
          <w:tcPr>
            <w:tcW w:w="5" w:type="pct"/>
            <w:shd w:val="clear" w:color="auto" w:fill="auto"/>
          </w:tcPr>
          <w:p w14:paraId="36CA3CD5" w14:textId="77777777" w:rsidR="00787570" w:rsidRDefault="00787570">
            <w:pPr>
              <w:rPr>
                <w:rFonts w:ascii="宋体"/>
              </w:rPr>
            </w:pPr>
          </w:p>
        </w:tc>
        <w:tc>
          <w:tcPr>
            <w:tcW w:w="50" w:type="pct"/>
            <w:shd w:val="clear" w:color="auto" w:fill="auto"/>
          </w:tcPr>
          <w:p w14:paraId="36CA3CD6" w14:textId="77777777" w:rsidR="00787570" w:rsidRDefault="00787570">
            <w:pPr>
              <w:rPr>
                <w:rFonts w:ascii="宋体"/>
              </w:rPr>
            </w:pPr>
          </w:p>
        </w:tc>
        <w:tc>
          <w:tcPr>
            <w:tcW w:w="539" w:type="pct"/>
            <w:shd w:val="clear" w:color="auto" w:fill="auto"/>
          </w:tcPr>
          <w:p w14:paraId="36CA3CD7" w14:textId="77777777" w:rsidR="00787570" w:rsidRDefault="00787570">
            <w:pPr>
              <w:rPr>
                <w:rFonts w:ascii="宋体"/>
              </w:rPr>
            </w:pPr>
          </w:p>
        </w:tc>
        <w:tc>
          <w:tcPr>
            <w:tcW w:w="5" w:type="pct"/>
            <w:shd w:val="clear" w:color="auto" w:fill="auto"/>
          </w:tcPr>
          <w:p w14:paraId="36CA3CD8" w14:textId="77777777" w:rsidR="00787570" w:rsidRDefault="00787570">
            <w:pPr>
              <w:rPr>
                <w:rFonts w:ascii="宋体"/>
              </w:rPr>
            </w:pPr>
          </w:p>
        </w:tc>
        <w:tc>
          <w:tcPr>
            <w:tcW w:w="5" w:type="pct"/>
            <w:shd w:val="clear" w:color="auto" w:fill="auto"/>
          </w:tcPr>
          <w:p w14:paraId="36CA3CD9" w14:textId="77777777" w:rsidR="00787570" w:rsidRDefault="00787570">
            <w:pPr>
              <w:rPr>
                <w:rFonts w:ascii="宋体"/>
              </w:rPr>
            </w:pPr>
          </w:p>
        </w:tc>
        <w:tc>
          <w:tcPr>
            <w:tcW w:w="24" w:type="pct"/>
            <w:shd w:val="clear" w:color="auto" w:fill="auto"/>
          </w:tcPr>
          <w:p w14:paraId="36CA3CDA" w14:textId="77777777" w:rsidR="00787570" w:rsidRDefault="00787570">
            <w:pPr>
              <w:rPr>
                <w:rFonts w:ascii="宋体"/>
              </w:rPr>
            </w:pPr>
          </w:p>
        </w:tc>
        <w:tc>
          <w:tcPr>
            <w:tcW w:w="5" w:type="pct"/>
            <w:shd w:val="clear" w:color="auto" w:fill="auto"/>
          </w:tcPr>
          <w:p w14:paraId="36CA3CDB" w14:textId="77777777" w:rsidR="00787570" w:rsidRDefault="00787570">
            <w:pPr>
              <w:rPr>
                <w:rFonts w:ascii="宋体"/>
              </w:rPr>
            </w:pPr>
          </w:p>
        </w:tc>
        <w:tc>
          <w:tcPr>
            <w:tcW w:w="50" w:type="pct"/>
            <w:shd w:val="clear" w:color="auto" w:fill="auto"/>
          </w:tcPr>
          <w:p w14:paraId="36CA3CDC" w14:textId="77777777" w:rsidR="00787570" w:rsidRDefault="00787570">
            <w:pPr>
              <w:rPr>
                <w:rFonts w:ascii="宋体"/>
              </w:rPr>
            </w:pPr>
          </w:p>
        </w:tc>
        <w:tc>
          <w:tcPr>
            <w:tcW w:w="539" w:type="pct"/>
            <w:shd w:val="clear" w:color="auto" w:fill="auto"/>
          </w:tcPr>
          <w:p w14:paraId="36CA3CDD" w14:textId="77777777" w:rsidR="00787570" w:rsidRDefault="00787570">
            <w:pPr>
              <w:rPr>
                <w:rFonts w:ascii="宋体"/>
              </w:rPr>
            </w:pPr>
          </w:p>
        </w:tc>
        <w:tc>
          <w:tcPr>
            <w:tcW w:w="5" w:type="pct"/>
            <w:shd w:val="clear" w:color="auto" w:fill="auto"/>
          </w:tcPr>
          <w:p w14:paraId="36CA3CDE" w14:textId="77777777" w:rsidR="00787570" w:rsidRDefault="00787570">
            <w:pPr>
              <w:rPr>
                <w:rFonts w:ascii="宋体"/>
              </w:rPr>
            </w:pPr>
          </w:p>
        </w:tc>
        <w:tc>
          <w:tcPr>
            <w:tcW w:w="0" w:type="auto"/>
            <w:shd w:val="clear" w:color="auto" w:fill="auto"/>
          </w:tcPr>
          <w:p w14:paraId="36CA3CDF" w14:textId="77777777" w:rsidR="00787570" w:rsidRDefault="00787570">
            <w:pPr>
              <w:rPr>
                <w:rFonts w:ascii="宋体"/>
                <w:vanish/>
              </w:rPr>
            </w:pPr>
          </w:p>
        </w:tc>
        <w:tc>
          <w:tcPr>
            <w:tcW w:w="0" w:type="auto"/>
            <w:shd w:val="clear" w:color="auto" w:fill="auto"/>
          </w:tcPr>
          <w:p w14:paraId="36CA3CE0" w14:textId="77777777" w:rsidR="00787570" w:rsidRDefault="00787570">
            <w:pPr>
              <w:rPr>
                <w:rFonts w:ascii="宋体"/>
                <w:vanish/>
              </w:rPr>
            </w:pPr>
          </w:p>
        </w:tc>
      </w:tr>
      <w:tr w:rsidR="00787570" w14:paraId="36CA3CE9" w14:textId="77777777">
        <w:tc>
          <w:tcPr>
            <w:tcW w:w="0" w:type="auto"/>
            <w:gridSpan w:val="3"/>
            <w:shd w:val="clear" w:color="auto" w:fill="auto"/>
            <w:tcMar>
              <w:top w:w="40" w:type="dxa"/>
              <w:left w:w="20" w:type="dxa"/>
              <w:bottom w:w="40" w:type="dxa"/>
              <w:right w:w="20" w:type="dxa"/>
            </w:tcMar>
            <w:vAlign w:val="bottom"/>
          </w:tcPr>
          <w:p w14:paraId="36CA3CE2" w14:textId="77777777" w:rsidR="00787570" w:rsidRDefault="000D56E2">
            <w:pPr>
              <w:ind w:hanging="180"/>
              <w:textAlignment w:val="bottom"/>
            </w:pPr>
            <w:r>
              <w:rPr>
                <w:rFonts w:ascii="Arial" w:eastAsia="宋体" w:hAnsi="Arial" w:cs="Arial"/>
                <w:b/>
                <w:bCs/>
                <w:color w:val="333333"/>
                <w:sz w:val="18"/>
                <w:szCs w:val="18"/>
              </w:rPr>
              <w:t>(In Millions)</w:t>
            </w:r>
          </w:p>
        </w:tc>
        <w:tc>
          <w:tcPr>
            <w:tcW w:w="0" w:type="auto"/>
            <w:gridSpan w:val="3"/>
            <w:shd w:val="clear" w:color="auto" w:fill="auto"/>
            <w:tcMar>
              <w:left w:w="20" w:type="dxa"/>
              <w:right w:w="20" w:type="dxa"/>
            </w:tcMar>
            <w:vAlign w:val="bottom"/>
          </w:tcPr>
          <w:p w14:paraId="36CA3CE3" w14:textId="77777777" w:rsidR="00787570" w:rsidRDefault="00787570">
            <w:pPr>
              <w:rPr>
                <w:rFonts w:ascii="宋体"/>
              </w:rPr>
            </w:pPr>
          </w:p>
        </w:tc>
        <w:tc>
          <w:tcPr>
            <w:tcW w:w="0" w:type="auto"/>
            <w:gridSpan w:val="3"/>
            <w:shd w:val="clear" w:color="auto" w:fill="auto"/>
            <w:tcMar>
              <w:top w:w="40" w:type="dxa"/>
              <w:left w:w="20" w:type="dxa"/>
              <w:bottom w:w="40" w:type="dxa"/>
              <w:right w:w="20" w:type="dxa"/>
            </w:tcMar>
            <w:vAlign w:val="bottom"/>
          </w:tcPr>
          <w:p w14:paraId="36CA3CE4" w14:textId="77777777" w:rsidR="00787570" w:rsidRDefault="000D56E2">
            <w:pPr>
              <w:jc w:val="center"/>
              <w:textAlignment w:val="bottom"/>
            </w:pPr>
            <w:r>
              <w:rPr>
                <w:rFonts w:ascii="Arial" w:eastAsia="宋体" w:hAnsi="Arial" w:cs="Arial"/>
                <w:b/>
                <w:bCs/>
                <w:color w:val="333333"/>
                <w:sz w:val="18"/>
                <w:szCs w:val="18"/>
              </w:rPr>
              <w:t>Sep 26, 2020</w:t>
            </w:r>
          </w:p>
        </w:tc>
        <w:tc>
          <w:tcPr>
            <w:tcW w:w="0" w:type="auto"/>
            <w:gridSpan w:val="3"/>
            <w:shd w:val="clear" w:color="auto" w:fill="auto"/>
            <w:tcMar>
              <w:left w:w="20" w:type="dxa"/>
              <w:right w:w="20" w:type="dxa"/>
            </w:tcMar>
            <w:vAlign w:val="bottom"/>
          </w:tcPr>
          <w:p w14:paraId="36CA3CE5" w14:textId="77777777" w:rsidR="00787570" w:rsidRDefault="00787570">
            <w:pPr>
              <w:rPr>
                <w:rFonts w:ascii="宋体"/>
              </w:rPr>
            </w:pPr>
          </w:p>
        </w:tc>
        <w:tc>
          <w:tcPr>
            <w:tcW w:w="0" w:type="auto"/>
            <w:gridSpan w:val="3"/>
            <w:shd w:val="clear" w:color="auto" w:fill="auto"/>
            <w:tcMar>
              <w:top w:w="40" w:type="dxa"/>
              <w:left w:w="20" w:type="dxa"/>
              <w:bottom w:w="40" w:type="dxa"/>
              <w:right w:w="20" w:type="dxa"/>
            </w:tcMar>
            <w:vAlign w:val="bottom"/>
          </w:tcPr>
          <w:p w14:paraId="36CA3CE6" w14:textId="77777777" w:rsidR="00787570" w:rsidRDefault="000D56E2">
            <w:pPr>
              <w:jc w:val="center"/>
              <w:textAlignment w:val="bottom"/>
            </w:pPr>
            <w:r>
              <w:rPr>
                <w:rFonts w:ascii="Arial" w:eastAsia="宋体" w:hAnsi="Arial" w:cs="Arial"/>
                <w:b/>
                <w:bCs/>
                <w:color w:val="333333"/>
                <w:sz w:val="18"/>
                <w:szCs w:val="18"/>
              </w:rPr>
              <w:t>Dec 28, 2019</w:t>
            </w:r>
          </w:p>
        </w:tc>
        <w:tc>
          <w:tcPr>
            <w:tcW w:w="0" w:type="auto"/>
            <w:shd w:val="clear" w:color="auto" w:fill="auto"/>
          </w:tcPr>
          <w:p w14:paraId="36CA3CE7" w14:textId="77777777" w:rsidR="00787570" w:rsidRDefault="00787570">
            <w:pPr>
              <w:rPr>
                <w:rFonts w:ascii="宋体"/>
                <w:vanish/>
              </w:rPr>
            </w:pPr>
          </w:p>
        </w:tc>
        <w:tc>
          <w:tcPr>
            <w:tcW w:w="0" w:type="auto"/>
            <w:shd w:val="clear" w:color="auto" w:fill="auto"/>
          </w:tcPr>
          <w:p w14:paraId="36CA3CE8" w14:textId="77777777" w:rsidR="00787570" w:rsidRDefault="00787570">
            <w:pPr>
              <w:rPr>
                <w:rFonts w:ascii="宋体"/>
                <w:vanish/>
              </w:rPr>
            </w:pPr>
          </w:p>
        </w:tc>
      </w:tr>
      <w:tr w:rsidR="00787570" w14:paraId="36CA3CF5" w14:textId="77777777">
        <w:tc>
          <w:tcPr>
            <w:tcW w:w="0" w:type="auto"/>
            <w:gridSpan w:val="3"/>
            <w:tcBorders>
              <w:top w:val="single" w:sz="8" w:space="0" w:color="0071C5"/>
            </w:tcBorders>
            <w:shd w:val="clear" w:color="auto" w:fill="auto"/>
            <w:tcMar>
              <w:top w:w="40" w:type="dxa"/>
              <w:left w:w="20" w:type="dxa"/>
              <w:bottom w:w="40" w:type="dxa"/>
              <w:right w:w="20" w:type="dxa"/>
            </w:tcMar>
          </w:tcPr>
          <w:p w14:paraId="36CA3CEA" w14:textId="77777777" w:rsidR="00787570" w:rsidRDefault="000D56E2">
            <w:pPr>
              <w:ind w:hanging="180"/>
              <w:textAlignment w:val="top"/>
            </w:pPr>
            <w:r>
              <w:rPr>
                <w:rFonts w:ascii="Arial" w:eastAsia="宋体" w:hAnsi="Arial" w:cs="Arial"/>
                <w:color w:val="333333"/>
                <w:sz w:val="18"/>
                <w:szCs w:val="18"/>
              </w:rPr>
              <w:t>Foreign currency contracts</w:t>
            </w:r>
          </w:p>
        </w:tc>
        <w:tc>
          <w:tcPr>
            <w:tcW w:w="0" w:type="auto"/>
            <w:gridSpan w:val="3"/>
            <w:shd w:val="clear" w:color="auto" w:fill="auto"/>
            <w:tcMar>
              <w:left w:w="20" w:type="dxa"/>
              <w:right w:w="20" w:type="dxa"/>
            </w:tcMar>
            <w:vAlign w:val="bottom"/>
          </w:tcPr>
          <w:p w14:paraId="36CA3CEB" w14:textId="77777777" w:rsidR="00787570" w:rsidRDefault="00787570">
            <w:pPr>
              <w:rPr>
                <w:rFonts w:ascii="宋体"/>
              </w:rPr>
            </w:pPr>
          </w:p>
        </w:tc>
        <w:tc>
          <w:tcPr>
            <w:tcW w:w="0" w:type="auto"/>
            <w:tcBorders>
              <w:top w:val="single" w:sz="8" w:space="0" w:color="0071C5"/>
            </w:tcBorders>
            <w:shd w:val="clear" w:color="auto" w:fill="auto"/>
            <w:tcMar>
              <w:top w:w="40" w:type="dxa"/>
              <w:left w:w="20" w:type="dxa"/>
              <w:bottom w:w="40" w:type="dxa"/>
            </w:tcMar>
            <w:vAlign w:val="bottom"/>
          </w:tcPr>
          <w:p w14:paraId="36CA3CEC" w14:textId="77777777" w:rsidR="00787570" w:rsidRDefault="000D56E2">
            <w:pPr>
              <w:textAlignment w:val="bottom"/>
            </w:pPr>
            <w:r>
              <w:rPr>
                <w:rFonts w:ascii="Arial" w:eastAsia="宋体" w:hAnsi="Arial" w:cs="Arial"/>
                <w:color w:val="026DCE"/>
                <w:sz w:val="18"/>
                <w:szCs w:val="18"/>
              </w:rPr>
              <w:t>$</w:t>
            </w:r>
          </w:p>
        </w:tc>
        <w:tc>
          <w:tcPr>
            <w:tcW w:w="0" w:type="auto"/>
            <w:tcBorders>
              <w:top w:val="single" w:sz="8" w:space="0" w:color="0071C5"/>
            </w:tcBorders>
            <w:shd w:val="clear" w:color="auto" w:fill="auto"/>
            <w:tcMar>
              <w:top w:w="40" w:type="dxa"/>
              <w:bottom w:w="40" w:type="dxa"/>
              <w:right w:w="0" w:type="dxa"/>
            </w:tcMar>
            <w:vAlign w:val="bottom"/>
          </w:tcPr>
          <w:p w14:paraId="36CA3CED" w14:textId="77777777" w:rsidR="00787570" w:rsidRDefault="000D56E2">
            <w:pPr>
              <w:jc w:val="right"/>
              <w:textAlignment w:val="bottom"/>
            </w:pPr>
            <w:r>
              <w:rPr>
                <w:rFonts w:ascii="Arial" w:eastAsia="宋体" w:hAnsi="Arial" w:cs="Arial"/>
                <w:color w:val="026DCE"/>
                <w:sz w:val="18"/>
                <w:szCs w:val="18"/>
              </w:rPr>
              <w:t>28,743 </w:t>
            </w:r>
          </w:p>
        </w:tc>
        <w:tc>
          <w:tcPr>
            <w:tcW w:w="0" w:type="auto"/>
            <w:tcBorders>
              <w:top w:val="single" w:sz="8" w:space="0" w:color="0071C5"/>
            </w:tcBorders>
            <w:shd w:val="clear" w:color="auto" w:fill="auto"/>
            <w:tcMar>
              <w:top w:w="40" w:type="dxa"/>
              <w:bottom w:w="40" w:type="dxa"/>
              <w:right w:w="20" w:type="dxa"/>
            </w:tcMar>
            <w:vAlign w:val="bottom"/>
          </w:tcPr>
          <w:p w14:paraId="36CA3CEE"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3CEF" w14:textId="77777777" w:rsidR="00787570" w:rsidRDefault="00787570">
            <w:pPr>
              <w:rPr>
                <w:rFonts w:ascii="宋体"/>
              </w:rPr>
            </w:pPr>
          </w:p>
        </w:tc>
        <w:tc>
          <w:tcPr>
            <w:tcW w:w="0" w:type="auto"/>
            <w:tcBorders>
              <w:top w:val="single" w:sz="8" w:space="0" w:color="0071C5"/>
            </w:tcBorders>
            <w:shd w:val="clear" w:color="auto" w:fill="auto"/>
            <w:tcMar>
              <w:top w:w="40" w:type="dxa"/>
              <w:left w:w="20" w:type="dxa"/>
              <w:bottom w:w="40" w:type="dxa"/>
            </w:tcMar>
            <w:vAlign w:val="bottom"/>
          </w:tcPr>
          <w:p w14:paraId="36CA3CF0" w14:textId="77777777" w:rsidR="00787570" w:rsidRDefault="000D56E2">
            <w:pPr>
              <w:textAlignment w:val="bottom"/>
            </w:pPr>
            <w:r>
              <w:rPr>
                <w:rFonts w:ascii="Arial" w:eastAsia="宋体" w:hAnsi="Arial" w:cs="Arial"/>
                <w:color w:val="333333"/>
                <w:sz w:val="18"/>
                <w:szCs w:val="18"/>
              </w:rPr>
              <w:t>$</w:t>
            </w:r>
          </w:p>
        </w:tc>
        <w:tc>
          <w:tcPr>
            <w:tcW w:w="0" w:type="auto"/>
            <w:tcBorders>
              <w:top w:val="single" w:sz="8" w:space="0" w:color="0071C5"/>
            </w:tcBorders>
            <w:shd w:val="clear" w:color="auto" w:fill="auto"/>
            <w:tcMar>
              <w:top w:w="40" w:type="dxa"/>
              <w:bottom w:w="40" w:type="dxa"/>
              <w:right w:w="0" w:type="dxa"/>
            </w:tcMar>
            <w:vAlign w:val="bottom"/>
          </w:tcPr>
          <w:p w14:paraId="36CA3CF1" w14:textId="77777777" w:rsidR="00787570" w:rsidRDefault="000D56E2">
            <w:pPr>
              <w:jc w:val="right"/>
              <w:textAlignment w:val="bottom"/>
            </w:pPr>
            <w:r>
              <w:rPr>
                <w:rFonts w:ascii="Arial" w:eastAsia="宋体" w:hAnsi="Arial" w:cs="Arial"/>
                <w:color w:val="333333"/>
                <w:sz w:val="18"/>
                <w:szCs w:val="18"/>
              </w:rPr>
              <w:t>23,981 </w:t>
            </w:r>
          </w:p>
        </w:tc>
        <w:tc>
          <w:tcPr>
            <w:tcW w:w="0" w:type="auto"/>
            <w:tcBorders>
              <w:top w:val="single" w:sz="8" w:space="0" w:color="0071C5"/>
            </w:tcBorders>
            <w:shd w:val="clear" w:color="auto" w:fill="auto"/>
            <w:tcMar>
              <w:top w:w="40" w:type="dxa"/>
              <w:bottom w:w="40" w:type="dxa"/>
              <w:right w:w="20" w:type="dxa"/>
            </w:tcMar>
            <w:vAlign w:val="bottom"/>
          </w:tcPr>
          <w:p w14:paraId="36CA3CF2" w14:textId="77777777" w:rsidR="00787570" w:rsidRDefault="00787570">
            <w:pPr>
              <w:jc w:val="right"/>
              <w:rPr>
                <w:rFonts w:ascii="宋体"/>
              </w:rPr>
            </w:pPr>
          </w:p>
        </w:tc>
        <w:tc>
          <w:tcPr>
            <w:tcW w:w="0" w:type="auto"/>
            <w:shd w:val="clear" w:color="auto" w:fill="auto"/>
          </w:tcPr>
          <w:p w14:paraId="36CA3CF3" w14:textId="77777777" w:rsidR="00787570" w:rsidRDefault="00787570">
            <w:pPr>
              <w:rPr>
                <w:rFonts w:ascii="宋体"/>
                <w:vanish/>
              </w:rPr>
            </w:pPr>
          </w:p>
        </w:tc>
        <w:tc>
          <w:tcPr>
            <w:tcW w:w="0" w:type="auto"/>
            <w:shd w:val="clear" w:color="auto" w:fill="auto"/>
          </w:tcPr>
          <w:p w14:paraId="36CA3CF4" w14:textId="77777777" w:rsidR="00787570" w:rsidRDefault="00787570">
            <w:pPr>
              <w:rPr>
                <w:rFonts w:ascii="宋体"/>
                <w:vanish/>
              </w:rPr>
            </w:pPr>
          </w:p>
        </w:tc>
      </w:tr>
      <w:tr w:rsidR="00787570" w14:paraId="36CA3CFF" w14:textId="77777777">
        <w:tc>
          <w:tcPr>
            <w:tcW w:w="0" w:type="auto"/>
            <w:gridSpan w:val="3"/>
            <w:shd w:val="clear" w:color="auto" w:fill="auto"/>
            <w:tcMar>
              <w:top w:w="40" w:type="dxa"/>
              <w:left w:w="20" w:type="dxa"/>
              <w:bottom w:w="40" w:type="dxa"/>
              <w:right w:w="20" w:type="dxa"/>
            </w:tcMar>
          </w:tcPr>
          <w:p w14:paraId="36CA3CF6" w14:textId="77777777" w:rsidR="00787570" w:rsidRDefault="000D56E2">
            <w:pPr>
              <w:ind w:hanging="180"/>
              <w:textAlignment w:val="top"/>
            </w:pPr>
            <w:r>
              <w:rPr>
                <w:rFonts w:ascii="Arial" w:eastAsia="宋体" w:hAnsi="Arial" w:cs="Arial"/>
                <w:color w:val="333333"/>
                <w:sz w:val="18"/>
                <w:szCs w:val="18"/>
              </w:rPr>
              <w:t>Interest rate contracts</w:t>
            </w:r>
          </w:p>
        </w:tc>
        <w:tc>
          <w:tcPr>
            <w:tcW w:w="0" w:type="auto"/>
            <w:gridSpan w:val="3"/>
            <w:shd w:val="clear" w:color="auto" w:fill="auto"/>
            <w:tcMar>
              <w:left w:w="20" w:type="dxa"/>
              <w:right w:w="20" w:type="dxa"/>
            </w:tcMar>
            <w:vAlign w:val="bottom"/>
          </w:tcPr>
          <w:p w14:paraId="36CA3CF7"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3CF8" w14:textId="77777777" w:rsidR="00787570" w:rsidRDefault="000D56E2">
            <w:pPr>
              <w:jc w:val="right"/>
              <w:textAlignment w:val="bottom"/>
            </w:pPr>
            <w:r>
              <w:rPr>
                <w:rFonts w:ascii="Arial" w:eastAsia="宋体" w:hAnsi="Arial" w:cs="Arial"/>
                <w:color w:val="026DCE"/>
                <w:sz w:val="18"/>
                <w:szCs w:val="18"/>
              </w:rPr>
              <w:t>14,410 </w:t>
            </w:r>
          </w:p>
        </w:tc>
        <w:tc>
          <w:tcPr>
            <w:tcW w:w="0" w:type="auto"/>
            <w:shd w:val="clear" w:color="auto" w:fill="auto"/>
            <w:tcMar>
              <w:top w:w="40" w:type="dxa"/>
              <w:bottom w:w="40" w:type="dxa"/>
              <w:right w:w="20" w:type="dxa"/>
            </w:tcMar>
            <w:vAlign w:val="bottom"/>
          </w:tcPr>
          <w:p w14:paraId="36CA3CF9"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3CFA"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3CFB" w14:textId="77777777" w:rsidR="00787570" w:rsidRDefault="000D56E2">
            <w:pPr>
              <w:jc w:val="right"/>
              <w:textAlignment w:val="bottom"/>
            </w:pPr>
            <w:r>
              <w:rPr>
                <w:rFonts w:ascii="Arial" w:eastAsia="宋体" w:hAnsi="Arial" w:cs="Arial"/>
                <w:color w:val="333333"/>
                <w:sz w:val="18"/>
                <w:szCs w:val="18"/>
              </w:rPr>
              <w:t>14,302 </w:t>
            </w:r>
          </w:p>
        </w:tc>
        <w:tc>
          <w:tcPr>
            <w:tcW w:w="0" w:type="auto"/>
            <w:shd w:val="clear" w:color="auto" w:fill="auto"/>
            <w:tcMar>
              <w:top w:w="40" w:type="dxa"/>
              <w:bottom w:w="40" w:type="dxa"/>
              <w:right w:w="20" w:type="dxa"/>
            </w:tcMar>
            <w:vAlign w:val="bottom"/>
          </w:tcPr>
          <w:p w14:paraId="36CA3CFC" w14:textId="77777777" w:rsidR="00787570" w:rsidRDefault="00787570">
            <w:pPr>
              <w:jc w:val="right"/>
              <w:rPr>
                <w:rFonts w:ascii="宋体"/>
              </w:rPr>
            </w:pPr>
          </w:p>
        </w:tc>
        <w:tc>
          <w:tcPr>
            <w:tcW w:w="0" w:type="auto"/>
            <w:shd w:val="clear" w:color="auto" w:fill="auto"/>
          </w:tcPr>
          <w:p w14:paraId="36CA3CFD" w14:textId="77777777" w:rsidR="00787570" w:rsidRDefault="00787570">
            <w:pPr>
              <w:rPr>
                <w:rFonts w:ascii="宋体"/>
                <w:vanish/>
              </w:rPr>
            </w:pPr>
          </w:p>
        </w:tc>
        <w:tc>
          <w:tcPr>
            <w:tcW w:w="0" w:type="auto"/>
            <w:shd w:val="clear" w:color="auto" w:fill="auto"/>
          </w:tcPr>
          <w:p w14:paraId="36CA3CFE" w14:textId="77777777" w:rsidR="00787570" w:rsidRDefault="00787570">
            <w:pPr>
              <w:rPr>
                <w:rFonts w:ascii="宋体"/>
                <w:vanish/>
              </w:rPr>
            </w:pPr>
          </w:p>
        </w:tc>
      </w:tr>
      <w:tr w:rsidR="00787570" w14:paraId="36CA3D09" w14:textId="77777777">
        <w:tc>
          <w:tcPr>
            <w:tcW w:w="0" w:type="auto"/>
            <w:gridSpan w:val="3"/>
            <w:shd w:val="clear" w:color="auto" w:fill="auto"/>
            <w:tcMar>
              <w:top w:w="40" w:type="dxa"/>
              <w:left w:w="20" w:type="dxa"/>
              <w:bottom w:w="40" w:type="dxa"/>
              <w:right w:w="20" w:type="dxa"/>
            </w:tcMar>
          </w:tcPr>
          <w:p w14:paraId="36CA3D00" w14:textId="77777777" w:rsidR="00787570" w:rsidRDefault="000D56E2">
            <w:pPr>
              <w:ind w:hanging="180"/>
              <w:textAlignment w:val="top"/>
            </w:pPr>
            <w:r>
              <w:rPr>
                <w:rFonts w:ascii="Arial" w:eastAsia="宋体" w:hAnsi="Arial" w:cs="Arial"/>
                <w:color w:val="333333"/>
                <w:sz w:val="18"/>
                <w:szCs w:val="18"/>
              </w:rPr>
              <w:t>Other</w:t>
            </w:r>
          </w:p>
        </w:tc>
        <w:tc>
          <w:tcPr>
            <w:tcW w:w="0" w:type="auto"/>
            <w:gridSpan w:val="3"/>
            <w:shd w:val="clear" w:color="auto" w:fill="auto"/>
            <w:tcMar>
              <w:left w:w="20" w:type="dxa"/>
              <w:right w:w="20" w:type="dxa"/>
            </w:tcMar>
            <w:vAlign w:val="bottom"/>
          </w:tcPr>
          <w:p w14:paraId="36CA3D01"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3D02" w14:textId="77777777" w:rsidR="00787570" w:rsidRDefault="000D56E2">
            <w:pPr>
              <w:jc w:val="right"/>
              <w:textAlignment w:val="bottom"/>
            </w:pPr>
            <w:r>
              <w:rPr>
                <w:rFonts w:ascii="Arial" w:eastAsia="宋体" w:hAnsi="Arial" w:cs="Arial"/>
                <w:color w:val="026DCE"/>
                <w:sz w:val="18"/>
                <w:szCs w:val="18"/>
              </w:rPr>
              <w:t>1,946 </w:t>
            </w:r>
          </w:p>
        </w:tc>
        <w:tc>
          <w:tcPr>
            <w:tcW w:w="0" w:type="auto"/>
            <w:shd w:val="clear" w:color="auto" w:fill="auto"/>
            <w:tcMar>
              <w:top w:w="40" w:type="dxa"/>
              <w:bottom w:w="40" w:type="dxa"/>
              <w:right w:w="20" w:type="dxa"/>
            </w:tcMar>
            <w:vAlign w:val="bottom"/>
          </w:tcPr>
          <w:p w14:paraId="36CA3D03"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3D04"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3D05" w14:textId="77777777" w:rsidR="00787570" w:rsidRDefault="000D56E2">
            <w:pPr>
              <w:jc w:val="right"/>
              <w:textAlignment w:val="bottom"/>
            </w:pPr>
            <w:r>
              <w:rPr>
                <w:rFonts w:ascii="Arial" w:eastAsia="宋体" w:hAnsi="Arial" w:cs="Arial"/>
                <w:color w:val="333333"/>
                <w:sz w:val="18"/>
                <w:szCs w:val="18"/>
              </w:rPr>
              <w:t>1,753 </w:t>
            </w:r>
          </w:p>
        </w:tc>
        <w:tc>
          <w:tcPr>
            <w:tcW w:w="0" w:type="auto"/>
            <w:shd w:val="clear" w:color="auto" w:fill="auto"/>
            <w:tcMar>
              <w:top w:w="40" w:type="dxa"/>
              <w:bottom w:w="40" w:type="dxa"/>
              <w:right w:w="20" w:type="dxa"/>
            </w:tcMar>
            <w:vAlign w:val="bottom"/>
          </w:tcPr>
          <w:p w14:paraId="36CA3D06" w14:textId="77777777" w:rsidR="00787570" w:rsidRDefault="00787570">
            <w:pPr>
              <w:jc w:val="right"/>
              <w:rPr>
                <w:rFonts w:ascii="宋体"/>
              </w:rPr>
            </w:pPr>
          </w:p>
        </w:tc>
        <w:tc>
          <w:tcPr>
            <w:tcW w:w="0" w:type="auto"/>
            <w:shd w:val="clear" w:color="auto" w:fill="auto"/>
          </w:tcPr>
          <w:p w14:paraId="36CA3D07" w14:textId="77777777" w:rsidR="00787570" w:rsidRDefault="00787570">
            <w:pPr>
              <w:rPr>
                <w:rFonts w:ascii="宋体"/>
                <w:vanish/>
              </w:rPr>
            </w:pPr>
          </w:p>
        </w:tc>
        <w:tc>
          <w:tcPr>
            <w:tcW w:w="0" w:type="auto"/>
            <w:shd w:val="clear" w:color="auto" w:fill="auto"/>
          </w:tcPr>
          <w:p w14:paraId="36CA3D08" w14:textId="77777777" w:rsidR="00787570" w:rsidRDefault="00787570">
            <w:pPr>
              <w:rPr>
                <w:rFonts w:ascii="宋体"/>
                <w:vanish/>
              </w:rPr>
            </w:pPr>
          </w:p>
        </w:tc>
      </w:tr>
      <w:tr w:rsidR="00787570" w14:paraId="36CA3D15" w14:textId="77777777">
        <w:tc>
          <w:tcPr>
            <w:tcW w:w="0" w:type="auto"/>
            <w:gridSpan w:val="3"/>
            <w:shd w:val="clear" w:color="auto" w:fill="auto"/>
            <w:tcMar>
              <w:top w:w="40" w:type="dxa"/>
              <w:left w:w="20" w:type="dxa"/>
              <w:bottom w:w="40" w:type="dxa"/>
              <w:right w:w="20" w:type="dxa"/>
            </w:tcMar>
          </w:tcPr>
          <w:p w14:paraId="36CA3D0A" w14:textId="77777777" w:rsidR="00787570" w:rsidRDefault="000D56E2">
            <w:pPr>
              <w:ind w:hanging="180"/>
              <w:textAlignment w:val="top"/>
            </w:pPr>
            <w:r>
              <w:rPr>
                <w:rFonts w:ascii="Arial" w:eastAsia="宋体" w:hAnsi="Arial" w:cs="Arial"/>
                <w:b/>
                <w:bCs/>
                <w:color w:val="333333"/>
                <w:sz w:val="18"/>
                <w:szCs w:val="18"/>
              </w:rPr>
              <w:t>Total</w:t>
            </w:r>
          </w:p>
        </w:tc>
        <w:tc>
          <w:tcPr>
            <w:tcW w:w="0" w:type="auto"/>
            <w:gridSpan w:val="3"/>
            <w:shd w:val="clear" w:color="auto" w:fill="auto"/>
            <w:tcMar>
              <w:left w:w="20" w:type="dxa"/>
              <w:right w:w="20" w:type="dxa"/>
            </w:tcMar>
            <w:vAlign w:val="bottom"/>
          </w:tcPr>
          <w:p w14:paraId="36CA3D0B" w14:textId="77777777" w:rsidR="00787570" w:rsidRDefault="00787570">
            <w:pPr>
              <w:rPr>
                <w:rFonts w:ascii="宋体"/>
              </w:rPr>
            </w:pPr>
          </w:p>
        </w:tc>
        <w:tc>
          <w:tcPr>
            <w:tcW w:w="0" w:type="auto"/>
            <w:tcBorders>
              <w:top w:val="single" w:sz="8" w:space="0" w:color="333333"/>
              <w:bottom w:val="double" w:sz="6" w:space="0" w:color="333333"/>
            </w:tcBorders>
            <w:shd w:val="clear" w:color="auto" w:fill="auto"/>
            <w:tcMar>
              <w:top w:w="40" w:type="dxa"/>
              <w:left w:w="20" w:type="dxa"/>
              <w:bottom w:w="40" w:type="dxa"/>
            </w:tcMar>
            <w:vAlign w:val="bottom"/>
          </w:tcPr>
          <w:p w14:paraId="36CA3D0C" w14:textId="77777777" w:rsidR="00787570" w:rsidRDefault="000D56E2">
            <w:pPr>
              <w:textAlignment w:val="bottom"/>
            </w:pPr>
            <w:r>
              <w:rPr>
                <w:rFonts w:ascii="Arial" w:eastAsia="宋体" w:hAnsi="Arial" w:cs="Arial"/>
                <w:b/>
                <w:bCs/>
                <w:color w:val="026DCE"/>
                <w:sz w:val="18"/>
                <w:szCs w:val="18"/>
              </w:rPr>
              <w:t>$</w:t>
            </w:r>
          </w:p>
        </w:tc>
        <w:tc>
          <w:tcPr>
            <w:tcW w:w="0" w:type="auto"/>
            <w:tcBorders>
              <w:top w:val="single" w:sz="8" w:space="0" w:color="333333"/>
              <w:bottom w:val="double" w:sz="6" w:space="0" w:color="333333"/>
            </w:tcBorders>
            <w:shd w:val="clear" w:color="auto" w:fill="auto"/>
            <w:tcMar>
              <w:top w:w="40" w:type="dxa"/>
              <w:bottom w:w="40" w:type="dxa"/>
              <w:right w:w="0" w:type="dxa"/>
            </w:tcMar>
            <w:vAlign w:val="bottom"/>
          </w:tcPr>
          <w:p w14:paraId="36CA3D0D" w14:textId="77777777" w:rsidR="00787570" w:rsidRDefault="000D56E2">
            <w:pPr>
              <w:jc w:val="right"/>
              <w:textAlignment w:val="bottom"/>
            </w:pPr>
            <w:r>
              <w:rPr>
                <w:rFonts w:ascii="Arial" w:eastAsia="宋体" w:hAnsi="Arial" w:cs="Arial"/>
                <w:b/>
                <w:bCs/>
                <w:color w:val="026DCE"/>
                <w:sz w:val="18"/>
                <w:szCs w:val="18"/>
              </w:rPr>
              <w:t>45,099</w:t>
            </w:r>
            <w:r>
              <w:rPr>
                <w:rFonts w:ascii="Arial" w:eastAsia="宋体" w:hAnsi="Arial" w:cs="Arial"/>
                <w:color w:val="026DCE"/>
                <w:sz w:val="18"/>
                <w:szCs w:val="18"/>
              </w:rPr>
              <w:t> </w:t>
            </w:r>
          </w:p>
        </w:tc>
        <w:tc>
          <w:tcPr>
            <w:tcW w:w="0" w:type="auto"/>
            <w:tcBorders>
              <w:top w:val="single" w:sz="8" w:space="0" w:color="333333"/>
              <w:bottom w:val="double" w:sz="6" w:space="0" w:color="333333"/>
            </w:tcBorders>
            <w:shd w:val="clear" w:color="auto" w:fill="auto"/>
            <w:tcMar>
              <w:top w:w="40" w:type="dxa"/>
              <w:bottom w:w="40" w:type="dxa"/>
              <w:right w:w="20" w:type="dxa"/>
            </w:tcMar>
            <w:vAlign w:val="bottom"/>
          </w:tcPr>
          <w:p w14:paraId="36CA3D0E"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3D0F" w14:textId="77777777" w:rsidR="00787570" w:rsidRDefault="00787570">
            <w:pPr>
              <w:rPr>
                <w:rFonts w:ascii="宋体"/>
              </w:rPr>
            </w:pPr>
          </w:p>
        </w:tc>
        <w:tc>
          <w:tcPr>
            <w:tcW w:w="0" w:type="auto"/>
            <w:tcBorders>
              <w:top w:val="single" w:sz="8" w:space="0" w:color="333333"/>
              <w:bottom w:val="double" w:sz="6" w:space="0" w:color="333333"/>
            </w:tcBorders>
            <w:shd w:val="clear" w:color="auto" w:fill="auto"/>
            <w:tcMar>
              <w:top w:w="40" w:type="dxa"/>
              <w:left w:w="20" w:type="dxa"/>
              <w:bottom w:w="40" w:type="dxa"/>
            </w:tcMar>
            <w:vAlign w:val="bottom"/>
          </w:tcPr>
          <w:p w14:paraId="36CA3D10" w14:textId="77777777" w:rsidR="00787570" w:rsidRDefault="000D56E2">
            <w:pPr>
              <w:textAlignment w:val="bottom"/>
            </w:pPr>
            <w:r>
              <w:rPr>
                <w:rFonts w:ascii="Arial" w:eastAsia="宋体" w:hAnsi="Arial" w:cs="Arial"/>
                <w:b/>
                <w:bCs/>
                <w:color w:val="333333"/>
                <w:sz w:val="18"/>
                <w:szCs w:val="18"/>
              </w:rPr>
              <w:t>$</w:t>
            </w:r>
          </w:p>
        </w:tc>
        <w:tc>
          <w:tcPr>
            <w:tcW w:w="0" w:type="auto"/>
            <w:tcBorders>
              <w:top w:val="single" w:sz="8" w:space="0" w:color="333333"/>
              <w:bottom w:val="double" w:sz="6" w:space="0" w:color="333333"/>
            </w:tcBorders>
            <w:shd w:val="clear" w:color="auto" w:fill="auto"/>
            <w:tcMar>
              <w:top w:w="40" w:type="dxa"/>
              <w:bottom w:w="40" w:type="dxa"/>
              <w:right w:w="0" w:type="dxa"/>
            </w:tcMar>
            <w:vAlign w:val="bottom"/>
          </w:tcPr>
          <w:p w14:paraId="36CA3D11" w14:textId="77777777" w:rsidR="00787570" w:rsidRDefault="000D56E2">
            <w:pPr>
              <w:jc w:val="right"/>
              <w:textAlignment w:val="bottom"/>
            </w:pPr>
            <w:r>
              <w:rPr>
                <w:rFonts w:ascii="Arial" w:eastAsia="宋体" w:hAnsi="Arial" w:cs="Arial"/>
                <w:b/>
                <w:bCs/>
                <w:color w:val="333333"/>
                <w:sz w:val="18"/>
                <w:szCs w:val="18"/>
              </w:rPr>
              <w:t>40,036</w:t>
            </w:r>
            <w:r>
              <w:rPr>
                <w:rFonts w:ascii="Arial" w:eastAsia="宋体" w:hAnsi="Arial" w:cs="Arial"/>
                <w:color w:val="333333"/>
                <w:sz w:val="18"/>
                <w:szCs w:val="18"/>
              </w:rPr>
              <w:t> </w:t>
            </w:r>
          </w:p>
        </w:tc>
        <w:tc>
          <w:tcPr>
            <w:tcW w:w="0" w:type="auto"/>
            <w:tcBorders>
              <w:top w:val="single" w:sz="8" w:space="0" w:color="333333"/>
              <w:bottom w:val="double" w:sz="6" w:space="0" w:color="333333"/>
            </w:tcBorders>
            <w:shd w:val="clear" w:color="auto" w:fill="auto"/>
            <w:tcMar>
              <w:top w:w="40" w:type="dxa"/>
              <w:bottom w:w="40" w:type="dxa"/>
              <w:right w:w="20" w:type="dxa"/>
            </w:tcMar>
            <w:vAlign w:val="bottom"/>
          </w:tcPr>
          <w:p w14:paraId="36CA3D12" w14:textId="77777777" w:rsidR="00787570" w:rsidRDefault="00787570">
            <w:pPr>
              <w:jc w:val="right"/>
              <w:rPr>
                <w:rFonts w:ascii="宋体"/>
              </w:rPr>
            </w:pPr>
          </w:p>
        </w:tc>
        <w:tc>
          <w:tcPr>
            <w:tcW w:w="0" w:type="auto"/>
            <w:shd w:val="clear" w:color="auto" w:fill="auto"/>
          </w:tcPr>
          <w:p w14:paraId="36CA3D13" w14:textId="77777777" w:rsidR="00787570" w:rsidRDefault="00787570">
            <w:pPr>
              <w:rPr>
                <w:rFonts w:ascii="宋体"/>
                <w:vanish/>
              </w:rPr>
            </w:pPr>
          </w:p>
        </w:tc>
        <w:tc>
          <w:tcPr>
            <w:tcW w:w="0" w:type="auto"/>
            <w:shd w:val="clear" w:color="auto" w:fill="auto"/>
          </w:tcPr>
          <w:p w14:paraId="36CA3D14" w14:textId="77777777" w:rsidR="00787570" w:rsidRDefault="00787570">
            <w:pPr>
              <w:rPr>
                <w:rFonts w:ascii="宋体"/>
                <w:vanish/>
              </w:rPr>
            </w:pPr>
          </w:p>
        </w:tc>
      </w:tr>
    </w:tbl>
    <w:p w14:paraId="36CA3D16" w14:textId="77777777" w:rsidR="00787570" w:rsidRDefault="000D56E2">
      <w:pPr>
        <w:spacing w:before="300" w:after="180"/>
      </w:pPr>
      <w:r>
        <w:rPr>
          <w:rFonts w:ascii="Arial" w:eastAsia="宋体" w:hAnsi="Arial" w:cs="Arial"/>
          <w:b/>
          <w:bCs/>
          <w:color w:val="0071C5"/>
        </w:rPr>
        <w:t xml:space="preserve">FAIR VALUE OF DERIVATIVE INSTRUMENTS </w:t>
      </w:r>
    </w:p>
    <w:tbl>
      <w:tblPr>
        <w:tblW w:w="5000" w:type="pct"/>
        <w:tblCellMar>
          <w:top w:w="15" w:type="dxa"/>
          <w:left w:w="15" w:type="dxa"/>
          <w:bottom w:w="15" w:type="dxa"/>
          <w:right w:w="15" w:type="dxa"/>
        </w:tblCellMar>
        <w:tblLook w:val="04A0" w:firstRow="1" w:lastRow="0" w:firstColumn="1" w:lastColumn="0" w:noHBand="0" w:noVBand="1"/>
      </w:tblPr>
      <w:tblGrid>
        <w:gridCol w:w="39"/>
        <w:gridCol w:w="3697"/>
        <w:gridCol w:w="38"/>
        <w:gridCol w:w="36"/>
        <w:gridCol w:w="36"/>
        <w:gridCol w:w="36"/>
        <w:gridCol w:w="136"/>
        <w:gridCol w:w="667"/>
        <w:gridCol w:w="41"/>
        <w:gridCol w:w="36"/>
        <w:gridCol w:w="36"/>
        <w:gridCol w:w="36"/>
        <w:gridCol w:w="137"/>
        <w:gridCol w:w="846"/>
        <w:gridCol w:w="41"/>
        <w:gridCol w:w="36"/>
        <w:gridCol w:w="36"/>
        <w:gridCol w:w="36"/>
        <w:gridCol w:w="137"/>
        <w:gridCol w:w="628"/>
        <w:gridCol w:w="41"/>
        <w:gridCol w:w="36"/>
        <w:gridCol w:w="36"/>
        <w:gridCol w:w="36"/>
        <w:gridCol w:w="137"/>
        <w:gridCol w:w="846"/>
        <w:gridCol w:w="41"/>
        <w:gridCol w:w="36"/>
        <w:gridCol w:w="36"/>
        <w:gridCol w:w="36"/>
        <w:gridCol w:w="36"/>
        <w:gridCol w:w="36"/>
        <w:gridCol w:w="36"/>
        <w:gridCol w:w="36"/>
        <w:gridCol w:w="36"/>
        <w:gridCol w:w="36"/>
        <w:gridCol w:w="36"/>
        <w:gridCol w:w="36"/>
        <w:gridCol w:w="36"/>
      </w:tblGrid>
      <w:tr w:rsidR="00787570" w14:paraId="36CA3D32" w14:textId="77777777">
        <w:trPr>
          <w:gridAfter w:val="12"/>
        </w:trPr>
        <w:tc>
          <w:tcPr>
            <w:tcW w:w="50" w:type="pct"/>
            <w:shd w:val="clear" w:color="auto" w:fill="auto"/>
          </w:tcPr>
          <w:p w14:paraId="36CA3D17" w14:textId="77777777" w:rsidR="00787570" w:rsidRDefault="00787570">
            <w:pPr>
              <w:rPr>
                <w:rFonts w:ascii="宋体"/>
              </w:rPr>
            </w:pPr>
          </w:p>
        </w:tc>
        <w:tc>
          <w:tcPr>
            <w:tcW w:w="2431" w:type="pct"/>
            <w:shd w:val="clear" w:color="auto" w:fill="auto"/>
          </w:tcPr>
          <w:p w14:paraId="36CA3D18" w14:textId="77777777" w:rsidR="00787570" w:rsidRDefault="00787570">
            <w:pPr>
              <w:rPr>
                <w:rFonts w:ascii="宋体"/>
              </w:rPr>
            </w:pPr>
          </w:p>
        </w:tc>
        <w:tc>
          <w:tcPr>
            <w:tcW w:w="5" w:type="pct"/>
            <w:shd w:val="clear" w:color="auto" w:fill="auto"/>
          </w:tcPr>
          <w:p w14:paraId="36CA3D19" w14:textId="77777777" w:rsidR="00787570" w:rsidRDefault="00787570">
            <w:pPr>
              <w:rPr>
                <w:rFonts w:ascii="宋体"/>
              </w:rPr>
            </w:pPr>
          </w:p>
        </w:tc>
        <w:tc>
          <w:tcPr>
            <w:tcW w:w="5" w:type="pct"/>
            <w:shd w:val="clear" w:color="auto" w:fill="auto"/>
          </w:tcPr>
          <w:p w14:paraId="36CA3D1A" w14:textId="77777777" w:rsidR="00787570" w:rsidRDefault="00787570">
            <w:pPr>
              <w:rPr>
                <w:rFonts w:ascii="宋体"/>
              </w:rPr>
            </w:pPr>
          </w:p>
        </w:tc>
        <w:tc>
          <w:tcPr>
            <w:tcW w:w="24" w:type="pct"/>
            <w:shd w:val="clear" w:color="auto" w:fill="auto"/>
          </w:tcPr>
          <w:p w14:paraId="36CA3D1B" w14:textId="77777777" w:rsidR="00787570" w:rsidRDefault="00787570">
            <w:pPr>
              <w:rPr>
                <w:rFonts w:ascii="宋体"/>
              </w:rPr>
            </w:pPr>
          </w:p>
        </w:tc>
        <w:tc>
          <w:tcPr>
            <w:tcW w:w="5" w:type="pct"/>
            <w:shd w:val="clear" w:color="auto" w:fill="auto"/>
          </w:tcPr>
          <w:p w14:paraId="36CA3D1C" w14:textId="77777777" w:rsidR="00787570" w:rsidRDefault="00787570">
            <w:pPr>
              <w:rPr>
                <w:rFonts w:ascii="宋体"/>
              </w:rPr>
            </w:pPr>
          </w:p>
        </w:tc>
        <w:tc>
          <w:tcPr>
            <w:tcW w:w="50" w:type="pct"/>
            <w:shd w:val="clear" w:color="auto" w:fill="auto"/>
          </w:tcPr>
          <w:p w14:paraId="36CA3D1D" w14:textId="77777777" w:rsidR="00787570" w:rsidRDefault="00787570">
            <w:pPr>
              <w:rPr>
                <w:rFonts w:ascii="宋体"/>
              </w:rPr>
            </w:pPr>
          </w:p>
        </w:tc>
        <w:tc>
          <w:tcPr>
            <w:tcW w:w="539" w:type="pct"/>
            <w:shd w:val="clear" w:color="auto" w:fill="auto"/>
          </w:tcPr>
          <w:p w14:paraId="36CA3D1E" w14:textId="77777777" w:rsidR="00787570" w:rsidRDefault="00787570">
            <w:pPr>
              <w:rPr>
                <w:rFonts w:ascii="宋体"/>
              </w:rPr>
            </w:pPr>
          </w:p>
        </w:tc>
        <w:tc>
          <w:tcPr>
            <w:tcW w:w="5" w:type="pct"/>
            <w:shd w:val="clear" w:color="auto" w:fill="auto"/>
          </w:tcPr>
          <w:p w14:paraId="36CA3D1F" w14:textId="77777777" w:rsidR="00787570" w:rsidRDefault="00787570">
            <w:pPr>
              <w:rPr>
                <w:rFonts w:ascii="宋体"/>
              </w:rPr>
            </w:pPr>
          </w:p>
        </w:tc>
        <w:tc>
          <w:tcPr>
            <w:tcW w:w="5" w:type="pct"/>
            <w:shd w:val="clear" w:color="auto" w:fill="auto"/>
          </w:tcPr>
          <w:p w14:paraId="36CA3D20" w14:textId="77777777" w:rsidR="00787570" w:rsidRDefault="00787570">
            <w:pPr>
              <w:rPr>
                <w:rFonts w:ascii="宋体"/>
              </w:rPr>
            </w:pPr>
          </w:p>
        </w:tc>
        <w:tc>
          <w:tcPr>
            <w:tcW w:w="24" w:type="pct"/>
            <w:shd w:val="clear" w:color="auto" w:fill="auto"/>
          </w:tcPr>
          <w:p w14:paraId="36CA3D21" w14:textId="77777777" w:rsidR="00787570" w:rsidRDefault="00787570">
            <w:pPr>
              <w:rPr>
                <w:rFonts w:ascii="宋体"/>
              </w:rPr>
            </w:pPr>
          </w:p>
        </w:tc>
        <w:tc>
          <w:tcPr>
            <w:tcW w:w="5" w:type="pct"/>
            <w:shd w:val="clear" w:color="auto" w:fill="auto"/>
          </w:tcPr>
          <w:p w14:paraId="36CA3D22" w14:textId="77777777" w:rsidR="00787570" w:rsidRDefault="00787570">
            <w:pPr>
              <w:rPr>
                <w:rFonts w:ascii="宋体"/>
              </w:rPr>
            </w:pPr>
          </w:p>
        </w:tc>
        <w:tc>
          <w:tcPr>
            <w:tcW w:w="50" w:type="pct"/>
            <w:shd w:val="clear" w:color="auto" w:fill="auto"/>
          </w:tcPr>
          <w:p w14:paraId="36CA3D23" w14:textId="77777777" w:rsidR="00787570" w:rsidRDefault="00787570">
            <w:pPr>
              <w:rPr>
                <w:rFonts w:ascii="宋体"/>
              </w:rPr>
            </w:pPr>
          </w:p>
        </w:tc>
        <w:tc>
          <w:tcPr>
            <w:tcW w:w="539" w:type="pct"/>
            <w:shd w:val="clear" w:color="auto" w:fill="auto"/>
          </w:tcPr>
          <w:p w14:paraId="36CA3D24" w14:textId="77777777" w:rsidR="00787570" w:rsidRDefault="00787570">
            <w:pPr>
              <w:rPr>
                <w:rFonts w:ascii="宋体"/>
              </w:rPr>
            </w:pPr>
          </w:p>
        </w:tc>
        <w:tc>
          <w:tcPr>
            <w:tcW w:w="5" w:type="pct"/>
            <w:shd w:val="clear" w:color="auto" w:fill="auto"/>
          </w:tcPr>
          <w:p w14:paraId="36CA3D25" w14:textId="77777777" w:rsidR="00787570" w:rsidRDefault="00787570">
            <w:pPr>
              <w:rPr>
                <w:rFonts w:ascii="宋体"/>
              </w:rPr>
            </w:pPr>
          </w:p>
        </w:tc>
        <w:tc>
          <w:tcPr>
            <w:tcW w:w="5" w:type="pct"/>
            <w:shd w:val="clear" w:color="auto" w:fill="auto"/>
          </w:tcPr>
          <w:p w14:paraId="36CA3D26" w14:textId="77777777" w:rsidR="00787570" w:rsidRDefault="00787570">
            <w:pPr>
              <w:rPr>
                <w:rFonts w:ascii="宋体"/>
              </w:rPr>
            </w:pPr>
          </w:p>
        </w:tc>
        <w:tc>
          <w:tcPr>
            <w:tcW w:w="24" w:type="pct"/>
            <w:shd w:val="clear" w:color="auto" w:fill="auto"/>
          </w:tcPr>
          <w:p w14:paraId="36CA3D27" w14:textId="77777777" w:rsidR="00787570" w:rsidRDefault="00787570">
            <w:pPr>
              <w:rPr>
                <w:rFonts w:ascii="宋体"/>
              </w:rPr>
            </w:pPr>
          </w:p>
        </w:tc>
        <w:tc>
          <w:tcPr>
            <w:tcW w:w="5" w:type="pct"/>
            <w:shd w:val="clear" w:color="auto" w:fill="auto"/>
          </w:tcPr>
          <w:p w14:paraId="36CA3D28" w14:textId="77777777" w:rsidR="00787570" w:rsidRDefault="00787570">
            <w:pPr>
              <w:rPr>
                <w:rFonts w:ascii="宋体"/>
              </w:rPr>
            </w:pPr>
          </w:p>
        </w:tc>
        <w:tc>
          <w:tcPr>
            <w:tcW w:w="50" w:type="pct"/>
            <w:shd w:val="clear" w:color="auto" w:fill="auto"/>
          </w:tcPr>
          <w:p w14:paraId="36CA3D29" w14:textId="77777777" w:rsidR="00787570" w:rsidRDefault="00787570">
            <w:pPr>
              <w:rPr>
                <w:rFonts w:ascii="宋体"/>
              </w:rPr>
            </w:pPr>
          </w:p>
        </w:tc>
        <w:tc>
          <w:tcPr>
            <w:tcW w:w="539" w:type="pct"/>
            <w:shd w:val="clear" w:color="auto" w:fill="auto"/>
          </w:tcPr>
          <w:p w14:paraId="36CA3D2A" w14:textId="77777777" w:rsidR="00787570" w:rsidRDefault="00787570">
            <w:pPr>
              <w:rPr>
                <w:rFonts w:ascii="宋体"/>
              </w:rPr>
            </w:pPr>
          </w:p>
        </w:tc>
        <w:tc>
          <w:tcPr>
            <w:tcW w:w="5" w:type="pct"/>
            <w:shd w:val="clear" w:color="auto" w:fill="auto"/>
          </w:tcPr>
          <w:p w14:paraId="36CA3D2B" w14:textId="77777777" w:rsidR="00787570" w:rsidRDefault="00787570">
            <w:pPr>
              <w:rPr>
                <w:rFonts w:ascii="宋体"/>
              </w:rPr>
            </w:pPr>
          </w:p>
        </w:tc>
        <w:tc>
          <w:tcPr>
            <w:tcW w:w="5" w:type="pct"/>
            <w:shd w:val="clear" w:color="auto" w:fill="auto"/>
          </w:tcPr>
          <w:p w14:paraId="36CA3D2C" w14:textId="77777777" w:rsidR="00787570" w:rsidRDefault="00787570">
            <w:pPr>
              <w:rPr>
                <w:rFonts w:ascii="宋体"/>
              </w:rPr>
            </w:pPr>
          </w:p>
        </w:tc>
        <w:tc>
          <w:tcPr>
            <w:tcW w:w="24" w:type="pct"/>
            <w:shd w:val="clear" w:color="auto" w:fill="auto"/>
          </w:tcPr>
          <w:p w14:paraId="36CA3D2D" w14:textId="77777777" w:rsidR="00787570" w:rsidRDefault="00787570">
            <w:pPr>
              <w:rPr>
                <w:rFonts w:ascii="宋体"/>
              </w:rPr>
            </w:pPr>
          </w:p>
        </w:tc>
        <w:tc>
          <w:tcPr>
            <w:tcW w:w="5" w:type="pct"/>
            <w:shd w:val="clear" w:color="auto" w:fill="auto"/>
          </w:tcPr>
          <w:p w14:paraId="36CA3D2E" w14:textId="77777777" w:rsidR="00787570" w:rsidRDefault="00787570">
            <w:pPr>
              <w:rPr>
                <w:rFonts w:ascii="宋体"/>
              </w:rPr>
            </w:pPr>
          </w:p>
        </w:tc>
        <w:tc>
          <w:tcPr>
            <w:tcW w:w="50" w:type="pct"/>
            <w:shd w:val="clear" w:color="auto" w:fill="auto"/>
          </w:tcPr>
          <w:p w14:paraId="36CA3D2F" w14:textId="77777777" w:rsidR="00787570" w:rsidRDefault="00787570">
            <w:pPr>
              <w:rPr>
                <w:rFonts w:ascii="宋体"/>
              </w:rPr>
            </w:pPr>
          </w:p>
        </w:tc>
        <w:tc>
          <w:tcPr>
            <w:tcW w:w="539" w:type="pct"/>
            <w:shd w:val="clear" w:color="auto" w:fill="auto"/>
          </w:tcPr>
          <w:p w14:paraId="36CA3D30" w14:textId="77777777" w:rsidR="00787570" w:rsidRDefault="00787570">
            <w:pPr>
              <w:rPr>
                <w:rFonts w:ascii="宋体"/>
              </w:rPr>
            </w:pPr>
          </w:p>
        </w:tc>
        <w:tc>
          <w:tcPr>
            <w:tcW w:w="5" w:type="pct"/>
            <w:shd w:val="clear" w:color="auto" w:fill="auto"/>
          </w:tcPr>
          <w:p w14:paraId="36CA3D31" w14:textId="77777777" w:rsidR="00787570" w:rsidRDefault="00787570">
            <w:pPr>
              <w:rPr>
                <w:rFonts w:ascii="宋体"/>
              </w:rPr>
            </w:pPr>
          </w:p>
        </w:tc>
      </w:tr>
      <w:tr w:rsidR="00787570" w14:paraId="36CA3D3C" w14:textId="77777777">
        <w:tc>
          <w:tcPr>
            <w:tcW w:w="0" w:type="auto"/>
            <w:gridSpan w:val="3"/>
            <w:shd w:val="clear" w:color="auto" w:fill="auto"/>
            <w:tcMar>
              <w:top w:w="40" w:type="dxa"/>
              <w:left w:w="20" w:type="dxa"/>
              <w:bottom w:w="40" w:type="dxa"/>
              <w:right w:w="20" w:type="dxa"/>
            </w:tcMar>
            <w:vAlign w:val="bottom"/>
          </w:tcPr>
          <w:p w14:paraId="36CA3D33" w14:textId="77777777" w:rsidR="00787570" w:rsidRDefault="000D56E2">
            <w:pPr>
              <w:textAlignment w:val="bottom"/>
            </w:pPr>
            <w:r>
              <w:rPr>
                <w:rFonts w:ascii="Arial" w:eastAsia="宋体" w:hAnsi="Arial" w:cs="Arial"/>
                <w:b/>
                <w:bCs/>
                <w:color w:val="333333"/>
                <w:sz w:val="18"/>
                <w:szCs w:val="18"/>
              </w:rPr>
              <w:t> </w:t>
            </w:r>
          </w:p>
        </w:tc>
        <w:tc>
          <w:tcPr>
            <w:tcW w:w="0" w:type="auto"/>
            <w:gridSpan w:val="3"/>
            <w:shd w:val="clear" w:color="auto" w:fill="auto"/>
            <w:tcMar>
              <w:left w:w="20" w:type="dxa"/>
              <w:right w:w="20" w:type="dxa"/>
            </w:tcMar>
            <w:vAlign w:val="bottom"/>
          </w:tcPr>
          <w:p w14:paraId="36CA3D34" w14:textId="77777777" w:rsidR="00787570" w:rsidRDefault="00787570">
            <w:pPr>
              <w:rPr>
                <w:rFonts w:ascii="宋体"/>
              </w:rPr>
            </w:pPr>
          </w:p>
        </w:tc>
        <w:tc>
          <w:tcPr>
            <w:tcW w:w="0" w:type="auto"/>
            <w:gridSpan w:val="9"/>
            <w:shd w:val="clear" w:color="auto" w:fill="auto"/>
            <w:tcMar>
              <w:top w:w="40" w:type="dxa"/>
              <w:left w:w="20" w:type="dxa"/>
              <w:bottom w:w="40" w:type="dxa"/>
              <w:right w:w="20" w:type="dxa"/>
            </w:tcMar>
            <w:vAlign w:val="bottom"/>
          </w:tcPr>
          <w:p w14:paraId="36CA3D35" w14:textId="77777777" w:rsidR="00787570" w:rsidRDefault="000D56E2">
            <w:pPr>
              <w:jc w:val="center"/>
              <w:textAlignment w:val="bottom"/>
            </w:pPr>
            <w:r>
              <w:rPr>
                <w:rFonts w:ascii="Arial" w:eastAsia="宋体" w:hAnsi="Arial" w:cs="Arial"/>
                <w:b/>
                <w:bCs/>
                <w:color w:val="333333"/>
                <w:sz w:val="18"/>
                <w:szCs w:val="18"/>
              </w:rPr>
              <w:t>Sep 26, 2020</w:t>
            </w:r>
          </w:p>
        </w:tc>
        <w:tc>
          <w:tcPr>
            <w:tcW w:w="0" w:type="auto"/>
            <w:gridSpan w:val="3"/>
            <w:shd w:val="clear" w:color="auto" w:fill="auto"/>
          </w:tcPr>
          <w:p w14:paraId="36CA3D36" w14:textId="77777777" w:rsidR="00787570" w:rsidRDefault="00787570">
            <w:pPr>
              <w:rPr>
                <w:rFonts w:ascii="宋体"/>
                <w:vanish/>
              </w:rPr>
            </w:pPr>
          </w:p>
        </w:tc>
        <w:tc>
          <w:tcPr>
            <w:tcW w:w="0" w:type="auto"/>
            <w:gridSpan w:val="3"/>
            <w:shd w:val="clear" w:color="auto" w:fill="auto"/>
          </w:tcPr>
          <w:p w14:paraId="36CA3D37" w14:textId="77777777" w:rsidR="00787570" w:rsidRDefault="00787570">
            <w:pPr>
              <w:rPr>
                <w:rFonts w:ascii="宋体"/>
                <w:vanish/>
              </w:rPr>
            </w:pPr>
          </w:p>
        </w:tc>
        <w:tc>
          <w:tcPr>
            <w:tcW w:w="0" w:type="auto"/>
            <w:gridSpan w:val="3"/>
            <w:shd w:val="clear" w:color="auto" w:fill="auto"/>
            <w:tcMar>
              <w:left w:w="20" w:type="dxa"/>
              <w:right w:w="20" w:type="dxa"/>
            </w:tcMar>
            <w:vAlign w:val="bottom"/>
          </w:tcPr>
          <w:p w14:paraId="36CA3D38" w14:textId="77777777" w:rsidR="00787570" w:rsidRDefault="00787570">
            <w:pPr>
              <w:rPr>
                <w:rFonts w:ascii="宋体"/>
              </w:rPr>
            </w:pPr>
          </w:p>
        </w:tc>
        <w:tc>
          <w:tcPr>
            <w:tcW w:w="0" w:type="auto"/>
            <w:gridSpan w:val="9"/>
            <w:shd w:val="clear" w:color="auto" w:fill="auto"/>
            <w:tcMar>
              <w:top w:w="40" w:type="dxa"/>
              <w:left w:w="20" w:type="dxa"/>
              <w:bottom w:w="40" w:type="dxa"/>
              <w:right w:w="20" w:type="dxa"/>
            </w:tcMar>
            <w:vAlign w:val="bottom"/>
          </w:tcPr>
          <w:p w14:paraId="36CA3D39" w14:textId="77777777" w:rsidR="00787570" w:rsidRDefault="000D56E2">
            <w:pPr>
              <w:jc w:val="center"/>
              <w:textAlignment w:val="bottom"/>
            </w:pPr>
            <w:r>
              <w:rPr>
                <w:rFonts w:ascii="Arial" w:eastAsia="宋体" w:hAnsi="Arial" w:cs="Arial"/>
                <w:b/>
                <w:bCs/>
                <w:color w:val="333333"/>
                <w:sz w:val="18"/>
                <w:szCs w:val="18"/>
              </w:rPr>
              <w:t>Dec 28, 2019</w:t>
            </w:r>
          </w:p>
        </w:tc>
        <w:tc>
          <w:tcPr>
            <w:tcW w:w="0" w:type="auto"/>
            <w:gridSpan w:val="3"/>
            <w:shd w:val="clear" w:color="auto" w:fill="auto"/>
          </w:tcPr>
          <w:p w14:paraId="36CA3D3A" w14:textId="77777777" w:rsidR="00787570" w:rsidRDefault="00787570">
            <w:pPr>
              <w:rPr>
                <w:rFonts w:ascii="宋体"/>
                <w:vanish/>
              </w:rPr>
            </w:pPr>
          </w:p>
        </w:tc>
        <w:tc>
          <w:tcPr>
            <w:tcW w:w="0" w:type="auto"/>
            <w:gridSpan w:val="3"/>
            <w:shd w:val="clear" w:color="auto" w:fill="auto"/>
          </w:tcPr>
          <w:p w14:paraId="36CA3D3B" w14:textId="77777777" w:rsidR="00787570" w:rsidRDefault="00787570">
            <w:pPr>
              <w:rPr>
                <w:rFonts w:ascii="宋体"/>
                <w:vanish/>
              </w:rPr>
            </w:pPr>
          </w:p>
        </w:tc>
      </w:tr>
      <w:tr w:rsidR="00787570" w14:paraId="36CA3D52" w14:textId="77777777">
        <w:tc>
          <w:tcPr>
            <w:tcW w:w="0" w:type="auto"/>
            <w:gridSpan w:val="3"/>
            <w:shd w:val="clear" w:color="auto" w:fill="auto"/>
            <w:tcMar>
              <w:top w:w="40" w:type="dxa"/>
              <w:left w:w="20" w:type="dxa"/>
              <w:bottom w:w="40" w:type="dxa"/>
              <w:right w:w="20" w:type="dxa"/>
            </w:tcMar>
            <w:vAlign w:val="bottom"/>
          </w:tcPr>
          <w:p w14:paraId="36CA3D3D" w14:textId="77777777" w:rsidR="00787570" w:rsidRDefault="000D56E2">
            <w:pPr>
              <w:textAlignment w:val="bottom"/>
            </w:pPr>
            <w:r>
              <w:rPr>
                <w:rFonts w:ascii="Arial" w:eastAsia="宋体" w:hAnsi="Arial" w:cs="Arial"/>
                <w:b/>
                <w:bCs/>
                <w:color w:val="333333"/>
                <w:sz w:val="18"/>
                <w:szCs w:val="18"/>
              </w:rPr>
              <w:t>(In Millions)</w:t>
            </w:r>
          </w:p>
        </w:tc>
        <w:tc>
          <w:tcPr>
            <w:tcW w:w="0" w:type="auto"/>
            <w:gridSpan w:val="3"/>
            <w:shd w:val="clear" w:color="auto" w:fill="auto"/>
            <w:tcMar>
              <w:left w:w="20" w:type="dxa"/>
              <w:right w:w="20" w:type="dxa"/>
            </w:tcMar>
            <w:vAlign w:val="bottom"/>
          </w:tcPr>
          <w:p w14:paraId="36CA3D3E" w14:textId="77777777" w:rsidR="00787570" w:rsidRDefault="00787570">
            <w:pPr>
              <w:rPr>
                <w:rFonts w:ascii="宋体"/>
              </w:rPr>
            </w:pPr>
          </w:p>
        </w:tc>
        <w:tc>
          <w:tcPr>
            <w:tcW w:w="0" w:type="auto"/>
            <w:gridSpan w:val="3"/>
            <w:tcBorders>
              <w:top w:val="single" w:sz="8" w:space="0" w:color="0071C5"/>
            </w:tcBorders>
            <w:shd w:val="clear" w:color="auto" w:fill="auto"/>
            <w:tcMar>
              <w:top w:w="40" w:type="dxa"/>
              <w:left w:w="20" w:type="dxa"/>
              <w:bottom w:w="40" w:type="dxa"/>
              <w:right w:w="20" w:type="dxa"/>
            </w:tcMar>
            <w:vAlign w:val="bottom"/>
          </w:tcPr>
          <w:p w14:paraId="36CA3D3F" w14:textId="77777777" w:rsidR="00787570" w:rsidRDefault="000D56E2">
            <w:pPr>
              <w:jc w:val="center"/>
              <w:textAlignment w:val="bottom"/>
            </w:pPr>
            <w:r>
              <w:rPr>
                <w:rFonts w:ascii="Arial" w:eastAsia="宋体" w:hAnsi="Arial" w:cs="Arial"/>
                <w:b/>
                <w:bCs/>
                <w:color w:val="333333"/>
                <w:sz w:val="18"/>
                <w:szCs w:val="18"/>
              </w:rPr>
              <w:t>Assets</w:t>
            </w:r>
            <w:r>
              <w:rPr>
                <w:rFonts w:ascii="Arial" w:eastAsia="宋体" w:hAnsi="Arial" w:cs="Arial"/>
                <w:b/>
                <w:bCs/>
                <w:color w:val="333333"/>
                <w:sz w:val="11"/>
                <w:szCs w:val="11"/>
              </w:rPr>
              <w:t>1</w:t>
            </w:r>
          </w:p>
        </w:tc>
        <w:tc>
          <w:tcPr>
            <w:tcW w:w="0" w:type="auto"/>
            <w:gridSpan w:val="3"/>
            <w:tcBorders>
              <w:top w:val="single" w:sz="8" w:space="0" w:color="0071C5"/>
            </w:tcBorders>
            <w:shd w:val="clear" w:color="auto" w:fill="auto"/>
            <w:tcMar>
              <w:left w:w="20" w:type="dxa"/>
              <w:right w:w="20" w:type="dxa"/>
            </w:tcMar>
            <w:vAlign w:val="bottom"/>
          </w:tcPr>
          <w:p w14:paraId="36CA3D40" w14:textId="77777777" w:rsidR="00787570" w:rsidRDefault="00787570">
            <w:pPr>
              <w:rPr>
                <w:rFonts w:ascii="宋体"/>
              </w:rPr>
            </w:pPr>
          </w:p>
        </w:tc>
        <w:tc>
          <w:tcPr>
            <w:tcW w:w="0" w:type="auto"/>
            <w:gridSpan w:val="3"/>
            <w:tcBorders>
              <w:top w:val="single" w:sz="8" w:space="0" w:color="0071C5"/>
            </w:tcBorders>
            <w:shd w:val="clear" w:color="auto" w:fill="auto"/>
            <w:tcMar>
              <w:top w:w="40" w:type="dxa"/>
              <w:left w:w="20" w:type="dxa"/>
              <w:bottom w:w="40" w:type="dxa"/>
              <w:right w:w="20" w:type="dxa"/>
            </w:tcMar>
            <w:vAlign w:val="bottom"/>
          </w:tcPr>
          <w:p w14:paraId="36CA3D41" w14:textId="77777777" w:rsidR="00787570" w:rsidRDefault="000D56E2">
            <w:pPr>
              <w:jc w:val="center"/>
              <w:textAlignment w:val="bottom"/>
            </w:pPr>
            <w:r>
              <w:rPr>
                <w:rFonts w:ascii="Arial" w:eastAsia="宋体" w:hAnsi="Arial" w:cs="Arial"/>
                <w:b/>
                <w:bCs/>
                <w:color w:val="333333"/>
                <w:sz w:val="18"/>
                <w:szCs w:val="18"/>
              </w:rPr>
              <w:t>Liabilities</w:t>
            </w:r>
            <w:r>
              <w:rPr>
                <w:rFonts w:ascii="Arial" w:eastAsia="宋体" w:hAnsi="Arial" w:cs="Arial"/>
                <w:b/>
                <w:bCs/>
                <w:color w:val="333333"/>
                <w:sz w:val="11"/>
                <w:szCs w:val="11"/>
              </w:rPr>
              <w:t>2</w:t>
            </w:r>
          </w:p>
        </w:tc>
        <w:tc>
          <w:tcPr>
            <w:tcW w:w="0" w:type="auto"/>
            <w:gridSpan w:val="3"/>
            <w:shd w:val="clear" w:color="auto" w:fill="auto"/>
            <w:tcMar>
              <w:left w:w="20" w:type="dxa"/>
              <w:right w:w="20" w:type="dxa"/>
            </w:tcMar>
            <w:vAlign w:val="bottom"/>
          </w:tcPr>
          <w:p w14:paraId="36CA3D42" w14:textId="77777777" w:rsidR="00787570" w:rsidRDefault="00787570">
            <w:pPr>
              <w:rPr>
                <w:rFonts w:ascii="宋体"/>
              </w:rPr>
            </w:pPr>
          </w:p>
        </w:tc>
        <w:tc>
          <w:tcPr>
            <w:tcW w:w="0" w:type="auto"/>
            <w:gridSpan w:val="3"/>
            <w:tcBorders>
              <w:top w:val="single" w:sz="8" w:space="0" w:color="0071C5"/>
            </w:tcBorders>
            <w:shd w:val="clear" w:color="auto" w:fill="auto"/>
            <w:tcMar>
              <w:top w:w="40" w:type="dxa"/>
              <w:left w:w="20" w:type="dxa"/>
              <w:bottom w:w="40" w:type="dxa"/>
              <w:right w:w="20" w:type="dxa"/>
            </w:tcMar>
            <w:vAlign w:val="bottom"/>
          </w:tcPr>
          <w:p w14:paraId="36CA3D43" w14:textId="77777777" w:rsidR="00787570" w:rsidRDefault="000D56E2">
            <w:pPr>
              <w:jc w:val="center"/>
              <w:textAlignment w:val="bottom"/>
            </w:pPr>
            <w:r>
              <w:rPr>
                <w:rFonts w:ascii="Arial" w:eastAsia="宋体" w:hAnsi="Arial" w:cs="Arial"/>
                <w:b/>
                <w:bCs/>
                <w:color w:val="333333"/>
                <w:sz w:val="18"/>
                <w:szCs w:val="18"/>
              </w:rPr>
              <w:t>Assets</w:t>
            </w:r>
            <w:r>
              <w:rPr>
                <w:rFonts w:ascii="Arial" w:eastAsia="宋体" w:hAnsi="Arial" w:cs="Arial"/>
                <w:b/>
                <w:bCs/>
                <w:color w:val="333333"/>
                <w:sz w:val="11"/>
                <w:szCs w:val="11"/>
              </w:rPr>
              <w:t>1</w:t>
            </w:r>
          </w:p>
        </w:tc>
        <w:tc>
          <w:tcPr>
            <w:tcW w:w="0" w:type="auto"/>
            <w:gridSpan w:val="3"/>
            <w:tcBorders>
              <w:top w:val="single" w:sz="8" w:space="0" w:color="0071C5"/>
            </w:tcBorders>
            <w:shd w:val="clear" w:color="auto" w:fill="auto"/>
            <w:tcMar>
              <w:left w:w="20" w:type="dxa"/>
              <w:right w:w="20" w:type="dxa"/>
            </w:tcMar>
            <w:vAlign w:val="bottom"/>
          </w:tcPr>
          <w:p w14:paraId="36CA3D44" w14:textId="77777777" w:rsidR="00787570" w:rsidRDefault="00787570">
            <w:pPr>
              <w:rPr>
                <w:rFonts w:ascii="宋体"/>
              </w:rPr>
            </w:pPr>
          </w:p>
        </w:tc>
        <w:tc>
          <w:tcPr>
            <w:tcW w:w="0" w:type="auto"/>
            <w:gridSpan w:val="3"/>
            <w:tcBorders>
              <w:top w:val="single" w:sz="8" w:space="0" w:color="0071C5"/>
            </w:tcBorders>
            <w:shd w:val="clear" w:color="auto" w:fill="auto"/>
            <w:tcMar>
              <w:top w:w="40" w:type="dxa"/>
              <w:left w:w="20" w:type="dxa"/>
              <w:bottom w:w="40" w:type="dxa"/>
              <w:right w:w="20" w:type="dxa"/>
            </w:tcMar>
            <w:vAlign w:val="bottom"/>
          </w:tcPr>
          <w:p w14:paraId="36CA3D45" w14:textId="77777777" w:rsidR="00787570" w:rsidRDefault="000D56E2">
            <w:pPr>
              <w:jc w:val="center"/>
              <w:textAlignment w:val="bottom"/>
            </w:pPr>
            <w:r>
              <w:rPr>
                <w:rFonts w:ascii="Arial" w:eastAsia="宋体" w:hAnsi="Arial" w:cs="Arial"/>
                <w:b/>
                <w:bCs/>
                <w:color w:val="333333"/>
                <w:sz w:val="18"/>
                <w:szCs w:val="18"/>
              </w:rPr>
              <w:t>Liabilities</w:t>
            </w:r>
            <w:r>
              <w:rPr>
                <w:rFonts w:ascii="Arial" w:eastAsia="宋体" w:hAnsi="Arial" w:cs="Arial"/>
                <w:b/>
                <w:bCs/>
                <w:color w:val="333333"/>
                <w:sz w:val="11"/>
                <w:szCs w:val="11"/>
              </w:rPr>
              <w:t>2</w:t>
            </w:r>
          </w:p>
        </w:tc>
        <w:tc>
          <w:tcPr>
            <w:tcW w:w="0" w:type="auto"/>
            <w:shd w:val="clear" w:color="auto" w:fill="auto"/>
          </w:tcPr>
          <w:p w14:paraId="36CA3D46" w14:textId="77777777" w:rsidR="00787570" w:rsidRDefault="00787570">
            <w:pPr>
              <w:rPr>
                <w:rFonts w:ascii="宋体"/>
              </w:rPr>
            </w:pPr>
          </w:p>
        </w:tc>
        <w:tc>
          <w:tcPr>
            <w:tcW w:w="0" w:type="auto"/>
            <w:shd w:val="clear" w:color="auto" w:fill="auto"/>
          </w:tcPr>
          <w:p w14:paraId="36CA3D47" w14:textId="77777777" w:rsidR="00787570" w:rsidRDefault="00787570">
            <w:pPr>
              <w:rPr>
                <w:rFonts w:ascii="宋体"/>
              </w:rPr>
            </w:pPr>
          </w:p>
        </w:tc>
        <w:tc>
          <w:tcPr>
            <w:tcW w:w="0" w:type="auto"/>
            <w:shd w:val="clear" w:color="auto" w:fill="auto"/>
          </w:tcPr>
          <w:p w14:paraId="36CA3D48" w14:textId="77777777" w:rsidR="00787570" w:rsidRDefault="00787570">
            <w:pPr>
              <w:rPr>
                <w:rFonts w:ascii="宋体"/>
              </w:rPr>
            </w:pPr>
          </w:p>
        </w:tc>
        <w:tc>
          <w:tcPr>
            <w:tcW w:w="0" w:type="auto"/>
            <w:shd w:val="clear" w:color="auto" w:fill="auto"/>
          </w:tcPr>
          <w:p w14:paraId="36CA3D49" w14:textId="77777777" w:rsidR="00787570" w:rsidRDefault="00787570">
            <w:pPr>
              <w:rPr>
                <w:rFonts w:ascii="宋体"/>
              </w:rPr>
            </w:pPr>
          </w:p>
        </w:tc>
        <w:tc>
          <w:tcPr>
            <w:tcW w:w="0" w:type="auto"/>
            <w:shd w:val="clear" w:color="auto" w:fill="auto"/>
          </w:tcPr>
          <w:p w14:paraId="36CA3D4A" w14:textId="77777777" w:rsidR="00787570" w:rsidRDefault="00787570">
            <w:pPr>
              <w:rPr>
                <w:rFonts w:ascii="宋体"/>
              </w:rPr>
            </w:pPr>
          </w:p>
        </w:tc>
        <w:tc>
          <w:tcPr>
            <w:tcW w:w="0" w:type="auto"/>
            <w:shd w:val="clear" w:color="auto" w:fill="auto"/>
          </w:tcPr>
          <w:p w14:paraId="36CA3D4B" w14:textId="77777777" w:rsidR="00787570" w:rsidRDefault="00787570">
            <w:pPr>
              <w:rPr>
                <w:rFonts w:ascii="宋体"/>
              </w:rPr>
            </w:pPr>
          </w:p>
        </w:tc>
        <w:tc>
          <w:tcPr>
            <w:tcW w:w="0" w:type="auto"/>
            <w:shd w:val="clear" w:color="auto" w:fill="auto"/>
          </w:tcPr>
          <w:p w14:paraId="36CA3D4C" w14:textId="77777777" w:rsidR="00787570" w:rsidRDefault="00787570">
            <w:pPr>
              <w:rPr>
                <w:rFonts w:ascii="宋体"/>
              </w:rPr>
            </w:pPr>
          </w:p>
        </w:tc>
        <w:tc>
          <w:tcPr>
            <w:tcW w:w="0" w:type="auto"/>
            <w:shd w:val="clear" w:color="auto" w:fill="auto"/>
          </w:tcPr>
          <w:p w14:paraId="36CA3D4D" w14:textId="77777777" w:rsidR="00787570" w:rsidRDefault="00787570">
            <w:pPr>
              <w:rPr>
                <w:rFonts w:ascii="宋体"/>
              </w:rPr>
            </w:pPr>
          </w:p>
        </w:tc>
        <w:tc>
          <w:tcPr>
            <w:tcW w:w="0" w:type="auto"/>
            <w:shd w:val="clear" w:color="auto" w:fill="auto"/>
          </w:tcPr>
          <w:p w14:paraId="36CA3D4E" w14:textId="77777777" w:rsidR="00787570" w:rsidRDefault="00787570">
            <w:pPr>
              <w:rPr>
                <w:rFonts w:ascii="宋体"/>
              </w:rPr>
            </w:pPr>
          </w:p>
        </w:tc>
        <w:tc>
          <w:tcPr>
            <w:tcW w:w="0" w:type="auto"/>
            <w:shd w:val="clear" w:color="auto" w:fill="auto"/>
          </w:tcPr>
          <w:p w14:paraId="36CA3D4F" w14:textId="77777777" w:rsidR="00787570" w:rsidRDefault="00787570">
            <w:pPr>
              <w:rPr>
                <w:rFonts w:ascii="宋体"/>
              </w:rPr>
            </w:pPr>
          </w:p>
        </w:tc>
        <w:tc>
          <w:tcPr>
            <w:tcW w:w="0" w:type="auto"/>
            <w:shd w:val="clear" w:color="auto" w:fill="auto"/>
          </w:tcPr>
          <w:p w14:paraId="36CA3D50" w14:textId="77777777" w:rsidR="00787570" w:rsidRDefault="00787570">
            <w:pPr>
              <w:rPr>
                <w:rFonts w:ascii="宋体"/>
              </w:rPr>
            </w:pPr>
          </w:p>
        </w:tc>
        <w:tc>
          <w:tcPr>
            <w:tcW w:w="0" w:type="auto"/>
            <w:shd w:val="clear" w:color="auto" w:fill="auto"/>
          </w:tcPr>
          <w:p w14:paraId="36CA3D51" w14:textId="77777777" w:rsidR="00787570" w:rsidRDefault="00787570">
            <w:pPr>
              <w:rPr>
                <w:rFonts w:ascii="宋体"/>
              </w:rPr>
            </w:pPr>
          </w:p>
        </w:tc>
      </w:tr>
      <w:tr w:rsidR="00787570" w14:paraId="36CA3D68" w14:textId="77777777">
        <w:tc>
          <w:tcPr>
            <w:tcW w:w="0" w:type="auto"/>
            <w:gridSpan w:val="3"/>
            <w:tcBorders>
              <w:top w:val="single" w:sz="8" w:space="0" w:color="0071C5"/>
            </w:tcBorders>
            <w:shd w:val="clear" w:color="auto" w:fill="auto"/>
            <w:tcMar>
              <w:top w:w="40" w:type="dxa"/>
              <w:left w:w="20" w:type="dxa"/>
              <w:bottom w:w="40" w:type="dxa"/>
              <w:right w:w="20" w:type="dxa"/>
            </w:tcMar>
          </w:tcPr>
          <w:p w14:paraId="36CA3D53" w14:textId="77777777" w:rsidR="00787570" w:rsidRDefault="000D56E2">
            <w:pPr>
              <w:ind w:hanging="180"/>
              <w:textAlignment w:val="top"/>
            </w:pPr>
            <w:r>
              <w:rPr>
                <w:rFonts w:ascii="Arial" w:eastAsia="宋体" w:hAnsi="Arial" w:cs="Arial"/>
                <w:color w:val="333333"/>
                <w:sz w:val="18"/>
                <w:szCs w:val="18"/>
              </w:rPr>
              <w:t>Derivat</w:t>
            </w:r>
            <w:r>
              <w:rPr>
                <w:rFonts w:ascii="Arial" w:eastAsia="宋体" w:hAnsi="Arial" w:cs="Arial"/>
                <w:color w:val="333333"/>
                <w:sz w:val="18"/>
                <w:szCs w:val="18"/>
              </w:rPr>
              <w:t>ives designated as hedging instruments:</w:t>
            </w:r>
          </w:p>
        </w:tc>
        <w:tc>
          <w:tcPr>
            <w:tcW w:w="0" w:type="auto"/>
            <w:gridSpan w:val="3"/>
            <w:shd w:val="clear" w:color="auto" w:fill="auto"/>
            <w:tcMar>
              <w:left w:w="20" w:type="dxa"/>
              <w:right w:w="20" w:type="dxa"/>
            </w:tcMar>
            <w:vAlign w:val="bottom"/>
          </w:tcPr>
          <w:p w14:paraId="36CA3D54" w14:textId="77777777" w:rsidR="00787570" w:rsidRDefault="00787570">
            <w:pPr>
              <w:rPr>
                <w:rFonts w:ascii="宋体"/>
              </w:rPr>
            </w:pPr>
          </w:p>
        </w:tc>
        <w:tc>
          <w:tcPr>
            <w:tcW w:w="0" w:type="auto"/>
            <w:gridSpan w:val="3"/>
            <w:tcBorders>
              <w:top w:val="single" w:sz="8" w:space="0" w:color="0071C5"/>
            </w:tcBorders>
            <w:shd w:val="clear" w:color="auto" w:fill="auto"/>
            <w:tcMar>
              <w:left w:w="20" w:type="dxa"/>
              <w:right w:w="20" w:type="dxa"/>
            </w:tcMar>
            <w:vAlign w:val="bottom"/>
          </w:tcPr>
          <w:p w14:paraId="36CA3D55"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3D56" w14:textId="77777777" w:rsidR="00787570" w:rsidRDefault="00787570">
            <w:pPr>
              <w:rPr>
                <w:rFonts w:ascii="宋体"/>
              </w:rPr>
            </w:pPr>
          </w:p>
        </w:tc>
        <w:tc>
          <w:tcPr>
            <w:tcW w:w="0" w:type="auto"/>
            <w:gridSpan w:val="3"/>
            <w:tcBorders>
              <w:top w:val="single" w:sz="8" w:space="0" w:color="0071C5"/>
            </w:tcBorders>
            <w:shd w:val="clear" w:color="auto" w:fill="auto"/>
            <w:tcMar>
              <w:left w:w="20" w:type="dxa"/>
              <w:right w:w="20" w:type="dxa"/>
            </w:tcMar>
            <w:vAlign w:val="bottom"/>
          </w:tcPr>
          <w:p w14:paraId="36CA3D57"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3D58" w14:textId="77777777" w:rsidR="00787570" w:rsidRDefault="00787570">
            <w:pPr>
              <w:rPr>
                <w:rFonts w:ascii="宋体"/>
              </w:rPr>
            </w:pPr>
          </w:p>
        </w:tc>
        <w:tc>
          <w:tcPr>
            <w:tcW w:w="0" w:type="auto"/>
            <w:gridSpan w:val="3"/>
            <w:tcBorders>
              <w:top w:val="single" w:sz="8" w:space="0" w:color="0071C5"/>
            </w:tcBorders>
            <w:shd w:val="clear" w:color="auto" w:fill="auto"/>
            <w:tcMar>
              <w:left w:w="20" w:type="dxa"/>
              <w:right w:w="20" w:type="dxa"/>
            </w:tcMar>
            <w:vAlign w:val="bottom"/>
          </w:tcPr>
          <w:p w14:paraId="36CA3D59"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3D5A" w14:textId="77777777" w:rsidR="00787570" w:rsidRDefault="00787570">
            <w:pPr>
              <w:rPr>
                <w:rFonts w:ascii="宋体"/>
              </w:rPr>
            </w:pPr>
          </w:p>
        </w:tc>
        <w:tc>
          <w:tcPr>
            <w:tcW w:w="0" w:type="auto"/>
            <w:gridSpan w:val="3"/>
            <w:tcBorders>
              <w:top w:val="single" w:sz="8" w:space="0" w:color="0071C5"/>
            </w:tcBorders>
            <w:shd w:val="clear" w:color="auto" w:fill="auto"/>
            <w:tcMar>
              <w:left w:w="20" w:type="dxa"/>
              <w:right w:w="20" w:type="dxa"/>
            </w:tcMar>
            <w:vAlign w:val="bottom"/>
          </w:tcPr>
          <w:p w14:paraId="36CA3D5B" w14:textId="77777777" w:rsidR="00787570" w:rsidRDefault="00787570">
            <w:pPr>
              <w:rPr>
                <w:rFonts w:ascii="宋体"/>
              </w:rPr>
            </w:pPr>
          </w:p>
        </w:tc>
        <w:tc>
          <w:tcPr>
            <w:tcW w:w="0" w:type="auto"/>
            <w:shd w:val="clear" w:color="auto" w:fill="auto"/>
          </w:tcPr>
          <w:p w14:paraId="36CA3D5C" w14:textId="77777777" w:rsidR="00787570" w:rsidRDefault="00787570">
            <w:pPr>
              <w:rPr>
                <w:rFonts w:ascii="宋体"/>
              </w:rPr>
            </w:pPr>
          </w:p>
        </w:tc>
        <w:tc>
          <w:tcPr>
            <w:tcW w:w="0" w:type="auto"/>
            <w:shd w:val="clear" w:color="auto" w:fill="auto"/>
          </w:tcPr>
          <w:p w14:paraId="36CA3D5D" w14:textId="77777777" w:rsidR="00787570" w:rsidRDefault="00787570">
            <w:pPr>
              <w:rPr>
                <w:rFonts w:ascii="宋体"/>
              </w:rPr>
            </w:pPr>
          </w:p>
        </w:tc>
        <w:tc>
          <w:tcPr>
            <w:tcW w:w="0" w:type="auto"/>
            <w:shd w:val="clear" w:color="auto" w:fill="auto"/>
          </w:tcPr>
          <w:p w14:paraId="36CA3D5E" w14:textId="77777777" w:rsidR="00787570" w:rsidRDefault="00787570">
            <w:pPr>
              <w:rPr>
                <w:rFonts w:ascii="宋体"/>
              </w:rPr>
            </w:pPr>
          </w:p>
        </w:tc>
        <w:tc>
          <w:tcPr>
            <w:tcW w:w="0" w:type="auto"/>
            <w:shd w:val="clear" w:color="auto" w:fill="auto"/>
          </w:tcPr>
          <w:p w14:paraId="36CA3D5F" w14:textId="77777777" w:rsidR="00787570" w:rsidRDefault="00787570">
            <w:pPr>
              <w:rPr>
                <w:rFonts w:ascii="宋体"/>
              </w:rPr>
            </w:pPr>
          </w:p>
        </w:tc>
        <w:tc>
          <w:tcPr>
            <w:tcW w:w="0" w:type="auto"/>
            <w:shd w:val="clear" w:color="auto" w:fill="auto"/>
          </w:tcPr>
          <w:p w14:paraId="36CA3D60" w14:textId="77777777" w:rsidR="00787570" w:rsidRDefault="00787570">
            <w:pPr>
              <w:rPr>
                <w:rFonts w:ascii="宋体"/>
              </w:rPr>
            </w:pPr>
          </w:p>
        </w:tc>
        <w:tc>
          <w:tcPr>
            <w:tcW w:w="0" w:type="auto"/>
            <w:shd w:val="clear" w:color="auto" w:fill="auto"/>
          </w:tcPr>
          <w:p w14:paraId="36CA3D61" w14:textId="77777777" w:rsidR="00787570" w:rsidRDefault="00787570">
            <w:pPr>
              <w:rPr>
                <w:rFonts w:ascii="宋体"/>
              </w:rPr>
            </w:pPr>
          </w:p>
        </w:tc>
        <w:tc>
          <w:tcPr>
            <w:tcW w:w="0" w:type="auto"/>
            <w:shd w:val="clear" w:color="auto" w:fill="auto"/>
          </w:tcPr>
          <w:p w14:paraId="36CA3D62" w14:textId="77777777" w:rsidR="00787570" w:rsidRDefault="00787570">
            <w:pPr>
              <w:rPr>
                <w:rFonts w:ascii="宋体"/>
              </w:rPr>
            </w:pPr>
          </w:p>
        </w:tc>
        <w:tc>
          <w:tcPr>
            <w:tcW w:w="0" w:type="auto"/>
            <w:shd w:val="clear" w:color="auto" w:fill="auto"/>
          </w:tcPr>
          <w:p w14:paraId="36CA3D63" w14:textId="77777777" w:rsidR="00787570" w:rsidRDefault="00787570">
            <w:pPr>
              <w:rPr>
                <w:rFonts w:ascii="宋体"/>
              </w:rPr>
            </w:pPr>
          </w:p>
        </w:tc>
        <w:tc>
          <w:tcPr>
            <w:tcW w:w="0" w:type="auto"/>
            <w:shd w:val="clear" w:color="auto" w:fill="auto"/>
          </w:tcPr>
          <w:p w14:paraId="36CA3D64" w14:textId="77777777" w:rsidR="00787570" w:rsidRDefault="00787570">
            <w:pPr>
              <w:rPr>
                <w:rFonts w:ascii="宋体"/>
              </w:rPr>
            </w:pPr>
          </w:p>
        </w:tc>
        <w:tc>
          <w:tcPr>
            <w:tcW w:w="0" w:type="auto"/>
            <w:shd w:val="clear" w:color="auto" w:fill="auto"/>
          </w:tcPr>
          <w:p w14:paraId="36CA3D65" w14:textId="77777777" w:rsidR="00787570" w:rsidRDefault="00787570">
            <w:pPr>
              <w:rPr>
                <w:rFonts w:ascii="宋体"/>
              </w:rPr>
            </w:pPr>
          </w:p>
        </w:tc>
        <w:tc>
          <w:tcPr>
            <w:tcW w:w="0" w:type="auto"/>
            <w:shd w:val="clear" w:color="auto" w:fill="auto"/>
          </w:tcPr>
          <w:p w14:paraId="36CA3D66" w14:textId="77777777" w:rsidR="00787570" w:rsidRDefault="00787570">
            <w:pPr>
              <w:rPr>
                <w:rFonts w:ascii="宋体"/>
              </w:rPr>
            </w:pPr>
          </w:p>
        </w:tc>
        <w:tc>
          <w:tcPr>
            <w:tcW w:w="0" w:type="auto"/>
            <w:shd w:val="clear" w:color="auto" w:fill="auto"/>
          </w:tcPr>
          <w:p w14:paraId="36CA3D67" w14:textId="77777777" w:rsidR="00787570" w:rsidRDefault="00787570">
            <w:pPr>
              <w:rPr>
                <w:rFonts w:ascii="宋体"/>
              </w:rPr>
            </w:pPr>
          </w:p>
        </w:tc>
      </w:tr>
      <w:tr w:rsidR="00787570" w14:paraId="36CA3D86" w14:textId="77777777">
        <w:tc>
          <w:tcPr>
            <w:tcW w:w="0" w:type="auto"/>
            <w:gridSpan w:val="3"/>
            <w:shd w:val="clear" w:color="auto" w:fill="auto"/>
            <w:tcMar>
              <w:top w:w="40" w:type="dxa"/>
              <w:left w:w="20" w:type="dxa"/>
              <w:bottom w:w="40" w:type="dxa"/>
              <w:right w:w="20" w:type="dxa"/>
            </w:tcMar>
          </w:tcPr>
          <w:p w14:paraId="36CA3D69" w14:textId="77777777" w:rsidR="00787570" w:rsidRDefault="000D56E2">
            <w:pPr>
              <w:textAlignment w:val="top"/>
            </w:pPr>
            <w:r>
              <w:rPr>
                <w:rFonts w:ascii="Arial" w:eastAsia="宋体" w:hAnsi="Arial" w:cs="Arial"/>
                <w:color w:val="333333"/>
                <w:sz w:val="18"/>
                <w:szCs w:val="18"/>
              </w:rPr>
              <w:t>Foreign currency contracts</w:t>
            </w:r>
            <w:r>
              <w:rPr>
                <w:rFonts w:ascii="Arial" w:eastAsia="宋体" w:hAnsi="Arial" w:cs="Arial"/>
                <w:color w:val="333333"/>
                <w:sz w:val="11"/>
                <w:szCs w:val="11"/>
              </w:rPr>
              <w:t>3</w:t>
            </w:r>
          </w:p>
        </w:tc>
        <w:tc>
          <w:tcPr>
            <w:tcW w:w="0" w:type="auto"/>
            <w:gridSpan w:val="3"/>
            <w:shd w:val="clear" w:color="auto" w:fill="auto"/>
            <w:tcMar>
              <w:left w:w="20" w:type="dxa"/>
              <w:right w:w="20" w:type="dxa"/>
            </w:tcMar>
            <w:vAlign w:val="bottom"/>
          </w:tcPr>
          <w:p w14:paraId="36CA3D6A" w14:textId="77777777" w:rsidR="00787570" w:rsidRDefault="00787570">
            <w:pPr>
              <w:rPr>
                <w:rFonts w:ascii="宋体"/>
              </w:rPr>
            </w:pPr>
          </w:p>
        </w:tc>
        <w:tc>
          <w:tcPr>
            <w:tcW w:w="0" w:type="auto"/>
            <w:shd w:val="clear" w:color="auto" w:fill="auto"/>
            <w:tcMar>
              <w:top w:w="40" w:type="dxa"/>
              <w:left w:w="20" w:type="dxa"/>
              <w:bottom w:w="40" w:type="dxa"/>
            </w:tcMar>
            <w:vAlign w:val="bottom"/>
          </w:tcPr>
          <w:p w14:paraId="36CA3D6B" w14:textId="77777777" w:rsidR="00787570" w:rsidRDefault="000D56E2">
            <w:pPr>
              <w:textAlignment w:val="bottom"/>
            </w:pPr>
            <w:r>
              <w:rPr>
                <w:rFonts w:ascii="Arial" w:eastAsia="宋体" w:hAnsi="Arial" w:cs="Arial"/>
                <w:color w:val="026DCE"/>
                <w:sz w:val="18"/>
                <w:szCs w:val="18"/>
              </w:rPr>
              <w:t>$</w:t>
            </w:r>
          </w:p>
        </w:tc>
        <w:tc>
          <w:tcPr>
            <w:tcW w:w="0" w:type="auto"/>
            <w:shd w:val="clear" w:color="auto" w:fill="auto"/>
            <w:tcMar>
              <w:top w:w="40" w:type="dxa"/>
              <w:bottom w:w="40" w:type="dxa"/>
              <w:right w:w="0" w:type="dxa"/>
            </w:tcMar>
            <w:vAlign w:val="bottom"/>
          </w:tcPr>
          <w:p w14:paraId="36CA3D6C" w14:textId="77777777" w:rsidR="00787570" w:rsidRDefault="000D56E2">
            <w:pPr>
              <w:jc w:val="right"/>
              <w:textAlignment w:val="bottom"/>
            </w:pPr>
            <w:r>
              <w:rPr>
                <w:rFonts w:ascii="Arial" w:eastAsia="宋体" w:hAnsi="Arial" w:cs="Arial"/>
                <w:color w:val="026DCE"/>
                <w:sz w:val="18"/>
                <w:szCs w:val="18"/>
              </w:rPr>
              <w:t>233 </w:t>
            </w:r>
          </w:p>
        </w:tc>
        <w:tc>
          <w:tcPr>
            <w:tcW w:w="0" w:type="auto"/>
            <w:shd w:val="clear" w:color="auto" w:fill="auto"/>
            <w:tcMar>
              <w:top w:w="40" w:type="dxa"/>
              <w:bottom w:w="40" w:type="dxa"/>
              <w:right w:w="20" w:type="dxa"/>
            </w:tcMar>
            <w:vAlign w:val="bottom"/>
          </w:tcPr>
          <w:p w14:paraId="36CA3D6D"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3D6E" w14:textId="77777777" w:rsidR="00787570" w:rsidRDefault="00787570">
            <w:pPr>
              <w:rPr>
                <w:rFonts w:ascii="宋体"/>
              </w:rPr>
            </w:pPr>
          </w:p>
        </w:tc>
        <w:tc>
          <w:tcPr>
            <w:tcW w:w="0" w:type="auto"/>
            <w:shd w:val="clear" w:color="auto" w:fill="auto"/>
            <w:tcMar>
              <w:top w:w="40" w:type="dxa"/>
              <w:left w:w="20" w:type="dxa"/>
              <w:bottom w:w="40" w:type="dxa"/>
            </w:tcMar>
            <w:vAlign w:val="bottom"/>
          </w:tcPr>
          <w:p w14:paraId="36CA3D6F" w14:textId="77777777" w:rsidR="00787570" w:rsidRDefault="000D56E2">
            <w:pPr>
              <w:textAlignment w:val="bottom"/>
            </w:pPr>
            <w:r>
              <w:rPr>
                <w:rFonts w:ascii="Arial" w:eastAsia="宋体" w:hAnsi="Arial" w:cs="Arial"/>
                <w:color w:val="026DCE"/>
                <w:sz w:val="18"/>
                <w:szCs w:val="18"/>
              </w:rPr>
              <w:t>$</w:t>
            </w:r>
          </w:p>
        </w:tc>
        <w:tc>
          <w:tcPr>
            <w:tcW w:w="0" w:type="auto"/>
            <w:shd w:val="clear" w:color="auto" w:fill="auto"/>
            <w:tcMar>
              <w:top w:w="40" w:type="dxa"/>
              <w:bottom w:w="40" w:type="dxa"/>
              <w:right w:w="0" w:type="dxa"/>
            </w:tcMar>
            <w:vAlign w:val="bottom"/>
          </w:tcPr>
          <w:p w14:paraId="36CA3D70" w14:textId="77777777" w:rsidR="00787570" w:rsidRDefault="000D56E2">
            <w:pPr>
              <w:jc w:val="right"/>
              <w:textAlignment w:val="bottom"/>
            </w:pPr>
            <w:r>
              <w:rPr>
                <w:rFonts w:ascii="Arial" w:eastAsia="宋体" w:hAnsi="Arial" w:cs="Arial"/>
                <w:color w:val="026DCE"/>
                <w:sz w:val="18"/>
                <w:szCs w:val="18"/>
              </w:rPr>
              <w:t>58 </w:t>
            </w:r>
          </w:p>
        </w:tc>
        <w:tc>
          <w:tcPr>
            <w:tcW w:w="0" w:type="auto"/>
            <w:shd w:val="clear" w:color="auto" w:fill="auto"/>
            <w:tcMar>
              <w:top w:w="40" w:type="dxa"/>
              <w:bottom w:w="40" w:type="dxa"/>
              <w:right w:w="20" w:type="dxa"/>
            </w:tcMar>
            <w:vAlign w:val="bottom"/>
          </w:tcPr>
          <w:p w14:paraId="36CA3D71"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3D72" w14:textId="77777777" w:rsidR="00787570" w:rsidRDefault="00787570">
            <w:pPr>
              <w:rPr>
                <w:rFonts w:ascii="宋体"/>
              </w:rPr>
            </w:pPr>
          </w:p>
        </w:tc>
        <w:tc>
          <w:tcPr>
            <w:tcW w:w="0" w:type="auto"/>
            <w:shd w:val="clear" w:color="auto" w:fill="auto"/>
            <w:tcMar>
              <w:top w:w="40" w:type="dxa"/>
              <w:left w:w="20" w:type="dxa"/>
              <w:bottom w:w="40" w:type="dxa"/>
            </w:tcMar>
            <w:vAlign w:val="bottom"/>
          </w:tcPr>
          <w:p w14:paraId="36CA3D73" w14:textId="77777777" w:rsidR="00787570" w:rsidRDefault="000D56E2">
            <w:pPr>
              <w:textAlignment w:val="bottom"/>
            </w:pPr>
            <w:r>
              <w:rPr>
                <w:rFonts w:ascii="Arial" w:eastAsia="宋体" w:hAnsi="Arial" w:cs="Arial"/>
                <w:color w:val="333333"/>
                <w:sz w:val="18"/>
                <w:szCs w:val="18"/>
              </w:rPr>
              <w:t>$</w:t>
            </w:r>
          </w:p>
        </w:tc>
        <w:tc>
          <w:tcPr>
            <w:tcW w:w="0" w:type="auto"/>
            <w:shd w:val="clear" w:color="auto" w:fill="auto"/>
            <w:tcMar>
              <w:top w:w="40" w:type="dxa"/>
              <w:bottom w:w="40" w:type="dxa"/>
              <w:right w:w="0" w:type="dxa"/>
            </w:tcMar>
            <w:vAlign w:val="bottom"/>
          </w:tcPr>
          <w:p w14:paraId="36CA3D74" w14:textId="77777777" w:rsidR="00787570" w:rsidRDefault="000D56E2">
            <w:pPr>
              <w:jc w:val="right"/>
              <w:textAlignment w:val="bottom"/>
            </w:pPr>
            <w:r>
              <w:rPr>
                <w:rFonts w:ascii="Arial" w:eastAsia="宋体" w:hAnsi="Arial" w:cs="Arial"/>
                <w:color w:val="333333"/>
                <w:sz w:val="18"/>
                <w:szCs w:val="18"/>
              </w:rPr>
              <w:t>56 </w:t>
            </w:r>
          </w:p>
        </w:tc>
        <w:tc>
          <w:tcPr>
            <w:tcW w:w="0" w:type="auto"/>
            <w:shd w:val="clear" w:color="auto" w:fill="auto"/>
            <w:tcMar>
              <w:top w:w="40" w:type="dxa"/>
              <w:bottom w:w="40" w:type="dxa"/>
              <w:right w:w="20" w:type="dxa"/>
            </w:tcMar>
            <w:vAlign w:val="bottom"/>
          </w:tcPr>
          <w:p w14:paraId="36CA3D75"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3D76" w14:textId="77777777" w:rsidR="00787570" w:rsidRDefault="00787570">
            <w:pPr>
              <w:rPr>
                <w:rFonts w:ascii="宋体"/>
              </w:rPr>
            </w:pPr>
          </w:p>
        </w:tc>
        <w:tc>
          <w:tcPr>
            <w:tcW w:w="0" w:type="auto"/>
            <w:shd w:val="clear" w:color="auto" w:fill="auto"/>
            <w:tcMar>
              <w:top w:w="40" w:type="dxa"/>
              <w:left w:w="20" w:type="dxa"/>
              <w:bottom w:w="40" w:type="dxa"/>
            </w:tcMar>
            <w:vAlign w:val="bottom"/>
          </w:tcPr>
          <w:p w14:paraId="36CA3D77" w14:textId="77777777" w:rsidR="00787570" w:rsidRDefault="000D56E2">
            <w:pPr>
              <w:textAlignment w:val="bottom"/>
            </w:pPr>
            <w:r>
              <w:rPr>
                <w:rFonts w:ascii="Arial" w:eastAsia="宋体" w:hAnsi="Arial" w:cs="Arial"/>
                <w:color w:val="333333"/>
                <w:sz w:val="18"/>
                <w:szCs w:val="18"/>
              </w:rPr>
              <w:t>$</w:t>
            </w:r>
          </w:p>
        </w:tc>
        <w:tc>
          <w:tcPr>
            <w:tcW w:w="0" w:type="auto"/>
            <w:shd w:val="clear" w:color="auto" w:fill="auto"/>
            <w:tcMar>
              <w:top w:w="40" w:type="dxa"/>
              <w:bottom w:w="40" w:type="dxa"/>
              <w:right w:w="0" w:type="dxa"/>
            </w:tcMar>
            <w:vAlign w:val="bottom"/>
          </w:tcPr>
          <w:p w14:paraId="36CA3D78" w14:textId="77777777" w:rsidR="00787570" w:rsidRDefault="000D56E2">
            <w:pPr>
              <w:jc w:val="right"/>
              <w:textAlignment w:val="bottom"/>
            </w:pPr>
            <w:r>
              <w:rPr>
                <w:rFonts w:ascii="Arial" w:eastAsia="宋体" w:hAnsi="Arial" w:cs="Arial"/>
                <w:color w:val="333333"/>
                <w:sz w:val="18"/>
                <w:szCs w:val="18"/>
              </w:rPr>
              <w:t>159 </w:t>
            </w:r>
          </w:p>
        </w:tc>
        <w:tc>
          <w:tcPr>
            <w:tcW w:w="0" w:type="auto"/>
            <w:shd w:val="clear" w:color="auto" w:fill="auto"/>
            <w:tcMar>
              <w:top w:w="40" w:type="dxa"/>
              <w:bottom w:w="40" w:type="dxa"/>
              <w:right w:w="20" w:type="dxa"/>
            </w:tcMar>
            <w:vAlign w:val="bottom"/>
          </w:tcPr>
          <w:p w14:paraId="36CA3D79" w14:textId="77777777" w:rsidR="00787570" w:rsidRDefault="00787570">
            <w:pPr>
              <w:jc w:val="right"/>
              <w:rPr>
                <w:rFonts w:ascii="宋体"/>
              </w:rPr>
            </w:pPr>
          </w:p>
        </w:tc>
        <w:tc>
          <w:tcPr>
            <w:tcW w:w="0" w:type="auto"/>
            <w:shd w:val="clear" w:color="auto" w:fill="auto"/>
          </w:tcPr>
          <w:p w14:paraId="36CA3D7A" w14:textId="77777777" w:rsidR="00787570" w:rsidRDefault="00787570">
            <w:pPr>
              <w:rPr>
                <w:rFonts w:ascii="宋体"/>
              </w:rPr>
            </w:pPr>
          </w:p>
        </w:tc>
        <w:tc>
          <w:tcPr>
            <w:tcW w:w="0" w:type="auto"/>
            <w:shd w:val="clear" w:color="auto" w:fill="auto"/>
          </w:tcPr>
          <w:p w14:paraId="36CA3D7B" w14:textId="77777777" w:rsidR="00787570" w:rsidRDefault="00787570">
            <w:pPr>
              <w:rPr>
                <w:rFonts w:ascii="宋体"/>
              </w:rPr>
            </w:pPr>
          </w:p>
        </w:tc>
        <w:tc>
          <w:tcPr>
            <w:tcW w:w="0" w:type="auto"/>
            <w:shd w:val="clear" w:color="auto" w:fill="auto"/>
          </w:tcPr>
          <w:p w14:paraId="36CA3D7C" w14:textId="77777777" w:rsidR="00787570" w:rsidRDefault="00787570">
            <w:pPr>
              <w:rPr>
                <w:rFonts w:ascii="宋体"/>
              </w:rPr>
            </w:pPr>
          </w:p>
        </w:tc>
        <w:tc>
          <w:tcPr>
            <w:tcW w:w="0" w:type="auto"/>
            <w:shd w:val="clear" w:color="auto" w:fill="auto"/>
          </w:tcPr>
          <w:p w14:paraId="36CA3D7D" w14:textId="77777777" w:rsidR="00787570" w:rsidRDefault="00787570">
            <w:pPr>
              <w:rPr>
                <w:rFonts w:ascii="宋体"/>
              </w:rPr>
            </w:pPr>
          </w:p>
        </w:tc>
        <w:tc>
          <w:tcPr>
            <w:tcW w:w="0" w:type="auto"/>
            <w:shd w:val="clear" w:color="auto" w:fill="auto"/>
          </w:tcPr>
          <w:p w14:paraId="36CA3D7E" w14:textId="77777777" w:rsidR="00787570" w:rsidRDefault="00787570">
            <w:pPr>
              <w:rPr>
                <w:rFonts w:ascii="宋体"/>
              </w:rPr>
            </w:pPr>
          </w:p>
        </w:tc>
        <w:tc>
          <w:tcPr>
            <w:tcW w:w="0" w:type="auto"/>
            <w:shd w:val="clear" w:color="auto" w:fill="auto"/>
          </w:tcPr>
          <w:p w14:paraId="36CA3D7F" w14:textId="77777777" w:rsidR="00787570" w:rsidRDefault="00787570">
            <w:pPr>
              <w:rPr>
                <w:rFonts w:ascii="宋体"/>
              </w:rPr>
            </w:pPr>
          </w:p>
        </w:tc>
        <w:tc>
          <w:tcPr>
            <w:tcW w:w="0" w:type="auto"/>
            <w:shd w:val="clear" w:color="auto" w:fill="auto"/>
          </w:tcPr>
          <w:p w14:paraId="36CA3D80" w14:textId="77777777" w:rsidR="00787570" w:rsidRDefault="00787570">
            <w:pPr>
              <w:rPr>
                <w:rFonts w:ascii="宋体"/>
              </w:rPr>
            </w:pPr>
          </w:p>
        </w:tc>
        <w:tc>
          <w:tcPr>
            <w:tcW w:w="0" w:type="auto"/>
            <w:shd w:val="clear" w:color="auto" w:fill="auto"/>
          </w:tcPr>
          <w:p w14:paraId="36CA3D81" w14:textId="77777777" w:rsidR="00787570" w:rsidRDefault="00787570">
            <w:pPr>
              <w:rPr>
                <w:rFonts w:ascii="宋体"/>
              </w:rPr>
            </w:pPr>
          </w:p>
        </w:tc>
        <w:tc>
          <w:tcPr>
            <w:tcW w:w="0" w:type="auto"/>
            <w:shd w:val="clear" w:color="auto" w:fill="auto"/>
          </w:tcPr>
          <w:p w14:paraId="36CA3D82" w14:textId="77777777" w:rsidR="00787570" w:rsidRDefault="00787570">
            <w:pPr>
              <w:rPr>
                <w:rFonts w:ascii="宋体"/>
              </w:rPr>
            </w:pPr>
          </w:p>
        </w:tc>
        <w:tc>
          <w:tcPr>
            <w:tcW w:w="0" w:type="auto"/>
            <w:shd w:val="clear" w:color="auto" w:fill="auto"/>
          </w:tcPr>
          <w:p w14:paraId="36CA3D83" w14:textId="77777777" w:rsidR="00787570" w:rsidRDefault="00787570">
            <w:pPr>
              <w:rPr>
                <w:rFonts w:ascii="宋体"/>
              </w:rPr>
            </w:pPr>
          </w:p>
        </w:tc>
        <w:tc>
          <w:tcPr>
            <w:tcW w:w="0" w:type="auto"/>
            <w:shd w:val="clear" w:color="auto" w:fill="auto"/>
          </w:tcPr>
          <w:p w14:paraId="36CA3D84" w14:textId="77777777" w:rsidR="00787570" w:rsidRDefault="00787570">
            <w:pPr>
              <w:rPr>
                <w:rFonts w:ascii="宋体"/>
              </w:rPr>
            </w:pPr>
          </w:p>
        </w:tc>
        <w:tc>
          <w:tcPr>
            <w:tcW w:w="0" w:type="auto"/>
            <w:shd w:val="clear" w:color="auto" w:fill="auto"/>
          </w:tcPr>
          <w:p w14:paraId="36CA3D85" w14:textId="77777777" w:rsidR="00787570" w:rsidRDefault="00787570">
            <w:pPr>
              <w:rPr>
                <w:rFonts w:ascii="宋体"/>
              </w:rPr>
            </w:pPr>
          </w:p>
        </w:tc>
      </w:tr>
      <w:tr w:rsidR="00787570" w14:paraId="36CA3DA0" w14:textId="77777777">
        <w:tc>
          <w:tcPr>
            <w:tcW w:w="0" w:type="auto"/>
            <w:gridSpan w:val="3"/>
            <w:shd w:val="clear" w:color="auto" w:fill="auto"/>
            <w:tcMar>
              <w:top w:w="40" w:type="dxa"/>
              <w:left w:w="20" w:type="dxa"/>
              <w:bottom w:w="40" w:type="dxa"/>
              <w:right w:w="20" w:type="dxa"/>
            </w:tcMar>
          </w:tcPr>
          <w:p w14:paraId="36CA3D87" w14:textId="77777777" w:rsidR="00787570" w:rsidRDefault="000D56E2">
            <w:pPr>
              <w:ind w:hanging="180"/>
              <w:textAlignment w:val="top"/>
            </w:pPr>
            <w:r>
              <w:rPr>
                <w:rFonts w:ascii="Arial" w:eastAsia="宋体" w:hAnsi="Arial" w:cs="Arial"/>
                <w:color w:val="333333"/>
                <w:sz w:val="18"/>
                <w:szCs w:val="18"/>
              </w:rPr>
              <w:t>Interest rate contracts</w:t>
            </w:r>
          </w:p>
        </w:tc>
        <w:tc>
          <w:tcPr>
            <w:tcW w:w="0" w:type="auto"/>
            <w:gridSpan w:val="3"/>
            <w:shd w:val="clear" w:color="auto" w:fill="auto"/>
            <w:tcMar>
              <w:left w:w="20" w:type="dxa"/>
              <w:right w:w="20" w:type="dxa"/>
            </w:tcMar>
            <w:vAlign w:val="bottom"/>
          </w:tcPr>
          <w:p w14:paraId="36CA3D88"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3D89" w14:textId="77777777" w:rsidR="00787570" w:rsidRDefault="000D56E2">
            <w:pPr>
              <w:jc w:val="right"/>
              <w:textAlignment w:val="bottom"/>
            </w:pPr>
            <w:r>
              <w:rPr>
                <w:rFonts w:ascii="Arial" w:eastAsia="宋体" w:hAnsi="Arial" w:cs="Arial"/>
                <w:color w:val="026DCE"/>
                <w:sz w:val="18"/>
                <w:szCs w:val="18"/>
              </w:rPr>
              <w:t>1,677 </w:t>
            </w:r>
          </w:p>
        </w:tc>
        <w:tc>
          <w:tcPr>
            <w:tcW w:w="0" w:type="auto"/>
            <w:shd w:val="clear" w:color="auto" w:fill="auto"/>
            <w:tcMar>
              <w:top w:w="40" w:type="dxa"/>
              <w:bottom w:w="40" w:type="dxa"/>
              <w:right w:w="20" w:type="dxa"/>
            </w:tcMar>
            <w:vAlign w:val="bottom"/>
          </w:tcPr>
          <w:p w14:paraId="36CA3D8A"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3D8B"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3D8C" w14:textId="77777777" w:rsidR="00787570" w:rsidRDefault="000D56E2">
            <w:pPr>
              <w:jc w:val="right"/>
              <w:textAlignment w:val="bottom"/>
            </w:pPr>
            <w:r>
              <w:rPr>
                <w:rFonts w:ascii="Arial" w:eastAsia="宋体" w:hAnsi="Arial" w:cs="Arial"/>
                <w:color w:val="026DCE"/>
                <w:sz w:val="18"/>
                <w:szCs w:val="18"/>
              </w:rPr>
              <w:t>— </w:t>
            </w:r>
          </w:p>
        </w:tc>
        <w:tc>
          <w:tcPr>
            <w:tcW w:w="0" w:type="auto"/>
            <w:shd w:val="clear" w:color="auto" w:fill="auto"/>
            <w:tcMar>
              <w:top w:w="40" w:type="dxa"/>
              <w:bottom w:w="40" w:type="dxa"/>
              <w:right w:w="20" w:type="dxa"/>
            </w:tcMar>
            <w:vAlign w:val="bottom"/>
          </w:tcPr>
          <w:p w14:paraId="36CA3D8D"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3D8E"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3D8F" w14:textId="77777777" w:rsidR="00787570" w:rsidRDefault="000D56E2">
            <w:pPr>
              <w:jc w:val="right"/>
              <w:textAlignment w:val="bottom"/>
            </w:pPr>
            <w:r>
              <w:rPr>
                <w:rFonts w:ascii="Arial" w:eastAsia="宋体" w:hAnsi="Arial" w:cs="Arial"/>
                <w:color w:val="333333"/>
                <w:sz w:val="18"/>
                <w:szCs w:val="18"/>
              </w:rPr>
              <w:t>690 </w:t>
            </w:r>
          </w:p>
        </w:tc>
        <w:tc>
          <w:tcPr>
            <w:tcW w:w="0" w:type="auto"/>
            <w:shd w:val="clear" w:color="auto" w:fill="auto"/>
            <w:tcMar>
              <w:top w:w="40" w:type="dxa"/>
              <w:bottom w:w="40" w:type="dxa"/>
              <w:right w:w="20" w:type="dxa"/>
            </w:tcMar>
            <w:vAlign w:val="bottom"/>
          </w:tcPr>
          <w:p w14:paraId="36CA3D90"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3D91"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3D92" w14:textId="77777777" w:rsidR="00787570" w:rsidRDefault="000D56E2">
            <w:pPr>
              <w:jc w:val="right"/>
              <w:textAlignment w:val="bottom"/>
            </w:pPr>
            <w:r>
              <w:rPr>
                <w:rFonts w:ascii="Arial" w:eastAsia="宋体" w:hAnsi="Arial" w:cs="Arial"/>
                <w:color w:val="333333"/>
                <w:sz w:val="18"/>
                <w:szCs w:val="18"/>
              </w:rPr>
              <w:t>9 </w:t>
            </w:r>
          </w:p>
        </w:tc>
        <w:tc>
          <w:tcPr>
            <w:tcW w:w="0" w:type="auto"/>
            <w:shd w:val="clear" w:color="auto" w:fill="auto"/>
            <w:tcMar>
              <w:top w:w="40" w:type="dxa"/>
              <w:bottom w:w="40" w:type="dxa"/>
              <w:right w:w="20" w:type="dxa"/>
            </w:tcMar>
            <w:vAlign w:val="bottom"/>
          </w:tcPr>
          <w:p w14:paraId="36CA3D93" w14:textId="77777777" w:rsidR="00787570" w:rsidRDefault="00787570">
            <w:pPr>
              <w:jc w:val="right"/>
              <w:rPr>
                <w:rFonts w:ascii="宋体"/>
              </w:rPr>
            </w:pPr>
          </w:p>
        </w:tc>
        <w:tc>
          <w:tcPr>
            <w:tcW w:w="0" w:type="auto"/>
            <w:shd w:val="clear" w:color="auto" w:fill="auto"/>
          </w:tcPr>
          <w:p w14:paraId="36CA3D94" w14:textId="77777777" w:rsidR="00787570" w:rsidRDefault="00787570">
            <w:pPr>
              <w:rPr>
                <w:rFonts w:ascii="宋体"/>
              </w:rPr>
            </w:pPr>
          </w:p>
        </w:tc>
        <w:tc>
          <w:tcPr>
            <w:tcW w:w="0" w:type="auto"/>
            <w:shd w:val="clear" w:color="auto" w:fill="auto"/>
          </w:tcPr>
          <w:p w14:paraId="36CA3D95" w14:textId="77777777" w:rsidR="00787570" w:rsidRDefault="00787570">
            <w:pPr>
              <w:rPr>
                <w:rFonts w:ascii="宋体"/>
              </w:rPr>
            </w:pPr>
          </w:p>
        </w:tc>
        <w:tc>
          <w:tcPr>
            <w:tcW w:w="0" w:type="auto"/>
            <w:shd w:val="clear" w:color="auto" w:fill="auto"/>
          </w:tcPr>
          <w:p w14:paraId="36CA3D96" w14:textId="77777777" w:rsidR="00787570" w:rsidRDefault="00787570">
            <w:pPr>
              <w:rPr>
                <w:rFonts w:ascii="宋体"/>
              </w:rPr>
            </w:pPr>
          </w:p>
        </w:tc>
        <w:tc>
          <w:tcPr>
            <w:tcW w:w="0" w:type="auto"/>
            <w:shd w:val="clear" w:color="auto" w:fill="auto"/>
          </w:tcPr>
          <w:p w14:paraId="36CA3D97" w14:textId="77777777" w:rsidR="00787570" w:rsidRDefault="00787570">
            <w:pPr>
              <w:rPr>
                <w:rFonts w:ascii="宋体"/>
              </w:rPr>
            </w:pPr>
          </w:p>
        </w:tc>
        <w:tc>
          <w:tcPr>
            <w:tcW w:w="0" w:type="auto"/>
            <w:shd w:val="clear" w:color="auto" w:fill="auto"/>
          </w:tcPr>
          <w:p w14:paraId="36CA3D98" w14:textId="77777777" w:rsidR="00787570" w:rsidRDefault="00787570">
            <w:pPr>
              <w:rPr>
                <w:rFonts w:ascii="宋体"/>
              </w:rPr>
            </w:pPr>
          </w:p>
        </w:tc>
        <w:tc>
          <w:tcPr>
            <w:tcW w:w="0" w:type="auto"/>
            <w:shd w:val="clear" w:color="auto" w:fill="auto"/>
          </w:tcPr>
          <w:p w14:paraId="36CA3D99" w14:textId="77777777" w:rsidR="00787570" w:rsidRDefault="00787570">
            <w:pPr>
              <w:rPr>
                <w:rFonts w:ascii="宋体"/>
              </w:rPr>
            </w:pPr>
          </w:p>
        </w:tc>
        <w:tc>
          <w:tcPr>
            <w:tcW w:w="0" w:type="auto"/>
            <w:shd w:val="clear" w:color="auto" w:fill="auto"/>
          </w:tcPr>
          <w:p w14:paraId="36CA3D9A" w14:textId="77777777" w:rsidR="00787570" w:rsidRDefault="00787570">
            <w:pPr>
              <w:rPr>
                <w:rFonts w:ascii="宋体"/>
              </w:rPr>
            </w:pPr>
          </w:p>
        </w:tc>
        <w:tc>
          <w:tcPr>
            <w:tcW w:w="0" w:type="auto"/>
            <w:shd w:val="clear" w:color="auto" w:fill="auto"/>
          </w:tcPr>
          <w:p w14:paraId="36CA3D9B" w14:textId="77777777" w:rsidR="00787570" w:rsidRDefault="00787570">
            <w:pPr>
              <w:rPr>
                <w:rFonts w:ascii="宋体"/>
              </w:rPr>
            </w:pPr>
          </w:p>
        </w:tc>
        <w:tc>
          <w:tcPr>
            <w:tcW w:w="0" w:type="auto"/>
            <w:shd w:val="clear" w:color="auto" w:fill="auto"/>
          </w:tcPr>
          <w:p w14:paraId="36CA3D9C" w14:textId="77777777" w:rsidR="00787570" w:rsidRDefault="00787570">
            <w:pPr>
              <w:rPr>
                <w:rFonts w:ascii="宋体"/>
              </w:rPr>
            </w:pPr>
          </w:p>
        </w:tc>
        <w:tc>
          <w:tcPr>
            <w:tcW w:w="0" w:type="auto"/>
            <w:shd w:val="clear" w:color="auto" w:fill="auto"/>
          </w:tcPr>
          <w:p w14:paraId="36CA3D9D" w14:textId="77777777" w:rsidR="00787570" w:rsidRDefault="00787570">
            <w:pPr>
              <w:rPr>
                <w:rFonts w:ascii="宋体"/>
              </w:rPr>
            </w:pPr>
          </w:p>
        </w:tc>
        <w:tc>
          <w:tcPr>
            <w:tcW w:w="0" w:type="auto"/>
            <w:shd w:val="clear" w:color="auto" w:fill="auto"/>
          </w:tcPr>
          <w:p w14:paraId="36CA3D9E" w14:textId="77777777" w:rsidR="00787570" w:rsidRDefault="00787570">
            <w:pPr>
              <w:rPr>
                <w:rFonts w:ascii="宋体"/>
              </w:rPr>
            </w:pPr>
          </w:p>
        </w:tc>
        <w:tc>
          <w:tcPr>
            <w:tcW w:w="0" w:type="auto"/>
            <w:shd w:val="clear" w:color="auto" w:fill="auto"/>
          </w:tcPr>
          <w:p w14:paraId="36CA3D9F" w14:textId="77777777" w:rsidR="00787570" w:rsidRDefault="00787570">
            <w:pPr>
              <w:rPr>
                <w:rFonts w:ascii="宋体"/>
              </w:rPr>
            </w:pPr>
          </w:p>
        </w:tc>
      </w:tr>
      <w:tr w:rsidR="00787570" w14:paraId="36CA3DBA" w14:textId="77777777">
        <w:tc>
          <w:tcPr>
            <w:tcW w:w="0" w:type="auto"/>
            <w:gridSpan w:val="3"/>
            <w:shd w:val="clear" w:color="auto" w:fill="auto"/>
            <w:tcMar>
              <w:top w:w="40" w:type="dxa"/>
              <w:left w:w="20" w:type="dxa"/>
              <w:bottom w:w="40" w:type="dxa"/>
              <w:right w:w="20" w:type="dxa"/>
            </w:tcMar>
          </w:tcPr>
          <w:p w14:paraId="36CA3DA1" w14:textId="77777777" w:rsidR="00787570" w:rsidRDefault="000D56E2">
            <w:pPr>
              <w:ind w:hanging="180"/>
              <w:textAlignment w:val="top"/>
            </w:pPr>
            <w:r>
              <w:rPr>
                <w:rFonts w:ascii="Arial" w:eastAsia="宋体" w:hAnsi="Arial" w:cs="Arial"/>
                <w:b/>
                <w:bCs/>
                <w:color w:val="333333"/>
                <w:sz w:val="18"/>
                <w:szCs w:val="18"/>
              </w:rPr>
              <w:t>Total derivatives designated as hedging instruments</w:t>
            </w:r>
          </w:p>
        </w:tc>
        <w:tc>
          <w:tcPr>
            <w:tcW w:w="0" w:type="auto"/>
            <w:gridSpan w:val="3"/>
            <w:shd w:val="clear" w:color="auto" w:fill="auto"/>
            <w:tcMar>
              <w:left w:w="20" w:type="dxa"/>
              <w:right w:w="20" w:type="dxa"/>
            </w:tcMar>
            <w:vAlign w:val="bottom"/>
          </w:tcPr>
          <w:p w14:paraId="36CA3DA2" w14:textId="77777777" w:rsidR="00787570" w:rsidRDefault="00787570">
            <w:pPr>
              <w:rPr>
                <w:rFonts w:ascii="宋体"/>
              </w:rPr>
            </w:pPr>
          </w:p>
        </w:tc>
        <w:tc>
          <w:tcPr>
            <w:tcW w:w="0" w:type="auto"/>
            <w:gridSpan w:val="2"/>
            <w:tcBorders>
              <w:top w:val="single" w:sz="8" w:space="0" w:color="333333"/>
            </w:tcBorders>
            <w:shd w:val="clear" w:color="auto" w:fill="auto"/>
            <w:tcMar>
              <w:top w:w="40" w:type="dxa"/>
              <w:left w:w="20" w:type="dxa"/>
              <w:bottom w:w="40" w:type="dxa"/>
              <w:right w:w="0" w:type="dxa"/>
            </w:tcMar>
            <w:vAlign w:val="bottom"/>
          </w:tcPr>
          <w:p w14:paraId="36CA3DA3" w14:textId="77777777" w:rsidR="00787570" w:rsidRDefault="000D56E2">
            <w:pPr>
              <w:jc w:val="right"/>
              <w:textAlignment w:val="bottom"/>
            </w:pPr>
            <w:r>
              <w:rPr>
                <w:rFonts w:ascii="Arial" w:eastAsia="宋体" w:hAnsi="Arial" w:cs="Arial"/>
                <w:b/>
                <w:bCs/>
                <w:color w:val="026DCE"/>
                <w:sz w:val="18"/>
                <w:szCs w:val="18"/>
              </w:rPr>
              <w:t>1,910</w:t>
            </w:r>
            <w:r>
              <w:rPr>
                <w:rFonts w:ascii="Arial" w:eastAsia="宋体" w:hAnsi="Arial" w:cs="Arial"/>
                <w:color w:val="026DCE"/>
                <w:sz w:val="18"/>
                <w:szCs w:val="18"/>
              </w:rPr>
              <w:t> </w:t>
            </w:r>
          </w:p>
        </w:tc>
        <w:tc>
          <w:tcPr>
            <w:tcW w:w="0" w:type="auto"/>
            <w:tcBorders>
              <w:top w:val="single" w:sz="8" w:space="0" w:color="333333"/>
            </w:tcBorders>
            <w:shd w:val="clear" w:color="auto" w:fill="auto"/>
            <w:tcMar>
              <w:top w:w="40" w:type="dxa"/>
              <w:bottom w:w="40" w:type="dxa"/>
              <w:right w:w="20" w:type="dxa"/>
            </w:tcMar>
            <w:vAlign w:val="bottom"/>
          </w:tcPr>
          <w:p w14:paraId="36CA3DA4"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3DA5" w14:textId="77777777" w:rsidR="00787570" w:rsidRDefault="00787570">
            <w:pPr>
              <w:rPr>
                <w:rFonts w:ascii="宋体"/>
              </w:rPr>
            </w:pPr>
          </w:p>
        </w:tc>
        <w:tc>
          <w:tcPr>
            <w:tcW w:w="0" w:type="auto"/>
            <w:gridSpan w:val="2"/>
            <w:tcBorders>
              <w:top w:val="single" w:sz="8" w:space="0" w:color="333333"/>
            </w:tcBorders>
            <w:shd w:val="clear" w:color="auto" w:fill="auto"/>
            <w:tcMar>
              <w:top w:w="40" w:type="dxa"/>
              <w:left w:w="20" w:type="dxa"/>
              <w:bottom w:w="40" w:type="dxa"/>
              <w:right w:w="0" w:type="dxa"/>
            </w:tcMar>
            <w:vAlign w:val="bottom"/>
          </w:tcPr>
          <w:p w14:paraId="36CA3DA6" w14:textId="77777777" w:rsidR="00787570" w:rsidRDefault="000D56E2">
            <w:pPr>
              <w:jc w:val="right"/>
              <w:textAlignment w:val="bottom"/>
            </w:pPr>
            <w:r>
              <w:rPr>
                <w:rFonts w:ascii="Arial" w:eastAsia="宋体" w:hAnsi="Arial" w:cs="Arial"/>
                <w:b/>
                <w:bCs/>
                <w:color w:val="026DCE"/>
                <w:sz w:val="18"/>
                <w:szCs w:val="18"/>
              </w:rPr>
              <w:t>58</w:t>
            </w:r>
            <w:r>
              <w:rPr>
                <w:rFonts w:ascii="Arial" w:eastAsia="宋体" w:hAnsi="Arial" w:cs="Arial"/>
                <w:color w:val="026DCE"/>
                <w:sz w:val="18"/>
                <w:szCs w:val="18"/>
              </w:rPr>
              <w:t> </w:t>
            </w:r>
          </w:p>
        </w:tc>
        <w:tc>
          <w:tcPr>
            <w:tcW w:w="0" w:type="auto"/>
            <w:tcBorders>
              <w:top w:val="single" w:sz="8" w:space="0" w:color="333333"/>
            </w:tcBorders>
            <w:shd w:val="clear" w:color="auto" w:fill="auto"/>
            <w:tcMar>
              <w:top w:w="40" w:type="dxa"/>
              <w:bottom w:w="40" w:type="dxa"/>
              <w:right w:w="20" w:type="dxa"/>
            </w:tcMar>
            <w:vAlign w:val="bottom"/>
          </w:tcPr>
          <w:p w14:paraId="36CA3DA7"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3DA8" w14:textId="77777777" w:rsidR="00787570" w:rsidRDefault="00787570">
            <w:pPr>
              <w:rPr>
                <w:rFonts w:ascii="宋体"/>
              </w:rPr>
            </w:pPr>
          </w:p>
        </w:tc>
        <w:tc>
          <w:tcPr>
            <w:tcW w:w="0" w:type="auto"/>
            <w:gridSpan w:val="2"/>
            <w:tcBorders>
              <w:top w:val="single" w:sz="8" w:space="0" w:color="333333"/>
            </w:tcBorders>
            <w:shd w:val="clear" w:color="auto" w:fill="auto"/>
            <w:tcMar>
              <w:top w:w="40" w:type="dxa"/>
              <w:left w:w="20" w:type="dxa"/>
              <w:bottom w:w="40" w:type="dxa"/>
              <w:right w:w="0" w:type="dxa"/>
            </w:tcMar>
            <w:vAlign w:val="bottom"/>
          </w:tcPr>
          <w:p w14:paraId="36CA3DA9" w14:textId="77777777" w:rsidR="00787570" w:rsidRDefault="000D56E2">
            <w:pPr>
              <w:jc w:val="right"/>
              <w:textAlignment w:val="bottom"/>
            </w:pPr>
            <w:r>
              <w:rPr>
                <w:rFonts w:ascii="Arial" w:eastAsia="宋体" w:hAnsi="Arial" w:cs="Arial"/>
                <w:b/>
                <w:bCs/>
                <w:color w:val="333333"/>
                <w:sz w:val="18"/>
                <w:szCs w:val="18"/>
              </w:rPr>
              <w:t>746</w:t>
            </w:r>
            <w:r>
              <w:rPr>
                <w:rFonts w:ascii="Arial" w:eastAsia="宋体" w:hAnsi="Arial" w:cs="Arial"/>
                <w:color w:val="333333"/>
                <w:sz w:val="18"/>
                <w:szCs w:val="18"/>
              </w:rPr>
              <w:t> </w:t>
            </w:r>
          </w:p>
        </w:tc>
        <w:tc>
          <w:tcPr>
            <w:tcW w:w="0" w:type="auto"/>
            <w:tcBorders>
              <w:top w:val="single" w:sz="8" w:space="0" w:color="333333"/>
            </w:tcBorders>
            <w:shd w:val="clear" w:color="auto" w:fill="auto"/>
            <w:tcMar>
              <w:top w:w="40" w:type="dxa"/>
              <w:bottom w:w="40" w:type="dxa"/>
              <w:right w:w="20" w:type="dxa"/>
            </w:tcMar>
            <w:vAlign w:val="bottom"/>
          </w:tcPr>
          <w:p w14:paraId="36CA3DAA"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3DAB" w14:textId="77777777" w:rsidR="00787570" w:rsidRDefault="00787570">
            <w:pPr>
              <w:rPr>
                <w:rFonts w:ascii="宋体"/>
              </w:rPr>
            </w:pPr>
          </w:p>
        </w:tc>
        <w:tc>
          <w:tcPr>
            <w:tcW w:w="0" w:type="auto"/>
            <w:gridSpan w:val="2"/>
            <w:tcBorders>
              <w:top w:val="single" w:sz="8" w:space="0" w:color="333333"/>
            </w:tcBorders>
            <w:shd w:val="clear" w:color="auto" w:fill="auto"/>
            <w:tcMar>
              <w:top w:w="40" w:type="dxa"/>
              <w:left w:w="20" w:type="dxa"/>
              <w:bottom w:w="40" w:type="dxa"/>
              <w:right w:w="0" w:type="dxa"/>
            </w:tcMar>
            <w:vAlign w:val="bottom"/>
          </w:tcPr>
          <w:p w14:paraId="36CA3DAC" w14:textId="77777777" w:rsidR="00787570" w:rsidRDefault="000D56E2">
            <w:pPr>
              <w:jc w:val="right"/>
              <w:textAlignment w:val="bottom"/>
            </w:pPr>
            <w:r>
              <w:rPr>
                <w:rFonts w:ascii="Arial" w:eastAsia="宋体" w:hAnsi="Arial" w:cs="Arial"/>
                <w:b/>
                <w:bCs/>
                <w:color w:val="333333"/>
                <w:sz w:val="18"/>
                <w:szCs w:val="18"/>
              </w:rPr>
              <w:t>168</w:t>
            </w:r>
            <w:r>
              <w:rPr>
                <w:rFonts w:ascii="Arial" w:eastAsia="宋体" w:hAnsi="Arial" w:cs="Arial"/>
                <w:color w:val="333333"/>
                <w:sz w:val="18"/>
                <w:szCs w:val="18"/>
              </w:rPr>
              <w:t> </w:t>
            </w:r>
          </w:p>
        </w:tc>
        <w:tc>
          <w:tcPr>
            <w:tcW w:w="0" w:type="auto"/>
            <w:tcBorders>
              <w:top w:val="single" w:sz="8" w:space="0" w:color="333333"/>
            </w:tcBorders>
            <w:shd w:val="clear" w:color="auto" w:fill="auto"/>
            <w:tcMar>
              <w:top w:w="40" w:type="dxa"/>
              <w:bottom w:w="40" w:type="dxa"/>
              <w:right w:w="20" w:type="dxa"/>
            </w:tcMar>
            <w:vAlign w:val="bottom"/>
          </w:tcPr>
          <w:p w14:paraId="36CA3DAD" w14:textId="77777777" w:rsidR="00787570" w:rsidRDefault="00787570">
            <w:pPr>
              <w:jc w:val="right"/>
              <w:rPr>
                <w:rFonts w:ascii="宋体"/>
              </w:rPr>
            </w:pPr>
          </w:p>
        </w:tc>
        <w:tc>
          <w:tcPr>
            <w:tcW w:w="0" w:type="auto"/>
            <w:shd w:val="clear" w:color="auto" w:fill="auto"/>
          </w:tcPr>
          <w:p w14:paraId="36CA3DAE" w14:textId="77777777" w:rsidR="00787570" w:rsidRDefault="00787570">
            <w:pPr>
              <w:rPr>
                <w:rFonts w:ascii="宋体"/>
              </w:rPr>
            </w:pPr>
          </w:p>
        </w:tc>
        <w:tc>
          <w:tcPr>
            <w:tcW w:w="0" w:type="auto"/>
            <w:shd w:val="clear" w:color="auto" w:fill="auto"/>
          </w:tcPr>
          <w:p w14:paraId="36CA3DAF" w14:textId="77777777" w:rsidR="00787570" w:rsidRDefault="00787570">
            <w:pPr>
              <w:rPr>
                <w:rFonts w:ascii="宋体"/>
              </w:rPr>
            </w:pPr>
          </w:p>
        </w:tc>
        <w:tc>
          <w:tcPr>
            <w:tcW w:w="0" w:type="auto"/>
            <w:shd w:val="clear" w:color="auto" w:fill="auto"/>
          </w:tcPr>
          <w:p w14:paraId="36CA3DB0" w14:textId="77777777" w:rsidR="00787570" w:rsidRDefault="00787570">
            <w:pPr>
              <w:rPr>
                <w:rFonts w:ascii="宋体"/>
              </w:rPr>
            </w:pPr>
          </w:p>
        </w:tc>
        <w:tc>
          <w:tcPr>
            <w:tcW w:w="0" w:type="auto"/>
            <w:shd w:val="clear" w:color="auto" w:fill="auto"/>
          </w:tcPr>
          <w:p w14:paraId="36CA3DB1" w14:textId="77777777" w:rsidR="00787570" w:rsidRDefault="00787570">
            <w:pPr>
              <w:rPr>
                <w:rFonts w:ascii="宋体"/>
              </w:rPr>
            </w:pPr>
          </w:p>
        </w:tc>
        <w:tc>
          <w:tcPr>
            <w:tcW w:w="0" w:type="auto"/>
            <w:shd w:val="clear" w:color="auto" w:fill="auto"/>
          </w:tcPr>
          <w:p w14:paraId="36CA3DB2" w14:textId="77777777" w:rsidR="00787570" w:rsidRDefault="00787570">
            <w:pPr>
              <w:rPr>
                <w:rFonts w:ascii="宋体"/>
              </w:rPr>
            </w:pPr>
          </w:p>
        </w:tc>
        <w:tc>
          <w:tcPr>
            <w:tcW w:w="0" w:type="auto"/>
            <w:shd w:val="clear" w:color="auto" w:fill="auto"/>
          </w:tcPr>
          <w:p w14:paraId="36CA3DB3" w14:textId="77777777" w:rsidR="00787570" w:rsidRDefault="00787570">
            <w:pPr>
              <w:rPr>
                <w:rFonts w:ascii="宋体"/>
              </w:rPr>
            </w:pPr>
          </w:p>
        </w:tc>
        <w:tc>
          <w:tcPr>
            <w:tcW w:w="0" w:type="auto"/>
            <w:shd w:val="clear" w:color="auto" w:fill="auto"/>
          </w:tcPr>
          <w:p w14:paraId="36CA3DB4" w14:textId="77777777" w:rsidR="00787570" w:rsidRDefault="00787570">
            <w:pPr>
              <w:rPr>
                <w:rFonts w:ascii="宋体"/>
              </w:rPr>
            </w:pPr>
          </w:p>
        </w:tc>
        <w:tc>
          <w:tcPr>
            <w:tcW w:w="0" w:type="auto"/>
            <w:shd w:val="clear" w:color="auto" w:fill="auto"/>
          </w:tcPr>
          <w:p w14:paraId="36CA3DB5" w14:textId="77777777" w:rsidR="00787570" w:rsidRDefault="00787570">
            <w:pPr>
              <w:rPr>
                <w:rFonts w:ascii="宋体"/>
              </w:rPr>
            </w:pPr>
          </w:p>
        </w:tc>
        <w:tc>
          <w:tcPr>
            <w:tcW w:w="0" w:type="auto"/>
            <w:shd w:val="clear" w:color="auto" w:fill="auto"/>
          </w:tcPr>
          <w:p w14:paraId="36CA3DB6" w14:textId="77777777" w:rsidR="00787570" w:rsidRDefault="00787570">
            <w:pPr>
              <w:rPr>
                <w:rFonts w:ascii="宋体"/>
              </w:rPr>
            </w:pPr>
          </w:p>
        </w:tc>
        <w:tc>
          <w:tcPr>
            <w:tcW w:w="0" w:type="auto"/>
            <w:shd w:val="clear" w:color="auto" w:fill="auto"/>
          </w:tcPr>
          <w:p w14:paraId="36CA3DB7" w14:textId="77777777" w:rsidR="00787570" w:rsidRDefault="00787570">
            <w:pPr>
              <w:rPr>
                <w:rFonts w:ascii="宋体"/>
              </w:rPr>
            </w:pPr>
          </w:p>
        </w:tc>
        <w:tc>
          <w:tcPr>
            <w:tcW w:w="0" w:type="auto"/>
            <w:shd w:val="clear" w:color="auto" w:fill="auto"/>
          </w:tcPr>
          <w:p w14:paraId="36CA3DB8" w14:textId="77777777" w:rsidR="00787570" w:rsidRDefault="00787570">
            <w:pPr>
              <w:rPr>
                <w:rFonts w:ascii="宋体"/>
              </w:rPr>
            </w:pPr>
          </w:p>
        </w:tc>
        <w:tc>
          <w:tcPr>
            <w:tcW w:w="0" w:type="auto"/>
            <w:shd w:val="clear" w:color="auto" w:fill="auto"/>
          </w:tcPr>
          <w:p w14:paraId="36CA3DB9" w14:textId="77777777" w:rsidR="00787570" w:rsidRDefault="00787570">
            <w:pPr>
              <w:rPr>
                <w:rFonts w:ascii="宋体"/>
              </w:rPr>
            </w:pPr>
          </w:p>
        </w:tc>
      </w:tr>
      <w:tr w:rsidR="00787570" w14:paraId="36CA3DD0" w14:textId="77777777">
        <w:tc>
          <w:tcPr>
            <w:tcW w:w="0" w:type="auto"/>
            <w:gridSpan w:val="3"/>
            <w:shd w:val="clear" w:color="auto" w:fill="auto"/>
            <w:tcMar>
              <w:top w:w="40" w:type="dxa"/>
              <w:left w:w="20" w:type="dxa"/>
              <w:bottom w:w="40" w:type="dxa"/>
              <w:right w:w="20" w:type="dxa"/>
            </w:tcMar>
          </w:tcPr>
          <w:p w14:paraId="36CA3DBB" w14:textId="77777777" w:rsidR="00787570" w:rsidRDefault="000D56E2">
            <w:pPr>
              <w:ind w:hanging="180"/>
              <w:textAlignment w:val="top"/>
            </w:pPr>
            <w:r>
              <w:rPr>
                <w:rFonts w:ascii="Arial" w:eastAsia="宋体" w:hAnsi="Arial" w:cs="Arial"/>
                <w:color w:val="333333"/>
                <w:sz w:val="18"/>
                <w:szCs w:val="18"/>
              </w:rPr>
              <w:t>Derivatives not designated as hedging instruments:</w:t>
            </w:r>
          </w:p>
        </w:tc>
        <w:tc>
          <w:tcPr>
            <w:tcW w:w="0" w:type="auto"/>
            <w:gridSpan w:val="3"/>
            <w:shd w:val="clear" w:color="auto" w:fill="auto"/>
            <w:tcMar>
              <w:left w:w="20" w:type="dxa"/>
              <w:right w:w="20" w:type="dxa"/>
            </w:tcMar>
            <w:vAlign w:val="bottom"/>
          </w:tcPr>
          <w:p w14:paraId="36CA3DBC" w14:textId="77777777" w:rsidR="00787570" w:rsidRDefault="00787570">
            <w:pPr>
              <w:rPr>
                <w:rFonts w:ascii="宋体"/>
              </w:rPr>
            </w:pPr>
          </w:p>
        </w:tc>
        <w:tc>
          <w:tcPr>
            <w:tcW w:w="0" w:type="auto"/>
            <w:gridSpan w:val="3"/>
            <w:tcBorders>
              <w:top w:val="single" w:sz="8" w:space="0" w:color="333333"/>
            </w:tcBorders>
            <w:shd w:val="clear" w:color="auto" w:fill="auto"/>
            <w:tcMar>
              <w:left w:w="20" w:type="dxa"/>
              <w:right w:w="20" w:type="dxa"/>
            </w:tcMar>
            <w:vAlign w:val="bottom"/>
          </w:tcPr>
          <w:p w14:paraId="36CA3DBD"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3DBE" w14:textId="77777777" w:rsidR="00787570" w:rsidRDefault="00787570">
            <w:pPr>
              <w:rPr>
                <w:rFonts w:ascii="宋体"/>
              </w:rPr>
            </w:pPr>
          </w:p>
        </w:tc>
        <w:tc>
          <w:tcPr>
            <w:tcW w:w="0" w:type="auto"/>
            <w:gridSpan w:val="3"/>
            <w:tcBorders>
              <w:top w:val="single" w:sz="8" w:space="0" w:color="333333"/>
            </w:tcBorders>
            <w:shd w:val="clear" w:color="auto" w:fill="auto"/>
            <w:tcMar>
              <w:left w:w="20" w:type="dxa"/>
              <w:right w:w="20" w:type="dxa"/>
            </w:tcMar>
            <w:vAlign w:val="bottom"/>
          </w:tcPr>
          <w:p w14:paraId="36CA3DBF"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3DC0" w14:textId="77777777" w:rsidR="00787570" w:rsidRDefault="00787570">
            <w:pPr>
              <w:rPr>
                <w:rFonts w:ascii="宋体"/>
              </w:rPr>
            </w:pPr>
          </w:p>
        </w:tc>
        <w:tc>
          <w:tcPr>
            <w:tcW w:w="0" w:type="auto"/>
            <w:gridSpan w:val="3"/>
            <w:tcBorders>
              <w:top w:val="single" w:sz="8" w:space="0" w:color="333333"/>
            </w:tcBorders>
            <w:shd w:val="clear" w:color="auto" w:fill="auto"/>
            <w:tcMar>
              <w:left w:w="20" w:type="dxa"/>
              <w:right w:w="20" w:type="dxa"/>
            </w:tcMar>
            <w:vAlign w:val="bottom"/>
          </w:tcPr>
          <w:p w14:paraId="36CA3DC1"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3DC2" w14:textId="77777777" w:rsidR="00787570" w:rsidRDefault="00787570">
            <w:pPr>
              <w:rPr>
                <w:rFonts w:ascii="宋体"/>
              </w:rPr>
            </w:pPr>
          </w:p>
        </w:tc>
        <w:tc>
          <w:tcPr>
            <w:tcW w:w="0" w:type="auto"/>
            <w:gridSpan w:val="3"/>
            <w:tcBorders>
              <w:top w:val="single" w:sz="8" w:space="0" w:color="333333"/>
            </w:tcBorders>
            <w:shd w:val="clear" w:color="auto" w:fill="auto"/>
            <w:tcMar>
              <w:left w:w="20" w:type="dxa"/>
              <w:right w:w="20" w:type="dxa"/>
            </w:tcMar>
            <w:vAlign w:val="bottom"/>
          </w:tcPr>
          <w:p w14:paraId="36CA3DC3" w14:textId="77777777" w:rsidR="00787570" w:rsidRDefault="00787570">
            <w:pPr>
              <w:rPr>
                <w:rFonts w:ascii="宋体"/>
              </w:rPr>
            </w:pPr>
          </w:p>
        </w:tc>
        <w:tc>
          <w:tcPr>
            <w:tcW w:w="0" w:type="auto"/>
            <w:shd w:val="clear" w:color="auto" w:fill="auto"/>
          </w:tcPr>
          <w:p w14:paraId="36CA3DC4" w14:textId="77777777" w:rsidR="00787570" w:rsidRDefault="00787570">
            <w:pPr>
              <w:rPr>
                <w:rFonts w:ascii="宋体"/>
              </w:rPr>
            </w:pPr>
          </w:p>
        </w:tc>
        <w:tc>
          <w:tcPr>
            <w:tcW w:w="0" w:type="auto"/>
            <w:shd w:val="clear" w:color="auto" w:fill="auto"/>
          </w:tcPr>
          <w:p w14:paraId="36CA3DC5" w14:textId="77777777" w:rsidR="00787570" w:rsidRDefault="00787570">
            <w:pPr>
              <w:rPr>
                <w:rFonts w:ascii="宋体"/>
              </w:rPr>
            </w:pPr>
          </w:p>
        </w:tc>
        <w:tc>
          <w:tcPr>
            <w:tcW w:w="0" w:type="auto"/>
            <w:shd w:val="clear" w:color="auto" w:fill="auto"/>
          </w:tcPr>
          <w:p w14:paraId="36CA3DC6" w14:textId="77777777" w:rsidR="00787570" w:rsidRDefault="00787570">
            <w:pPr>
              <w:rPr>
                <w:rFonts w:ascii="宋体"/>
              </w:rPr>
            </w:pPr>
          </w:p>
        </w:tc>
        <w:tc>
          <w:tcPr>
            <w:tcW w:w="0" w:type="auto"/>
            <w:shd w:val="clear" w:color="auto" w:fill="auto"/>
          </w:tcPr>
          <w:p w14:paraId="36CA3DC7" w14:textId="77777777" w:rsidR="00787570" w:rsidRDefault="00787570">
            <w:pPr>
              <w:rPr>
                <w:rFonts w:ascii="宋体"/>
              </w:rPr>
            </w:pPr>
          </w:p>
        </w:tc>
        <w:tc>
          <w:tcPr>
            <w:tcW w:w="0" w:type="auto"/>
            <w:shd w:val="clear" w:color="auto" w:fill="auto"/>
          </w:tcPr>
          <w:p w14:paraId="36CA3DC8" w14:textId="77777777" w:rsidR="00787570" w:rsidRDefault="00787570">
            <w:pPr>
              <w:rPr>
                <w:rFonts w:ascii="宋体"/>
              </w:rPr>
            </w:pPr>
          </w:p>
        </w:tc>
        <w:tc>
          <w:tcPr>
            <w:tcW w:w="0" w:type="auto"/>
            <w:shd w:val="clear" w:color="auto" w:fill="auto"/>
          </w:tcPr>
          <w:p w14:paraId="36CA3DC9" w14:textId="77777777" w:rsidR="00787570" w:rsidRDefault="00787570">
            <w:pPr>
              <w:rPr>
                <w:rFonts w:ascii="宋体"/>
              </w:rPr>
            </w:pPr>
          </w:p>
        </w:tc>
        <w:tc>
          <w:tcPr>
            <w:tcW w:w="0" w:type="auto"/>
            <w:shd w:val="clear" w:color="auto" w:fill="auto"/>
          </w:tcPr>
          <w:p w14:paraId="36CA3DCA" w14:textId="77777777" w:rsidR="00787570" w:rsidRDefault="00787570">
            <w:pPr>
              <w:rPr>
                <w:rFonts w:ascii="宋体"/>
              </w:rPr>
            </w:pPr>
          </w:p>
        </w:tc>
        <w:tc>
          <w:tcPr>
            <w:tcW w:w="0" w:type="auto"/>
            <w:shd w:val="clear" w:color="auto" w:fill="auto"/>
          </w:tcPr>
          <w:p w14:paraId="36CA3DCB" w14:textId="77777777" w:rsidR="00787570" w:rsidRDefault="00787570">
            <w:pPr>
              <w:rPr>
                <w:rFonts w:ascii="宋体"/>
              </w:rPr>
            </w:pPr>
          </w:p>
        </w:tc>
        <w:tc>
          <w:tcPr>
            <w:tcW w:w="0" w:type="auto"/>
            <w:shd w:val="clear" w:color="auto" w:fill="auto"/>
          </w:tcPr>
          <w:p w14:paraId="36CA3DCC" w14:textId="77777777" w:rsidR="00787570" w:rsidRDefault="00787570">
            <w:pPr>
              <w:rPr>
                <w:rFonts w:ascii="宋体"/>
              </w:rPr>
            </w:pPr>
          </w:p>
        </w:tc>
        <w:tc>
          <w:tcPr>
            <w:tcW w:w="0" w:type="auto"/>
            <w:shd w:val="clear" w:color="auto" w:fill="auto"/>
          </w:tcPr>
          <w:p w14:paraId="36CA3DCD" w14:textId="77777777" w:rsidR="00787570" w:rsidRDefault="00787570">
            <w:pPr>
              <w:rPr>
                <w:rFonts w:ascii="宋体"/>
              </w:rPr>
            </w:pPr>
          </w:p>
        </w:tc>
        <w:tc>
          <w:tcPr>
            <w:tcW w:w="0" w:type="auto"/>
            <w:shd w:val="clear" w:color="auto" w:fill="auto"/>
          </w:tcPr>
          <w:p w14:paraId="36CA3DCE" w14:textId="77777777" w:rsidR="00787570" w:rsidRDefault="00787570">
            <w:pPr>
              <w:rPr>
                <w:rFonts w:ascii="宋体"/>
              </w:rPr>
            </w:pPr>
          </w:p>
        </w:tc>
        <w:tc>
          <w:tcPr>
            <w:tcW w:w="0" w:type="auto"/>
            <w:shd w:val="clear" w:color="auto" w:fill="auto"/>
          </w:tcPr>
          <w:p w14:paraId="36CA3DCF" w14:textId="77777777" w:rsidR="00787570" w:rsidRDefault="00787570">
            <w:pPr>
              <w:rPr>
                <w:rFonts w:ascii="宋体"/>
              </w:rPr>
            </w:pPr>
          </w:p>
        </w:tc>
      </w:tr>
      <w:tr w:rsidR="00787570" w14:paraId="36CA3DEA" w14:textId="77777777">
        <w:tc>
          <w:tcPr>
            <w:tcW w:w="0" w:type="auto"/>
            <w:gridSpan w:val="3"/>
            <w:shd w:val="clear" w:color="auto" w:fill="auto"/>
            <w:tcMar>
              <w:top w:w="40" w:type="dxa"/>
              <w:left w:w="20" w:type="dxa"/>
              <w:bottom w:w="40" w:type="dxa"/>
              <w:right w:w="20" w:type="dxa"/>
            </w:tcMar>
          </w:tcPr>
          <w:p w14:paraId="36CA3DD1" w14:textId="77777777" w:rsidR="00787570" w:rsidRDefault="000D56E2">
            <w:pPr>
              <w:textAlignment w:val="top"/>
            </w:pPr>
            <w:r>
              <w:rPr>
                <w:rFonts w:ascii="Arial" w:eastAsia="宋体" w:hAnsi="Arial" w:cs="Arial"/>
                <w:color w:val="333333"/>
                <w:sz w:val="18"/>
                <w:szCs w:val="18"/>
              </w:rPr>
              <w:t>Foreign currency contracts</w:t>
            </w:r>
            <w:r>
              <w:rPr>
                <w:rFonts w:ascii="Arial" w:eastAsia="宋体" w:hAnsi="Arial" w:cs="Arial"/>
                <w:color w:val="333333"/>
                <w:sz w:val="11"/>
                <w:szCs w:val="11"/>
              </w:rPr>
              <w:t>3</w:t>
            </w:r>
          </w:p>
        </w:tc>
        <w:tc>
          <w:tcPr>
            <w:tcW w:w="0" w:type="auto"/>
            <w:gridSpan w:val="3"/>
            <w:shd w:val="clear" w:color="auto" w:fill="auto"/>
            <w:tcMar>
              <w:left w:w="20" w:type="dxa"/>
              <w:right w:w="20" w:type="dxa"/>
            </w:tcMar>
            <w:vAlign w:val="bottom"/>
          </w:tcPr>
          <w:p w14:paraId="36CA3DD2"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3DD3" w14:textId="77777777" w:rsidR="00787570" w:rsidRDefault="000D56E2">
            <w:pPr>
              <w:jc w:val="right"/>
              <w:textAlignment w:val="bottom"/>
            </w:pPr>
            <w:r>
              <w:rPr>
                <w:rFonts w:ascii="Arial" w:eastAsia="宋体" w:hAnsi="Arial" w:cs="Arial"/>
                <w:color w:val="026DCE"/>
                <w:sz w:val="18"/>
                <w:szCs w:val="18"/>
              </w:rPr>
              <w:t>76 </w:t>
            </w:r>
          </w:p>
        </w:tc>
        <w:tc>
          <w:tcPr>
            <w:tcW w:w="0" w:type="auto"/>
            <w:shd w:val="clear" w:color="auto" w:fill="auto"/>
            <w:tcMar>
              <w:top w:w="40" w:type="dxa"/>
              <w:bottom w:w="40" w:type="dxa"/>
              <w:right w:w="20" w:type="dxa"/>
            </w:tcMar>
            <w:vAlign w:val="bottom"/>
          </w:tcPr>
          <w:p w14:paraId="36CA3DD4"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3DD5"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3DD6" w14:textId="77777777" w:rsidR="00787570" w:rsidRDefault="000D56E2">
            <w:pPr>
              <w:jc w:val="right"/>
              <w:textAlignment w:val="bottom"/>
            </w:pPr>
            <w:r>
              <w:rPr>
                <w:rFonts w:ascii="Arial" w:eastAsia="宋体" w:hAnsi="Arial" w:cs="Arial"/>
                <w:color w:val="026DCE"/>
                <w:sz w:val="18"/>
                <w:szCs w:val="18"/>
              </w:rPr>
              <w:t>381 </w:t>
            </w:r>
          </w:p>
        </w:tc>
        <w:tc>
          <w:tcPr>
            <w:tcW w:w="0" w:type="auto"/>
            <w:shd w:val="clear" w:color="auto" w:fill="auto"/>
            <w:tcMar>
              <w:top w:w="40" w:type="dxa"/>
              <w:bottom w:w="40" w:type="dxa"/>
              <w:right w:w="20" w:type="dxa"/>
            </w:tcMar>
            <w:vAlign w:val="bottom"/>
          </w:tcPr>
          <w:p w14:paraId="36CA3DD7"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3DD8"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3DD9" w14:textId="77777777" w:rsidR="00787570" w:rsidRDefault="000D56E2">
            <w:pPr>
              <w:jc w:val="right"/>
              <w:textAlignment w:val="bottom"/>
            </w:pPr>
            <w:r>
              <w:rPr>
                <w:rFonts w:ascii="Arial" w:eastAsia="宋体" w:hAnsi="Arial" w:cs="Arial"/>
                <w:color w:val="333333"/>
                <w:sz w:val="18"/>
                <w:szCs w:val="18"/>
              </w:rPr>
              <w:t>179 </w:t>
            </w:r>
          </w:p>
        </w:tc>
        <w:tc>
          <w:tcPr>
            <w:tcW w:w="0" w:type="auto"/>
            <w:shd w:val="clear" w:color="auto" w:fill="auto"/>
            <w:tcMar>
              <w:top w:w="40" w:type="dxa"/>
              <w:bottom w:w="40" w:type="dxa"/>
              <w:right w:w="20" w:type="dxa"/>
            </w:tcMar>
            <w:vAlign w:val="bottom"/>
          </w:tcPr>
          <w:p w14:paraId="36CA3DDA"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3DDB"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3DDC" w14:textId="77777777" w:rsidR="00787570" w:rsidRDefault="000D56E2">
            <w:pPr>
              <w:jc w:val="right"/>
              <w:textAlignment w:val="bottom"/>
            </w:pPr>
            <w:r>
              <w:rPr>
                <w:rFonts w:ascii="Arial" w:eastAsia="宋体" w:hAnsi="Arial" w:cs="Arial"/>
                <w:color w:val="333333"/>
                <w:sz w:val="18"/>
                <w:szCs w:val="18"/>
              </w:rPr>
              <w:t>78 </w:t>
            </w:r>
          </w:p>
        </w:tc>
        <w:tc>
          <w:tcPr>
            <w:tcW w:w="0" w:type="auto"/>
            <w:shd w:val="clear" w:color="auto" w:fill="auto"/>
            <w:tcMar>
              <w:top w:w="40" w:type="dxa"/>
              <w:bottom w:w="40" w:type="dxa"/>
              <w:right w:w="20" w:type="dxa"/>
            </w:tcMar>
            <w:vAlign w:val="bottom"/>
          </w:tcPr>
          <w:p w14:paraId="36CA3DDD" w14:textId="77777777" w:rsidR="00787570" w:rsidRDefault="00787570">
            <w:pPr>
              <w:jc w:val="right"/>
              <w:rPr>
                <w:rFonts w:ascii="宋体"/>
              </w:rPr>
            </w:pPr>
          </w:p>
        </w:tc>
        <w:tc>
          <w:tcPr>
            <w:tcW w:w="0" w:type="auto"/>
            <w:shd w:val="clear" w:color="auto" w:fill="auto"/>
          </w:tcPr>
          <w:p w14:paraId="36CA3DDE" w14:textId="77777777" w:rsidR="00787570" w:rsidRDefault="00787570">
            <w:pPr>
              <w:rPr>
                <w:rFonts w:ascii="宋体"/>
              </w:rPr>
            </w:pPr>
          </w:p>
        </w:tc>
        <w:tc>
          <w:tcPr>
            <w:tcW w:w="0" w:type="auto"/>
            <w:shd w:val="clear" w:color="auto" w:fill="auto"/>
          </w:tcPr>
          <w:p w14:paraId="36CA3DDF" w14:textId="77777777" w:rsidR="00787570" w:rsidRDefault="00787570">
            <w:pPr>
              <w:rPr>
                <w:rFonts w:ascii="宋体"/>
              </w:rPr>
            </w:pPr>
          </w:p>
        </w:tc>
        <w:tc>
          <w:tcPr>
            <w:tcW w:w="0" w:type="auto"/>
            <w:shd w:val="clear" w:color="auto" w:fill="auto"/>
          </w:tcPr>
          <w:p w14:paraId="36CA3DE0" w14:textId="77777777" w:rsidR="00787570" w:rsidRDefault="00787570">
            <w:pPr>
              <w:rPr>
                <w:rFonts w:ascii="宋体"/>
              </w:rPr>
            </w:pPr>
          </w:p>
        </w:tc>
        <w:tc>
          <w:tcPr>
            <w:tcW w:w="0" w:type="auto"/>
            <w:shd w:val="clear" w:color="auto" w:fill="auto"/>
          </w:tcPr>
          <w:p w14:paraId="36CA3DE1" w14:textId="77777777" w:rsidR="00787570" w:rsidRDefault="00787570">
            <w:pPr>
              <w:rPr>
                <w:rFonts w:ascii="宋体"/>
              </w:rPr>
            </w:pPr>
          </w:p>
        </w:tc>
        <w:tc>
          <w:tcPr>
            <w:tcW w:w="0" w:type="auto"/>
            <w:shd w:val="clear" w:color="auto" w:fill="auto"/>
          </w:tcPr>
          <w:p w14:paraId="36CA3DE2" w14:textId="77777777" w:rsidR="00787570" w:rsidRDefault="00787570">
            <w:pPr>
              <w:rPr>
                <w:rFonts w:ascii="宋体"/>
              </w:rPr>
            </w:pPr>
          </w:p>
        </w:tc>
        <w:tc>
          <w:tcPr>
            <w:tcW w:w="0" w:type="auto"/>
            <w:shd w:val="clear" w:color="auto" w:fill="auto"/>
          </w:tcPr>
          <w:p w14:paraId="36CA3DE3" w14:textId="77777777" w:rsidR="00787570" w:rsidRDefault="00787570">
            <w:pPr>
              <w:rPr>
                <w:rFonts w:ascii="宋体"/>
              </w:rPr>
            </w:pPr>
          </w:p>
        </w:tc>
        <w:tc>
          <w:tcPr>
            <w:tcW w:w="0" w:type="auto"/>
            <w:shd w:val="clear" w:color="auto" w:fill="auto"/>
          </w:tcPr>
          <w:p w14:paraId="36CA3DE4" w14:textId="77777777" w:rsidR="00787570" w:rsidRDefault="00787570">
            <w:pPr>
              <w:rPr>
                <w:rFonts w:ascii="宋体"/>
              </w:rPr>
            </w:pPr>
          </w:p>
        </w:tc>
        <w:tc>
          <w:tcPr>
            <w:tcW w:w="0" w:type="auto"/>
            <w:shd w:val="clear" w:color="auto" w:fill="auto"/>
          </w:tcPr>
          <w:p w14:paraId="36CA3DE5" w14:textId="77777777" w:rsidR="00787570" w:rsidRDefault="00787570">
            <w:pPr>
              <w:rPr>
                <w:rFonts w:ascii="宋体"/>
              </w:rPr>
            </w:pPr>
          </w:p>
        </w:tc>
        <w:tc>
          <w:tcPr>
            <w:tcW w:w="0" w:type="auto"/>
            <w:shd w:val="clear" w:color="auto" w:fill="auto"/>
          </w:tcPr>
          <w:p w14:paraId="36CA3DE6" w14:textId="77777777" w:rsidR="00787570" w:rsidRDefault="00787570">
            <w:pPr>
              <w:rPr>
                <w:rFonts w:ascii="宋体"/>
              </w:rPr>
            </w:pPr>
          </w:p>
        </w:tc>
        <w:tc>
          <w:tcPr>
            <w:tcW w:w="0" w:type="auto"/>
            <w:shd w:val="clear" w:color="auto" w:fill="auto"/>
          </w:tcPr>
          <w:p w14:paraId="36CA3DE7" w14:textId="77777777" w:rsidR="00787570" w:rsidRDefault="00787570">
            <w:pPr>
              <w:rPr>
                <w:rFonts w:ascii="宋体"/>
              </w:rPr>
            </w:pPr>
          </w:p>
        </w:tc>
        <w:tc>
          <w:tcPr>
            <w:tcW w:w="0" w:type="auto"/>
            <w:shd w:val="clear" w:color="auto" w:fill="auto"/>
          </w:tcPr>
          <w:p w14:paraId="36CA3DE8" w14:textId="77777777" w:rsidR="00787570" w:rsidRDefault="00787570">
            <w:pPr>
              <w:rPr>
                <w:rFonts w:ascii="宋体"/>
              </w:rPr>
            </w:pPr>
          </w:p>
        </w:tc>
        <w:tc>
          <w:tcPr>
            <w:tcW w:w="0" w:type="auto"/>
            <w:shd w:val="clear" w:color="auto" w:fill="auto"/>
          </w:tcPr>
          <w:p w14:paraId="36CA3DE9" w14:textId="77777777" w:rsidR="00787570" w:rsidRDefault="00787570">
            <w:pPr>
              <w:rPr>
                <w:rFonts w:ascii="宋体"/>
              </w:rPr>
            </w:pPr>
          </w:p>
        </w:tc>
      </w:tr>
      <w:tr w:rsidR="00787570" w14:paraId="36CA3E04" w14:textId="77777777">
        <w:tc>
          <w:tcPr>
            <w:tcW w:w="0" w:type="auto"/>
            <w:gridSpan w:val="3"/>
            <w:shd w:val="clear" w:color="auto" w:fill="auto"/>
            <w:tcMar>
              <w:top w:w="40" w:type="dxa"/>
              <w:left w:w="20" w:type="dxa"/>
              <w:bottom w:w="40" w:type="dxa"/>
              <w:right w:w="20" w:type="dxa"/>
            </w:tcMar>
          </w:tcPr>
          <w:p w14:paraId="36CA3DEB" w14:textId="77777777" w:rsidR="00787570" w:rsidRDefault="000D56E2">
            <w:pPr>
              <w:textAlignment w:val="top"/>
            </w:pPr>
            <w:r>
              <w:rPr>
                <w:rFonts w:ascii="Arial" w:eastAsia="宋体" w:hAnsi="Arial" w:cs="Arial"/>
                <w:color w:val="333333"/>
                <w:sz w:val="18"/>
                <w:szCs w:val="18"/>
              </w:rPr>
              <w:t>Interest rate contracts</w:t>
            </w:r>
          </w:p>
        </w:tc>
        <w:tc>
          <w:tcPr>
            <w:tcW w:w="0" w:type="auto"/>
            <w:gridSpan w:val="3"/>
            <w:shd w:val="clear" w:color="auto" w:fill="auto"/>
            <w:tcMar>
              <w:left w:w="20" w:type="dxa"/>
              <w:right w:w="20" w:type="dxa"/>
            </w:tcMar>
            <w:vAlign w:val="bottom"/>
          </w:tcPr>
          <w:p w14:paraId="36CA3DEC"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3DED" w14:textId="77777777" w:rsidR="00787570" w:rsidRDefault="000D56E2">
            <w:pPr>
              <w:jc w:val="right"/>
              <w:textAlignment w:val="bottom"/>
            </w:pPr>
            <w:r>
              <w:rPr>
                <w:rFonts w:ascii="Arial" w:eastAsia="宋体" w:hAnsi="Arial" w:cs="Arial"/>
                <w:color w:val="026DCE"/>
                <w:sz w:val="18"/>
                <w:szCs w:val="18"/>
              </w:rPr>
              <w:t>3 </w:t>
            </w:r>
          </w:p>
        </w:tc>
        <w:tc>
          <w:tcPr>
            <w:tcW w:w="0" w:type="auto"/>
            <w:shd w:val="clear" w:color="auto" w:fill="auto"/>
            <w:tcMar>
              <w:top w:w="40" w:type="dxa"/>
              <w:bottom w:w="40" w:type="dxa"/>
              <w:right w:w="20" w:type="dxa"/>
            </w:tcMar>
            <w:vAlign w:val="bottom"/>
          </w:tcPr>
          <w:p w14:paraId="36CA3DEE"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3DEF"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3DF0" w14:textId="77777777" w:rsidR="00787570" w:rsidRDefault="000D56E2">
            <w:pPr>
              <w:jc w:val="right"/>
              <w:textAlignment w:val="bottom"/>
            </w:pPr>
            <w:r>
              <w:rPr>
                <w:rFonts w:ascii="Arial" w:eastAsia="宋体" w:hAnsi="Arial" w:cs="Arial"/>
                <w:color w:val="026DCE"/>
                <w:sz w:val="18"/>
                <w:szCs w:val="18"/>
              </w:rPr>
              <w:t>143 </w:t>
            </w:r>
          </w:p>
        </w:tc>
        <w:tc>
          <w:tcPr>
            <w:tcW w:w="0" w:type="auto"/>
            <w:shd w:val="clear" w:color="auto" w:fill="auto"/>
            <w:tcMar>
              <w:top w:w="40" w:type="dxa"/>
              <w:bottom w:w="40" w:type="dxa"/>
              <w:right w:w="20" w:type="dxa"/>
            </w:tcMar>
            <w:vAlign w:val="bottom"/>
          </w:tcPr>
          <w:p w14:paraId="36CA3DF1"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3DF2"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3DF3" w14:textId="77777777" w:rsidR="00787570" w:rsidRDefault="000D56E2">
            <w:pPr>
              <w:jc w:val="right"/>
              <w:textAlignment w:val="bottom"/>
            </w:pPr>
            <w:r>
              <w:rPr>
                <w:rFonts w:ascii="Arial" w:eastAsia="宋体" w:hAnsi="Arial" w:cs="Arial"/>
                <w:color w:val="333333"/>
                <w:sz w:val="18"/>
                <w:szCs w:val="18"/>
              </w:rPr>
              <w:t>11 </w:t>
            </w:r>
          </w:p>
        </w:tc>
        <w:tc>
          <w:tcPr>
            <w:tcW w:w="0" w:type="auto"/>
            <w:shd w:val="clear" w:color="auto" w:fill="auto"/>
            <w:tcMar>
              <w:top w:w="40" w:type="dxa"/>
              <w:bottom w:w="40" w:type="dxa"/>
              <w:right w:w="20" w:type="dxa"/>
            </w:tcMar>
            <w:vAlign w:val="bottom"/>
          </w:tcPr>
          <w:p w14:paraId="36CA3DF4"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3DF5"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3DF6" w14:textId="77777777" w:rsidR="00787570" w:rsidRDefault="000D56E2">
            <w:pPr>
              <w:jc w:val="right"/>
              <w:textAlignment w:val="bottom"/>
            </w:pPr>
            <w:r>
              <w:rPr>
                <w:rFonts w:ascii="Arial" w:eastAsia="宋体" w:hAnsi="Arial" w:cs="Arial"/>
                <w:color w:val="333333"/>
                <w:sz w:val="18"/>
                <w:szCs w:val="18"/>
              </w:rPr>
              <w:t>54 </w:t>
            </w:r>
          </w:p>
        </w:tc>
        <w:tc>
          <w:tcPr>
            <w:tcW w:w="0" w:type="auto"/>
            <w:shd w:val="clear" w:color="auto" w:fill="auto"/>
            <w:tcMar>
              <w:top w:w="40" w:type="dxa"/>
              <w:bottom w:w="40" w:type="dxa"/>
              <w:right w:w="20" w:type="dxa"/>
            </w:tcMar>
            <w:vAlign w:val="bottom"/>
          </w:tcPr>
          <w:p w14:paraId="36CA3DF7" w14:textId="77777777" w:rsidR="00787570" w:rsidRDefault="00787570">
            <w:pPr>
              <w:jc w:val="right"/>
              <w:rPr>
                <w:rFonts w:ascii="宋体"/>
              </w:rPr>
            </w:pPr>
          </w:p>
        </w:tc>
        <w:tc>
          <w:tcPr>
            <w:tcW w:w="0" w:type="auto"/>
            <w:shd w:val="clear" w:color="auto" w:fill="auto"/>
          </w:tcPr>
          <w:p w14:paraId="36CA3DF8" w14:textId="77777777" w:rsidR="00787570" w:rsidRDefault="00787570">
            <w:pPr>
              <w:rPr>
                <w:rFonts w:ascii="宋体"/>
              </w:rPr>
            </w:pPr>
          </w:p>
        </w:tc>
        <w:tc>
          <w:tcPr>
            <w:tcW w:w="0" w:type="auto"/>
            <w:shd w:val="clear" w:color="auto" w:fill="auto"/>
          </w:tcPr>
          <w:p w14:paraId="36CA3DF9" w14:textId="77777777" w:rsidR="00787570" w:rsidRDefault="00787570">
            <w:pPr>
              <w:rPr>
                <w:rFonts w:ascii="宋体"/>
              </w:rPr>
            </w:pPr>
          </w:p>
        </w:tc>
        <w:tc>
          <w:tcPr>
            <w:tcW w:w="0" w:type="auto"/>
            <w:shd w:val="clear" w:color="auto" w:fill="auto"/>
          </w:tcPr>
          <w:p w14:paraId="36CA3DFA" w14:textId="77777777" w:rsidR="00787570" w:rsidRDefault="00787570">
            <w:pPr>
              <w:rPr>
                <w:rFonts w:ascii="宋体"/>
              </w:rPr>
            </w:pPr>
          </w:p>
        </w:tc>
        <w:tc>
          <w:tcPr>
            <w:tcW w:w="0" w:type="auto"/>
            <w:shd w:val="clear" w:color="auto" w:fill="auto"/>
          </w:tcPr>
          <w:p w14:paraId="36CA3DFB" w14:textId="77777777" w:rsidR="00787570" w:rsidRDefault="00787570">
            <w:pPr>
              <w:rPr>
                <w:rFonts w:ascii="宋体"/>
              </w:rPr>
            </w:pPr>
          </w:p>
        </w:tc>
        <w:tc>
          <w:tcPr>
            <w:tcW w:w="0" w:type="auto"/>
            <w:shd w:val="clear" w:color="auto" w:fill="auto"/>
          </w:tcPr>
          <w:p w14:paraId="36CA3DFC" w14:textId="77777777" w:rsidR="00787570" w:rsidRDefault="00787570">
            <w:pPr>
              <w:rPr>
                <w:rFonts w:ascii="宋体"/>
              </w:rPr>
            </w:pPr>
          </w:p>
        </w:tc>
        <w:tc>
          <w:tcPr>
            <w:tcW w:w="0" w:type="auto"/>
            <w:shd w:val="clear" w:color="auto" w:fill="auto"/>
          </w:tcPr>
          <w:p w14:paraId="36CA3DFD" w14:textId="77777777" w:rsidR="00787570" w:rsidRDefault="00787570">
            <w:pPr>
              <w:rPr>
                <w:rFonts w:ascii="宋体"/>
              </w:rPr>
            </w:pPr>
          </w:p>
        </w:tc>
        <w:tc>
          <w:tcPr>
            <w:tcW w:w="0" w:type="auto"/>
            <w:shd w:val="clear" w:color="auto" w:fill="auto"/>
          </w:tcPr>
          <w:p w14:paraId="36CA3DFE" w14:textId="77777777" w:rsidR="00787570" w:rsidRDefault="00787570">
            <w:pPr>
              <w:rPr>
                <w:rFonts w:ascii="宋体"/>
              </w:rPr>
            </w:pPr>
          </w:p>
        </w:tc>
        <w:tc>
          <w:tcPr>
            <w:tcW w:w="0" w:type="auto"/>
            <w:shd w:val="clear" w:color="auto" w:fill="auto"/>
          </w:tcPr>
          <w:p w14:paraId="36CA3DFF" w14:textId="77777777" w:rsidR="00787570" w:rsidRDefault="00787570">
            <w:pPr>
              <w:rPr>
                <w:rFonts w:ascii="宋体"/>
              </w:rPr>
            </w:pPr>
          </w:p>
        </w:tc>
        <w:tc>
          <w:tcPr>
            <w:tcW w:w="0" w:type="auto"/>
            <w:shd w:val="clear" w:color="auto" w:fill="auto"/>
          </w:tcPr>
          <w:p w14:paraId="36CA3E00" w14:textId="77777777" w:rsidR="00787570" w:rsidRDefault="00787570">
            <w:pPr>
              <w:rPr>
                <w:rFonts w:ascii="宋体"/>
              </w:rPr>
            </w:pPr>
          </w:p>
        </w:tc>
        <w:tc>
          <w:tcPr>
            <w:tcW w:w="0" w:type="auto"/>
            <w:shd w:val="clear" w:color="auto" w:fill="auto"/>
          </w:tcPr>
          <w:p w14:paraId="36CA3E01" w14:textId="77777777" w:rsidR="00787570" w:rsidRDefault="00787570">
            <w:pPr>
              <w:rPr>
                <w:rFonts w:ascii="宋体"/>
              </w:rPr>
            </w:pPr>
          </w:p>
        </w:tc>
        <w:tc>
          <w:tcPr>
            <w:tcW w:w="0" w:type="auto"/>
            <w:shd w:val="clear" w:color="auto" w:fill="auto"/>
          </w:tcPr>
          <w:p w14:paraId="36CA3E02" w14:textId="77777777" w:rsidR="00787570" w:rsidRDefault="00787570">
            <w:pPr>
              <w:rPr>
                <w:rFonts w:ascii="宋体"/>
              </w:rPr>
            </w:pPr>
          </w:p>
        </w:tc>
        <w:tc>
          <w:tcPr>
            <w:tcW w:w="0" w:type="auto"/>
            <w:shd w:val="clear" w:color="auto" w:fill="auto"/>
          </w:tcPr>
          <w:p w14:paraId="36CA3E03" w14:textId="77777777" w:rsidR="00787570" w:rsidRDefault="00787570">
            <w:pPr>
              <w:rPr>
                <w:rFonts w:ascii="宋体"/>
              </w:rPr>
            </w:pPr>
          </w:p>
        </w:tc>
      </w:tr>
      <w:tr w:rsidR="00787570" w14:paraId="36CA3E1E" w14:textId="77777777">
        <w:tc>
          <w:tcPr>
            <w:tcW w:w="0" w:type="auto"/>
            <w:gridSpan w:val="3"/>
            <w:shd w:val="clear" w:color="auto" w:fill="auto"/>
            <w:tcMar>
              <w:top w:w="40" w:type="dxa"/>
              <w:left w:w="20" w:type="dxa"/>
              <w:bottom w:w="40" w:type="dxa"/>
              <w:right w:w="20" w:type="dxa"/>
            </w:tcMar>
          </w:tcPr>
          <w:p w14:paraId="36CA3E05" w14:textId="77777777" w:rsidR="00787570" w:rsidRDefault="000D56E2">
            <w:pPr>
              <w:textAlignment w:val="top"/>
            </w:pPr>
            <w:r>
              <w:rPr>
                <w:rFonts w:ascii="Arial" w:eastAsia="宋体" w:hAnsi="Arial" w:cs="Arial"/>
                <w:color w:val="333333"/>
                <w:sz w:val="18"/>
                <w:szCs w:val="18"/>
              </w:rPr>
              <w:t>Equity contracts</w:t>
            </w:r>
          </w:p>
        </w:tc>
        <w:tc>
          <w:tcPr>
            <w:tcW w:w="0" w:type="auto"/>
            <w:gridSpan w:val="3"/>
            <w:shd w:val="clear" w:color="auto" w:fill="auto"/>
            <w:tcMar>
              <w:left w:w="20" w:type="dxa"/>
              <w:right w:w="20" w:type="dxa"/>
            </w:tcMar>
            <w:vAlign w:val="bottom"/>
          </w:tcPr>
          <w:p w14:paraId="36CA3E06"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3E07" w14:textId="77777777" w:rsidR="00787570" w:rsidRDefault="000D56E2">
            <w:pPr>
              <w:jc w:val="right"/>
              <w:textAlignment w:val="bottom"/>
            </w:pPr>
            <w:r>
              <w:rPr>
                <w:rFonts w:ascii="Arial" w:eastAsia="宋体" w:hAnsi="Arial" w:cs="Arial"/>
                <w:color w:val="026DCE"/>
                <w:sz w:val="18"/>
                <w:szCs w:val="18"/>
              </w:rPr>
              <w:t>15 </w:t>
            </w:r>
          </w:p>
        </w:tc>
        <w:tc>
          <w:tcPr>
            <w:tcW w:w="0" w:type="auto"/>
            <w:shd w:val="clear" w:color="auto" w:fill="auto"/>
            <w:tcMar>
              <w:top w:w="40" w:type="dxa"/>
              <w:bottom w:w="40" w:type="dxa"/>
              <w:right w:w="20" w:type="dxa"/>
            </w:tcMar>
            <w:vAlign w:val="bottom"/>
          </w:tcPr>
          <w:p w14:paraId="36CA3E08"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3E09"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3E0A" w14:textId="77777777" w:rsidR="00787570" w:rsidRDefault="000D56E2">
            <w:pPr>
              <w:jc w:val="right"/>
              <w:textAlignment w:val="bottom"/>
            </w:pPr>
            <w:r>
              <w:rPr>
                <w:rFonts w:ascii="Arial" w:eastAsia="宋体" w:hAnsi="Arial" w:cs="Arial"/>
                <w:color w:val="026DCE"/>
                <w:sz w:val="18"/>
                <w:szCs w:val="18"/>
              </w:rPr>
              <w:t>52 </w:t>
            </w:r>
          </w:p>
        </w:tc>
        <w:tc>
          <w:tcPr>
            <w:tcW w:w="0" w:type="auto"/>
            <w:shd w:val="clear" w:color="auto" w:fill="auto"/>
            <w:tcMar>
              <w:top w:w="40" w:type="dxa"/>
              <w:bottom w:w="40" w:type="dxa"/>
              <w:right w:w="20" w:type="dxa"/>
            </w:tcMar>
            <w:vAlign w:val="bottom"/>
          </w:tcPr>
          <w:p w14:paraId="36CA3E0B"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3E0C"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3E0D" w14:textId="77777777" w:rsidR="00787570" w:rsidRDefault="000D56E2">
            <w:pPr>
              <w:jc w:val="right"/>
              <w:textAlignment w:val="bottom"/>
            </w:pPr>
            <w:r>
              <w:rPr>
                <w:rFonts w:ascii="Arial" w:eastAsia="宋体" w:hAnsi="Arial" w:cs="Arial"/>
                <w:color w:val="333333"/>
                <w:sz w:val="18"/>
                <w:szCs w:val="18"/>
              </w:rPr>
              <w:t>50 </w:t>
            </w:r>
          </w:p>
        </w:tc>
        <w:tc>
          <w:tcPr>
            <w:tcW w:w="0" w:type="auto"/>
            <w:shd w:val="clear" w:color="auto" w:fill="auto"/>
            <w:tcMar>
              <w:top w:w="40" w:type="dxa"/>
              <w:bottom w:w="40" w:type="dxa"/>
              <w:right w:w="20" w:type="dxa"/>
            </w:tcMar>
            <w:vAlign w:val="bottom"/>
          </w:tcPr>
          <w:p w14:paraId="36CA3E0E"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3E0F"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3E10" w14:textId="77777777" w:rsidR="00787570" w:rsidRDefault="000D56E2">
            <w:pPr>
              <w:jc w:val="right"/>
              <w:textAlignment w:val="bottom"/>
            </w:pPr>
            <w:r>
              <w:rPr>
                <w:rFonts w:ascii="Arial" w:eastAsia="宋体" w:hAnsi="Arial" w:cs="Arial"/>
                <w:color w:val="333333"/>
                <w:sz w:val="18"/>
                <w:szCs w:val="18"/>
              </w:rPr>
              <w:t>3 </w:t>
            </w:r>
          </w:p>
        </w:tc>
        <w:tc>
          <w:tcPr>
            <w:tcW w:w="0" w:type="auto"/>
            <w:shd w:val="clear" w:color="auto" w:fill="auto"/>
            <w:tcMar>
              <w:top w:w="40" w:type="dxa"/>
              <w:bottom w:w="40" w:type="dxa"/>
              <w:right w:w="20" w:type="dxa"/>
            </w:tcMar>
            <w:vAlign w:val="bottom"/>
          </w:tcPr>
          <w:p w14:paraId="36CA3E11" w14:textId="77777777" w:rsidR="00787570" w:rsidRDefault="00787570">
            <w:pPr>
              <w:jc w:val="right"/>
              <w:rPr>
                <w:rFonts w:ascii="宋体"/>
              </w:rPr>
            </w:pPr>
          </w:p>
        </w:tc>
        <w:tc>
          <w:tcPr>
            <w:tcW w:w="0" w:type="auto"/>
            <w:shd w:val="clear" w:color="auto" w:fill="auto"/>
          </w:tcPr>
          <w:p w14:paraId="36CA3E12" w14:textId="77777777" w:rsidR="00787570" w:rsidRDefault="00787570">
            <w:pPr>
              <w:rPr>
                <w:rFonts w:ascii="宋体"/>
              </w:rPr>
            </w:pPr>
          </w:p>
        </w:tc>
        <w:tc>
          <w:tcPr>
            <w:tcW w:w="0" w:type="auto"/>
            <w:shd w:val="clear" w:color="auto" w:fill="auto"/>
          </w:tcPr>
          <w:p w14:paraId="36CA3E13" w14:textId="77777777" w:rsidR="00787570" w:rsidRDefault="00787570">
            <w:pPr>
              <w:rPr>
                <w:rFonts w:ascii="宋体"/>
              </w:rPr>
            </w:pPr>
          </w:p>
        </w:tc>
        <w:tc>
          <w:tcPr>
            <w:tcW w:w="0" w:type="auto"/>
            <w:shd w:val="clear" w:color="auto" w:fill="auto"/>
          </w:tcPr>
          <w:p w14:paraId="36CA3E14" w14:textId="77777777" w:rsidR="00787570" w:rsidRDefault="00787570">
            <w:pPr>
              <w:rPr>
                <w:rFonts w:ascii="宋体"/>
              </w:rPr>
            </w:pPr>
          </w:p>
        </w:tc>
        <w:tc>
          <w:tcPr>
            <w:tcW w:w="0" w:type="auto"/>
            <w:shd w:val="clear" w:color="auto" w:fill="auto"/>
          </w:tcPr>
          <w:p w14:paraId="36CA3E15" w14:textId="77777777" w:rsidR="00787570" w:rsidRDefault="00787570">
            <w:pPr>
              <w:rPr>
                <w:rFonts w:ascii="宋体"/>
              </w:rPr>
            </w:pPr>
          </w:p>
        </w:tc>
        <w:tc>
          <w:tcPr>
            <w:tcW w:w="0" w:type="auto"/>
            <w:shd w:val="clear" w:color="auto" w:fill="auto"/>
          </w:tcPr>
          <w:p w14:paraId="36CA3E16" w14:textId="77777777" w:rsidR="00787570" w:rsidRDefault="00787570">
            <w:pPr>
              <w:rPr>
                <w:rFonts w:ascii="宋体"/>
              </w:rPr>
            </w:pPr>
          </w:p>
        </w:tc>
        <w:tc>
          <w:tcPr>
            <w:tcW w:w="0" w:type="auto"/>
            <w:shd w:val="clear" w:color="auto" w:fill="auto"/>
          </w:tcPr>
          <w:p w14:paraId="36CA3E17" w14:textId="77777777" w:rsidR="00787570" w:rsidRDefault="00787570">
            <w:pPr>
              <w:rPr>
                <w:rFonts w:ascii="宋体"/>
              </w:rPr>
            </w:pPr>
          </w:p>
        </w:tc>
        <w:tc>
          <w:tcPr>
            <w:tcW w:w="0" w:type="auto"/>
            <w:shd w:val="clear" w:color="auto" w:fill="auto"/>
          </w:tcPr>
          <w:p w14:paraId="36CA3E18" w14:textId="77777777" w:rsidR="00787570" w:rsidRDefault="00787570">
            <w:pPr>
              <w:rPr>
                <w:rFonts w:ascii="宋体"/>
              </w:rPr>
            </w:pPr>
          </w:p>
        </w:tc>
        <w:tc>
          <w:tcPr>
            <w:tcW w:w="0" w:type="auto"/>
            <w:shd w:val="clear" w:color="auto" w:fill="auto"/>
          </w:tcPr>
          <w:p w14:paraId="36CA3E19" w14:textId="77777777" w:rsidR="00787570" w:rsidRDefault="00787570">
            <w:pPr>
              <w:rPr>
                <w:rFonts w:ascii="宋体"/>
              </w:rPr>
            </w:pPr>
          </w:p>
        </w:tc>
        <w:tc>
          <w:tcPr>
            <w:tcW w:w="0" w:type="auto"/>
            <w:shd w:val="clear" w:color="auto" w:fill="auto"/>
          </w:tcPr>
          <w:p w14:paraId="36CA3E1A" w14:textId="77777777" w:rsidR="00787570" w:rsidRDefault="00787570">
            <w:pPr>
              <w:rPr>
                <w:rFonts w:ascii="宋体"/>
              </w:rPr>
            </w:pPr>
          </w:p>
        </w:tc>
        <w:tc>
          <w:tcPr>
            <w:tcW w:w="0" w:type="auto"/>
            <w:shd w:val="clear" w:color="auto" w:fill="auto"/>
          </w:tcPr>
          <w:p w14:paraId="36CA3E1B" w14:textId="77777777" w:rsidR="00787570" w:rsidRDefault="00787570">
            <w:pPr>
              <w:rPr>
                <w:rFonts w:ascii="宋体"/>
              </w:rPr>
            </w:pPr>
          </w:p>
        </w:tc>
        <w:tc>
          <w:tcPr>
            <w:tcW w:w="0" w:type="auto"/>
            <w:shd w:val="clear" w:color="auto" w:fill="auto"/>
          </w:tcPr>
          <w:p w14:paraId="36CA3E1C" w14:textId="77777777" w:rsidR="00787570" w:rsidRDefault="00787570">
            <w:pPr>
              <w:rPr>
                <w:rFonts w:ascii="宋体"/>
              </w:rPr>
            </w:pPr>
          </w:p>
        </w:tc>
        <w:tc>
          <w:tcPr>
            <w:tcW w:w="0" w:type="auto"/>
            <w:shd w:val="clear" w:color="auto" w:fill="auto"/>
          </w:tcPr>
          <w:p w14:paraId="36CA3E1D" w14:textId="77777777" w:rsidR="00787570" w:rsidRDefault="00787570">
            <w:pPr>
              <w:rPr>
                <w:rFonts w:ascii="宋体"/>
              </w:rPr>
            </w:pPr>
          </w:p>
        </w:tc>
      </w:tr>
      <w:tr w:rsidR="00787570" w14:paraId="36CA3E38" w14:textId="77777777">
        <w:tc>
          <w:tcPr>
            <w:tcW w:w="0" w:type="auto"/>
            <w:gridSpan w:val="3"/>
            <w:shd w:val="clear" w:color="auto" w:fill="auto"/>
            <w:tcMar>
              <w:top w:w="40" w:type="dxa"/>
              <w:left w:w="20" w:type="dxa"/>
              <w:bottom w:w="40" w:type="dxa"/>
              <w:right w:w="20" w:type="dxa"/>
            </w:tcMar>
          </w:tcPr>
          <w:p w14:paraId="36CA3E1F" w14:textId="77777777" w:rsidR="00787570" w:rsidRDefault="000D56E2">
            <w:pPr>
              <w:ind w:hanging="180"/>
              <w:textAlignment w:val="top"/>
            </w:pPr>
            <w:r>
              <w:rPr>
                <w:rFonts w:ascii="Arial" w:eastAsia="宋体" w:hAnsi="Arial" w:cs="Arial"/>
                <w:b/>
                <w:bCs/>
                <w:color w:val="333333"/>
                <w:sz w:val="18"/>
                <w:szCs w:val="18"/>
              </w:rPr>
              <w:t>Total derivatives not designated as hedging instruments</w:t>
            </w:r>
          </w:p>
        </w:tc>
        <w:tc>
          <w:tcPr>
            <w:tcW w:w="0" w:type="auto"/>
            <w:gridSpan w:val="3"/>
            <w:shd w:val="clear" w:color="auto" w:fill="auto"/>
            <w:tcMar>
              <w:left w:w="20" w:type="dxa"/>
              <w:right w:w="20" w:type="dxa"/>
            </w:tcMar>
            <w:vAlign w:val="bottom"/>
          </w:tcPr>
          <w:p w14:paraId="36CA3E20" w14:textId="77777777" w:rsidR="00787570" w:rsidRDefault="00787570">
            <w:pPr>
              <w:rPr>
                <w:rFonts w:ascii="宋体"/>
              </w:rPr>
            </w:pPr>
          </w:p>
        </w:tc>
        <w:tc>
          <w:tcPr>
            <w:tcW w:w="0" w:type="auto"/>
            <w:gridSpan w:val="2"/>
            <w:tcBorders>
              <w:top w:val="single" w:sz="8" w:space="0" w:color="333333"/>
            </w:tcBorders>
            <w:shd w:val="clear" w:color="auto" w:fill="auto"/>
            <w:tcMar>
              <w:top w:w="40" w:type="dxa"/>
              <w:left w:w="20" w:type="dxa"/>
              <w:bottom w:w="40" w:type="dxa"/>
              <w:right w:w="0" w:type="dxa"/>
            </w:tcMar>
            <w:vAlign w:val="bottom"/>
          </w:tcPr>
          <w:p w14:paraId="36CA3E21" w14:textId="77777777" w:rsidR="00787570" w:rsidRDefault="000D56E2">
            <w:pPr>
              <w:jc w:val="right"/>
              <w:textAlignment w:val="bottom"/>
            </w:pPr>
            <w:r>
              <w:rPr>
                <w:rFonts w:ascii="Arial" w:eastAsia="宋体" w:hAnsi="Arial" w:cs="Arial"/>
                <w:b/>
                <w:bCs/>
                <w:color w:val="026DCE"/>
                <w:sz w:val="18"/>
                <w:szCs w:val="18"/>
              </w:rPr>
              <w:t>94</w:t>
            </w:r>
            <w:r>
              <w:rPr>
                <w:rFonts w:ascii="Arial" w:eastAsia="宋体" w:hAnsi="Arial" w:cs="Arial"/>
                <w:color w:val="026DCE"/>
                <w:sz w:val="18"/>
                <w:szCs w:val="18"/>
              </w:rPr>
              <w:t> </w:t>
            </w:r>
          </w:p>
        </w:tc>
        <w:tc>
          <w:tcPr>
            <w:tcW w:w="0" w:type="auto"/>
            <w:tcBorders>
              <w:top w:val="single" w:sz="8" w:space="0" w:color="333333"/>
            </w:tcBorders>
            <w:shd w:val="clear" w:color="auto" w:fill="auto"/>
            <w:tcMar>
              <w:top w:w="40" w:type="dxa"/>
              <w:bottom w:w="40" w:type="dxa"/>
              <w:right w:w="20" w:type="dxa"/>
            </w:tcMar>
            <w:vAlign w:val="bottom"/>
          </w:tcPr>
          <w:p w14:paraId="36CA3E22"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3E23" w14:textId="77777777" w:rsidR="00787570" w:rsidRDefault="00787570">
            <w:pPr>
              <w:rPr>
                <w:rFonts w:ascii="宋体"/>
              </w:rPr>
            </w:pPr>
          </w:p>
        </w:tc>
        <w:tc>
          <w:tcPr>
            <w:tcW w:w="0" w:type="auto"/>
            <w:gridSpan w:val="2"/>
            <w:tcBorders>
              <w:top w:val="single" w:sz="8" w:space="0" w:color="333333"/>
            </w:tcBorders>
            <w:shd w:val="clear" w:color="auto" w:fill="auto"/>
            <w:tcMar>
              <w:top w:w="40" w:type="dxa"/>
              <w:left w:w="20" w:type="dxa"/>
              <w:bottom w:w="40" w:type="dxa"/>
              <w:right w:w="0" w:type="dxa"/>
            </w:tcMar>
            <w:vAlign w:val="bottom"/>
          </w:tcPr>
          <w:p w14:paraId="36CA3E24" w14:textId="77777777" w:rsidR="00787570" w:rsidRDefault="000D56E2">
            <w:pPr>
              <w:jc w:val="right"/>
              <w:textAlignment w:val="bottom"/>
            </w:pPr>
            <w:r>
              <w:rPr>
                <w:rFonts w:ascii="Arial" w:eastAsia="宋体" w:hAnsi="Arial" w:cs="Arial"/>
                <w:b/>
                <w:bCs/>
                <w:color w:val="026DCE"/>
                <w:sz w:val="18"/>
                <w:szCs w:val="18"/>
              </w:rPr>
              <w:t>576</w:t>
            </w:r>
            <w:r>
              <w:rPr>
                <w:rFonts w:ascii="Arial" w:eastAsia="宋体" w:hAnsi="Arial" w:cs="Arial"/>
                <w:color w:val="026DCE"/>
                <w:sz w:val="18"/>
                <w:szCs w:val="18"/>
              </w:rPr>
              <w:t> </w:t>
            </w:r>
          </w:p>
        </w:tc>
        <w:tc>
          <w:tcPr>
            <w:tcW w:w="0" w:type="auto"/>
            <w:tcBorders>
              <w:top w:val="single" w:sz="8" w:space="0" w:color="333333"/>
            </w:tcBorders>
            <w:shd w:val="clear" w:color="auto" w:fill="auto"/>
            <w:tcMar>
              <w:top w:w="40" w:type="dxa"/>
              <w:bottom w:w="40" w:type="dxa"/>
              <w:right w:w="20" w:type="dxa"/>
            </w:tcMar>
            <w:vAlign w:val="bottom"/>
          </w:tcPr>
          <w:p w14:paraId="36CA3E25"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3E26" w14:textId="77777777" w:rsidR="00787570" w:rsidRDefault="00787570">
            <w:pPr>
              <w:rPr>
                <w:rFonts w:ascii="宋体"/>
              </w:rPr>
            </w:pPr>
          </w:p>
        </w:tc>
        <w:tc>
          <w:tcPr>
            <w:tcW w:w="0" w:type="auto"/>
            <w:gridSpan w:val="2"/>
            <w:tcBorders>
              <w:top w:val="single" w:sz="8" w:space="0" w:color="333333"/>
            </w:tcBorders>
            <w:shd w:val="clear" w:color="auto" w:fill="auto"/>
            <w:tcMar>
              <w:top w:w="40" w:type="dxa"/>
              <w:left w:w="20" w:type="dxa"/>
              <w:bottom w:w="40" w:type="dxa"/>
              <w:right w:w="0" w:type="dxa"/>
            </w:tcMar>
            <w:vAlign w:val="bottom"/>
          </w:tcPr>
          <w:p w14:paraId="36CA3E27" w14:textId="77777777" w:rsidR="00787570" w:rsidRDefault="000D56E2">
            <w:pPr>
              <w:jc w:val="right"/>
              <w:textAlignment w:val="bottom"/>
            </w:pPr>
            <w:r>
              <w:rPr>
                <w:rFonts w:ascii="Arial" w:eastAsia="宋体" w:hAnsi="Arial" w:cs="Arial"/>
                <w:b/>
                <w:bCs/>
                <w:color w:val="333333"/>
                <w:sz w:val="18"/>
                <w:szCs w:val="18"/>
              </w:rPr>
              <w:t>240</w:t>
            </w:r>
            <w:r>
              <w:rPr>
                <w:rFonts w:ascii="Arial" w:eastAsia="宋体" w:hAnsi="Arial" w:cs="Arial"/>
                <w:color w:val="333333"/>
                <w:sz w:val="18"/>
                <w:szCs w:val="18"/>
              </w:rPr>
              <w:t> </w:t>
            </w:r>
          </w:p>
        </w:tc>
        <w:tc>
          <w:tcPr>
            <w:tcW w:w="0" w:type="auto"/>
            <w:tcBorders>
              <w:top w:val="single" w:sz="8" w:space="0" w:color="333333"/>
            </w:tcBorders>
            <w:shd w:val="clear" w:color="auto" w:fill="auto"/>
            <w:tcMar>
              <w:top w:w="40" w:type="dxa"/>
              <w:bottom w:w="40" w:type="dxa"/>
              <w:right w:w="20" w:type="dxa"/>
            </w:tcMar>
            <w:vAlign w:val="bottom"/>
          </w:tcPr>
          <w:p w14:paraId="36CA3E28"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3E29" w14:textId="77777777" w:rsidR="00787570" w:rsidRDefault="00787570">
            <w:pPr>
              <w:rPr>
                <w:rFonts w:ascii="宋体"/>
              </w:rPr>
            </w:pPr>
          </w:p>
        </w:tc>
        <w:tc>
          <w:tcPr>
            <w:tcW w:w="0" w:type="auto"/>
            <w:gridSpan w:val="2"/>
            <w:tcBorders>
              <w:top w:val="single" w:sz="8" w:space="0" w:color="333333"/>
            </w:tcBorders>
            <w:shd w:val="clear" w:color="auto" w:fill="auto"/>
            <w:tcMar>
              <w:top w:w="40" w:type="dxa"/>
              <w:left w:w="20" w:type="dxa"/>
              <w:bottom w:w="40" w:type="dxa"/>
              <w:right w:w="0" w:type="dxa"/>
            </w:tcMar>
            <w:vAlign w:val="bottom"/>
          </w:tcPr>
          <w:p w14:paraId="36CA3E2A" w14:textId="77777777" w:rsidR="00787570" w:rsidRDefault="000D56E2">
            <w:pPr>
              <w:jc w:val="right"/>
              <w:textAlignment w:val="bottom"/>
            </w:pPr>
            <w:r>
              <w:rPr>
                <w:rFonts w:ascii="Arial" w:eastAsia="宋体" w:hAnsi="Arial" w:cs="Arial"/>
                <w:b/>
                <w:bCs/>
                <w:color w:val="333333"/>
                <w:sz w:val="18"/>
                <w:szCs w:val="18"/>
              </w:rPr>
              <w:t>135</w:t>
            </w:r>
            <w:r>
              <w:rPr>
                <w:rFonts w:ascii="Arial" w:eastAsia="宋体" w:hAnsi="Arial" w:cs="Arial"/>
                <w:color w:val="333333"/>
                <w:sz w:val="18"/>
                <w:szCs w:val="18"/>
              </w:rPr>
              <w:t> </w:t>
            </w:r>
          </w:p>
        </w:tc>
        <w:tc>
          <w:tcPr>
            <w:tcW w:w="0" w:type="auto"/>
            <w:tcBorders>
              <w:top w:val="single" w:sz="8" w:space="0" w:color="333333"/>
            </w:tcBorders>
            <w:shd w:val="clear" w:color="auto" w:fill="auto"/>
            <w:tcMar>
              <w:top w:w="40" w:type="dxa"/>
              <w:bottom w:w="40" w:type="dxa"/>
              <w:right w:w="20" w:type="dxa"/>
            </w:tcMar>
            <w:vAlign w:val="bottom"/>
          </w:tcPr>
          <w:p w14:paraId="36CA3E2B" w14:textId="77777777" w:rsidR="00787570" w:rsidRDefault="00787570">
            <w:pPr>
              <w:jc w:val="right"/>
              <w:rPr>
                <w:rFonts w:ascii="宋体"/>
              </w:rPr>
            </w:pPr>
          </w:p>
        </w:tc>
        <w:tc>
          <w:tcPr>
            <w:tcW w:w="0" w:type="auto"/>
            <w:shd w:val="clear" w:color="auto" w:fill="auto"/>
          </w:tcPr>
          <w:p w14:paraId="36CA3E2C" w14:textId="77777777" w:rsidR="00787570" w:rsidRDefault="00787570">
            <w:pPr>
              <w:rPr>
                <w:rFonts w:ascii="宋体"/>
              </w:rPr>
            </w:pPr>
          </w:p>
        </w:tc>
        <w:tc>
          <w:tcPr>
            <w:tcW w:w="0" w:type="auto"/>
            <w:shd w:val="clear" w:color="auto" w:fill="auto"/>
          </w:tcPr>
          <w:p w14:paraId="36CA3E2D" w14:textId="77777777" w:rsidR="00787570" w:rsidRDefault="00787570">
            <w:pPr>
              <w:rPr>
                <w:rFonts w:ascii="宋体"/>
              </w:rPr>
            </w:pPr>
          </w:p>
        </w:tc>
        <w:tc>
          <w:tcPr>
            <w:tcW w:w="0" w:type="auto"/>
            <w:shd w:val="clear" w:color="auto" w:fill="auto"/>
          </w:tcPr>
          <w:p w14:paraId="36CA3E2E" w14:textId="77777777" w:rsidR="00787570" w:rsidRDefault="00787570">
            <w:pPr>
              <w:rPr>
                <w:rFonts w:ascii="宋体"/>
              </w:rPr>
            </w:pPr>
          </w:p>
        </w:tc>
        <w:tc>
          <w:tcPr>
            <w:tcW w:w="0" w:type="auto"/>
            <w:shd w:val="clear" w:color="auto" w:fill="auto"/>
          </w:tcPr>
          <w:p w14:paraId="36CA3E2F" w14:textId="77777777" w:rsidR="00787570" w:rsidRDefault="00787570">
            <w:pPr>
              <w:rPr>
                <w:rFonts w:ascii="宋体"/>
              </w:rPr>
            </w:pPr>
          </w:p>
        </w:tc>
        <w:tc>
          <w:tcPr>
            <w:tcW w:w="0" w:type="auto"/>
            <w:shd w:val="clear" w:color="auto" w:fill="auto"/>
          </w:tcPr>
          <w:p w14:paraId="36CA3E30" w14:textId="77777777" w:rsidR="00787570" w:rsidRDefault="00787570">
            <w:pPr>
              <w:rPr>
                <w:rFonts w:ascii="宋体"/>
              </w:rPr>
            </w:pPr>
          </w:p>
        </w:tc>
        <w:tc>
          <w:tcPr>
            <w:tcW w:w="0" w:type="auto"/>
            <w:shd w:val="clear" w:color="auto" w:fill="auto"/>
          </w:tcPr>
          <w:p w14:paraId="36CA3E31" w14:textId="77777777" w:rsidR="00787570" w:rsidRDefault="00787570">
            <w:pPr>
              <w:rPr>
                <w:rFonts w:ascii="宋体"/>
              </w:rPr>
            </w:pPr>
          </w:p>
        </w:tc>
        <w:tc>
          <w:tcPr>
            <w:tcW w:w="0" w:type="auto"/>
            <w:shd w:val="clear" w:color="auto" w:fill="auto"/>
          </w:tcPr>
          <w:p w14:paraId="36CA3E32" w14:textId="77777777" w:rsidR="00787570" w:rsidRDefault="00787570">
            <w:pPr>
              <w:rPr>
                <w:rFonts w:ascii="宋体"/>
              </w:rPr>
            </w:pPr>
          </w:p>
        </w:tc>
        <w:tc>
          <w:tcPr>
            <w:tcW w:w="0" w:type="auto"/>
            <w:shd w:val="clear" w:color="auto" w:fill="auto"/>
          </w:tcPr>
          <w:p w14:paraId="36CA3E33" w14:textId="77777777" w:rsidR="00787570" w:rsidRDefault="00787570">
            <w:pPr>
              <w:rPr>
                <w:rFonts w:ascii="宋体"/>
              </w:rPr>
            </w:pPr>
          </w:p>
        </w:tc>
        <w:tc>
          <w:tcPr>
            <w:tcW w:w="0" w:type="auto"/>
            <w:shd w:val="clear" w:color="auto" w:fill="auto"/>
          </w:tcPr>
          <w:p w14:paraId="36CA3E34" w14:textId="77777777" w:rsidR="00787570" w:rsidRDefault="00787570">
            <w:pPr>
              <w:rPr>
                <w:rFonts w:ascii="宋体"/>
              </w:rPr>
            </w:pPr>
          </w:p>
        </w:tc>
        <w:tc>
          <w:tcPr>
            <w:tcW w:w="0" w:type="auto"/>
            <w:shd w:val="clear" w:color="auto" w:fill="auto"/>
          </w:tcPr>
          <w:p w14:paraId="36CA3E35" w14:textId="77777777" w:rsidR="00787570" w:rsidRDefault="00787570">
            <w:pPr>
              <w:rPr>
                <w:rFonts w:ascii="宋体"/>
              </w:rPr>
            </w:pPr>
          </w:p>
        </w:tc>
        <w:tc>
          <w:tcPr>
            <w:tcW w:w="0" w:type="auto"/>
            <w:shd w:val="clear" w:color="auto" w:fill="auto"/>
          </w:tcPr>
          <w:p w14:paraId="36CA3E36" w14:textId="77777777" w:rsidR="00787570" w:rsidRDefault="00787570">
            <w:pPr>
              <w:rPr>
                <w:rFonts w:ascii="宋体"/>
              </w:rPr>
            </w:pPr>
          </w:p>
        </w:tc>
        <w:tc>
          <w:tcPr>
            <w:tcW w:w="0" w:type="auto"/>
            <w:shd w:val="clear" w:color="auto" w:fill="auto"/>
          </w:tcPr>
          <w:p w14:paraId="36CA3E37" w14:textId="77777777" w:rsidR="00787570" w:rsidRDefault="00787570">
            <w:pPr>
              <w:rPr>
                <w:rFonts w:ascii="宋体"/>
              </w:rPr>
            </w:pPr>
          </w:p>
        </w:tc>
      </w:tr>
      <w:tr w:rsidR="00787570" w14:paraId="36CA3E56" w14:textId="77777777">
        <w:tc>
          <w:tcPr>
            <w:tcW w:w="0" w:type="auto"/>
            <w:gridSpan w:val="3"/>
            <w:shd w:val="clear" w:color="auto" w:fill="auto"/>
            <w:tcMar>
              <w:top w:w="40" w:type="dxa"/>
              <w:left w:w="20" w:type="dxa"/>
              <w:bottom w:w="40" w:type="dxa"/>
              <w:right w:w="20" w:type="dxa"/>
            </w:tcMar>
          </w:tcPr>
          <w:p w14:paraId="36CA3E39" w14:textId="77777777" w:rsidR="00787570" w:rsidRDefault="000D56E2">
            <w:pPr>
              <w:textAlignment w:val="top"/>
            </w:pPr>
            <w:r>
              <w:rPr>
                <w:rFonts w:ascii="Arial" w:eastAsia="宋体" w:hAnsi="Arial" w:cs="Arial"/>
                <w:b/>
                <w:bCs/>
                <w:color w:val="333333"/>
                <w:sz w:val="18"/>
                <w:szCs w:val="18"/>
              </w:rPr>
              <w:t>Total derivatives</w:t>
            </w:r>
          </w:p>
        </w:tc>
        <w:tc>
          <w:tcPr>
            <w:tcW w:w="0" w:type="auto"/>
            <w:gridSpan w:val="3"/>
            <w:shd w:val="clear" w:color="auto" w:fill="auto"/>
            <w:tcMar>
              <w:left w:w="20" w:type="dxa"/>
              <w:right w:w="20" w:type="dxa"/>
            </w:tcMar>
            <w:vAlign w:val="bottom"/>
          </w:tcPr>
          <w:p w14:paraId="36CA3E3A" w14:textId="77777777" w:rsidR="00787570" w:rsidRDefault="00787570">
            <w:pPr>
              <w:rPr>
                <w:rFonts w:ascii="宋体"/>
              </w:rPr>
            </w:pPr>
          </w:p>
        </w:tc>
        <w:tc>
          <w:tcPr>
            <w:tcW w:w="0" w:type="auto"/>
            <w:tcBorders>
              <w:top w:val="single" w:sz="8" w:space="0" w:color="333333"/>
              <w:bottom w:val="double" w:sz="6" w:space="0" w:color="333333"/>
            </w:tcBorders>
            <w:shd w:val="clear" w:color="auto" w:fill="auto"/>
            <w:tcMar>
              <w:top w:w="40" w:type="dxa"/>
              <w:left w:w="20" w:type="dxa"/>
              <w:bottom w:w="40" w:type="dxa"/>
            </w:tcMar>
            <w:vAlign w:val="bottom"/>
          </w:tcPr>
          <w:p w14:paraId="36CA3E3B" w14:textId="77777777" w:rsidR="00787570" w:rsidRDefault="000D56E2">
            <w:pPr>
              <w:textAlignment w:val="bottom"/>
            </w:pPr>
            <w:r>
              <w:rPr>
                <w:rFonts w:ascii="Arial" w:eastAsia="宋体" w:hAnsi="Arial" w:cs="Arial"/>
                <w:b/>
                <w:bCs/>
                <w:color w:val="026DCE"/>
                <w:sz w:val="18"/>
                <w:szCs w:val="18"/>
              </w:rPr>
              <w:t>$</w:t>
            </w:r>
          </w:p>
        </w:tc>
        <w:tc>
          <w:tcPr>
            <w:tcW w:w="0" w:type="auto"/>
            <w:tcBorders>
              <w:top w:val="single" w:sz="8" w:space="0" w:color="333333"/>
              <w:bottom w:val="double" w:sz="6" w:space="0" w:color="333333"/>
            </w:tcBorders>
            <w:shd w:val="clear" w:color="auto" w:fill="auto"/>
            <w:tcMar>
              <w:top w:w="40" w:type="dxa"/>
              <w:bottom w:w="40" w:type="dxa"/>
              <w:right w:w="0" w:type="dxa"/>
            </w:tcMar>
            <w:vAlign w:val="bottom"/>
          </w:tcPr>
          <w:p w14:paraId="36CA3E3C" w14:textId="77777777" w:rsidR="00787570" w:rsidRDefault="000D56E2">
            <w:pPr>
              <w:jc w:val="right"/>
              <w:textAlignment w:val="bottom"/>
            </w:pPr>
            <w:r>
              <w:rPr>
                <w:rFonts w:ascii="Arial" w:eastAsia="宋体" w:hAnsi="Arial" w:cs="Arial"/>
                <w:b/>
                <w:bCs/>
                <w:color w:val="026DCE"/>
                <w:sz w:val="18"/>
                <w:szCs w:val="18"/>
              </w:rPr>
              <w:t>2,004</w:t>
            </w:r>
            <w:r>
              <w:rPr>
                <w:rFonts w:ascii="Arial" w:eastAsia="宋体" w:hAnsi="Arial" w:cs="Arial"/>
                <w:color w:val="026DCE"/>
                <w:sz w:val="18"/>
                <w:szCs w:val="18"/>
              </w:rPr>
              <w:t> </w:t>
            </w:r>
          </w:p>
        </w:tc>
        <w:tc>
          <w:tcPr>
            <w:tcW w:w="0" w:type="auto"/>
            <w:tcBorders>
              <w:top w:val="single" w:sz="8" w:space="0" w:color="333333"/>
              <w:bottom w:val="double" w:sz="6" w:space="0" w:color="333333"/>
            </w:tcBorders>
            <w:shd w:val="clear" w:color="auto" w:fill="auto"/>
            <w:tcMar>
              <w:top w:w="40" w:type="dxa"/>
              <w:bottom w:w="40" w:type="dxa"/>
              <w:right w:w="20" w:type="dxa"/>
            </w:tcMar>
            <w:vAlign w:val="bottom"/>
          </w:tcPr>
          <w:p w14:paraId="36CA3E3D"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3E3E" w14:textId="77777777" w:rsidR="00787570" w:rsidRDefault="00787570">
            <w:pPr>
              <w:rPr>
                <w:rFonts w:ascii="宋体"/>
              </w:rPr>
            </w:pPr>
          </w:p>
        </w:tc>
        <w:tc>
          <w:tcPr>
            <w:tcW w:w="0" w:type="auto"/>
            <w:tcBorders>
              <w:top w:val="single" w:sz="8" w:space="0" w:color="333333"/>
              <w:bottom w:val="double" w:sz="6" w:space="0" w:color="333333"/>
            </w:tcBorders>
            <w:shd w:val="clear" w:color="auto" w:fill="auto"/>
            <w:tcMar>
              <w:top w:w="40" w:type="dxa"/>
              <w:left w:w="20" w:type="dxa"/>
              <w:bottom w:w="40" w:type="dxa"/>
            </w:tcMar>
            <w:vAlign w:val="bottom"/>
          </w:tcPr>
          <w:p w14:paraId="36CA3E3F" w14:textId="77777777" w:rsidR="00787570" w:rsidRDefault="000D56E2">
            <w:pPr>
              <w:textAlignment w:val="bottom"/>
            </w:pPr>
            <w:r>
              <w:rPr>
                <w:rFonts w:ascii="Arial" w:eastAsia="宋体" w:hAnsi="Arial" w:cs="Arial"/>
                <w:b/>
                <w:bCs/>
                <w:color w:val="026DCE"/>
                <w:sz w:val="18"/>
                <w:szCs w:val="18"/>
              </w:rPr>
              <w:t>$</w:t>
            </w:r>
          </w:p>
        </w:tc>
        <w:tc>
          <w:tcPr>
            <w:tcW w:w="0" w:type="auto"/>
            <w:tcBorders>
              <w:top w:val="single" w:sz="8" w:space="0" w:color="333333"/>
              <w:bottom w:val="double" w:sz="6" w:space="0" w:color="333333"/>
            </w:tcBorders>
            <w:shd w:val="clear" w:color="auto" w:fill="auto"/>
            <w:tcMar>
              <w:top w:w="40" w:type="dxa"/>
              <w:bottom w:w="40" w:type="dxa"/>
              <w:right w:w="0" w:type="dxa"/>
            </w:tcMar>
            <w:vAlign w:val="bottom"/>
          </w:tcPr>
          <w:p w14:paraId="36CA3E40" w14:textId="77777777" w:rsidR="00787570" w:rsidRDefault="000D56E2">
            <w:pPr>
              <w:jc w:val="right"/>
              <w:textAlignment w:val="bottom"/>
            </w:pPr>
            <w:r>
              <w:rPr>
                <w:rFonts w:ascii="Arial" w:eastAsia="宋体" w:hAnsi="Arial" w:cs="Arial"/>
                <w:b/>
                <w:bCs/>
                <w:color w:val="026DCE"/>
                <w:sz w:val="18"/>
                <w:szCs w:val="18"/>
              </w:rPr>
              <w:t>634</w:t>
            </w:r>
            <w:r>
              <w:rPr>
                <w:rFonts w:ascii="Arial" w:eastAsia="宋体" w:hAnsi="Arial" w:cs="Arial"/>
                <w:color w:val="026DCE"/>
                <w:sz w:val="18"/>
                <w:szCs w:val="18"/>
              </w:rPr>
              <w:t> </w:t>
            </w:r>
          </w:p>
        </w:tc>
        <w:tc>
          <w:tcPr>
            <w:tcW w:w="0" w:type="auto"/>
            <w:tcBorders>
              <w:top w:val="single" w:sz="8" w:space="0" w:color="333333"/>
              <w:bottom w:val="double" w:sz="6" w:space="0" w:color="333333"/>
            </w:tcBorders>
            <w:shd w:val="clear" w:color="auto" w:fill="auto"/>
            <w:tcMar>
              <w:top w:w="40" w:type="dxa"/>
              <w:bottom w:w="40" w:type="dxa"/>
              <w:right w:w="20" w:type="dxa"/>
            </w:tcMar>
            <w:vAlign w:val="bottom"/>
          </w:tcPr>
          <w:p w14:paraId="36CA3E41"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3E42" w14:textId="77777777" w:rsidR="00787570" w:rsidRDefault="00787570">
            <w:pPr>
              <w:rPr>
                <w:rFonts w:ascii="宋体"/>
              </w:rPr>
            </w:pPr>
          </w:p>
        </w:tc>
        <w:tc>
          <w:tcPr>
            <w:tcW w:w="0" w:type="auto"/>
            <w:tcBorders>
              <w:top w:val="single" w:sz="8" w:space="0" w:color="333333"/>
              <w:bottom w:val="double" w:sz="6" w:space="0" w:color="333333"/>
            </w:tcBorders>
            <w:shd w:val="clear" w:color="auto" w:fill="auto"/>
            <w:tcMar>
              <w:top w:w="40" w:type="dxa"/>
              <w:left w:w="20" w:type="dxa"/>
              <w:bottom w:w="40" w:type="dxa"/>
            </w:tcMar>
            <w:vAlign w:val="bottom"/>
          </w:tcPr>
          <w:p w14:paraId="36CA3E43" w14:textId="77777777" w:rsidR="00787570" w:rsidRDefault="000D56E2">
            <w:pPr>
              <w:textAlignment w:val="bottom"/>
            </w:pPr>
            <w:r>
              <w:rPr>
                <w:rFonts w:ascii="Arial" w:eastAsia="宋体" w:hAnsi="Arial" w:cs="Arial"/>
                <w:b/>
                <w:bCs/>
                <w:color w:val="333333"/>
                <w:sz w:val="18"/>
                <w:szCs w:val="18"/>
              </w:rPr>
              <w:t>$</w:t>
            </w:r>
          </w:p>
        </w:tc>
        <w:tc>
          <w:tcPr>
            <w:tcW w:w="0" w:type="auto"/>
            <w:tcBorders>
              <w:top w:val="single" w:sz="8" w:space="0" w:color="333333"/>
              <w:bottom w:val="double" w:sz="6" w:space="0" w:color="333333"/>
            </w:tcBorders>
            <w:shd w:val="clear" w:color="auto" w:fill="auto"/>
            <w:tcMar>
              <w:top w:w="40" w:type="dxa"/>
              <w:bottom w:w="40" w:type="dxa"/>
              <w:right w:w="0" w:type="dxa"/>
            </w:tcMar>
            <w:vAlign w:val="bottom"/>
          </w:tcPr>
          <w:p w14:paraId="36CA3E44" w14:textId="77777777" w:rsidR="00787570" w:rsidRDefault="000D56E2">
            <w:pPr>
              <w:jc w:val="right"/>
              <w:textAlignment w:val="bottom"/>
            </w:pPr>
            <w:r>
              <w:rPr>
                <w:rFonts w:ascii="Arial" w:eastAsia="宋体" w:hAnsi="Arial" w:cs="Arial"/>
                <w:b/>
                <w:bCs/>
                <w:color w:val="333333"/>
                <w:sz w:val="18"/>
                <w:szCs w:val="18"/>
              </w:rPr>
              <w:t>986</w:t>
            </w:r>
            <w:r>
              <w:rPr>
                <w:rFonts w:ascii="Arial" w:eastAsia="宋体" w:hAnsi="Arial" w:cs="Arial"/>
                <w:color w:val="333333"/>
                <w:sz w:val="18"/>
                <w:szCs w:val="18"/>
              </w:rPr>
              <w:t> </w:t>
            </w:r>
          </w:p>
        </w:tc>
        <w:tc>
          <w:tcPr>
            <w:tcW w:w="0" w:type="auto"/>
            <w:tcBorders>
              <w:top w:val="single" w:sz="8" w:space="0" w:color="333333"/>
              <w:bottom w:val="double" w:sz="6" w:space="0" w:color="333333"/>
            </w:tcBorders>
            <w:shd w:val="clear" w:color="auto" w:fill="auto"/>
            <w:tcMar>
              <w:top w:w="40" w:type="dxa"/>
              <w:bottom w:w="40" w:type="dxa"/>
              <w:right w:w="20" w:type="dxa"/>
            </w:tcMar>
            <w:vAlign w:val="bottom"/>
          </w:tcPr>
          <w:p w14:paraId="36CA3E45"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3E46" w14:textId="77777777" w:rsidR="00787570" w:rsidRDefault="00787570">
            <w:pPr>
              <w:rPr>
                <w:rFonts w:ascii="宋体"/>
              </w:rPr>
            </w:pPr>
          </w:p>
        </w:tc>
        <w:tc>
          <w:tcPr>
            <w:tcW w:w="0" w:type="auto"/>
            <w:tcBorders>
              <w:top w:val="single" w:sz="8" w:space="0" w:color="333333"/>
              <w:bottom w:val="double" w:sz="6" w:space="0" w:color="333333"/>
            </w:tcBorders>
            <w:shd w:val="clear" w:color="auto" w:fill="auto"/>
            <w:tcMar>
              <w:top w:w="40" w:type="dxa"/>
              <w:left w:w="20" w:type="dxa"/>
              <w:bottom w:w="40" w:type="dxa"/>
            </w:tcMar>
            <w:vAlign w:val="bottom"/>
          </w:tcPr>
          <w:p w14:paraId="36CA3E47" w14:textId="77777777" w:rsidR="00787570" w:rsidRDefault="000D56E2">
            <w:pPr>
              <w:textAlignment w:val="bottom"/>
            </w:pPr>
            <w:r>
              <w:rPr>
                <w:rFonts w:ascii="Arial" w:eastAsia="宋体" w:hAnsi="Arial" w:cs="Arial"/>
                <w:b/>
                <w:bCs/>
                <w:color w:val="333333"/>
                <w:sz w:val="18"/>
                <w:szCs w:val="18"/>
              </w:rPr>
              <w:t>$</w:t>
            </w:r>
          </w:p>
        </w:tc>
        <w:tc>
          <w:tcPr>
            <w:tcW w:w="0" w:type="auto"/>
            <w:tcBorders>
              <w:top w:val="single" w:sz="8" w:space="0" w:color="333333"/>
              <w:bottom w:val="double" w:sz="6" w:space="0" w:color="333333"/>
            </w:tcBorders>
            <w:shd w:val="clear" w:color="auto" w:fill="auto"/>
            <w:tcMar>
              <w:top w:w="40" w:type="dxa"/>
              <w:bottom w:w="40" w:type="dxa"/>
              <w:right w:w="0" w:type="dxa"/>
            </w:tcMar>
            <w:vAlign w:val="bottom"/>
          </w:tcPr>
          <w:p w14:paraId="36CA3E48" w14:textId="77777777" w:rsidR="00787570" w:rsidRDefault="000D56E2">
            <w:pPr>
              <w:jc w:val="right"/>
              <w:textAlignment w:val="bottom"/>
            </w:pPr>
            <w:r>
              <w:rPr>
                <w:rFonts w:ascii="Arial" w:eastAsia="宋体" w:hAnsi="Arial" w:cs="Arial"/>
                <w:b/>
                <w:bCs/>
                <w:color w:val="333333"/>
                <w:sz w:val="18"/>
                <w:szCs w:val="18"/>
              </w:rPr>
              <w:t>303</w:t>
            </w:r>
            <w:r>
              <w:rPr>
                <w:rFonts w:ascii="Arial" w:eastAsia="宋体" w:hAnsi="Arial" w:cs="Arial"/>
                <w:color w:val="333333"/>
                <w:sz w:val="18"/>
                <w:szCs w:val="18"/>
              </w:rPr>
              <w:t> </w:t>
            </w:r>
          </w:p>
        </w:tc>
        <w:tc>
          <w:tcPr>
            <w:tcW w:w="0" w:type="auto"/>
            <w:tcBorders>
              <w:top w:val="single" w:sz="8" w:space="0" w:color="333333"/>
              <w:bottom w:val="double" w:sz="6" w:space="0" w:color="333333"/>
            </w:tcBorders>
            <w:shd w:val="clear" w:color="auto" w:fill="auto"/>
            <w:tcMar>
              <w:top w:w="40" w:type="dxa"/>
              <w:bottom w:w="40" w:type="dxa"/>
              <w:right w:w="20" w:type="dxa"/>
            </w:tcMar>
            <w:vAlign w:val="bottom"/>
          </w:tcPr>
          <w:p w14:paraId="36CA3E49" w14:textId="77777777" w:rsidR="00787570" w:rsidRDefault="00787570">
            <w:pPr>
              <w:jc w:val="right"/>
              <w:rPr>
                <w:rFonts w:ascii="宋体"/>
              </w:rPr>
            </w:pPr>
          </w:p>
        </w:tc>
        <w:tc>
          <w:tcPr>
            <w:tcW w:w="0" w:type="auto"/>
            <w:shd w:val="clear" w:color="auto" w:fill="auto"/>
          </w:tcPr>
          <w:p w14:paraId="36CA3E4A" w14:textId="77777777" w:rsidR="00787570" w:rsidRDefault="00787570">
            <w:pPr>
              <w:rPr>
                <w:rFonts w:ascii="宋体"/>
              </w:rPr>
            </w:pPr>
          </w:p>
        </w:tc>
        <w:tc>
          <w:tcPr>
            <w:tcW w:w="0" w:type="auto"/>
            <w:shd w:val="clear" w:color="auto" w:fill="auto"/>
          </w:tcPr>
          <w:p w14:paraId="36CA3E4B" w14:textId="77777777" w:rsidR="00787570" w:rsidRDefault="00787570">
            <w:pPr>
              <w:rPr>
                <w:rFonts w:ascii="宋体"/>
              </w:rPr>
            </w:pPr>
          </w:p>
        </w:tc>
        <w:tc>
          <w:tcPr>
            <w:tcW w:w="0" w:type="auto"/>
            <w:shd w:val="clear" w:color="auto" w:fill="auto"/>
          </w:tcPr>
          <w:p w14:paraId="36CA3E4C" w14:textId="77777777" w:rsidR="00787570" w:rsidRDefault="00787570">
            <w:pPr>
              <w:rPr>
                <w:rFonts w:ascii="宋体"/>
              </w:rPr>
            </w:pPr>
          </w:p>
        </w:tc>
        <w:tc>
          <w:tcPr>
            <w:tcW w:w="0" w:type="auto"/>
            <w:shd w:val="clear" w:color="auto" w:fill="auto"/>
          </w:tcPr>
          <w:p w14:paraId="36CA3E4D" w14:textId="77777777" w:rsidR="00787570" w:rsidRDefault="00787570">
            <w:pPr>
              <w:rPr>
                <w:rFonts w:ascii="宋体"/>
              </w:rPr>
            </w:pPr>
          </w:p>
        </w:tc>
        <w:tc>
          <w:tcPr>
            <w:tcW w:w="0" w:type="auto"/>
            <w:shd w:val="clear" w:color="auto" w:fill="auto"/>
          </w:tcPr>
          <w:p w14:paraId="36CA3E4E" w14:textId="77777777" w:rsidR="00787570" w:rsidRDefault="00787570">
            <w:pPr>
              <w:rPr>
                <w:rFonts w:ascii="宋体"/>
              </w:rPr>
            </w:pPr>
          </w:p>
        </w:tc>
        <w:tc>
          <w:tcPr>
            <w:tcW w:w="0" w:type="auto"/>
            <w:shd w:val="clear" w:color="auto" w:fill="auto"/>
          </w:tcPr>
          <w:p w14:paraId="36CA3E4F" w14:textId="77777777" w:rsidR="00787570" w:rsidRDefault="00787570">
            <w:pPr>
              <w:rPr>
                <w:rFonts w:ascii="宋体"/>
              </w:rPr>
            </w:pPr>
          </w:p>
        </w:tc>
        <w:tc>
          <w:tcPr>
            <w:tcW w:w="0" w:type="auto"/>
            <w:shd w:val="clear" w:color="auto" w:fill="auto"/>
          </w:tcPr>
          <w:p w14:paraId="36CA3E50" w14:textId="77777777" w:rsidR="00787570" w:rsidRDefault="00787570">
            <w:pPr>
              <w:rPr>
                <w:rFonts w:ascii="宋体"/>
              </w:rPr>
            </w:pPr>
          </w:p>
        </w:tc>
        <w:tc>
          <w:tcPr>
            <w:tcW w:w="0" w:type="auto"/>
            <w:shd w:val="clear" w:color="auto" w:fill="auto"/>
          </w:tcPr>
          <w:p w14:paraId="36CA3E51" w14:textId="77777777" w:rsidR="00787570" w:rsidRDefault="00787570">
            <w:pPr>
              <w:rPr>
                <w:rFonts w:ascii="宋体"/>
              </w:rPr>
            </w:pPr>
          </w:p>
        </w:tc>
        <w:tc>
          <w:tcPr>
            <w:tcW w:w="0" w:type="auto"/>
            <w:shd w:val="clear" w:color="auto" w:fill="auto"/>
          </w:tcPr>
          <w:p w14:paraId="36CA3E52" w14:textId="77777777" w:rsidR="00787570" w:rsidRDefault="00787570">
            <w:pPr>
              <w:rPr>
                <w:rFonts w:ascii="宋体"/>
              </w:rPr>
            </w:pPr>
          </w:p>
        </w:tc>
        <w:tc>
          <w:tcPr>
            <w:tcW w:w="0" w:type="auto"/>
            <w:shd w:val="clear" w:color="auto" w:fill="auto"/>
          </w:tcPr>
          <w:p w14:paraId="36CA3E53" w14:textId="77777777" w:rsidR="00787570" w:rsidRDefault="00787570">
            <w:pPr>
              <w:rPr>
                <w:rFonts w:ascii="宋体"/>
              </w:rPr>
            </w:pPr>
          </w:p>
        </w:tc>
        <w:tc>
          <w:tcPr>
            <w:tcW w:w="0" w:type="auto"/>
            <w:shd w:val="clear" w:color="auto" w:fill="auto"/>
          </w:tcPr>
          <w:p w14:paraId="36CA3E54" w14:textId="77777777" w:rsidR="00787570" w:rsidRDefault="00787570">
            <w:pPr>
              <w:rPr>
                <w:rFonts w:ascii="宋体"/>
              </w:rPr>
            </w:pPr>
          </w:p>
        </w:tc>
        <w:tc>
          <w:tcPr>
            <w:tcW w:w="0" w:type="auto"/>
            <w:shd w:val="clear" w:color="auto" w:fill="auto"/>
          </w:tcPr>
          <w:p w14:paraId="36CA3E55" w14:textId="77777777" w:rsidR="00787570" w:rsidRDefault="00787570">
            <w:pPr>
              <w:rPr>
                <w:rFonts w:ascii="宋体"/>
              </w:rPr>
            </w:pPr>
          </w:p>
        </w:tc>
      </w:tr>
    </w:tbl>
    <w:p w14:paraId="36CA3E57" w14:textId="77777777" w:rsidR="00787570" w:rsidRDefault="000D56E2">
      <w:pPr>
        <w:ind w:hanging="180"/>
      </w:pPr>
      <w:r>
        <w:rPr>
          <w:rFonts w:ascii="Arial" w:eastAsia="宋体" w:hAnsi="Arial" w:cs="Arial"/>
          <w:i/>
          <w:iCs/>
          <w:color w:val="333333"/>
          <w:sz w:val="10"/>
          <w:szCs w:val="10"/>
        </w:rPr>
        <w:t>1</w:t>
      </w:r>
      <w:r>
        <w:rPr>
          <w:rFonts w:ascii="Arial" w:eastAsia="宋体" w:hAnsi="Arial" w:cs="Arial"/>
          <w:i/>
          <w:iCs/>
          <w:color w:val="333333"/>
          <w:sz w:val="16"/>
          <w:szCs w:val="16"/>
        </w:rPr>
        <w:t xml:space="preserve">Derivative assets are recorded as other assets, current and </w:t>
      </w:r>
      <w:r>
        <w:rPr>
          <w:rFonts w:ascii="Arial" w:eastAsia="宋体" w:hAnsi="Arial" w:cs="Arial"/>
          <w:i/>
          <w:iCs/>
          <w:color w:val="333333"/>
          <w:sz w:val="16"/>
          <w:szCs w:val="16"/>
        </w:rPr>
        <w:t>non-current.</w:t>
      </w:r>
    </w:p>
    <w:p w14:paraId="36CA3E58" w14:textId="77777777" w:rsidR="00787570" w:rsidRDefault="000D56E2">
      <w:pPr>
        <w:ind w:hanging="180"/>
      </w:pPr>
      <w:r>
        <w:rPr>
          <w:rFonts w:ascii="Arial" w:eastAsia="宋体" w:hAnsi="Arial" w:cs="Arial"/>
          <w:i/>
          <w:iCs/>
          <w:color w:val="333333"/>
          <w:sz w:val="10"/>
          <w:szCs w:val="10"/>
        </w:rPr>
        <w:t>2</w:t>
      </w:r>
      <w:r>
        <w:rPr>
          <w:rFonts w:ascii="Arial" w:eastAsia="宋体" w:hAnsi="Arial" w:cs="Arial"/>
          <w:i/>
          <w:iCs/>
          <w:color w:val="333333"/>
          <w:sz w:val="16"/>
          <w:szCs w:val="16"/>
        </w:rPr>
        <w:t>Derivative liabilities are recorded as other liabilities, current and non-current.</w:t>
      </w:r>
    </w:p>
    <w:p w14:paraId="36CA3E59" w14:textId="77777777" w:rsidR="00787570" w:rsidRDefault="000D56E2">
      <w:pPr>
        <w:ind w:hanging="180"/>
      </w:pPr>
      <w:r>
        <w:rPr>
          <w:rFonts w:ascii="Arial" w:eastAsia="宋体" w:hAnsi="Arial" w:cs="Arial"/>
          <w:i/>
          <w:iCs/>
          <w:color w:val="333333"/>
          <w:sz w:val="10"/>
          <w:szCs w:val="10"/>
        </w:rPr>
        <w:t>3</w:t>
      </w:r>
      <w:r>
        <w:rPr>
          <w:rFonts w:ascii="Arial" w:eastAsia="宋体" w:hAnsi="Arial" w:cs="Arial"/>
          <w:i/>
          <w:iCs/>
          <w:color w:val="333333"/>
          <w:sz w:val="16"/>
          <w:szCs w:val="16"/>
        </w:rPr>
        <w:t>The majority of these instruments mature within 12 months.</w:t>
      </w:r>
    </w:p>
    <w:p w14:paraId="36CA3E5A" w14:textId="77777777" w:rsidR="00787570" w:rsidRDefault="00787570">
      <w:pPr>
        <w:spacing w:after="180"/>
      </w:pPr>
    </w:p>
    <w:p w14:paraId="36CA3E5B" w14:textId="77777777" w:rsidR="00787570" w:rsidRDefault="00787570">
      <w:pPr>
        <w:spacing w:after="180"/>
      </w:pPr>
    </w:p>
    <w:p w14:paraId="36CA3E5C" w14:textId="77777777" w:rsidR="00787570" w:rsidRDefault="00787570">
      <w:pPr>
        <w:spacing w:after="180"/>
      </w:pPr>
    </w:p>
    <w:p w14:paraId="36CA3E5D" w14:textId="77777777" w:rsidR="00787570" w:rsidRDefault="00787570">
      <w:pPr>
        <w:spacing w:after="180"/>
      </w:pPr>
    </w:p>
    <w:p w14:paraId="36CA3E5E" w14:textId="77777777" w:rsidR="00787570" w:rsidRDefault="00787570">
      <w:pPr>
        <w:spacing w:after="180"/>
      </w:pPr>
    </w:p>
    <w:p w14:paraId="36CA3E5F" w14:textId="77777777" w:rsidR="00787570" w:rsidRDefault="00787570">
      <w:pPr>
        <w:spacing w:after="180"/>
      </w:pPr>
    </w:p>
    <w:p w14:paraId="36CA3E60" w14:textId="77777777" w:rsidR="00787570" w:rsidRDefault="00787570">
      <w:pPr>
        <w:spacing w:after="180"/>
      </w:pPr>
    </w:p>
    <w:p w14:paraId="36CA3E61" w14:textId="77777777" w:rsidR="00787570" w:rsidRDefault="00787570">
      <w:pPr>
        <w:spacing w:after="180"/>
      </w:pPr>
    </w:p>
    <w:tbl>
      <w:tblPr>
        <w:tblW w:w="5000" w:type="pct"/>
        <w:tblCellMar>
          <w:top w:w="15" w:type="dxa"/>
          <w:left w:w="15" w:type="dxa"/>
          <w:bottom w:w="15" w:type="dxa"/>
          <w:right w:w="15" w:type="dxa"/>
        </w:tblCellMar>
        <w:tblLook w:val="04A0" w:firstRow="1" w:lastRow="0" w:firstColumn="1" w:lastColumn="0" w:noHBand="0" w:noVBand="1"/>
      </w:tblPr>
      <w:tblGrid>
        <w:gridCol w:w="86"/>
        <w:gridCol w:w="426"/>
        <w:gridCol w:w="36"/>
        <w:gridCol w:w="62"/>
        <w:gridCol w:w="1676"/>
        <w:gridCol w:w="36"/>
        <w:gridCol w:w="62"/>
        <w:gridCol w:w="3655"/>
        <w:gridCol w:w="36"/>
        <w:gridCol w:w="63"/>
        <w:gridCol w:w="2162"/>
        <w:gridCol w:w="36"/>
      </w:tblGrid>
      <w:tr w:rsidR="00787570" w14:paraId="36CA3E6E" w14:textId="77777777">
        <w:tc>
          <w:tcPr>
            <w:tcW w:w="50" w:type="pct"/>
            <w:shd w:val="clear" w:color="auto" w:fill="auto"/>
            <w:vAlign w:val="bottom"/>
          </w:tcPr>
          <w:p w14:paraId="36CA3E62" w14:textId="77777777" w:rsidR="00787570" w:rsidRDefault="00787570">
            <w:pPr>
              <w:rPr>
                <w:rFonts w:ascii="宋体"/>
              </w:rPr>
            </w:pPr>
          </w:p>
        </w:tc>
        <w:tc>
          <w:tcPr>
            <w:tcW w:w="248" w:type="pct"/>
            <w:shd w:val="clear" w:color="auto" w:fill="auto"/>
            <w:vAlign w:val="bottom"/>
          </w:tcPr>
          <w:p w14:paraId="36CA3E63" w14:textId="77777777" w:rsidR="00787570" w:rsidRDefault="00787570">
            <w:pPr>
              <w:rPr>
                <w:rFonts w:ascii="宋体"/>
              </w:rPr>
            </w:pPr>
          </w:p>
        </w:tc>
        <w:tc>
          <w:tcPr>
            <w:tcW w:w="5" w:type="pct"/>
            <w:shd w:val="clear" w:color="auto" w:fill="auto"/>
            <w:vAlign w:val="bottom"/>
          </w:tcPr>
          <w:p w14:paraId="36CA3E64" w14:textId="77777777" w:rsidR="00787570" w:rsidRDefault="00787570">
            <w:pPr>
              <w:rPr>
                <w:rFonts w:ascii="宋体"/>
              </w:rPr>
            </w:pPr>
          </w:p>
        </w:tc>
        <w:tc>
          <w:tcPr>
            <w:tcW w:w="50" w:type="pct"/>
            <w:shd w:val="clear" w:color="auto" w:fill="auto"/>
            <w:vAlign w:val="bottom"/>
          </w:tcPr>
          <w:p w14:paraId="36CA3E65" w14:textId="77777777" w:rsidR="00787570" w:rsidRDefault="00787570">
            <w:pPr>
              <w:rPr>
                <w:rFonts w:ascii="宋体"/>
              </w:rPr>
            </w:pPr>
          </w:p>
        </w:tc>
        <w:tc>
          <w:tcPr>
            <w:tcW w:w="1018" w:type="pct"/>
            <w:shd w:val="clear" w:color="auto" w:fill="auto"/>
            <w:vAlign w:val="bottom"/>
          </w:tcPr>
          <w:p w14:paraId="36CA3E66" w14:textId="77777777" w:rsidR="00787570" w:rsidRDefault="00787570">
            <w:pPr>
              <w:rPr>
                <w:rFonts w:ascii="宋体"/>
              </w:rPr>
            </w:pPr>
          </w:p>
        </w:tc>
        <w:tc>
          <w:tcPr>
            <w:tcW w:w="5" w:type="pct"/>
            <w:shd w:val="clear" w:color="auto" w:fill="auto"/>
            <w:vAlign w:val="bottom"/>
          </w:tcPr>
          <w:p w14:paraId="36CA3E67" w14:textId="77777777" w:rsidR="00787570" w:rsidRDefault="00787570">
            <w:pPr>
              <w:rPr>
                <w:rFonts w:ascii="宋体"/>
              </w:rPr>
            </w:pPr>
          </w:p>
        </w:tc>
        <w:tc>
          <w:tcPr>
            <w:tcW w:w="50" w:type="pct"/>
            <w:shd w:val="clear" w:color="auto" w:fill="auto"/>
            <w:vAlign w:val="bottom"/>
          </w:tcPr>
          <w:p w14:paraId="36CA3E68" w14:textId="77777777" w:rsidR="00787570" w:rsidRDefault="00787570">
            <w:pPr>
              <w:rPr>
                <w:rFonts w:ascii="宋体"/>
              </w:rPr>
            </w:pPr>
          </w:p>
        </w:tc>
        <w:tc>
          <w:tcPr>
            <w:tcW w:w="2204" w:type="pct"/>
            <w:shd w:val="clear" w:color="auto" w:fill="auto"/>
            <w:vAlign w:val="bottom"/>
          </w:tcPr>
          <w:p w14:paraId="36CA3E69" w14:textId="77777777" w:rsidR="00787570" w:rsidRDefault="00787570">
            <w:pPr>
              <w:rPr>
                <w:rFonts w:ascii="宋体"/>
              </w:rPr>
            </w:pPr>
          </w:p>
        </w:tc>
        <w:tc>
          <w:tcPr>
            <w:tcW w:w="5" w:type="pct"/>
            <w:shd w:val="clear" w:color="auto" w:fill="auto"/>
            <w:vAlign w:val="bottom"/>
          </w:tcPr>
          <w:p w14:paraId="36CA3E6A" w14:textId="77777777" w:rsidR="00787570" w:rsidRDefault="00787570">
            <w:pPr>
              <w:rPr>
                <w:rFonts w:ascii="宋体"/>
              </w:rPr>
            </w:pPr>
          </w:p>
        </w:tc>
        <w:tc>
          <w:tcPr>
            <w:tcW w:w="50" w:type="pct"/>
            <w:shd w:val="clear" w:color="auto" w:fill="auto"/>
            <w:vAlign w:val="bottom"/>
          </w:tcPr>
          <w:p w14:paraId="36CA3E6B" w14:textId="77777777" w:rsidR="00787570" w:rsidRDefault="00787570">
            <w:pPr>
              <w:rPr>
                <w:rFonts w:ascii="宋体"/>
              </w:rPr>
            </w:pPr>
          </w:p>
        </w:tc>
        <w:tc>
          <w:tcPr>
            <w:tcW w:w="1308" w:type="pct"/>
            <w:shd w:val="clear" w:color="auto" w:fill="auto"/>
            <w:vAlign w:val="bottom"/>
          </w:tcPr>
          <w:p w14:paraId="36CA3E6C" w14:textId="77777777" w:rsidR="00787570" w:rsidRDefault="00787570">
            <w:pPr>
              <w:rPr>
                <w:rFonts w:ascii="宋体"/>
              </w:rPr>
            </w:pPr>
          </w:p>
        </w:tc>
        <w:tc>
          <w:tcPr>
            <w:tcW w:w="5" w:type="pct"/>
            <w:shd w:val="clear" w:color="auto" w:fill="auto"/>
            <w:vAlign w:val="bottom"/>
          </w:tcPr>
          <w:p w14:paraId="36CA3E6D" w14:textId="77777777" w:rsidR="00787570" w:rsidRDefault="00787570">
            <w:pPr>
              <w:rPr>
                <w:rFonts w:ascii="宋体"/>
              </w:rPr>
            </w:pPr>
          </w:p>
        </w:tc>
      </w:tr>
      <w:tr w:rsidR="00787570" w14:paraId="36CA3E73" w14:textId="77777777">
        <w:tc>
          <w:tcPr>
            <w:tcW w:w="0" w:type="auto"/>
            <w:gridSpan w:val="3"/>
            <w:tcBorders>
              <w:top w:val="single" w:sz="8" w:space="0" w:color="0071C5"/>
            </w:tcBorders>
            <w:shd w:val="clear" w:color="auto" w:fill="auto"/>
            <w:tcMar>
              <w:left w:w="20" w:type="dxa"/>
              <w:right w:w="20" w:type="dxa"/>
            </w:tcMar>
            <w:vAlign w:val="center"/>
          </w:tcPr>
          <w:p w14:paraId="36CA3E6F" w14:textId="77777777" w:rsidR="00787570" w:rsidRDefault="000D56E2">
            <w:pPr>
              <w:textAlignment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Viewer9_files/intc-20200926_g2.jpg"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36CA5C24" wp14:editId="36CA5C25">
                  <wp:extent cx="304800" cy="304800"/>
                  <wp:effectExtent l="0" t="0" r="0" b="0"/>
                  <wp:docPr id="27" name="图片 81" descr="IMG_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81" descr="IMG_329"/>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8" w:space="0" w:color="0071C5"/>
            </w:tcBorders>
            <w:shd w:val="clear" w:color="auto" w:fill="auto"/>
            <w:tcMar>
              <w:top w:w="40" w:type="dxa"/>
              <w:left w:w="20" w:type="dxa"/>
              <w:bottom w:w="40" w:type="dxa"/>
              <w:right w:w="20" w:type="dxa"/>
            </w:tcMar>
            <w:vAlign w:val="center"/>
          </w:tcPr>
          <w:p w14:paraId="36CA3E70" w14:textId="77777777" w:rsidR="00787570" w:rsidRDefault="000D56E2">
            <w:pPr>
              <w:textAlignment w:val="center"/>
            </w:pPr>
            <w:r>
              <w:rPr>
                <w:rFonts w:ascii="Arial" w:eastAsia="宋体" w:hAnsi="Arial" w:cs="Arial"/>
                <w:color w:val="333333"/>
                <w:sz w:val="16"/>
                <w:szCs w:val="16"/>
              </w:rPr>
              <w:t> FINANCIAL STATEMENTS</w:t>
            </w:r>
          </w:p>
        </w:tc>
        <w:tc>
          <w:tcPr>
            <w:tcW w:w="0" w:type="auto"/>
            <w:gridSpan w:val="3"/>
            <w:tcBorders>
              <w:top w:val="single" w:sz="8" w:space="0" w:color="0071C5"/>
              <w:left w:val="single" w:sz="24" w:space="0" w:color="0071C5"/>
            </w:tcBorders>
            <w:shd w:val="clear" w:color="auto" w:fill="auto"/>
            <w:tcMar>
              <w:top w:w="40" w:type="dxa"/>
              <w:left w:w="20" w:type="dxa"/>
              <w:bottom w:w="40" w:type="dxa"/>
              <w:right w:w="20" w:type="dxa"/>
            </w:tcMar>
            <w:vAlign w:val="center"/>
          </w:tcPr>
          <w:p w14:paraId="36CA3E71" w14:textId="77777777" w:rsidR="00787570" w:rsidRDefault="000D56E2">
            <w:pPr>
              <w:textAlignment w:val="center"/>
            </w:pPr>
            <w:r>
              <w:rPr>
                <w:rFonts w:ascii="Arial" w:eastAsia="宋体" w:hAnsi="Arial" w:cs="Arial"/>
                <w:color w:val="333333"/>
                <w:sz w:val="16"/>
                <w:szCs w:val="16"/>
              </w:rPr>
              <w:t>  Notes to Financial Statements</w:t>
            </w:r>
          </w:p>
        </w:tc>
        <w:tc>
          <w:tcPr>
            <w:tcW w:w="0" w:type="auto"/>
            <w:gridSpan w:val="3"/>
            <w:tcBorders>
              <w:top w:val="single" w:sz="8" w:space="0" w:color="0071C5"/>
            </w:tcBorders>
            <w:shd w:val="clear" w:color="auto" w:fill="auto"/>
            <w:tcMar>
              <w:top w:w="40" w:type="dxa"/>
              <w:left w:w="20" w:type="dxa"/>
              <w:bottom w:w="40" w:type="dxa"/>
              <w:right w:w="20" w:type="dxa"/>
            </w:tcMar>
            <w:vAlign w:val="center"/>
          </w:tcPr>
          <w:p w14:paraId="36CA3E72" w14:textId="77777777" w:rsidR="00787570" w:rsidRDefault="000D56E2">
            <w:pPr>
              <w:jc w:val="right"/>
              <w:textAlignment w:val="center"/>
            </w:pPr>
            <w:r>
              <w:rPr>
                <w:rFonts w:ascii="Arial" w:eastAsia="宋体" w:hAnsi="Arial" w:cs="Arial"/>
                <w:color w:val="333333"/>
                <w:sz w:val="16"/>
                <w:szCs w:val="16"/>
              </w:rPr>
              <w:t>21</w:t>
            </w:r>
          </w:p>
        </w:tc>
      </w:tr>
    </w:tbl>
    <w:p w14:paraId="36CA3E74" w14:textId="77777777" w:rsidR="00787570" w:rsidRDefault="000D56E2">
      <w:r>
        <w:pict w14:anchorId="36CA5C26">
          <v:rect id="_x0000_i1047" style="width:415.3pt;height:1.5pt" o:hralign="center" o:hrstd="t" o:hr="t" fillcolor="#a0a0a0" stroked="f"/>
        </w:pict>
      </w:r>
    </w:p>
    <w:p w14:paraId="36CA3E75" w14:textId="77777777" w:rsidR="00787570" w:rsidRDefault="000D56E2">
      <w:pPr>
        <w:spacing w:after="180"/>
        <w:jc w:val="right"/>
      </w:pPr>
      <w:hyperlink r:id="rId49" w:anchor="i32771df14e9449d2bec5be911426bf04_7" w:history="1">
        <w:r>
          <w:rPr>
            <w:rStyle w:val="a5"/>
            <w:rFonts w:ascii="Arial" w:eastAsia="宋体" w:hAnsi="Arial" w:cs="Arial"/>
            <w:b/>
            <w:bCs/>
            <w:sz w:val="16"/>
            <w:szCs w:val="16"/>
          </w:rPr>
          <w:t>Table of Contents</w:t>
        </w:r>
      </w:hyperlink>
    </w:p>
    <w:p w14:paraId="36CA3E76" w14:textId="77777777" w:rsidR="00787570" w:rsidRDefault="00787570">
      <w:pPr>
        <w:spacing w:after="180"/>
        <w:jc w:val="right"/>
      </w:pPr>
    </w:p>
    <w:p w14:paraId="36CA3E77" w14:textId="77777777" w:rsidR="00787570" w:rsidRDefault="000D56E2">
      <w:pPr>
        <w:spacing w:after="180"/>
      </w:pPr>
      <w:r>
        <w:rPr>
          <w:rFonts w:ascii="Arial" w:eastAsia="宋体" w:hAnsi="Arial" w:cs="Arial"/>
          <w:b/>
          <w:bCs/>
          <w:color w:val="0071C5"/>
        </w:rPr>
        <w:t>AMOUNTS OFFSET IN THE CONSOLIDATED CONDENSED BALANCE SHEETS</w:t>
      </w:r>
    </w:p>
    <w:p w14:paraId="36CA3E78" w14:textId="77777777" w:rsidR="00787570" w:rsidRDefault="000D56E2">
      <w:pPr>
        <w:spacing w:after="120"/>
      </w:pPr>
      <w:r>
        <w:rPr>
          <w:rFonts w:ascii="Arial" w:eastAsia="宋体" w:hAnsi="Arial" w:cs="Arial"/>
          <w:color w:val="333333"/>
          <w:sz w:val="18"/>
          <w:szCs w:val="18"/>
        </w:rPr>
        <w:t xml:space="preserve">The gross amounts of </w:t>
      </w:r>
      <w:r>
        <w:rPr>
          <w:rFonts w:ascii="Arial" w:eastAsia="宋体" w:hAnsi="Arial" w:cs="Arial"/>
          <w:color w:val="333333"/>
          <w:sz w:val="18"/>
          <w:szCs w:val="18"/>
        </w:rPr>
        <w:t>our derivative instruments and reverse repurchase agreements subject to master netting arrangements with various counterparties, and cash and non-cash collateral posted under such agreements at the end of each period were as follows:</w:t>
      </w:r>
    </w:p>
    <w:tbl>
      <w:tblPr>
        <w:tblW w:w="4986" w:type="pct"/>
        <w:tblCellMar>
          <w:top w:w="15" w:type="dxa"/>
          <w:left w:w="15" w:type="dxa"/>
          <w:bottom w:w="15" w:type="dxa"/>
          <w:right w:w="15" w:type="dxa"/>
        </w:tblCellMar>
        <w:tblLook w:val="04A0" w:firstRow="1" w:lastRow="0" w:firstColumn="1" w:lastColumn="0" w:noHBand="0" w:noVBand="1"/>
      </w:tblPr>
      <w:tblGrid>
        <w:gridCol w:w="49"/>
        <w:gridCol w:w="1125"/>
        <w:gridCol w:w="35"/>
        <w:gridCol w:w="36"/>
        <w:gridCol w:w="35"/>
        <w:gridCol w:w="35"/>
        <w:gridCol w:w="129"/>
        <w:gridCol w:w="883"/>
        <w:gridCol w:w="40"/>
        <w:gridCol w:w="36"/>
        <w:gridCol w:w="35"/>
        <w:gridCol w:w="35"/>
        <w:gridCol w:w="129"/>
        <w:gridCol w:w="689"/>
        <w:gridCol w:w="41"/>
        <w:gridCol w:w="36"/>
        <w:gridCol w:w="36"/>
        <w:gridCol w:w="36"/>
        <w:gridCol w:w="130"/>
        <w:gridCol w:w="766"/>
        <w:gridCol w:w="41"/>
        <w:gridCol w:w="36"/>
        <w:gridCol w:w="36"/>
        <w:gridCol w:w="36"/>
        <w:gridCol w:w="130"/>
        <w:gridCol w:w="901"/>
        <w:gridCol w:w="42"/>
        <w:gridCol w:w="36"/>
        <w:gridCol w:w="36"/>
        <w:gridCol w:w="36"/>
        <w:gridCol w:w="130"/>
        <w:gridCol w:w="749"/>
        <w:gridCol w:w="42"/>
        <w:gridCol w:w="36"/>
        <w:gridCol w:w="36"/>
        <w:gridCol w:w="36"/>
        <w:gridCol w:w="130"/>
        <w:gridCol w:w="606"/>
        <w:gridCol w:w="41"/>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tblGrid>
      <w:tr w:rsidR="00787570" w14:paraId="36CA3EA0" w14:textId="77777777">
        <w:trPr>
          <w:gridAfter w:val="24"/>
        </w:trPr>
        <w:tc>
          <w:tcPr>
            <w:tcW w:w="50" w:type="pct"/>
            <w:shd w:val="clear" w:color="auto" w:fill="auto"/>
          </w:tcPr>
          <w:p w14:paraId="36CA3E79" w14:textId="77777777" w:rsidR="00787570" w:rsidRDefault="00787570">
            <w:pPr>
              <w:rPr>
                <w:rFonts w:ascii="宋体"/>
              </w:rPr>
            </w:pPr>
          </w:p>
        </w:tc>
        <w:tc>
          <w:tcPr>
            <w:tcW w:w="1451" w:type="pct"/>
            <w:shd w:val="clear" w:color="auto" w:fill="auto"/>
          </w:tcPr>
          <w:p w14:paraId="36CA3E7A" w14:textId="77777777" w:rsidR="00787570" w:rsidRDefault="00787570">
            <w:pPr>
              <w:rPr>
                <w:rFonts w:ascii="宋体"/>
              </w:rPr>
            </w:pPr>
          </w:p>
        </w:tc>
        <w:tc>
          <w:tcPr>
            <w:tcW w:w="5" w:type="pct"/>
            <w:shd w:val="clear" w:color="auto" w:fill="auto"/>
          </w:tcPr>
          <w:p w14:paraId="36CA3E7B" w14:textId="77777777" w:rsidR="00787570" w:rsidRDefault="00787570">
            <w:pPr>
              <w:rPr>
                <w:rFonts w:ascii="宋体"/>
              </w:rPr>
            </w:pPr>
          </w:p>
        </w:tc>
        <w:tc>
          <w:tcPr>
            <w:tcW w:w="5" w:type="pct"/>
            <w:shd w:val="clear" w:color="auto" w:fill="auto"/>
          </w:tcPr>
          <w:p w14:paraId="36CA3E7C" w14:textId="77777777" w:rsidR="00787570" w:rsidRDefault="00787570">
            <w:pPr>
              <w:rPr>
                <w:rFonts w:ascii="宋体"/>
              </w:rPr>
            </w:pPr>
          </w:p>
        </w:tc>
        <w:tc>
          <w:tcPr>
            <w:tcW w:w="24" w:type="pct"/>
            <w:shd w:val="clear" w:color="auto" w:fill="auto"/>
          </w:tcPr>
          <w:p w14:paraId="36CA3E7D" w14:textId="77777777" w:rsidR="00787570" w:rsidRDefault="00787570">
            <w:pPr>
              <w:rPr>
                <w:rFonts w:ascii="宋体"/>
              </w:rPr>
            </w:pPr>
          </w:p>
        </w:tc>
        <w:tc>
          <w:tcPr>
            <w:tcW w:w="5" w:type="pct"/>
            <w:shd w:val="clear" w:color="auto" w:fill="auto"/>
          </w:tcPr>
          <w:p w14:paraId="36CA3E7E" w14:textId="77777777" w:rsidR="00787570" w:rsidRDefault="00787570">
            <w:pPr>
              <w:rPr>
                <w:rFonts w:ascii="宋体"/>
              </w:rPr>
            </w:pPr>
          </w:p>
        </w:tc>
        <w:tc>
          <w:tcPr>
            <w:tcW w:w="50" w:type="pct"/>
            <w:shd w:val="clear" w:color="auto" w:fill="auto"/>
          </w:tcPr>
          <w:p w14:paraId="36CA3E7F" w14:textId="77777777" w:rsidR="00787570" w:rsidRDefault="00787570">
            <w:pPr>
              <w:rPr>
                <w:rFonts w:ascii="宋体"/>
              </w:rPr>
            </w:pPr>
          </w:p>
        </w:tc>
        <w:tc>
          <w:tcPr>
            <w:tcW w:w="492" w:type="pct"/>
            <w:shd w:val="clear" w:color="auto" w:fill="auto"/>
          </w:tcPr>
          <w:p w14:paraId="36CA3E80" w14:textId="77777777" w:rsidR="00787570" w:rsidRDefault="00787570">
            <w:pPr>
              <w:rPr>
                <w:rFonts w:ascii="宋体"/>
              </w:rPr>
            </w:pPr>
          </w:p>
        </w:tc>
        <w:tc>
          <w:tcPr>
            <w:tcW w:w="5" w:type="pct"/>
            <w:shd w:val="clear" w:color="auto" w:fill="auto"/>
          </w:tcPr>
          <w:p w14:paraId="36CA3E81" w14:textId="77777777" w:rsidR="00787570" w:rsidRDefault="00787570">
            <w:pPr>
              <w:rPr>
                <w:rFonts w:ascii="宋体"/>
              </w:rPr>
            </w:pPr>
          </w:p>
        </w:tc>
        <w:tc>
          <w:tcPr>
            <w:tcW w:w="5" w:type="pct"/>
            <w:shd w:val="clear" w:color="auto" w:fill="auto"/>
          </w:tcPr>
          <w:p w14:paraId="36CA3E82" w14:textId="77777777" w:rsidR="00787570" w:rsidRDefault="00787570">
            <w:pPr>
              <w:rPr>
                <w:rFonts w:ascii="宋体"/>
              </w:rPr>
            </w:pPr>
          </w:p>
        </w:tc>
        <w:tc>
          <w:tcPr>
            <w:tcW w:w="24" w:type="pct"/>
            <w:shd w:val="clear" w:color="auto" w:fill="auto"/>
          </w:tcPr>
          <w:p w14:paraId="36CA3E83" w14:textId="77777777" w:rsidR="00787570" w:rsidRDefault="00787570">
            <w:pPr>
              <w:rPr>
                <w:rFonts w:ascii="宋体"/>
              </w:rPr>
            </w:pPr>
          </w:p>
        </w:tc>
        <w:tc>
          <w:tcPr>
            <w:tcW w:w="5" w:type="pct"/>
            <w:shd w:val="clear" w:color="auto" w:fill="auto"/>
          </w:tcPr>
          <w:p w14:paraId="36CA3E84" w14:textId="77777777" w:rsidR="00787570" w:rsidRDefault="00787570">
            <w:pPr>
              <w:rPr>
                <w:rFonts w:ascii="宋体"/>
              </w:rPr>
            </w:pPr>
          </w:p>
        </w:tc>
        <w:tc>
          <w:tcPr>
            <w:tcW w:w="50" w:type="pct"/>
            <w:shd w:val="clear" w:color="auto" w:fill="auto"/>
          </w:tcPr>
          <w:p w14:paraId="36CA3E85" w14:textId="77777777" w:rsidR="00787570" w:rsidRDefault="00787570">
            <w:pPr>
              <w:rPr>
                <w:rFonts w:ascii="宋体"/>
              </w:rPr>
            </w:pPr>
          </w:p>
        </w:tc>
        <w:tc>
          <w:tcPr>
            <w:tcW w:w="492" w:type="pct"/>
            <w:shd w:val="clear" w:color="auto" w:fill="auto"/>
          </w:tcPr>
          <w:p w14:paraId="36CA3E86" w14:textId="77777777" w:rsidR="00787570" w:rsidRDefault="00787570">
            <w:pPr>
              <w:rPr>
                <w:rFonts w:ascii="宋体"/>
              </w:rPr>
            </w:pPr>
          </w:p>
        </w:tc>
        <w:tc>
          <w:tcPr>
            <w:tcW w:w="5" w:type="pct"/>
            <w:shd w:val="clear" w:color="auto" w:fill="auto"/>
          </w:tcPr>
          <w:p w14:paraId="36CA3E87" w14:textId="77777777" w:rsidR="00787570" w:rsidRDefault="00787570">
            <w:pPr>
              <w:rPr>
                <w:rFonts w:ascii="宋体"/>
              </w:rPr>
            </w:pPr>
          </w:p>
        </w:tc>
        <w:tc>
          <w:tcPr>
            <w:tcW w:w="5" w:type="pct"/>
            <w:shd w:val="clear" w:color="auto" w:fill="auto"/>
          </w:tcPr>
          <w:p w14:paraId="36CA3E88" w14:textId="77777777" w:rsidR="00787570" w:rsidRDefault="00787570">
            <w:pPr>
              <w:rPr>
                <w:rFonts w:ascii="宋体"/>
              </w:rPr>
            </w:pPr>
          </w:p>
        </w:tc>
        <w:tc>
          <w:tcPr>
            <w:tcW w:w="24" w:type="pct"/>
            <w:shd w:val="clear" w:color="auto" w:fill="auto"/>
          </w:tcPr>
          <w:p w14:paraId="36CA3E89" w14:textId="77777777" w:rsidR="00787570" w:rsidRDefault="00787570">
            <w:pPr>
              <w:rPr>
                <w:rFonts w:ascii="宋体"/>
              </w:rPr>
            </w:pPr>
          </w:p>
        </w:tc>
        <w:tc>
          <w:tcPr>
            <w:tcW w:w="5" w:type="pct"/>
            <w:shd w:val="clear" w:color="auto" w:fill="auto"/>
          </w:tcPr>
          <w:p w14:paraId="36CA3E8A" w14:textId="77777777" w:rsidR="00787570" w:rsidRDefault="00787570">
            <w:pPr>
              <w:rPr>
                <w:rFonts w:ascii="宋体"/>
              </w:rPr>
            </w:pPr>
          </w:p>
        </w:tc>
        <w:tc>
          <w:tcPr>
            <w:tcW w:w="50" w:type="pct"/>
            <w:shd w:val="clear" w:color="auto" w:fill="auto"/>
          </w:tcPr>
          <w:p w14:paraId="36CA3E8B" w14:textId="77777777" w:rsidR="00787570" w:rsidRDefault="00787570">
            <w:pPr>
              <w:rPr>
                <w:rFonts w:ascii="宋体"/>
              </w:rPr>
            </w:pPr>
          </w:p>
        </w:tc>
        <w:tc>
          <w:tcPr>
            <w:tcW w:w="492" w:type="pct"/>
            <w:shd w:val="clear" w:color="auto" w:fill="auto"/>
          </w:tcPr>
          <w:p w14:paraId="36CA3E8C" w14:textId="77777777" w:rsidR="00787570" w:rsidRDefault="00787570">
            <w:pPr>
              <w:rPr>
                <w:rFonts w:ascii="宋体"/>
              </w:rPr>
            </w:pPr>
          </w:p>
        </w:tc>
        <w:tc>
          <w:tcPr>
            <w:tcW w:w="5" w:type="pct"/>
            <w:shd w:val="clear" w:color="auto" w:fill="auto"/>
          </w:tcPr>
          <w:p w14:paraId="36CA3E8D" w14:textId="77777777" w:rsidR="00787570" w:rsidRDefault="00787570">
            <w:pPr>
              <w:rPr>
                <w:rFonts w:ascii="宋体"/>
              </w:rPr>
            </w:pPr>
          </w:p>
        </w:tc>
        <w:tc>
          <w:tcPr>
            <w:tcW w:w="5" w:type="pct"/>
            <w:shd w:val="clear" w:color="auto" w:fill="auto"/>
          </w:tcPr>
          <w:p w14:paraId="36CA3E8E" w14:textId="77777777" w:rsidR="00787570" w:rsidRDefault="00787570">
            <w:pPr>
              <w:rPr>
                <w:rFonts w:ascii="宋体"/>
              </w:rPr>
            </w:pPr>
          </w:p>
        </w:tc>
        <w:tc>
          <w:tcPr>
            <w:tcW w:w="24" w:type="pct"/>
            <w:shd w:val="clear" w:color="auto" w:fill="auto"/>
          </w:tcPr>
          <w:p w14:paraId="36CA3E8F" w14:textId="77777777" w:rsidR="00787570" w:rsidRDefault="00787570">
            <w:pPr>
              <w:rPr>
                <w:rFonts w:ascii="宋体"/>
              </w:rPr>
            </w:pPr>
          </w:p>
        </w:tc>
        <w:tc>
          <w:tcPr>
            <w:tcW w:w="5" w:type="pct"/>
            <w:shd w:val="clear" w:color="auto" w:fill="auto"/>
          </w:tcPr>
          <w:p w14:paraId="36CA3E90" w14:textId="77777777" w:rsidR="00787570" w:rsidRDefault="00787570">
            <w:pPr>
              <w:rPr>
                <w:rFonts w:ascii="宋体"/>
              </w:rPr>
            </w:pPr>
          </w:p>
        </w:tc>
        <w:tc>
          <w:tcPr>
            <w:tcW w:w="50" w:type="pct"/>
            <w:shd w:val="clear" w:color="auto" w:fill="auto"/>
          </w:tcPr>
          <w:p w14:paraId="36CA3E91" w14:textId="77777777" w:rsidR="00787570" w:rsidRDefault="00787570">
            <w:pPr>
              <w:rPr>
                <w:rFonts w:ascii="宋体"/>
              </w:rPr>
            </w:pPr>
          </w:p>
        </w:tc>
        <w:tc>
          <w:tcPr>
            <w:tcW w:w="492" w:type="pct"/>
            <w:shd w:val="clear" w:color="auto" w:fill="auto"/>
          </w:tcPr>
          <w:p w14:paraId="36CA3E92" w14:textId="77777777" w:rsidR="00787570" w:rsidRDefault="00787570">
            <w:pPr>
              <w:rPr>
                <w:rFonts w:ascii="宋体"/>
              </w:rPr>
            </w:pPr>
          </w:p>
        </w:tc>
        <w:tc>
          <w:tcPr>
            <w:tcW w:w="5" w:type="pct"/>
            <w:shd w:val="clear" w:color="auto" w:fill="auto"/>
          </w:tcPr>
          <w:p w14:paraId="36CA3E93" w14:textId="77777777" w:rsidR="00787570" w:rsidRDefault="00787570">
            <w:pPr>
              <w:rPr>
                <w:rFonts w:ascii="宋体"/>
              </w:rPr>
            </w:pPr>
          </w:p>
        </w:tc>
        <w:tc>
          <w:tcPr>
            <w:tcW w:w="5" w:type="pct"/>
            <w:shd w:val="clear" w:color="auto" w:fill="auto"/>
          </w:tcPr>
          <w:p w14:paraId="36CA3E94" w14:textId="77777777" w:rsidR="00787570" w:rsidRDefault="00787570">
            <w:pPr>
              <w:rPr>
                <w:rFonts w:ascii="宋体"/>
              </w:rPr>
            </w:pPr>
          </w:p>
        </w:tc>
        <w:tc>
          <w:tcPr>
            <w:tcW w:w="24" w:type="pct"/>
            <w:shd w:val="clear" w:color="auto" w:fill="auto"/>
          </w:tcPr>
          <w:p w14:paraId="36CA3E95" w14:textId="77777777" w:rsidR="00787570" w:rsidRDefault="00787570">
            <w:pPr>
              <w:rPr>
                <w:rFonts w:ascii="宋体"/>
              </w:rPr>
            </w:pPr>
          </w:p>
        </w:tc>
        <w:tc>
          <w:tcPr>
            <w:tcW w:w="5" w:type="pct"/>
            <w:shd w:val="clear" w:color="auto" w:fill="auto"/>
          </w:tcPr>
          <w:p w14:paraId="36CA3E96" w14:textId="77777777" w:rsidR="00787570" w:rsidRDefault="00787570">
            <w:pPr>
              <w:rPr>
                <w:rFonts w:ascii="宋体"/>
              </w:rPr>
            </w:pPr>
          </w:p>
        </w:tc>
        <w:tc>
          <w:tcPr>
            <w:tcW w:w="50" w:type="pct"/>
            <w:shd w:val="clear" w:color="auto" w:fill="auto"/>
          </w:tcPr>
          <w:p w14:paraId="36CA3E97" w14:textId="77777777" w:rsidR="00787570" w:rsidRDefault="00787570">
            <w:pPr>
              <w:rPr>
                <w:rFonts w:ascii="宋体"/>
              </w:rPr>
            </w:pPr>
          </w:p>
        </w:tc>
        <w:tc>
          <w:tcPr>
            <w:tcW w:w="492" w:type="pct"/>
            <w:shd w:val="clear" w:color="auto" w:fill="auto"/>
          </w:tcPr>
          <w:p w14:paraId="36CA3E98" w14:textId="77777777" w:rsidR="00787570" w:rsidRDefault="00787570">
            <w:pPr>
              <w:rPr>
                <w:rFonts w:ascii="宋体"/>
              </w:rPr>
            </w:pPr>
          </w:p>
        </w:tc>
        <w:tc>
          <w:tcPr>
            <w:tcW w:w="5" w:type="pct"/>
            <w:shd w:val="clear" w:color="auto" w:fill="auto"/>
          </w:tcPr>
          <w:p w14:paraId="36CA3E99" w14:textId="77777777" w:rsidR="00787570" w:rsidRDefault="00787570">
            <w:pPr>
              <w:rPr>
                <w:rFonts w:ascii="宋体"/>
              </w:rPr>
            </w:pPr>
          </w:p>
        </w:tc>
        <w:tc>
          <w:tcPr>
            <w:tcW w:w="5" w:type="pct"/>
            <w:shd w:val="clear" w:color="auto" w:fill="auto"/>
          </w:tcPr>
          <w:p w14:paraId="36CA3E9A" w14:textId="77777777" w:rsidR="00787570" w:rsidRDefault="00787570">
            <w:pPr>
              <w:rPr>
                <w:rFonts w:ascii="宋体"/>
              </w:rPr>
            </w:pPr>
          </w:p>
        </w:tc>
        <w:tc>
          <w:tcPr>
            <w:tcW w:w="24" w:type="pct"/>
            <w:shd w:val="clear" w:color="auto" w:fill="auto"/>
          </w:tcPr>
          <w:p w14:paraId="36CA3E9B" w14:textId="77777777" w:rsidR="00787570" w:rsidRDefault="00787570">
            <w:pPr>
              <w:rPr>
                <w:rFonts w:ascii="宋体"/>
              </w:rPr>
            </w:pPr>
          </w:p>
        </w:tc>
        <w:tc>
          <w:tcPr>
            <w:tcW w:w="5" w:type="pct"/>
            <w:shd w:val="clear" w:color="auto" w:fill="auto"/>
          </w:tcPr>
          <w:p w14:paraId="36CA3E9C" w14:textId="77777777" w:rsidR="00787570" w:rsidRDefault="00787570">
            <w:pPr>
              <w:rPr>
                <w:rFonts w:ascii="宋体"/>
              </w:rPr>
            </w:pPr>
          </w:p>
        </w:tc>
        <w:tc>
          <w:tcPr>
            <w:tcW w:w="50" w:type="pct"/>
            <w:shd w:val="clear" w:color="auto" w:fill="auto"/>
          </w:tcPr>
          <w:p w14:paraId="36CA3E9D" w14:textId="77777777" w:rsidR="00787570" w:rsidRDefault="00787570">
            <w:pPr>
              <w:rPr>
                <w:rFonts w:ascii="宋体"/>
              </w:rPr>
            </w:pPr>
          </w:p>
        </w:tc>
        <w:tc>
          <w:tcPr>
            <w:tcW w:w="493" w:type="pct"/>
            <w:shd w:val="clear" w:color="auto" w:fill="auto"/>
          </w:tcPr>
          <w:p w14:paraId="36CA3E9E" w14:textId="77777777" w:rsidR="00787570" w:rsidRDefault="00787570">
            <w:pPr>
              <w:rPr>
                <w:rFonts w:ascii="宋体"/>
              </w:rPr>
            </w:pPr>
          </w:p>
        </w:tc>
        <w:tc>
          <w:tcPr>
            <w:tcW w:w="5" w:type="pct"/>
            <w:shd w:val="clear" w:color="auto" w:fill="auto"/>
          </w:tcPr>
          <w:p w14:paraId="36CA3E9F" w14:textId="77777777" w:rsidR="00787570" w:rsidRDefault="00787570">
            <w:pPr>
              <w:rPr>
                <w:rFonts w:ascii="宋体"/>
              </w:rPr>
            </w:pPr>
          </w:p>
        </w:tc>
      </w:tr>
      <w:tr w:rsidR="00787570" w14:paraId="36CA3EAD" w14:textId="77777777">
        <w:tc>
          <w:tcPr>
            <w:tcW w:w="0" w:type="auto"/>
            <w:gridSpan w:val="3"/>
            <w:shd w:val="clear" w:color="auto" w:fill="auto"/>
            <w:tcMar>
              <w:left w:w="20" w:type="dxa"/>
              <w:right w:w="20" w:type="dxa"/>
            </w:tcMar>
            <w:vAlign w:val="bottom"/>
          </w:tcPr>
          <w:p w14:paraId="36CA3EA1"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3EA2" w14:textId="77777777" w:rsidR="00787570" w:rsidRDefault="00787570">
            <w:pPr>
              <w:rPr>
                <w:rFonts w:ascii="宋体"/>
              </w:rPr>
            </w:pPr>
          </w:p>
        </w:tc>
        <w:tc>
          <w:tcPr>
            <w:tcW w:w="0" w:type="auto"/>
            <w:gridSpan w:val="33"/>
            <w:shd w:val="clear" w:color="auto" w:fill="auto"/>
            <w:tcMar>
              <w:top w:w="40" w:type="dxa"/>
              <w:left w:w="20" w:type="dxa"/>
              <w:bottom w:w="40" w:type="dxa"/>
              <w:right w:w="20" w:type="dxa"/>
            </w:tcMar>
            <w:vAlign w:val="bottom"/>
          </w:tcPr>
          <w:p w14:paraId="36CA3EA3" w14:textId="77777777" w:rsidR="00787570" w:rsidRDefault="000D56E2">
            <w:pPr>
              <w:jc w:val="center"/>
              <w:textAlignment w:val="bottom"/>
            </w:pPr>
            <w:r>
              <w:rPr>
                <w:rFonts w:ascii="Arial" w:eastAsia="宋体" w:hAnsi="Arial" w:cs="Arial"/>
                <w:b/>
                <w:bCs/>
                <w:color w:val="333333"/>
                <w:sz w:val="18"/>
                <w:szCs w:val="18"/>
              </w:rPr>
              <w:t>Sep 26, 2020</w:t>
            </w:r>
          </w:p>
        </w:tc>
        <w:tc>
          <w:tcPr>
            <w:tcW w:w="0" w:type="auto"/>
            <w:gridSpan w:val="3"/>
            <w:shd w:val="clear" w:color="auto" w:fill="auto"/>
          </w:tcPr>
          <w:p w14:paraId="36CA3EA4" w14:textId="77777777" w:rsidR="00787570" w:rsidRDefault="00787570">
            <w:pPr>
              <w:rPr>
                <w:rFonts w:ascii="宋体"/>
                <w:vanish/>
              </w:rPr>
            </w:pPr>
          </w:p>
        </w:tc>
        <w:tc>
          <w:tcPr>
            <w:tcW w:w="0" w:type="auto"/>
            <w:gridSpan w:val="3"/>
            <w:shd w:val="clear" w:color="auto" w:fill="auto"/>
          </w:tcPr>
          <w:p w14:paraId="36CA3EA5" w14:textId="77777777" w:rsidR="00787570" w:rsidRDefault="00787570">
            <w:pPr>
              <w:rPr>
                <w:rFonts w:ascii="宋体"/>
                <w:vanish/>
              </w:rPr>
            </w:pPr>
          </w:p>
        </w:tc>
        <w:tc>
          <w:tcPr>
            <w:tcW w:w="0" w:type="auto"/>
            <w:gridSpan w:val="3"/>
            <w:shd w:val="clear" w:color="auto" w:fill="auto"/>
          </w:tcPr>
          <w:p w14:paraId="36CA3EA6" w14:textId="77777777" w:rsidR="00787570" w:rsidRDefault="00787570">
            <w:pPr>
              <w:rPr>
                <w:rFonts w:ascii="宋体"/>
                <w:vanish/>
              </w:rPr>
            </w:pPr>
          </w:p>
        </w:tc>
        <w:tc>
          <w:tcPr>
            <w:tcW w:w="0" w:type="auto"/>
            <w:gridSpan w:val="3"/>
            <w:shd w:val="clear" w:color="auto" w:fill="auto"/>
          </w:tcPr>
          <w:p w14:paraId="36CA3EA7" w14:textId="77777777" w:rsidR="00787570" w:rsidRDefault="00787570">
            <w:pPr>
              <w:rPr>
                <w:rFonts w:ascii="宋体"/>
                <w:vanish/>
              </w:rPr>
            </w:pPr>
          </w:p>
        </w:tc>
        <w:tc>
          <w:tcPr>
            <w:tcW w:w="0" w:type="auto"/>
            <w:gridSpan w:val="3"/>
            <w:shd w:val="clear" w:color="auto" w:fill="auto"/>
          </w:tcPr>
          <w:p w14:paraId="36CA3EA8" w14:textId="77777777" w:rsidR="00787570" w:rsidRDefault="00787570">
            <w:pPr>
              <w:rPr>
                <w:rFonts w:ascii="宋体"/>
                <w:vanish/>
              </w:rPr>
            </w:pPr>
          </w:p>
        </w:tc>
        <w:tc>
          <w:tcPr>
            <w:tcW w:w="0" w:type="auto"/>
            <w:gridSpan w:val="3"/>
            <w:shd w:val="clear" w:color="auto" w:fill="auto"/>
          </w:tcPr>
          <w:p w14:paraId="36CA3EA9" w14:textId="77777777" w:rsidR="00787570" w:rsidRDefault="00787570">
            <w:pPr>
              <w:rPr>
                <w:rFonts w:ascii="宋体"/>
                <w:vanish/>
              </w:rPr>
            </w:pPr>
          </w:p>
        </w:tc>
        <w:tc>
          <w:tcPr>
            <w:tcW w:w="0" w:type="auto"/>
            <w:gridSpan w:val="3"/>
            <w:shd w:val="clear" w:color="auto" w:fill="auto"/>
          </w:tcPr>
          <w:p w14:paraId="36CA3EAA" w14:textId="77777777" w:rsidR="00787570" w:rsidRDefault="00787570">
            <w:pPr>
              <w:rPr>
                <w:rFonts w:ascii="宋体"/>
                <w:vanish/>
              </w:rPr>
            </w:pPr>
          </w:p>
        </w:tc>
        <w:tc>
          <w:tcPr>
            <w:tcW w:w="0" w:type="auto"/>
            <w:gridSpan w:val="2"/>
            <w:shd w:val="clear" w:color="auto" w:fill="auto"/>
          </w:tcPr>
          <w:p w14:paraId="36CA3EAB" w14:textId="77777777" w:rsidR="00787570" w:rsidRDefault="00787570">
            <w:pPr>
              <w:rPr>
                <w:rFonts w:ascii="宋体"/>
                <w:vanish/>
              </w:rPr>
            </w:pPr>
          </w:p>
        </w:tc>
        <w:tc>
          <w:tcPr>
            <w:tcW w:w="0" w:type="auto"/>
            <w:shd w:val="clear" w:color="auto" w:fill="auto"/>
          </w:tcPr>
          <w:p w14:paraId="36CA3EAC" w14:textId="77777777" w:rsidR="00787570" w:rsidRDefault="00787570">
            <w:pPr>
              <w:rPr>
                <w:rFonts w:ascii="宋体"/>
                <w:vanish/>
              </w:rPr>
            </w:pPr>
          </w:p>
        </w:tc>
      </w:tr>
      <w:tr w:rsidR="00787570" w14:paraId="36CA3ECD" w14:textId="77777777">
        <w:tc>
          <w:tcPr>
            <w:tcW w:w="0" w:type="auto"/>
            <w:gridSpan w:val="3"/>
            <w:shd w:val="clear" w:color="auto" w:fill="auto"/>
            <w:tcMar>
              <w:left w:w="20" w:type="dxa"/>
              <w:right w:w="20" w:type="dxa"/>
            </w:tcMar>
            <w:vAlign w:val="bottom"/>
          </w:tcPr>
          <w:p w14:paraId="36CA3EAE"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3EAF" w14:textId="77777777" w:rsidR="00787570" w:rsidRDefault="00787570">
            <w:pPr>
              <w:rPr>
                <w:rFonts w:ascii="宋体"/>
              </w:rPr>
            </w:pPr>
          </w:p>
        </w:tc>
        <w:tc>
          <w:tcPr>
            <w:tcW w:w="0" w:type="auto"/>
            <w:gridSpan w:val="3"/>
            <w:tcBorders>
              <w:top w:val="single" w:sz="8" w:space="0" w:color="0071C5"/>
            </w:tcBorders>
            <w:shd w:val="clear" w:color="auto" w:fill="auto"/>
            <w:tcMar>
              <w:left w:w="20" w:type="dxa"/>
              <w:right w:w="20" w:type="dxa"/>
            </w:tcMar>
            <w:vAlign w:val="bottom"/>
          </w:tcPr>
          <w:p w14:paraId="36CA3EB0" w14:textId="77777777" w:rsidR="00787570" w:rsidRDefault="00787570">
            <w:pPr>
              <w:rPr>
                <w:rFonts w:ascii="宋体"/>
              </w:rPr>
            </w:pPr>
          </w:p>
        </w:tc>
        <w:tc>
          <w:tcPr>
            <w:tcW w:w="0" w:type="auto"/>
            <w:gridSpan w:val="3"/>
            <w:tcBorders>
              <w:top w:val="single" w:sz="8" w:space="0" w:color="0071C5"/>
            </w:tcBorders>
            <w:shd w:val="clear" w:color="auto" w:fill="auto"/>
            <w:tcMar>
              <w:left w:w="20" w:type="dxa"/>
              <w:right w:w="20" w:type="dxa"/>
            </w:tcMar>
            <w:vAlign w:val="bottom"/>
          </w:tcPr>
          <w:p w14:paraId="36CA3EB1" w14:textId="77777777" w:rsidR="00787570" w:rsidRDefault="00787570">
            <w:pPr>
              <w:rPr>
                <w:rFonts w:ascii="宋体"/>
              </w:rPr>
            </w:pPr>
          </w:p>
        </w:tc>
        <w:tc>
          <w:tcPr>
            <w:tcW w:w="0" w:type="auto"/>
            <w:gridSpan w:val="3"/>
            <w:tcBorders>
              <w:top w:val="single" w:sz="8" w:space="0" w:color="0071C5"/>
            </w:tcBorders>
            <w:shd w:val="clear" w:color="auto" w:fill="auto"/>
            <w:tcMar>
              <w:left w:w="20" w:type="dxa"/>
              <w:right w:w="20" w:type="dxa"/>
            </w:tcMar>
            <w:vAlign w:val="bottom"/>
          </w:tcPr>
          <w:p w14:paraId="36CA3EB2" w14:textId="77777777" w:rsidR="00787570" w:rsidRDefault="00787570">
            <w:pPr>
              <w:rPr>
                <w:rFonts w:ascii="宋体"/>
              </w:rPr>
            </w:pPr>
          </w:p>
        </w:tc>
        <w:tc>
          <w:tcPr>
            <w:tcW w:w="0" w:type="auto"/>
            <w:gridSpan w:val="3"/>
            <w:tcBorders>
              <w:top w:val="single" w:sz="8" w:space="0" w:color="0071C5"/>
            </w:tcBorders>
            <w:shd w:val="clear" w:color="auto" w:fill="auto"/>
            <w:tcMar>
              <w:left w:w="20" w:type="dxa"/>
              <w:right w:w="20" w:type="dxa"/>
            </w:tcMar>
            <w:vAlign w:val="bottom"/>
          </w:tcPr>
          <w:p w14:paraId="36CA3EB3" w14:textId="77777777" w:rsidR="00787570" w:rsidRDefault="00787570">
            <w:pPr>
              <w:rPr>
                <w:rFonts w:ascii="宋体"/>
              </w:rPr>
            </w:pPr>
          </w:p>
        </w:tc>
        <w:tc>
          <w:tcPr>
            <w:tcW w:w="0" w:type="auto"/>
            <w:gridSpan w:val="3"/>
            <w:tcBorders>
              <w:top w:val="single" w:sz="8" w:space="0" w:color="0071C5"/>
            </w:tcBorders>
            <w:shd w:val="clear" w:color="auto" w:fill="auto"/>
            <w:tcMar>
              <w:left w:w="20" w:type="dxa"/>
              <w:right w:w="20" w:type="dxa"/>
            </w:tcMar>
            <w:vAlign w:val="bottom"/>
          </w:tcPr>
          <w:p w14:paraId="36CA3EB4" w14:textId="77777777" w:rsidR="00787570" w:rsidRDefault="00787570">
            <w:pPr>
              <w:rPr>
                <w:rFonts w:ascii="宋体"/>
              </w:rPr>
            </w:pPr>
          </w:p>
        </w:tc>
        <w:tc>
          <w:tcPr>
            <w:tcW w:w="0" w:type="auto"/>
            <w:gridSpan w:val="3"/>
            <w:tcBorders>
              <w:top w:val="single" w:sz="8" w:space="0" w:color="0071C5"/>
            </w:tcBorders>
            <w:shd w:val="clear" w:color="auto" w:fill="auto"/>
            <w:tcMar>
              <w:left w:w="20" w:type="dxa"/>
              <w:right w:w="20" w:type="dxa"/>
            </w:tcMar>
            <w:vAlign w:val="bottom"/>
          </w:tcPr>
          <w:p w14:paraId="36CA3EB5" w14:textId="77777777" w:rsidR="00787570" w:rsidRDefault="00787570">
            <w:pPr>
              <w:rPr>
                <w:rFonts w:ascii="宋体"/>
              </w:rPr>
            </w:pPr>
          </w:p>
        </w:tc>
        <w:tc>
          <w:tcPr>
            <w:tcW w:w="0" w:type="auto"/>
            <w:gridSpan w:val="9"/>
            <w:tcBorders>
              <w:top w:val="single" w:sz="8" w:space="0" w:color="0071C5"/>
            </w:tcBorders>
            <w:shd w:val="clear" w:color="auto" w:fill="auto"/>
            <w:tcMar>
              <w:top w:w="40" w:type="dxa"/>
              <w:left w:w="20" w:type="dxa"/>
              <w:bottom w:w="40" w:type="dxa"/>
              <w:right w:w="20" w:type="dxa"/>
            </w:tcMar>
            <w:vAlign w:val="bottom"/>
          </w:tcPr>
          <w:p w14:paraId="36CA3EB6" w14:textId="77777777" w:rsidR="00787570" w:rsidRDefault="000D56E2">
            <w:pPr>
              <w:jc w:val="center"/>
              <w:textAlignment w:val="bottom"/>
            </w:pPr>
            <w:r>
              <w:rPr>
                <w:rFonts w:ascii="Arial" w:eastAsia="宋体" w:hAnsi="Arial" w:cs="Arial"/>
                <w:b/>
                <w:bCs/>
                <w:color w:val="333333"/>
                <w:sz w:val="18"/>
                <w:szCs w:val="18"/>
              </w:rPr>
              <w:t xml:space="preserve">Gross Amounts Not Offset in the </w:t>
            </w:r>
            <w:r>
              <w:rPr>
                <w:rFonts w:ascii="Arial" w:eastAsia="宋体" w:hAnsi="Arial" w:cs="Arial"/>
                <w:b/>
                <w:bCs/>
                <w:color w:val="333333"/>
                <w:sz w:val="18"/>
                <w:szCs w:val="18"/>
              </w:rPr>
              <w:t>Balance Sheet</w:t>
            </w:r>
          </w:p>
        </w:tc>
        <w:tc>
          <w:tcPr>
            <w:tcW w:w="0" w:type="auto"/>
            <w:gridSpan w:val="3"/>
            <w:shd w:val="clear" w:color="auto" w:fill="auto"/>
          </w:tcPr>
          <w:p w14:paraId="36CA3EB7" w14:textId="77777777" w:rsidR="00787570" w:rsidRDefault="00787570">
            <w:pPr>
              <w:rPr>
                <w:rFonts w:ascii="宋体"/>
                <w:vanish/>
              </w:rPr>
            </w:pPr>
          </w:p>
        </w:tc>
        <w:tc>
          <w:tcPr>
            <w:tcW w:w="0" w:type="auto"/>
            <w:gridSpan w:val="3"/>
            <w:shd w:val="clear" w:color="auto" w:fill="auto"/>
          </w:tcPr>
          <w:p w14:paraId="36CA3EB8" w14:textId="77777777" w:rsidR="00787570" w:rsidRDefault="00787570">
            <w:pPr>
              <w:rPr>
                <w:rFonts w:ascii="宋体"/>
                <w:vanish/>
              </w:rPr>
            </w:pPr>
          </w:p>
        </w:tc>
        <w:tc>
          <w:tcPr>
            <w:tcW w:w="0" w:type="auto"/>
            <w:gridSpan w:val="3"/>
            <w:tcBorders>
              <w:top w:val="single" w:sz="8" w:space="0" w:color="0071C5"/>
            </w:tcBorders>
            <w:shd w:val="clear" w:color="auto" w:fill="auto"/>
            <w:tcMar>
              <w:left w:w="20" w:type="dxa"/>
              <w:right w:w="20" w:type="dxa"/>
            </w:tcMar>
            <w:vAlign w:val="bottom"/>
          </w:tcPr>
          <w:p w14:paraId="36CA3EB9" w14:textId="77777777" w:rsidR="00787570" w:rsidRDefault="00787570">
            <w:pPr>
              <w:rPr>
                <w:rFonts w:ascii="宋体"/>
              </w:rPr>
            </w:pPr>
          </w:p>
        </w:tc>
        <w:tc>
          <w:tcPr>
            <w:tcW w:w="0" w:type="auto"/>
            <w:gridSpan w:val="3"/>
            <w:tcBorders>
              <w:top w:val="single" w:sz="8" w:space="0" w:color="0071C5"/>
            </w:tcBorders>
            <w:shd w:val="clear" w:color="auto" w:fill="auto"/>
            <w:tcMar>
              <w:left w:w="20" w:type="dxa"/>
              <w:right w:w="20" w:type="dxa"/>
            </w:tcMar>
            <w:vAlign w:val="bottom"/>
          </w:tcPr>
          <w:p w14:paraId="36CA3EBA" w14:textId="77777777" w:rsidR="00787570" w:rsidRDefault="00787570">
            <w:pPr>
              <w:rPr>
                <w:rFonts w:ascii="宋体"/>
              </w:rPr>
            </w:pPr>
          </w:p>
        </w:tc>
        <w:tc>
          <w:tcPr>
            <w:tcW w:w="0" w:type="auto"/>
            <w:shd w:val="clear" w:color="auto" w:fill="auto"/>
          </w:tcPr>
          <w:p w14:paraId="36CA3EBB" w14:textId="77777777" w:rsidR="00787570" w:rsidRDefault="00787570">
            <w:pPr>
              <w:rPr>
                <w:rFonts w:ascii="宋体"/>
              </w:rPr>
            </w:pPr>
          </w:p>
        </w:tc>
        <w:tc>
          <w:tcPr>
            <w:tcW w:w="0" w:type="auto"/>
            <w:shd w:val="clear" w:color="auto" w:fill="auto"/>
          </w:tcPr>
          <w:p w14:paraId="36CA3EBC" w14:textId="77777777" w:rsidR="00787570" w:rsidRDefault="00787570">
            <w:pPr>
              <w:rPr>
                <w:rFonts w:ascii="宋体"/>
              </w:rPr>
            </w:pPr>
          </w:p>
        </w:tc>
        <w:tc>
          <w:tcPr>
            <w:tcW w:w="0" w:type="auto"/>
            <w:shd w:val="clear" w:color="auto" w:fill="auto"/>
          </w:tcPr>
          <w:p w14:paraId="36CA3EBD" w14:textId="77777777" w:rsidR="00787570" w:rsidRDefault="00787570">
            <w:pPr>
              <w:rPr>
                <w:rFonts w:ascii="宋体"/>
              </w:rPr>
            </w:pPr>
          </w:p>
        </w:tc>
        <w:tc>
          <w:tcPr>
            <w:tcW w:w="0" w:type="auto"/>
            <w:shd w:val="clear" w:color="auto" w:fill="auto"/>
          </w:tcPr>
          <w:p w14:paraId="36CA3EBE" w14:textId="77777777" w:rsidR="00787570" w:rsidRDefault="00787570">
            <w:pPr>
              <w:rPr>
                <w:rFonts w:ascii="宋体"/>
              </w:rPr>
            </w:pPr>
          </w:p>
        </w:tc>
        <w:tc>
          <w:tcPr>
            <w:tcW w:w="0" w:type="auto"/>
            <w:shd w:val="clear" w:color="auto" w:fill="auto"/>
          </w:tcPr>
          <w:p w14:paraId="36CA3EBF" w14:textId="77777777" w:rsidR="00787570" w:rsidRDefault="00787570">
            <w:pPr>
              <w:rPr>
                <w:rFonts w:ascii="宋体"/>
              </w:rPr>
            </w:pPr>
          </w:p>
        </w:tc>
        <w:tc>
          <w:tcPr>
            <w:tcW w:w="0" w:type="auto"/>
            <w:shd w:val="clear" w:color="auto" w:fill="auto"/>
          </w:tcPr>
          <w:p w14:paraId="36CA3EC0" w14:textId="77777777" w:rsidR="00787570" w:rsidRDefault="00787570">
            <w:pPr>
              <w:rPr>
                <w:rFonts w:ascii="宋体"/>
              </w:rPr>
            </w:pPr>
          </w:p>
        </w:tc>
        <w:tc>
          <w:tcPr>
            <w:tcW w:w="0" w:type="auto"/>
            <w:shd w:val="clear" w:color="auto" w:fill="auto"/>
          </w:tcPr>
          <w:p w14:paraId="36CA3EC1" w14:textId="77777777" w:rsidR="00787570" w:rsidRDefault="00787570">
            <w:pPr>
              <w:rPr>
                <w:rFonts w:ascii="宋体"/>
              </w:rPr>
            </w:pPr>
          </w:p>
        </w:tc>
        <w:tc>
          <w:tcPr>
            <w:tcW w:w="0" w:type="auto"/>
            <w:shd w:val="clear" w:color="auto" w:fill="auto"/>
          </w:tcPr>
          <w:p w14:paraId="36CA3EC2" w14:textId="77777777" w:rsidR="00787570" w:rsidRDefault="00787570">
            <w:pPr>
              <w:rPr>
                <w:rFonts w:ascii="宋体"/>
              </w:rPr>
            </w:pPr>
          </w:p>
        </w:tc>
        <w:tc>
          <w:tcPr>
            <w:tcW w:w="0" w:type="auto"/>
            <w:shd w:val="clear" w:color="auto" w:fill="auto"/>
          </w:tcPr>
          <w:p w14:paraId="36CA3EC3" w14:textId="77777777" w:rsidR="00787570" w:rsidRDefault="00787570">
            <w:pPr>
              <w:rPr>
                <w:rFonts w:ascii="宋体"/>
              </w:rPr>
            </w:pPr>
          </w:p>
        </w:tc>
        <w:tc>
          <w:tcPr>
            <w:tcW w:w="0" w:type="auto"/>
            <w:shd w:val="clear" w:color="auto" w:fill="auto"/>
          </w:tcPr>
          <w:p w14:paraId="36CA3EC4" w14:textId="77777777" w:rsidR="00787570" w:rsidRDefault="00787570">
            <w:pPr>
              <w:rPr>
                <w:rFonts w:ascii="宋体"/>
              </w:rPr>
            </w:pPr>
          </w:p>
        </w:tc>
        <w:tc>
          <w:tcPr>
            <w:tcW w:w="0" w:type="auto"/>
            <w:shd w:val="clear" w:color="auto" w:fill="auto"/>
          </w:tcPr>
          <w:p w14:paraId="36CA3EC5" w14:textId="77777777" w:rsidR="00787570" w:rsidRDefault="00787570">
            <w:pPr>
              <w:rPr>
                <w:rFonts w:ascii="宋体"/>
              </w:rPr>
            </w:pPr>
          </w:p>
        </w:tc>
        <w:tc>
          <w:tcPr>
            <w:tcW w:w="0" w:type="auto"/>
            <w:shd w:val="clear" w:color="auto" w:fill="auto"/>
          </w:tcPr>
          <w:p w14:paraId="36CA3EC6" w14:textId="77777777" w:rsidR="00787570" w:rsidRDefault="00787570">
            <w:pPr>
              <w:rPr>
                <w:rFonts w:ascii="宋体"/>
              </w:rPr>
            </w:pPr>
          </w:p>
        </w:tc>
        <w:tc>
          <w:tcPr>
            <w:tcW w:w="0" w:type="auto"/>
            <w:shd w:val="clear" w:color="auto" w:fill="auto"/>
          </w:tcPr>
          <w:p w14:paraId="36CA3EC7" w14:textId="77777777" w:rsidR="00787570" w:rsidRDefault="00787570">
            <w:pPr>
              <w:rPr>
                <w:rFonts w:ascii="宋体"/>
              </w:rPr>
            </w:pPr>
          </w:p>
        </w:tc>
        <w:tc>
          <w:tcPr>
            <w:tcW w:w="0" w:type="auto"/>
            <w:shd w:val="clear" w:color="auto" w:fill="auto"/>
          </w:tcPr>
          <w:p w14:paraId="36CA3EC8" w14:textId="77777777" w:rsidR="00787570" w:rsidRDefault="00787570">
            <w:pPr>
              <w:rPr>
                <w:rFonts w:ascii="宋体"/>
              </w:rPr>
            </w:pPr>
          </w:p>
        </w:tc>
        <w:tc>
          <w:tcPr>
            <w:tcW w:w="0" w:type="auto"/>
            <w:shd w:val="clear" w:color="auto" w:fill="auto"/>
          </w:tcPr>
          <w:p w14:paraId="36CA3EC9" w14:textId="77777777" w:rsidR="00787570" w:rsidRDefault="00787570">
            <w:pPr>
              <w:rPr>
                <w:rFonts w:ascii="宋体"/>
              </w:rPr>
            </w:pPr>
          </w:p>
        </w:tc>
        <w:tc>
          <w:tcPr>
            <w:tcW w:w="0" w:type="auto"/>
            <w:shd w:val="clear" w:color="auto" w:fill="auto"/>
          </w:tcPr>
          <w:p w14:paraId="36CA3ECA" w14:textId="77777777" w:rsidR="00787570" w:rsidRDefault="00787570">
            <w:pPr>
              <w:rPr>
                <w:rFonts w:ascii="宋体"/>
              </w:rPr>
            </w:pPr>
          </w:p>
        </w:tc>
        <w:tc>
          <w:tcPr>
            <w:tcW w:w="0" w:type="auto"/>
            <w:shd w:val="clear" w:color="auto" w:fill="auto"/>
          </w:tcPr>
          <w:p w14:paraId="36CA3ECB" w14:textId="77777777" w:rsidR="00787570" w:rsidRDefault="00787570">
            <w:pPr>
              <w:rPr>
                <w:rFonts w:ascii="宋体"/>
              </w:rPr>
            </w:pPr>
          </w:p>
        </w:tc>
        <w:tc>
          <w:tcPr>
            <w:tcW w:w="0" w:type="auto"/>
            <w:shd w:val="clear" w:color="auto" w:fill="auto"/>
          </w:tcPr>
          <w:p w14:paraId="36CA3ECC" w14:textId="77777777" w:rsidR="00787570" w:rsidRDefault="00787570">
            <w:pPr>
              <w:rPr>
                <w:rFonts w:ascii="宋体"/>
              </w:rPr>
            </w:pPr>
          </w:p>
        </w:tc>
      </w:tr>
      <w:tr w:rsidR="00787570" w14:paraId="36CA3EF3" w14:textId="77777777">
        <w:tc>
          <w:tcPr>
            <w:tcW w:w="0" w:type="auto"/>
            <w:gridSpan w:val="3"/>
            <w:shd w:val="clear" w:color="auto" w:fill="auto"/>
            <w:tcMar>
              <w:top w:w="40" w:type="dxa"/>
              <w:left w:w="20" w:type="dxa"/>
              <w:bottom w:w="40" w:type="dxa"/>
              <w:right w:w="20" w:type="dxa"/>
            </w:tcMar>
            <w:vAlign w:val="bottom"/>
          </w:tcPr>
          <w:p w14:paraId="36CA3ECE" w14:textId="77777777" w:rsidR="00787570" w:rsidRDefault="000D56E2">
            <w:pPr>
              <w:ind w:hanging="180"/>
              <w:textAlignment w:val="bottom"/>
            </w:pPr>
            <w:r>
              <w:rPr>
                <w:rFonts w:ascii="Arial" w:eastAsia="宋体" w:hAnsi="Arial" w:cs="Arial"/>
                <w:b/>
                <w:bCs/>
                <w:color w:val="333333"/>
                <w:sz w:val="18"/>
                <w:szCs w:val="18"/>
              </w:rPr>
              <w:t>(In Millions)</w:t>
            </w:r>
          </w:p>
        </w:tc>
        <w:tc>
          <w:tcPr>
            <w:tcW w:w="0" w:type="auto"/>
            <w:gridSpan w:val="3"/>
            <w:shd w:val="clear" w:color="auto" w:fill="auto"/>
            <w:tcMar>
              <w:left w:w="20" w:type="dxa"/>
              <w:right w:w="20" w:type="dxa"/>
            </w:tcMar>
            <w:vAlign w:val="bottom"/>
          </w:tcPr>
          <w:p w14:paraId="36CA3ECF" w14:textId="77777777" w:rsidR="00787570" w:rsidRDefault="00787570">
            <w:pPr>
              <w:rPr>
                <w:rFonts w:ascii="宋体"/>
              </w:rPr>
            </w:pPr>
          </w:p>
        </w:tc>
        <w:tc>
          <w:tcPr>
            <w:tcW w:w="0" w:type="auto"/>
            <w:gridSpan w:val="3"/>
            <w:shd w:val="clear" w:color="auto" w:fill="auto"/>
            <w:tcMar>
              <w:top w:w="40" w:type="dxa"/>
              <w:left w:w="20" w:type="dxa"/>
              <w:bottom w:w="40" w:type="dxa"/>
              <w:right w:w="20" w:type="dxa"/>
            </w:tcMar>
            <w:vAlign w:val="bottom"/>
          </w:tcPr>
          <w:p w14:paraId="36CA3ED0" w14:textId="77777777" w:rsidR="00787570" w:rsidRDefault="000D56E2">
            <w:pPr>
              <w:jc w:val="center"/>
              <w:textAlignment w:val="bottom"/>
            </w:pPr>
            <w:r>
              <w:rPr>
                <w:rFonts w:ascii="Arial" w:eastAsia="宋体" w:hAnsi="Arial" w:cs="Arial"/>
                <w:b/>
                <w:bCs/>
                <w:color w:val="333333"/>
                <w:sz w:val="18"/>
                <w:szCs w:val="18"/>
              </w:rPr>
              <w:t>Gross Amounts Recognized</w:t>
            </w:r>
          </w:p>
        </w:tc>
        <w:tc>
          <w:tcPr>
            <w:tcW w:w="0" w:type="auto"/>
            <w:gridSpan w:val="3"/>
            <w:shd w:val="clear" w:color="auto" w:fill="auto"/>
            <w:tcMar>
              <w:left w:w="20" w:type="dxa"/>
              <w:right w:w="20" w:type="dxa"/>
            </w:tcMar>
            <w:vAlign w:val="bottom"/>
          </w:tcPr>
          <w:p w14:paraId="36CA3ED1" w14:textId="77777777" w:rsidR="00787570" w:rsidRDefault="00787570">
            <w:pPr>
              <w:rPr>
                <w:rFonts w:ascii="宋体"/>
              </w:rPr>
            </w:pPr>
          </w:p>
        </w:tc>
        <w:tc>
          <w:tcPr>
            <w:tcW w:w="0" w:type="auto"/>
            <w:gridSpan w:val="3"/>
            <w:shd w:val="clear" w:color="auto" w:fill="auto"/>
            <w:tcMar>
              <w:top w:w="40" w:type="dxa"/>
              <w:left w:w="20" w:type="dxa"/>
              <w:bottom w:w="40" w:type="dxa"/>
              <w:right w:w="20" w:type="dxa"/>
            </w:tcMar>
            <w:vAlign w:val="bottom"/>
          </w:tcPr>
          <w:p w14:paraId="36CA3ED2" w14:textId="77777777" w:rsidR="00787570" w:rsidRDefault="000D56E2">
            <w:pPr>
              <w:jc w:val="center"/>
              <w:textAlignment w:val="bottom"/>
            </w:pPr>
            <w:r>
              <w:rPr>
                <w:rFonts w:ascii="Arial" w:eastAsia="宋体" w:hAnsi="Arial" w:cs="Arial"/>
                <w:b/>
                <w:bCs/>
                <w:color w:val="333333"/>
                <w:sz w:val="18"/>
                <w:szCs w:val="18"/>
              </w:rPr>
              <w:t>Gross Amounts Offset in the Balance Sheet</w:t>
            </w:r>
          </w:p>
        </w:tc>
        <w:tc>
          <w:tcPr>
            <w:tcW w:w="0" w:type="auto"/>
            <w:gridSpan w:val="3"/>
            <w:shd w:val="clear" w:color="auto" w:fill="auto"/>
            <w:tcMar>
              <w:left w:w="20" w:type="dxa"/>
              <w:right w:w="20" w:type="dxa"/>
            </w:tcMar>
            <w:vAlign w:val="bottom"/>
          </w:tcPr>
          <w:p w14:paraId="36CA3ED3" w14:textId="77777777" w:rsidR="00787570" w:rsidRDefault="00787570">
            <w:pPr>
              <w:rPr>
                <w:rFonts w:ascii="宋体"/>
              </w:rPr>
            </w:pPr>
          </w:p>
        </w:tc>
        <w:tc>
          <w:tcPr>
            <w:tcW w:w="0" w:type="auto"/>
            <w:gridSpan w:val="3"/>
            <w:shd w:val="clear" w:color="auto" w:fill="auto"/>
            <w:tcMar>
              <w:top w:w="40" w:type="dxa"/>
              <w:left w:w="20" w:type="dxa"/>
              <w:bottom w:w="40" w:type="dxa"/>
              <w:right w:w="20" w:type="dxa"/>
            </w:tcMar>
            <w:vAlign w:val="bottom"/>
          </w:tcPr>
          <w:p w14:paraId="36CA3ED4" w14:textId="77777777" w:rsidR="00787570" w:rsidRDefault="000D56E2">
            <w:pPr>
              <w:jc w:val="center"/>
              <w:textAlignment w:val="bottom"/>
            </w:pPr>
            <w:r>
              <w:rPr>
                <w:rFonts w:ascii="Arial" w:eastAsia="宋体" w:hAnsi="Arial" w:cs="Arial"/>
                <w:b/>
                <w:bCs/>
                <w:color w:val="333333"/>
                <w:sz w:val="18"/>
                <w:szCs w:val="18"/>
              </w:rPr>
              <w:t>Net Amounts Presented in the Balance Sheet</w:t>
            </w:r>
          </w:p>
        </w:tc>
        <w:tc>
          <w:tcPr>
            <w:tcW w:w="0" w:type="auto"/>
            <w:gridSpan w:val="3"/>
            <w:shd w:val="clear" w:color="auto" w:fill="auto"/>
            <w:tcMar>
              <w:left w:w="20" w:type="dxa"/>
              <w:right w:w="20" w:type="dxa"/>
            </w:tcMar>
            <w:vAlign w:val="bottom"/>
          </w:tcPr>
          <w:p w14:paraId="36CA3ED5" w14:textId="77777777" w:rsidR="00787570" w:rsidRDefault="00787570">
            <w:pPr>
              <w:rPr>
                <w:rFonts w:ascii="宋体"/>
              </w:rPr>
            </w:pPr>
          </w:p>
        </w:tc>
        <w:tc>
          <w:tcPr>
            <w:tcW w:w="0" w:type="auto"/>
            <w:gridSpan w:val="3"/>
            <w:tcBorders>
              <w:top w:val="single" w:sz="8" w:space="0" w:color="0071C5"/>
            </w:tcBorders>
            <w:shd w:val="clear" w:color="auto" w:fill="auto"/>
            <w:tcMar>
              <w:top w:w="40" w:type="dxa"/>
              <w:left w:w="20" w:type="dxa"/>
              <w:bottom w:w="40" w:type="dxa"/>
              <w:right w:w="20" w:type="dxa"/>
            </w:tcMar>
            <w:vAlign w:val="bottom"/>
          </w:tcPr>
          <w:p w14:paraId="36CA3ED6" w14:textId="77777777" w:rsidR="00787570" w:rsidRDefault="000D56E2">
            <w:pPr>
              <w:jc w:val="center"/>
              <w:textAlignment w:val="bottom"/>
            </w:pPr>
            <w:r>
              <w:rPr>
                <w:rFonts w:ascii="Arial" w:eastAsia="宋体" w:hAnsi="Arial" w:cs="Arial"/>
                <w:b/>
                <w:bCs/>
                <w:color w:val="333333"/>
                <w:sz w:val="18"/>
                <w:szCs w:val="18"/>
              </w:rPr>
              <w:t>Financial Instruments</w:t>
            </w:r>
          </w:p>
        </w:tc>
        <w:tc>
          <w:tcPr>
            <w:tcW w:w="0" w:type="auto"/>
            <w:gridSpan w:val="3"/>
            <w:tcBorders>
              <w:top w:val="single" w:sz="8" w:space="0" w:color="0071C5"/>
            </w:tcBorders>
            <w:shd w:val="clear" w:color="auto" w:fill="auto"/>
            <w:tcMar>
              <w:left w:w="20" w:type="dxa"/>
              <w:right w:w="20" w:type="dxa"/>
            </w:tcMar>
            <w:vAlign w:val="bottom"/>
          </w:tcPr>
          <w:p w14:paraId="36CA3ED7" w14:textId="77777777" w:rsidR="00787570" w:rsidRDefault="00787570">
            <w:pPr>
              <w:rPr>
                <w:rFonts w:ascii="宋体"/>
              </w:rPr>
            </w:pPr>
          </w:p>
        </w:tc>
        <w:tc>
          <w:tcPr>
            <w:tcW w:w="0" w:type="auto"/>
            <w:gridSpan w:val="3"/>
            <w:tcBorders>
              <w:top w:val="single" w:sz="8" w:space="0" w:color="0071C5"/>
            </w:tcBorders>
            <w:shd w:val="clear" w:color="auto" w:fill="auto"/>
            <w:tcMar>
              <w:top w:w="40" w:type="dxa"/>
              <w:left w:w="20" w:type="dxa"/>
              <w:bottom w:w="40" w:type="dxa"/>
              <w:right w:w="20" w:type="dxa"/>
            </w:tcMar>
            <w:vAlign w:val="bottom"/>
          </w:tcPr>
          <w:p w14:paraId="36CA3ED8" w14:textId="77777777" w:rsidR="00787570" w:rsidRDefault="000D56E2">
            <w:pPr>
              <w:jc w:val="center"/>
              <w:textAlignment w:val="bottom"/>
            </w:pPr>
            <w:r>
              <w:rPr>
                <w:rFonts w:ascii="Arial" w:eastAsia="宋体" w:hAnsi="Arial" w:cs="Arial"/>
                <w:b/>
                <w:bCs/>
                <w:color w:val="333333"/>
                <w:sz w:val="18"/>
                <w:szCs w:val="18"/>
              </w:rPr>
              <w:t>Cash and Non-Cash Collateral Received or Pledged</w:t>
            </w:r>
          </w:p>
        </w:tc>
        <w:tc>
          <w:tcPr>
            <w:tcW w:w="0" w:type="auto"/>
            <w:gridSpan w:val="3"/>
            <w:shd w:val="clear" w:color="auto" w:fill="auto"/>
            <w:tcMar>
              <w:left w:w="20" w:type="dxa"/>
              <w:right w:w="20" w:type="dxa"/>
            </w:tcMar>
            <w:vAlign w:val="bottom"/>
          </w:tcPr>
          <w:p w14:paraId="36CA3ED9" w14:textId="77777777" w:rsidR="00787570" w:rsidRDefault="00787570">
            <w:pPr>
              <w:rPr>
                <w:rFonts w:ascii="宋体"/>
              </w:rPr>
            </w:pPr>
          </w:p>
        </w:tc>
        <w:tc>
          <w:tcPr>
            <w:tcW w:w="0" w:type="auto"/>
            <w:gridSpan w:val="3"/>
            <w:shd w:val="clear" w:color="auto" w:fill="auto"/>
            <w:tcMar>
              <w:top w:w="40" w:type="dxa"/>
              <w:left w:w="20" w:type="dxa"/>
              <w:bottom w:w="40" w:type="dxa"/>
              <w:right w:w="20" w:type="dxa"/>
            </w:tcMar>
            <w:vAlign w:val="bottom"/>
          </w:tcPr>
          <w:p w14:paraId="36CA3EDA" w14:textId="77777777" w:rsidR="00787570" w:rsidRDefault="000D56E2">
            <w:pPr>
              <w:jc w:val="center"/>
              <w:textAlignment w:val="bottom"/>
            </w:pPr>
            <w:r>
              <w:rPr>
                <w:rFonts w:ascii="Arial" w:eastAsia="宋体" w:hAnsi="Arial" w:cs="Arial"/>
                <w:b/>
                <w:bCs/>
                <w:color w:val="333333"/>
                <w:sz w:val="18"/>
                <w:szCs w:val="18"/>
              </w:rPr>
              <w:t>Net Amount</w:t>
            </w:r>
          </w:p>
        </w:tc>
        <w:tc>
          <w:tcPr>
            <w:tcW w:w="0" w:type="auto"/>
            <w:shd w:val="clear" w:color="auto" w:fill="auto"/>
          </w:tcPr>
          <w:p w14:paraId="36CA3EDB" w14:textId="77777777" w:rsidR="00787570" w:rsidRDefault="00787570">
            <w:pPr>
              <w:rPr>
                <w:rFonts w:ascii="宋体"/>
              </w:rPr>
            </w:pPr>
          </w:p>
        </w:tc>
        <w:tc>
          <w:tcPr>
            <w:tcW w:w="0" w:type="auto"/>
            <w:shd w:val="clear" w:color="auto" w:fill="auto"/>
          </w:tcPr>
          <w:p w14:paraId="36CA3EDC" w14:textId="77777777" w:rsidR="00787570" w:rsidRDefault="00787570">
            <w:pPr>
              <w:rPr>
                <w:rFonts w:ascii="宋体"/>
              </w:rPr>
            </w:pPr>
          </w:p>
        </w:tc>
        <w:tc>
          <w:tcPr>
            <w:tcW w:w="0" w:type="auto"/>
            <w:shd w:val="clear" w:color="auto" w:fill="auto"/>
          </w:tcPr>
          <w:p w14:paraId="36CA3EDD" w14:textId="77777777" w:rsidR="00787570" w:rsidRDefault="00787570">
            <w:pPr>
              <w:rPr>
                <w:rFonts w:ascii="宋体"/>
              </w:rPr>
            </w:pPr>
          </w:p>
        </w:tc>
        <w:tc>
          <w:tcPr>
            <w:tcW w:w="0" w:type="auto"/>
            <w:shd w:val="clear" w:color="auto" w:fill="auto"/>
          </w:tcPr>
          <w:p w14:paraId="36CA3EDE" w14:textId="77777777" w:rsidR="00787570" w:rsidRDefault="00787570">
            <w:pPr>
              <w:rPr>
                <w:rFonts w:ascii="宋体"/>
              </w:rPr>
            </w:pPr>
          </w:p>
        </w:tc>
        <w:tc>
          <w:tcPr>
            <w:tcW w:w="0" w:type="auto"/>
            <w:shd w:val="clear" w:color="auto" w:fill="auto"/>
          </w:tcPr>
          <w:p w14:paraId="36CA3EDF" w14:textId="77777777" w:rsidR="00787570" w:rsidRDefault="00787570">
            <w:pPr>
              <w:rPr>
                <w:rFonts w:ascii="宋体"/>
              </w:rPr>
            </w:pPr>
          </w:p>
        </w:tc>
        <w:tc>
          <w:tcPr>
            <w:tcW w:w="0" w:type="auto"/>
            <w:shd w:val="clear" w:color="auto" w:fill="auto"/>
          </w:tcPr>
          <w:p w14:paraId="36CA3EE0" w14:textId="77777777" w:rsidR="00787570" w:rsidRDefault="00787570">
            <w:pPr>
              <w:rPr>
                <w:rFonts w:ascii="宋体"/>
              </w:rPr>
            </w:pPr>
          </w:p>
        </w:tc>
        <w:tc>
          <w:tcPr>
            <w:tcW w:w="0" w:type="auto"/>
            <w:shd w:val="clear" w:color="auto" w:fill="auto"/>
          </w:tcPr>
          <w:p w14:paraId="36CA3EE1" w14:textId="77777777" w:rsidR="00787570" w:rsidRDefault="00787570">
            <w:pPr>
              <w:rPr>
                <w:rFonts w:ascii="宋体"/>
              </w:rPr>
            </w:pPr>
          </w:p>
        </w:tc>
        <w:tc>
          <w:tcPr>
            <w:tcW w:w="0" w:type="auto"/>
            <w:shd w:val="clear" w:color="auto" w:fill="auto"/>
          </w:tcPr>
          <w:p w14:paraId="36CA3EE2" w14:textId="77777777" w:rsidR="00787570" w:rsidRDefault="00787570">
            <w:pPr>
              <w:rPr>
                <w:rFonts w:ascii="宋体"/>
              </w:rPr>
            </w:pPr>
          </w:p>
        </w:tc>
        <w:tc>
          <w:tcPr>
            <w:tcW w:w="0" w:type="auto"/>
            <w:shd w:val="clear" w:color="auto" w:fill="auto"/>
          </w:tcPr>
          <w:p w14:paraId="36CA3EE3" w14:textId="77777777" w:rsidR="00787570" w:rsidRDefault="00787570">
            <w:pPr>
              <w:rPr>
                <w:rFonts w:ascii="宋体"/>
              </w:rPr>
            </w:pPr>
          </w:p>
        </w:tc>
        <w:tc>
          <w:tcPr>
            <w:tcW w:w="0" w:type="auto"/>
            <w:shd w:val="clear" w:color="auto" w:fill="auto"/>
          </w:tcPr>
          <w:p w14:paraId="36CA3EE4" w14:textId="77777777" w:rsidR="00787570" w:rsidRDefault="00787570">
            <w:pPr>
              <w:rPr>
                <w:rFonts w:ascii="宋体"/>
              </w:rPr>
            </w:pPr>
          </w:p>
        </w:tc>
        <w:tc>
          <w:tcPr>
            <w:tcW w:w="0" w:type="auto"/>
            <w:shd w:val="clear" w:color="auto" w:fill="auto"/>
          </w:tcPr>
          <w:p w14:paraId="36CA3EE5" w14:textId="77777777" w:rsidR="00787570" w:rsidRDefault="00787570">
            <w:pPr>
              <w:rPr>
                <w:rFonts w:ascii="宋体"/>
              </w:rPr>
            </w:pPr>
          </w:p>
        </w:tc>
        <w:tc>
          <w:tcPr>
            <w:tcW w:w="0" w:type="auto"/>
            <w:shd w:val="clear" w:color="auto" w:fill="auto"/>
          </w:tcPr>
          <w:p w14:paraId="36CA3EE6" w14:textId="77777777" w:rsidR="00787570" w:rsidRDefault="00787570">
            <w:pPr>
              <w:rPr>
                <w:rFonts w:ascii="宋体"/>
              </w:rPr>
            </w:pPr>
          </w:p>
        </w:tc>
        <w:tc>
          <w:tcPr>
            <w:tcW w:w="0" w:type="auto"/>
            <w:shd w:val="clear" w:color="auto" w:fill="auto"/>
          </w:tcPr>
          <w:p w14:paraId="36CA3EE7" w14:textId="77777777" w:rsidR="00787570" w:rsidRDefault="00787570">
            <w:pPr>
              <w:rPr>
                <w:rFonts w:ascii="宋体"/>
              </w:rPr>
            </w:pPr>
          </w:p>
        </w:tc>
        <w:tc>
          <w:tcPr>
            <w:tcW w:w="0" w:type="auto"/>
            <w:shd w:val="clear" w:color="auto" w:fill="auto"/>
          </w:tcPr>
          <w:p w14:paraId="36CA3EE8" w14:textId="77777777" w:rsidR="00787570" w:rsidRDefault="00787570">
            <w:pPr>
              <w:rPr>
                <w:rFonts w:ascii="宋体"/>
              </w:rPr>
            </w:pPr>
          </w:p>
        </w:tc>
        <w:tc>
          <w:tcPr>
            <w:tcW w:w="0" w:type="auto"/>
            <w:shd w:val="clear" w:color="auto" w:fill="auto"/>
          </w:tcPr>
          <w:p w14:paraId="36CA3EE9" w14:textId="77777777" w:rsidR="00787570" w:rsidRDefault="00787570">
            <w:pPr>
              <w:rPr>
                <w:rFonts w:ascii="宋体"/>
              </w:rPr>
            </w:pPr>
          </w:p>
        </w:tc>
        <w:tc>
          <w:tcPr>
            <w:tcW w:w="0" w:type="auto"/>
            <w:shd w:val="clear" w:color="auto" w:fill="auto"/>
          </w:tcPr>
          <w:p w14:paraId="36CA3EEA" w14:textId="77777777" w:rsidR="00787570" w:rsidRDefault="00787570">
            <w:pPr>
              <w:rPr>
                <w:rFonts w:ascii="宋体"/>
              </w:rPr>
            </w:pPr>
          </w:p>
        </w:tc>
        <w:tc>
          <w:tcPr>
            <w:tcW w:w="0" w:type="auto"/>
            <w:shd w:val="clear" w:color="auto" w:fill="auto"/>
          </w:tcPr>
          <w:p w14:paraId="36CA3EEB" w14:textId="77777777" w:rsidR="00787570" w:rsidRDefault="00787570">
            <w:pPr>
              <w:rPr>
                <w:rFonts w:ascii="宋体"/>
              </w:rPr>
            </w:pPr>
          </w:p>
        </w:tc>
        <w:tc>
          <w:tcPr>
            <w:tcW w:w="0" w:type="auto"/>
            <w:shd w:val="clear" w:color="auto" w:fill="auto"/>
          </w:tcPr>
          <w:p w14:paraId="36CA3EEC" w14:textId="77777777" w:rsidR="00787570" w:rsidRDefault="00787570">
            <w:pPr>
              <w:rPr>
                <w:rFonts w:ascii="宋体"/>
              </w:rPr>
            </w:pPr>
          </w:p>
        </w:tc>
        <w:tc>
          <w:tcPr>
            <w:tcW w:w="0" w:type="auto"/>
            <w:shd w:val="clear" w:color="auto" w:fill="auto"/>
          </w:tcPr>
          <w:p w14:paraId="36CA3EED" w14:textId="77777777" w:rsidR="00787570" w:rsidRDefault="00787570">
            <w:pPr>
              <w:rPr>
                <w:rFonts w:ascii="宋体"/>
              </w:rPr>
            </w:pPr>
          </w:p>
        </w:tc>
        <w:tc>
          <w:tcPr>
            <w:tcW w:w="0" w:type="auto"/>
            <w:shd w:val="clear" w:color="auto" w:fill="auto"/>
          </w:tcPr>
          <w:p w14:paraId="36CA3EEE" w14:textId="77777777" w:rsidR="00787570" w:rsidRDefault="00787570">
            <w:pPr>
              <w:rPr>
                <w:rFonts w:ascii="宋体"/>
              </w:rPr>
            </w:pPr>
          </w:p>
        </w:tc>
        <w:tc>
          <w:tcPr>
            <w:tcW w:w="0" w:type="auto"/>
            <w:shd w:val="clear" w:color="auto" w:fill="auto"/>
          </w:tcPr>
          <w:p w14:paraId="36CA3EEF" w14:textId="77777777" w:rsidR="00787570" w:rsidRDefault="00787570">
            <w:pPr>
              <w:rPr>
                <w:rFonts w:ascii="宋体"/>
              </w:rPr>
            </w:pPr>
          </w:p>
        </w:tc>
        <w:tc>
          <w:tcPr>
            <w:tcW w:w="0" w:type="auto"/>
            <w:shd w:val="clear" w:color="auto" w:fill="auto"/>
          </w:tcPr>
          <w:p w14:paraId="36CA3EF0" w14:textId="77777777" w:rsidR="00787570" w:rsidRDefault="00787570">
            <w:pPr>
              <w:rPr>
                <w:rFonts w:ascii="宋体"/>
              </w:rPr>
            </w:pPr>
          </w:p>
        </w:tc>
        <w:tc>
          <w:tcPr>
            <w:tcW w:w="0" w:type="auto"/>
            <w:shd w:val="clear" w:color="auto" w:fill="auto"/>
          </w:tcPr>
          <w:p w14:paraId="36CA3EF1" w14:textId="77777777" w:rsidR="00787570" w:rsidRDefault="00787570">
            <w:pPr>
              <w:rPr>
                <w:rFonts w:ascii="宋体"/>
              </w:rPr>
            </w:pPr>
          </w:p>
        </w:tc>
        <w:tc>
          <w:tcPr>
            <w:tcW w:w="0" w:type="auto"/>
            <w:shd w:val="clear" w:color="auto" w:fill="auto"/>
          </w:tcPr>
          <w:p w14:paraId="36CA3EF2" w14:textId="77777777" w:rsidR="00787570" w:rsidRDefault="00787570">
            <w:pPr>
              <w:rPr>
                <w:rFonts w:ascii="宋体"/>
              </w:rPr>
            </w:pPr>
          </w:p>
        </w:tc>
      </w:tr>
      <w:tr w:rsidR="00787570" w14:paraId="36CA3F19" w14:textId="77777777">
        <w:tc>
          <w:tcPr>
            <w:tcW w:w="0" w:type="auto"/>
            <w:gridSpan w:val="3"/>
            <w:tcBorders>
              <w:top w:val="single" w:sz="8" w:space="0" w:color="0071C5"/>
            </w:tcBorders>
            <w:shd w:val="clear" w:color="auto" w:fill="auto"/>
            <w:tcMar>
              <w:top w:w="40" w:type="dxa"/>
              <w:left w:w="20" w:type="dxa"/>
              <w:bottom w:w="40" w:type="dxa"/>
              <w:right w:w="20" w:type="dxa"/>
            </w:tcMar>
            <w:vAlign w:val="bottom"/>
          </w:tcPr>
          <w:p w14:paraId="36CA3EF4" w14:textId="77777777" w:rsidR="00787570" w:rsidRDefault="000D56E2">
            <w:pPr>
              <w:ind w:hanging="180"/>
              <w:textAlignment w:val="bottom"/>
            </w:pPr>
            <w:r>
              <w:rPr>
                <w:rFonts w:ascii="Arial" w:eastAsia="宋体" w:hAnsi="Arial" w:cs="Arial"/>
                <w:color w:val="333333"/>
                <w:sz w:val="18"/>
                <w:szCs w:val="18"/>
              </w:rPr>
              <w:t>Assets:</w:t>
            </w:r>
          </w:p>
        </w:tc>
        <w:tc>
          <w:tcPr>
            <w:tcW w:w="0" w:type="auto"/>
            <w:gridSpan w:val="3"/>
            <w:shd w:val="clear" w:color="auto" w:fill="auto"/>
            <w:tcMar>
              <w:left w:w="20" w:type="dxa"/>
              <w:right w:w="20" w:type="dxa"/>
            </w:tcMar>
            <w:vAlign w:val="bottom"/>
          </w:tcPr>
          <w:p w14:paraId="36CA3EF5" w14:textId="77777777" w:rsidR="00787570" w:rsidRDefault="00787570">
            <w:pPr>
              <w:rPr>
                <w:rFonts w:ascii="宋体"/>
              </w:rPr>
            </w:pPr>
          </w:p>
        </w:tc>
        <w:tc>
          <w:tcPr>
            <w:tcW w:w="0" w:type="auto"/>
            <w:gridSpan w:val="3"/>
            <w:tcBorders>
              <w:top w:val="single" w:sz="8" w:space="0" w:color="0071C5"/>
            </w:tcBorders>
            <w:shd w:val="clear" w:color="auto" w:fill="auto"/>
            <w:tcMar>
              <w:left w:w="20" w:type="dxa"/>
              <w:right w:w="20" w:type="dxa"/>
            </w:tcMar>
            <w:vAlign w:val="bottom"/>
          </w:tcPr>
          <w:p w14:paraId="36CA3EF6"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3EF7" w14:textId="77777777" w:rsidR="00787570" w:rsidRDefault="00787570">
            <w:pPr>
              <w:rPr>
                <w:rFonts w:ascii="宋体"/>
              </w:rPr>
            </w:pPr>
          </w:p>
        </w:tc>
        <w:tc>
          <w:tcPr>
            <w:tcW w:w="0" w:type="auto"/>
            <w:gridSpan w:val="3"/>
            <w:tcBorders>
              <w:top w:val="single" w:sz="8" w:space="0" w:color="0071C5"/>
            </w:tcBorders>
            <w:shd w:val="clear" w:color="auto" w:fill="auto"/>
            <w:tcMar>
              <w:left w:w="20" w:type="dxa"/>
              <w:right w:w="20" w:type="dxa"/>
            </w:tcMar>
            <w:vAlign w:val="bottom"/>
          </w:tcPr>
          <w:p w14:paraId="36CA3EF8"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3EF9" w14:textId="77777777" w:rsidR="00787570" w:rsidRDefault="00787570">
            <w:pPr>
              <w:rPr>
                <w:rFonts w:ascii="宋体"/>
              </w:rPr>
            </w:pPr>
          </w:p>
        </w:tc>
        <w:tc>
          <w:tcPr>
            <w:tcW w:w="0" w:type="auto"/>
            <w:gridSpan w:val="3"/>
            <w:tcBorders>
              <w:top w:val="single" w:sz="8" w:space="0" w:color="0071C5"/>
            </w:tcBorders>
            <w:shd w:val="clear" w:color="auto" w:fill="auto"/>
            <w:tcMar>
              <w:left w:w="20" w:type="dxa"/>
              <w:right w:w="20" w:type="dxa"/>
            </w:tcMar>
            <w:vAlign w:val="bottom"/>
          </w:tcPr>
          <w:p w14:paraId="36CA3EFA"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3EFB" w14:textId="77777777" w:rsidR="00787570" w:rsidRDefault="00787570">
            <w:pPr>
              <w:rPr>
                <w:rFonts w:ascii="宋体"/>
              </w:rPr>
            </w:pPr>
          </w:p>
        </w:tc>
        <w:tc>
          <w:tcPr>
            <w:tcW w:w="0" w:type="auto"/>
            <w:gridSpan w:val="3"/>
            <w:tcBorders>
              <w:top w:val="single" w:sz="8" w:space="0" w:color="0071C5"/>
            </w:tcBorders>
            <w:shd w:val="clear" w:color="auto" w:fill="auto"/>
            <w:tcMar>
              <w:left w:w="20" w:type="dxa"/>
              <w:right w:w="20" w:type="dxa"/>
            </w:tcMar>
            <w:vAlign w:val="bottom"/>
          </w:tcPr>
          <w:p w14:paraId="36CA3EFC"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3EFD" w14:textId="77777777" w:rsidR="00787570" w:rsidRDefault="00787570">
            <w:pPr>
              <w:rPr>
                <w:rFonts w:ascii="宋体"/>
              </w:rPr>
            </w:pPr>
          </w:p>
        </w:tc>
        <w:tc>
          <w:tcPr>
            <w:tcW w:w="0" w:type="auto"/>
            <w:gridSpan w:val="3"/>
            <w:tcBorders>
              <w:top w:val="single" w:sz="8" w:space="0" w:color="0071C5"/>
            </w:tcBorders>
            <w:shd w:val="clear" w:color="auto" w:fill="auto"/>
            <w:tcMar>
              <w:left w:w="20" w:type="dxa"/>
              <w:right w:w="20" w:type="dxa"/>
            </w:tcMar>
            <w:vAlign w:val="bottom"/>
          </w:tcPr>
          <w:p w14:paraId="36CA3EFE"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3EFF" w14:textId="77777777" w:rsidR="00787570" w:rsidRDefault="00787570">
            <w:pPr>
              <w:rPr>
                <w:rFonts w:ascii="宋体"/>
              </w:rPr>
            </w:pPr>
          </w:p>
        </w:tc>
        <w:tc>
          <w:tcPr>
            <w:tcW w:w="0" w:type="auto"/>
            <w:gridSpan w:val="3"/>
            <w:tcBorders>
              <w:top w:val="single" w:sz="8" w:space="0" w:color="0071C5"/>
            </w:tcBorders>
            <w:shd w:val="clear" w:color="auto" w:fill="auto"/>
            <w:tcMar>
              <w:left w:w="20" w:type="dxa"/>
              <w:right w:w="20" w:type="dxa"/>
            </w:tcMar>
            <w:vAlign w:val="bottom"/>
          </w:tcPr>
          <w:p w14:paraId="36CA3F00" w14:textId="77777777" w:rsidR="00787570" w:rsidRDefault="00787570">
            <w:pPr>
              <w:rPr>
                <w:rFonts w:ascii="宋体"/>
              </w:rPr>
            </w:pPr>
          </w:p>
        </w:tc>
        <w:tc>
          <w:tcPr>
            <w:tcW w:w="0" w:type="auto"/>
            <w:shd w:val="clear" w:color="auto" w:fill="auto"/>
          </w:tcPr>
          <w:p w14:paraId="36CA3F01" w14:textId="77777777" w:rsidR="00787570" w:rsidRDefault="00787570">
            <w:pPr>
              <w:rPr>
                <w:rFonts w:ascii="宋体"/>
              </w:rPr>
            </w:pPr>
          </w:p>
        </w:tc>
        <w:tc>
          <w:tcPr>
            <w:tcW w:w="0" w:type="auto"/>
            <w:shd w:val="clear" w:color="auto" w:fill="auto"/>
          </w:tcPr>
          <w:p w14:paraId="36CA3F02" w14:textId="77777777" w:rsidR="00787570" w:rsidRDefault="00787570">
            <w:pPr>
              <w:rPr>
                <w:rFonts w:ascii="宋体"/>
              </w:rPr>
            </w:pPr>
          </w:p>
        </w:tc>
        <w:tc>
          <w:tcPr>
            <w:tcW w:w="0" w:type="auto"/>
            <w:shd w:val="clear" w:color="auto" w:fill="auto"/>
          </w:tcPr>
          <w:p w14:paraId="36CA3F03" w14:textId="77777777" w:rsidR="00787570" w:rsidRDefault="00787570">
            <w:pPr>
              <w:rPr>
                <w:rFonts w:ascii="宋体"/>
              </w:rPr>
            </w:pPr>
          </w:p>
        </w:tc>
        <w:tc>
          <w:tcPr>
            <w:tcW w:w="0" w:type="auto"/>
            <w:shd w:val="clear" w:color="auto" w:fill="auto"/>
          </w:tcPr>
          <w:p w14:paraId="36CA3F04" w14:textId="77777777" w:rsidR="00787570" w:rsidRDefault="00787570">
            <w:pPr>
              <w:rPr>
                <w:rFonts w:ascii="宋体"/>
              </w:rPr>
            </w:pPr>
          </w:p>
        </w:tc>
        <w:tc>
          <w:tcPr>
            <w:tcW w:w="0" w:type="auto"/>
            <w:shd w:val="clear" w:color="auto" w:fill="auto"/>
          </w:tcPr>
          <w:p w14:paraId="36CA3F05" w14:textId="77777777" w:rsidR="00787570" w:rsidRDefault="00787570">
            <w:pPr>
              <w:rPr>
                <w:rFonts w:ascii="宋体"/>
              </w:rPr>
            </w:pPr>
          </w:p>
        </w:tc>
        <w:tc>
          <w:tcPr>
            <w:tcW w:w="0" w:type="auto"/>
            <w:shd w:val="clear" w:color="auto" w:fill="auto"/>
          </w:tcPr>
          <w:p w14:paraId="36CA3F06" w14:textId="77777777" w:rsidR="00787570" w:rsidRDefault="00787570">
            <w:pPr>
              <w:rPr>
                <w:rFonts w:ascii="宋体"/>
              </w:rPr>
            </w:pPr>
          </w:p>
        </w:tc>
        <w:tc>
          <w:tcPr>
            <w:tcW w:w="0" w:type="auto"/>
            <w:shd w:val="clear" w:color="auto" w:fill="auto"/>
          </w:tcPr>
          <w:p w14:paraId="36CA3F07" w14:textId="77777777" w:rsidR="00787570" w:rsidRDefault="00787570">
            <w:pPr>
              <w:rPr>
                <w:rFonts w:ascii="宋体"/>
              </w:rPr>
            </w:pPr>
          </w:p>
        </w:tc>
        <w:tc>
          <w:tcPr>
            <w:tcW w:w="0" w:type="auto"/>
            <w:shd w:val="clear" w:color="auto" w:fill="auto"/>
          </w:tcPr>
          <w:p w14:paraId="36CA3F08" w14:textId="77777777" w:rsidR="00787570" w:rsidRDefault="00787570">
            <w:pPr>
              <w:rPr>
                <w:rFonts w:ascii="宋体"/>
              </w:rPr>
            </w:pPr>
          </w:p>
        </w:tc>
        <w:tc>
          <w:tcPr>
            <w:tcW w:w="0" w:type="auto"/>
            <w:shd w:val="clear" w:color="auto" w:fill="auto"/>
          </w:tcPr>
          <w:p w14:paraId="36CA3F09" w14:textId="77777777" w:rsidR="00787570" w:rsidRDefault="00787570">
            <w:pPr>
              <w:rPr>
                <w:rFonts w:ascii="宋体"/>
              </w:rPr>
            </w:pPr>
          </w:p>
        </w:tc>
        <w:tc>
          <w:tcPr>
            <w:tcW w:w="0" w:type="auto"/>
            <w:shd w:val="clear" w:color="auto" w:fill="auto"/>
          </w:tcPr>
          <w:p w14:paraId="36CA3F0A" w14:textId="77777777" w:rsidR="00787570" w:rsidRDefault="00787570">
            <w:pPr>
              <w:rPr>
                <w:rFonts w:ascii="宋体"/>
              </w:rPr>
            </w:pPr>
          </w:p>
        </w:tc>
        <w:tc>
          <w:tcPr>
            <w:tcW w:w="0" w:type="auto"/>
            <w:shd w:val="clear" w:color="auto" w:fill="auto"/>
          </w:tcPr>
          <w:p w14:paraId="36CA3F0B" w14:textId="77777777" w:rsidR="00787570" w:rsidRDefault="00787570">
            <w:pPr>
              <w:rPr>
                <w:rFonts w:ascii="宋体"/>
              </w:rPr>
            </w:pPr>
          </w:p>
        </w:tc>
        <w:tc>
          <w:tcPr>
            <w:tcW w:w="0" w:type="auto"/>
            <w:shd w:val="clear" w:color="auto" w:fill="auto"/>
          </w:tcPr>
          <w:p w14:paraId="36CA3F0C" w14:textId="77777777" w:rsidR="00787570" w:rsidRDefault="00787570">
            <w:pPr>
              <w:rPr>
                <w:rFonts w:ascii="宋体"/>
              </w:rPr>
            </w:pPr>
          </w:p>
        </w:tc>
        <w:tc>
          <w:tcPr>
            <w:tcW w:w="0" w:type="auto"/>
            <w:shd w:val="clear" w:color="auto" w:fill="auto"/>
          </w:tcPr>
          <w:p w14:paraId="36CA3F0D" w14:textId="77777777" w:rsidR="00787570" w:rsidRDefault="00787570">
            <w:pPr>
              <w:rPr>
                <w:rFonts w:ascii="宋体"/>
              </w:rPr>
            </w:pPr>
          </w:p>
        </w:tc>
        <w:tc>
          <w:tcPr>
            <w:tcW w:w="0" w:type="auto"/>
            <w:shd w:val="clear" w:color="auto" w:fill="auto"/>
          </w:tcPr>
          <w:p w14:paraId="36CA3F0E" w14:textId="77777777" w:rsidR="00787570" w:rsidRDefault="00787570">
            <w:pPr>
              <w:rPr>
                <w:rFonts w:ascii="宋体"/>
              </w:rPr>
            </w:pPr>
          </w:p>
        </w:tc>
        <w:tc>
          <w:tcPr>
            <w:tcW w:w="0" w:type="auto"/>
            <w:shd w:val="clear" w:color="auto" w:fill="auto"/>
          </w:tcPr>
          <w:p w14:paraId="36CA3F0F" w14:textId="77777777" w:rsidR="00787570" w:rsidRDefault="00787570">
            <w:pPr>
              <w:rPr>
                <w:rFonts w:ascii="宋体"/>
              </w:rPr>
            </w:pPr>
          </w:p>
        </w:tc>
        <w:tc>
          <w:tcPr>
            <w:tcW w:w="0" w:type="auto"/>
            <w:shd w:val="clear" w:color="auto" w:fill="auto"/>
          </w:tcPr>
          <w:p w14:paraId="36CA3F10" w14:textId="77777777" w:rsidR="00787570" w:rsidRDefault="00787570">
            <w:pPr>
              <w:rPr>
                <w:rFonts w:ascii="宋体"/>
              </w:rPr>
            </w:pPr>
          </w:p>
        </w:tc>
        <w:tc>
          <w:tcPr>
            <w:tcW w:w="0" w:type="auto"/>
            <w:shd w:val="clear" w:color="auto" w:fill="auto"/>
          </w:tcPr>
          <w:p w14:paraId="36CA3F11" w14:textId="77777777" w:rsidR="00787570" w:rsidRDefault="00787570">
            <w:pPr>
              <w:rPr>
                <w:rFonts w:ascii="宋体"/>
              </w:rPr>
            </w:pPr>
          </w:p>
        </w:tc>
        <w:tc>
          <w:tcPr>
            <w:tcW w:w="0" w:type="auto"/>
            <w:shd w:val="clear" w:color="auto" w:fill="auto"/>
          </w:tcPr>
          <w:p w14:paraId="36CA3F12" w14:textId="77777777" w:rsidR="00787570" w:rsidRDefault="00787570">
            <w:pPr>
              <w:rPr>
                <w:rFonts w:ascii="宋体"/>
              </w:rPr>
            </w:pPr>
          </w:p>
        </w:tc>
        <w:tc>
          <w:tcPr>
            <w:tcW w:w="0" w:type="auto"/>
            <w:shd w:val="clear" w:color="auto" w:fill="auto"/>
          </w:tcPr>
          <w:p w14:paraId="36CA3F13" w14:textId="77777777" w:rsidR="00787570" w:rsidRDefault="00787570">
            <w:pPr>
              <w:rPr>
                <w:rFonts w:ascii="宋体"/>
              </w:rPr>
            </w:pPr>
          </w:p>
        </w:tc>
        <w:tc>
          <w:tcPr>
            <w:tcW w:w="0" w:type="auto"/>
            <w:shd w:val="clear" w:color="auto" w:fill="auto"/>
          </w:tcPr>
          <w:p w14:paraId="36CA3F14" w14:textId="77777777" w:rsidR="00787570" w:rsidRDefault="00787570">
            <w:pPr>
              <w:rPr>
                <w:rFonts w:ascii="宋体"/>
              </w:rPr>
            </w:pPr>
          </w:p>
        </w:tc>
        <w:tc>
          <w:tcPr>
            <w:tcW w:w="0" w:type="auto"/>
            <w:shd w:val="clear" w:color="auto" w:fill="auto"/>
          </w:tcPr>
          <w:p w14:paraId="36CA3F15" w14:textId="77777777" w:rsidR="00787570" w:rsidRDefault="00787570">
            <w:pPr>
              <w:rPr>
                <w:rFonts w:ascii="宋体"/>
              </w:rPr>
            </w:pPr>
          </w:p>
        </w:tc>
        <w:tc>
          <w:tcPr>
            <w:tcW w:w="0" w:type="auto"/>
            <w:shd w:val="clear" w:color="auto" w:fill="auto"/>
          </w:tcPr>
          <w:p w14:paraId="36CA3F16" w14:textId="77777777" w:rsidR="00787570" w:rsidRDefault="00787570">
            <w:pPr>
              <w:rPr>
                <w:rFonts w:ascii="宋体"/>
              </w:rPr>
            </w:pPr>
          </w:p>
        </w:tc>
        <w:tc>
          <w:tcPr>
            <w:tcW w:w="0" w:type="auto"/>
            <w:shd w:val="clear" w:color="auto" w:fill="auto"/>
          </w:tcPr>
          <w:p w14:paraId="36CA3F17" w14:textId="77777777" w:rsidR="00787570" w:rsidRDefault="00787570">
            <w:pPr>
              <w:rPr>
                <w:rFonts w:ascii="宋体"/>
              </w:rPr>
            </w:pPr>
          </w:p>
        </w:tc>
        <w:tc>
          <w:tcPr>
            <w:tcW w:w="0" w:type="auto"/>
            <w:shd w:val="clear" w:color="auto" w:fill="auto"/>
          </w:tcPr>
          <w:p w14:paraId="36CA3F18" w14:textId="77777777" w:rsidR="00787570" w:rsidRDefault="00787570">
            <w:pPr>
              <w:rPr>
                <w:rFonts w:ascii="宋体"/>
              </w:rPr>
            </w:pPr>
          </w:p>
        </w:tc>
      </w:tr>
      <w:tr w:rsidR="00787570" w14:paraId="36CA3F4B" w14:textId="77777777">
        <w:tc>
          <w:tcPr>
            <w:tcW w:w="0" w:type="auto"/>
            <w:gridSpan w:val="3"/>
            <w:shd w:val="clear" w:color="auto" w:fill="auto"/>
            <w:tcMar>
              <w:top w:w="40" w:type="dxa"/>
              <w:left w:w="120" w:type="dxa"/>
              <w:bottom w:w="40" w:type="dxa"/>
              <w:right w:w="20" w:type="dxa"/>
            </w:tcMar>
            <w:vAlign w:val="bottom"/>
          </w:tcPr>
          <w:p w14:paraId="36CA3F1A" w14:textId="77777777" w:rsidR="00787570" w:rsidRDefault="000D56E2">
            <w:pPr>
              <w:textAlignment w:val="bottom"/>
            </w:pPr>
            <w:r>
              <w:rPr>
                <w:rFonts w:ascii="Arial" w:eastAsia="宋体" w:hAnsi="Arial" w:cs="Arial"/>
                <w:color w:val="333333"/>
                <w:sz w:val="18"/>
                <w:szCs w:val="18"/>
              </w:rPr>
              <w:t>Derivative assets subject to master</w:t>
            </w:r>
            <w:r>
              <w:rPr>
                <w:rFonts w:ascii="Arial" w:eastAsia="宋体" w:hAnsi="Arial" w:cs="Arial"/>
                <w:color w:val="333333"/>
                <w:sz w:val="18"/>
                <w:szCs w:val="18"/>
              </w:rPr>
              <w:br/>
              <w:t>netting arrangements</w:t>
            </w:r>
          </w:p>
        </w:tc>
        <w:tc>
          <w:tcPr>
            <w:tcW w:w="0" w:type="auto"/>
            <w:gridSpan w:val="3"/>
            <w:shd w:val="clear" w:color="auto" w:fill="auto"/>
            <w:tcMar>
              <w:left w:w="20" w:type="dxa"/>
              <w:right w:w="20" w:type="dxa"/>
            </w:tcMar>
            <w:vAlign w:val="bottom"/>
          </w:tcPr>
          <w:p w14:paraId="36CA3F1B" w14:textId="77777777" w:rsidR="00787570" w:rsidRDefault="00787570">
            <w:pPr>
              <w:rPr>
                <w:rFonts w:ascii="宋体"/>
              </w:rPr>
            </w:pPr>
          </w:p>
        </w:tc>
        <w:tc>
          <w:tcPr>
            <w:tcW w:w="0" w:type="auto"/>
            <w:shd w:val="clear" w:color="auto" w:fill="auto"/>
            <w:tcMar>
              <w:top w:w="40" w:type="dxa"/>
              <w:left w:w="20" w:type="dxa"/>
              <w:bottom w:w="40" w:type="dxa"/>
            </w:tcMar>
            <w:vAlign w:val="bottom"/>
          </w:tcPr>
          <w:p w14:paraId="36CA3F1C" w14:textId="77777777" w:rsidR="00787570" w:rsidRDefault="000D56E2">
            <w:pPr>
              <w:textAlignment w:val="bottom"/>
            </w:pPr>
            <w:r>
              <w:rPr>
                <w:rFonts w:ascii="Arial" w:eastAsia="宋体" w:hAnsi="Arial" w:cs="Arial"/>
                <w:color w:val="026DCE"/>
                <w:sz w:val="18"/>
                <w:szCs w:val="18"/>
              </w:rPr>
              <w:t>$</w:t>
            </w:r>
          </w:p>
        </w:tc>
        <w:tc>
          <w:tcPr>
            <w:tcW w:w="0" w:type="auto"/>
            <w:shd w:val="clear" w:color="auto" w:fill="auto"/>
            <w:tcMar>
              <w:top w:w="40" w:type="dxa"/>
              <w:bottom w:w="40" w:type="dxa"/>
              <w:right w:w="0" w:type="dxa"/>
            </w:tcMar>
            <w:vAlign w:val="bottom"/>
          </w:tcPr>
          <w:p w14:paraId="36CA3F1D" w14:textId="77777777" w:rsidR="00787570" w:rsidRDefault="000D56E2">
            <w:pPr>
              <w:jc w:val="right"/>
              <w:textAlignment w:val="bottom"/>
            </w:pPr>
            <w:r>
              <w:rPr>
                <w:rFonts w:ascii="Arial" w:eastAsia="宋体" w:hAnsi="Arial" w:cs="Arial"/>
                <w:color w:val="026DCE"/>
                <w:sz w:val="18"/>
                <w:szCs w:val="18"/>
              </w:rPr>
              <w:t>1,996 </w:t>
            </w:r>
          </w:p>
        </w:tc>
        <w:tc>
          <w:tcPr>
            <w:tcW w:w="0" w:type="auto"/>
            <w:shd w:val="clear" w:color="auto" w:fill="auto"/>
            <w:tcMar>
              <w:top w:w="40" w:type="dxa"/>
              <w:bottom w:w="40" w:type="dxa"/>
              <w:right w:w="20" w:type="dxa"/>
            </w:tcMar>
            <w:vAlign w:val="bottom"/>
          </w:tcPr>
          <w:p w14:paraId="36CA3F1E"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3F1F" w14:textId="77777777" w:rsidR="00787570" w:rsidRDefault="00787570">
            <w:pPr>
              <w:rPr>
                <w:rFonts w:ascii="宋体"/>
              </w:rPr>
            </w:pPr>
          </w:p>
        </w:tc>
        <w:tc>
          <w:tcPr>
            <w:tcW w:w="0" w:type="auto"/>
            <w:shd w:val="clear" w:color="auto" w:fill="auto"/>
            <w:tcMar>
              <w:top w:w="40" w:type="dxa"/>
              <w:left w:w="20" w:type="dxa"/>
              <w:bottom w:w="40" w:type="dxa"/>
            </w:tcMar>
            <w:vAlign w:val="bottom"/>
          </w:tcPr>
          <w:p w14:paraId="36CA3F20" w14:textId="77777777" w:rsidR="00787570" w:rsidRDefault="000D56E2">
            <w:pPr>
              <w:textAlignment w:val="bottom"/>
            </w:pPr>
            <w:r>
              <w:rPr>
                <w:rFonts w:ascii="Arial" w:eastAsia="宋体" w:hAnsi="Arial" w:cs="Arial"/>
                <w:color w:val="026DCE"/>
                <w:sz w:val="18"/>
                <w:szCs w:val="18"/>
              </w:rPr>
              <w:t>$</w:t>
            </w:r>
          </w:p>
        </w:tc>
        <w:tc>
          <w:tcPr>
            <w:tcW w:w="0" w:type="auto"/>
            <w:shd w:val="clear" w:color="auto" w:fill="auto"/>
            <w:tcMar>
              <w:top w:w="40" w:type="dxa"/>
              <w:bottom w:w="40" w:type="dxa"/>
              <w:right w:w="0" w:type="dxa"/>
            </w:tcMar>
            <w:vAlign w:val="bottom"/>
          </w:tcPr>
          <w:p w14:paraId="36CA3F21" w14:textId="77777777" w:rsidR="00787570" w:rsidRDefault="000D56E2">
            <w:pPr>
              <w:jc w:val="right"/>
              <w:textAlignment w:val="bottom"/>
            </w:pPr>
            <w:r>
              <w:rPr>
                <w:rFonts w:ascii="Arial" w:eastAsia="宋体" w:hAnsi="Arial" w:cs="Arial"/>
                <w:color w:val="026DCE"/>
                <w:sz w:val="18"/>
                <w:szCs w:val="18"/>
              </w:rPr>
              <w:t>— </w:t>
            </w:r>
          </w:p>
        </w:tc>
        <w:tc>
          <w:tcPr>
            <w:tcW w:w="0" w:type="auto"/>
            <w:shd w:val="clear" w:color="auto" w:fill="auto"/>
            <w:tcMar>
              <w:top w:w="40" w:type="dxa"/>
              <w:bottom w:w="40" w:type="dxa"/>
              <w:right w:w="20" w:type="dxa"/>
            </w:tcMar>
            <w:vAlign w:val="bottom"/>
          </w:tcPr>
          <w:p w14:paraId="36CA3F22"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3F23" w14:textId="77777777" w:rsidR="00787570" w:rsidRDefault="00787570">
            <w:pPr>
              <w:rPr>
                <w:rFonts w:ascii="宋体"/>
              </w:rPr>
            </w:pPr>
          </w:p>
        </w:tc>
        <w:tc>
          <w:tcPr>
            <w:tcW w:w="0" w:type="auto"/>
            <w:shd w:val="clear" w:color="auto" w:fill="auto"/>
            <w:tcMar>
              <w:top w:w="40" w:type="dxa"/>
              <w:left w:w="20" w:type="dxa"/>
              <w:bottom w:w="40" w:type="dxa"/>
            </w:tcMar>
            <w:vAlign w:val="bottom"/>
          </w:tcPr>
          <w:p w14:paraId="36CA3F24" w14:textId="77777777" w:rsidR="00787570" w:rsidRDefault="000D56E2">
            <w:pPr>
              <w:textAlignment w:val="bottom"/>
            </w:pPr>
            <w:r>
              <w:rPr>
                <w:rFonts w:ascii="Arial" w:eastAsia="宋体" w:hAnsi="Arial" w:cs="Arial"/>
                <w:color w:val="026DCE"/>
                <w:sz w:val="18"/>
                <w:szCs w:val="18"/>
              </w:rPr>
              <w:t>$</w:t>
            </w:r>
          </w:p>
        </w:tc>
        <w:tc>
          <w:tcPr>
            <w:tcW w:w="0" w:type="auto"/>
            <w:shd w:val="clear" w:color="auto" w:fill="auto"/>
            <w:tcMar>
              <w:top w:w="40" w:type="dxa"/>
              <w:bottom w:w="40" w:type="dxa"/>
              <w:right w:w="0" w:type="dxa"/>
            </w:tcMar>
            <w:vAlign w:val="bottom"/>
          </w:tcPr>
          <w:p w14:paraId="36CA3F25" w14:textId="77777777" w:rsidR="00787570" w:rsidRDefault="000D56E2">
            <w:pPr>
              <w:jc w:val="right"/>
              <w:textAlignment w:val="bottom"/>
            </w:pPr>
            <w:r>
              <w:rPr>
                <w:rFonts w:ascii="Arial" w:eastAsia="宋体" w:hAnsi="Arial" w:cs="Arial"/>
                <w:color w:val="026DCE"/>
                <w:sz w:val="18"/>
                <w:szCs w:val="18"/>
              </w:rPr>
              <w:t>1,996 </w:t>
            </w:r>
          </w:p>
        </w:tc>
        <w:tc>
          <w:tcPr>
            <w:tcW w:w="0" w:type="auto"/>
            <w:shd w:val="clear" w:color="auto" w:fill="auto"/>
            <w:tcMar>
              <w:top w:w="40" w:type="dxa"/>
              <w:bottom w:w="40" w:type="dxa"/>
              <w:right w:w="20" w:type="dxa"/>
            </w:tcMar>
            <w:vAlign w:val="bottom"/>
          </w:tcPr>
          <w:p w14:paraId="36CA3F26"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3F27" w14:textId="77777777" w:rsidR="00787570" w:rsidRDefault="00787570">
            <w:pPr>
              <w:rPr>
                <w:rFonts w:ascii="宋体"/>
              </w:rPr>
            </w:pPr>
          </w:p>
        </w:tc>
        <w:tc>
          <w:tcPr>
            <w:tcW w:w="0" w:type="auto"/>
            <w:shd w:val="clear" w:color="auto" w:fill="auto"/>
            <w:tcMar>
              <w:top w:w="40" w:type="dxa"/>
              <w:left w:w="20" w:type="dxa"/>
              <w:bottom w:w="40" w:type="dxa"/>
            </w:tcMar>
            <w:vAlign w:val="bottom"/>
          </w:tcPr>
          <w:p w14:paraId="36CA3F28" w14:textId="77777777" w:rsidR="00787570" w:rsidRDefault="000D56E2">
            <w:pPr>
              <w:textAlignment w:val="bottom"/>
            </w:pPr>
            <w:r>
              <w:rPr>
                <w:rFonts w:ascii="Arial" w:eastAsia="宋体" w:hAnsi="Arial" w:cs="Arial"/>
                <w:color w:val="026DCE"/>
                <w:sz w:val="18"/>
                <w:szCs w:val="18"/>
              </w:rPr>
              <w:t>$</w:t>
            </w:r>
          </w:p>
        </w:tc>
        <w:tc>
          <w:tcPr>
            <w:tcW w:w="0" w:type="auto"/>
            <w:shd w:val="clear" w:color="auto" w:fill="auto"/>
            <w:tcMar>
              <w:top w:w="40" w:type="dxa"/>
              <w:bottom w:w="40" w:type="dxa"/>
              <w:right w:w="0" w:type="dxa"/>
            </w:tcMar>
            <w:vAlign w:val="bottom"/>
          </w:tcPr>
          <w:p w14:paraId="36CA3F29" w14:textId="77777777" w:rsidR="00787570" w:rsidRDefault="000D56E2">
            <w:pPr>
              <w:jc w:val="right"/>
              <w:textAlignment w:val="bottom"/>
            </w:pPr>
            <w:r>
              <w:rPr>
                <w:rFonts w:ascii="Arial" w:eastAsia="宋体" w:hAnsi="Arial" w:cs="Arial"/>
                <w:color w:val="026DCE"/>
                <w:sz w:val="18"/>
                <w:szCs w:val="18"/>
              </w:rPr>
              <w:t>(328)</w:t>
            </w:r>
          </w:p>
        </w:tc>
        <w:tc>
          <w:tcPr>
            <w:tcW w:w="0" w:type="auto"/>
            <w:shd w:val="clear" w:color="auto" w:fill="auto"/>
            <w:tcMar>
              <w:top w:w="40" w:type="dxa"/>
              <w:bottom w:w="40" w:type="dxa"/>
              <w:right w:w="20" w:type="dxa"/>
            </w:tcMar>
            <w:vAlign w:val="bottom"/>
          </w:tcPr>
          <w:p w14:paraId="36CA3F2A"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3F2B" w14:textId="77777777" w:rsidR="00787570" w:rsidRDefault="00787570">
            <w:pPr>
              <w:rPr>
                <w:rFonts w:ascii="宋体"/>
              </w:rPr>
            </w:pPr>
          </w:p>
        </w:tc>
        <w:tc>
          <w:tcPr>
            <w:tcW w:w="0" w:type="auto"/>
            <w:shd w:val="clear" w:color="auto" w:fill="auto"/>
            <w:tcMar>
              <w:top w:w="40" w:type="dxa"/>
              <w:left w:w="20" w:type="dxa"/>
              <w:bottom w:w="40" w:type="dxa"/>
            </w:tcMar>
            <w:vAlign w:val="bottom"/>
          </w:tcPr>
          <w:p w14:paraId="36CA3F2C" w14:textId="77777777" w:rsidR="00787570" w:rsidRDefault="000D56E2">
            <w:pPr>
              <w:textAlignment w:val="bottom"/>
            </w:pPr>
            <w:r>
              <w:rPr>
                <w:rFonts w:ascii="Arial" w:eastAsia="宋体" w:hAnsi="Arial" w:cs="Arial"/>
                <w:color w:val="026DCE"/>
                <w:sz w:val="18"/>
                <w:szCs w:val="18"/>
              </w:rPr>
              <w:t>$</w:t>
            </w:r>
          </w:p>
        </w:tc>
        <w:tc>
          <w:tcPr>
            <w:tcW w:w="0" w:type="auto"/>
            <w:shd w:val="clear" w:color="auto" w:fill="auto"/>
            <w:tcMar>
              <w:top w:w="40" w:type="dxa"/>
              <w:bottom w:w="40" w:type="dxa"/>
              <w:right w:w="0" w:type="dxa"/>
            </w:tcMar>
            <w:vAlign w:val="bottom"/>
          </w:tcPr>
          <w:p w14:paraId="36CA3F2D" w14:textId="77777777" w:rsidR="00787570" w:rsidRDefault="000D56E2">
            <w:pPr>
              <w:jc w:val="right"/>
              <w:textAlignment w:val="bottom"/>
            </w:pPr>
            <w:r>
              <w:rPr>
                <w:rFonts w:ascii="Arial" w:eastAsia="宋体" w:hAnsi="Arial" w:cs="Arial"/>
                <w:color w:val="026DCE"/>
                <w:sz w:val="18"/>
                <w:szCs w:val="18"/>
              </w:rPr>
              <w:t>(1,587)</w:t>
            </w:r>
          </w:p>
        </w:tc>
        <w:tc>
          <w:tcPr>
            <w:tcW w:w="0" w:type="auto"/>
            <w:shd w:val="clear" w:color="auto" w:fill="auto"/>
            <w:tcMar>
              <w:top w:w="40" w:type="dxa"/>
              <w:bottom w:w="40" w:type="dxa"/>
              <w:right w:w="20" w:type="dxa"/>
            </w:tcMar>
            <w:vAlign w:val="bottom"/>
          </w:tcPr>
          <w:p w14:paraId="36CA3F2E"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3F2F" w14:textId="77777777" w:rsidR="00787570" w:rsidRDefault="00787570">
            <w:pPr>
              <w:rPr>
                <w:rFonts w:ascii="宋体"/>
              </w:rPr>
            </w:pPr>
          </w:p>
        </w:tc>
        <w:tc>
          <w:tcPr>
            <w:tcW w:w="0" w:type="auto"/>
            <w:shd w:val="clear" w:color="auto" w:fill="auto"/>
            <w:tcMar>
              <w:top w:w="40" w:type="dxa"/>
              <w:left w:w="20" w:type="dxa"/>
              <w:bottom w:w="40" w:type="dxa"/>
            </w:tcMar>
            <w:vAlign w:val="bottom"/>
          </w:tcPr>
          <w:p w14:paraId="36CA3F30" w14:textId="77777777" w:rsidR="00787570" w:rsidRDefault="000D56E2">
            <w:pPr>
              <w:textAlignment w:val="bottom"/>
            </w:pPr>
            <w:r>
              <w:rPr>
                <w:rFonts w:ascii="Arial" w:eastAsia="宋体" w:hAnsi="Arial" w:cs="Arial"/>
                <w:color w:val="026DCE"/>
                <w:sz w:val="18"/>
                <w:szCs w:val="18"/>
              </w:rPr>
              <w:t>$</w:t>
            </w:r>
          </w:p>
        </w:tc>
        <w:tc>
          <w:tcPr>
            <w:tcW w:w="0" w:type="auto"/>
            <w:shd w:val="clear" w:color="auto" w:fill="auto"/>
            <w:tcMar>
              <w:top w:w="40" w:type="dxa"/>
              <w:bottom w:w="40" w:type="dxa"/>
              <w:right w:w="0" w:type="dxa"/>
            </w:tcMar>
            <w:vAlign w:val="bottom"/>
          </w:tcPr>
          <w:p w14:paraId="36CA3F31" w14:textId="77777777" w:rsidR="00787570" w:rsidRDefault="000D56E2">
            <w:pPr>
              <w:jc w:val="right"/>
              <w:textAlignment w:val="bottom"/>
            </w:pPr>
            <w:r>
              <w:rPr>
                <w:rFonts w:ascii="Arial" w:eastAsia="宋体" w:hAnsi="Arial" w:cs="Arial"/>
                <w:color w:val="026DCE"/>
                <w:sz w:val="18"/>
                <w:szCs w:val="18"/>
              </w:rPr>
              <w:t>81 </w:t>
            </w:r>
          </w:p>
        </w:tc>
        <w:tc>
          <w:tcPr>
            <w:tcW w:w="0" w:type="auto"/>
            <w:shd w:val="clear" w:color="auto" w:fill="auto"/>
            <w:tcMar>
              <w:top w:w="40" w:type="dxa"/>
              <w:bottom w:w="40" w:type="dxa"/>
              <w:right w:w="20" w:type="dxa"/>
            </w:tcMar>
            <w:vAlign w:val="bottom"/>
          </w:tcPr>
          <w:p w14:paraId="36CA3F32" w14:textId="77777777" w:rsidR="00787570" w:rsidRDefault="00787570">
            <w:pPr>
              <w:jc w:val="right"/>
              <w:rPr>
                <w:rFonts w:ascii="宋体"/>
              </w:rPr>
            </w:pPr>
          </w:p>
        </w:tc>
        <w:tc>
          <w:tcPr>
            <w:tcW w:w="0" w:type="auto"/>
            <w:shd w:val="clear" w:color="auto" w:fill="auto"/>
          </w:tcPr>
          <w:p w14:paraId="36CA3F33" w14:textId="77777777" w:rsidR="00787570" w:rsidRDefault="00787570">
            <w:pPr>
              <w:rPr>
                <w:rFonts w:ascii="宋体"/>
              </w:rPr>
            </w:pPr>
          </w:p>
        </w:tc>
        <w:tc>
          <w:tcPr>
            <w:tcW w:w="0" w:type="auto"/>
            <w:shd w:val="clear" w:color="auto" w:fill="auto"/>
          </w:tcPr>
          <w:p w14:paraId="36CA3F34" w14:textId="77777777" w:rsidR="00787570" w:rsidRDefault="00787570">
            <w:pPr>
              <w:rPr>
                <w:rFonts w:ascii="宋体"/>
              </w:rPr>
            </w:pPr>
          </w:p>
        </w:tc>
        <w:tc>
          <w:tcPr>
            <w:tcW w:w="0" w:type="auto"/>
            <w:shd w:val="clear" w:color="auto" w:fill="auto"/>
          </w:tcPr>
          <w:p w14:paraId="36CA3F35" w14:textId="77777777" w:rsidR="00787570" w:rsidRDefault="00787570">
            <w:pPr>
              <w:rPr>
                <w:rFonts w:ascii="宋体"/>
              </w:rPr>
            </w:pPr>
          </w:p>
        </w:tc>
        <w:tc>
          <w:tcPr>
            <w:tcW w:w="0" w:type="auto"/>
            <w:shd w:val="clear" w:color="auto" w:fill="auto"/>
          </w:tcPr>
          <w:p w14:paraId="36CA3F36" w14:textId="77777777" w:rsidR="00787570" w:rsidRDefault="00787570">
            <w:pPr>
              <w:rPr>
                <w:rFonts w:ascii="宋体"/>
              </w:rPr>
            </w:pPr>
          </w:p>
        </w:tc>
        <w:tc>
          <w:tcPr>
            <w:tcW w:w="0" w:type="auto"/>
            <w:shd w:val="clear" w:color="auto" w:fill="auto"/>
          </w:tcPr>
          <w:p w14:paraId="36CA3F37" w14:textId="77777777" w:rsidR="00787570" w:rsidRDefault="00787570">
            <w:pPr>
              <w:rPr>
                <w:rFonts w:ascii="宋体"/>
              </w:rPr>
            </w:pPr>
          </w:p>
        </w:tc>
        <w:tc>
          <w:tcPr>
            <w:tcW w:w="0" w:type="auto"/>
            <w:shd w:val="clear" w:color="auto" w:fill="auto"/>
          </w:tcPr>
          <w:p w14:paraId="36CA3F38" w14:textId="77777777" w:rsidR="00787570" w:rsidRDefault="00787570">
            <w:pPr>
              <w:rPr>
                <w:rFonts w:ascii="宋体"/>
              </w:rPr>
            </w:pPr>
          </w:p>
        </w:tc>
        <w:tc>
          <w:tcPr>
            <w:tcW w:w="0" w:type="auto"/>
            <w:shd w:val="clear" w:color="auto" w:fill="auto"/>
          </w:tcPr>
          <w:p w14:paraId="36CA3F39" w14:textId="77777777" w:rsidR="00787570" w:rsidRDefault="00787570">
            <w:pPr>
              <w:rPr>
                <w:rFonts w:ascii="宋体"/>
              </w:rPr>
            </w:pPr>
          </w:p>
        </w:tc>
        <w:tc>
          <w:tcPr>
            <w:tcW w:w="0" w:type="auto"/>
            <w:shd w:val="clear" w:color="auto" w:fill="auto"/>
          </w:tcPr>
          <w:p w14:paraId="36CA3F3A" w14:textId="77777777" w:rsidR="00787570" w:rsidRDefault="00787570">
            <w:pPr>
              <w:rPr>
                <w:rFonts w:ascii="宋体"/>
              </w:rPr>
            </w:pPr>
          </w:p>
        </w:tc>
        <w:tc>
          <w:tcPr>
            <w:tcW w:w="0" w:type="auto"/>
            <w:shd w:val="clear" w:color="auto" w:fill="auto"/>
          </w:tcPr>
          <w:p w14:paraId="36CA3F3B" w14:textId="77777777" w:rsidR="00787570" w:rsidRDefault="00787570">
            <w:pPr>
              <w:rPr>
                <w:rFonts w:ascii="宋体"/>
              </w:rPr>
            </w:pPr>
          </w:p>
        </w:tc>
        <w:tc>
          <w:tcPr>
            <w:tcW w:w="0" w:type="auto"/>
            <w:shd w:val="clear" w:color="auto" w:fill="auto"/>
          </w:tcPr>
          <w:p w14:paraId="36CA3F3C" w14:textId="77777777" w:rsidR="00787570" w:rsidRDefault="00787570">
            <w:pPr>
              <w:rPr>
                <w:rFonts w:ascii="宋体"/>
              </w:rPr>
            </w:pPr>
          </w:p>
        </w:tc>
        <w:tc>
          <w:tcPr>
            <w:tcW w:w="0" w:type="auto"/>
            <w:shd w:val="clear" w:color="auto" w:fill="auto"/>
          </w:tcPr>
          <w:p w14:paraId="36CA3F3D" w14:textId="77777777" w:rsidR="00787570" w:rsidRDefault="00787570">
            <w:pPr>
              <w:rPr>
                <w:rFonts w:ascii="宋体"/>
              </w:rPr>
            </w:pPr>
          </w:p>
        </w:tc>
        <w:tc>
          <w:tcPr>
            <w:tcW w:w="0" w:type="auto"/>
            <w:shd w:val="clear" w:color="auto" w:fill="auto"/>
          </w:tcPr>
          <w:p w14:paraId="36CA3F3E" w14:textId="77777777" w:rsidR="00787570" w:rsidRDefault="00787570">
            <w:pPr>
              <w:rPr>
                <w:rFonts w:ascii="宋体"/>
              </w:rPr>
            </w:pPr>
          </w:p>
        </w:tc>
        <w:tc>
          <w:tcPr>
            <w:tcW w:w="0" w:type="auto"/>
            <w:shd w:val="clear" w:color="auto" w:fill="auto"/>
          </w:tcPr>
          <w:p w14:paraId="36CA3F3F" w14:textId="77777777" w:rsidR="00787570" w:rsidRDefault="00787570">
            <w:pPr>
              <w:rPr>
                <w:rFonts w:ascii="宋体"/>
              </w:rPr>
            </w:pPr>
          </w:p>
        </w:tc>
        <w:tc>
          <w:tcPr>
            <w:tcW w:w="0" w:type="auto"/>
            <w:shd w:val="clear" w:color="auto" w:fill="auto"/>
          </w:tcPr>
          <w:p w14:paraId="36CA3F40" w14:textId="77777777" w:rsidR="00787570" w:rsidRDefault="00787570">
            <w:pPr>
              <w:rPr>
                <w:rFonts w:ascii="宋体"/>
              </w:rPr>
            </w:pPr>
          </w:p>
        </w:tc>
        <w:tc>
          <w:tcPr>
            <w:tcW w:w="0" w:type="auto"/>
            <w:shd w:val="clear" w:color="auto" w:fill="auto"/>
          </w:tcPr>
          <w:p w14:paraId="36CA3F41" w14:textId="77777777" w:rsidR="00787570" w:rsidRDefault="00787570">
            <w:pPr>
              <w:rPr>
                <w:rFonts w:ascii="宋体"/>
              </w:rPr>
            </w:pPr>
          </w:p>
        </w:tc>
        <w:tc>
          <w:tcPr>
            <w:tcW w:w="0" w:type="auto"/>
            <w:shd w:val="clear" w:color="auto" w:fill="auto"/>
          </w:tcPr>
          <w:p w14:paraId="36CA3F42" w14:textId="77777777" w:rsidR="00787570" w:rsidRDefault="00787570">
            <w:pPr>
              <w:rPr>
                <w:rFonts w:ascii="宋体"/>
              </w:rPr>
            </w:pPr>
          </w:p>
        </w:tc>
        <w:tc>
          <w:tcPr>
            <w:tcW w:w="0" w:type="auto"/>
            <w:shd w:val="clear" w:color="auto" w:fill="auto"/>
          </w:tcPr>
          <w:p w14:paraId="36CA3F43" w14:textId="77777777" w:rsidR="00787570" w:rsidRDefault="00787570">
            <w:pPr>
              <w:rPr>
                <w:rFonts w:ascii="宋体"/>
              </w:rPr>
            </w:pPr>
          </w:p>
        </w:tc>
        <w:tc>
          <w:tcPr>
            <w:tcW w:w="0" w:type="auto"/>
            <w:shd w:val="clear" w:color="auto" w:fill="auto"/>
          </w:tcPr>
          <w:p w14:paraId="36CA3F44" w14:textId="77777777" w:rsidR="00787570" w:rsidRDefault="00787570">
            <w:pPr>
              <w:rPr>
                <w:rFonts w:ascii="宋体"/>
              </w:rPr>
            </w:pPr>
          </w:p>
        </w:tc>
        <w:tc>
          <w:tcPr>
            <w:tcW w:w="0" w:type="auto"/>
            <w:shd w:val="clear" w:color="auto" w:fill="auto"/>
          </w:tcPr>
          <w:p w14:paraId="36CA3F45" w14:textId="77777777" w:rsidR="00787570" w:rsidRDefault="00787570">
            <w:pPr>
              <w:rPr>
                <w:rFonts w:ascii="宋体"/>
              </w:rPr>
            </w:pPr>
          </w:p>
        </w:tc>
        <w:tc>
          <w:tcPr>
            <w:tcW w:w="0" w:type="auto"/>
            <w:shd w:val="clear" w:color="auto" w:fill="auto"/>
          </w:tcPr>
          <w:p w14:paraId="36CA3F46" w14:textId="77777777" w:rsidR="00787570" w:rsidRDefault="00787570">
            <w:pPr>
              <w:rPr>
                <w:rFonts w:ascii="宋体"/>
              </w:rPr>
            </w:pPr>
          </w:p>
        </w:tc>
        <w:tc>
          <w:tcPr>
            <w:tcW w:w="0" w:type="auto"/>
            <w:shd w:val="clear" w:color="auto" w:fill="auto"/>
          </w:tcPr>
          <w:p w14:paraId="36CA3F47" w14:textId="77777777" w:rsidR="00787570" w:rsidRDefault="00787570">
            <w:pPr>
              <w:rPr>
                <w:rFonts w:ascii="宋体"/>
              </w:rPr>
            </w:pPr>
          </w:p>
        </w:tc>
        <w:tc>
          <w:tcPr>
            <w:tcW w:w="0" w:type="auto"/>
            <w:shd w:val="clear" w:color="auto" w:fill="auto"/>
          </w:tcPr>
          <w:p w14:paraId="36CA3F48" w14:textId="77777777" w:rsidR="00787570" w:rsidRDefault="00787570">
            <w:pPr>
              <w:rPr>
                <w:rFonts w:ascii="宋体"/>
              </w:rPr>
            </w:pPr>
          </w:p>
        </w:tc>
        <w:tc>
          <w:tcPr>
            <w:tcW w:w="0" w:type="auto"/>
            <w:shd w:val="clear" w:color="auto" w:fill="auto"/>
          </w:tcPr>
          <w:p w14:paraId="36CA3F49" w14:textId="77777777" w:rsidR="00787570" w:rsidRDefault="00787570">
            <w:pPr>
              <w:rPr>
                <w:rFonts w:ascii="宋体"/>
              </w:rPr>
            </w:pPr>
          </w:p>
        </w:tc>
        <w:tc>
          <w:tcPr>
            <w:tcW w:w="0" w:type="auto"/>
            <w:shd w:val="clear" w:color="auto" w:fill="auto"/>
          </w:tcPr>
          <w:p w14:paraId="36CA3F4A" w14:textId="77777777" w:rsidR="00787570" w:rsidRDefault="00787570">
            <w:pPr>
              <w:rPr>
                <w:rFonts w:ascii="宋体"/>
              </w:rPr>
            </w:pPr>
          </w:p>
        </w:tc>
      </w:tr>
      <w:tr w:rsidR="00787570" w14:paraId="36CA3F77" w14:textId="77777777">
        <w:tc>
          <w:tcPr>
            <w:tcW w:w="0" w:type="auto"/>
            <w:gridSpan w:val="3"/>
            <w:shd w:val="clear" w:color="auto" w:fill="auto"/>
            <w:tcMar>
              <w:top w:w="40" w:type="dxa"/>
              <w:left w:w="20" w:type="dxa"/>
              <w:bottom w:w="40" w:type="dxa"/>
              <w:right w:w="20" w:type="dxa"/>
            </w:tcMar>
            <w:vAlign w:val="bottom"/>
          </w:tcPr>
          <w:p w14:paraId="36CA3F4C" w14:textId="77777777" w:rsidR="00787570" w:rsidRDefault="000D56E2">
            <w:pPr>
              <w:textAlignment w:val="bottom"/>
            </w:pPr>
            <w:r>
              <w:rPr>
                <w:rFonts w:ascii="Arial" w:eastAsia="宋体" w:hAnsi="Arial" w:cs="Arial"/>
                <w:color w:val="333333"/>
                <w:sz w:val="18"/>
                <w:szCs w:val="18"/>
              </w:rPr>
              <w:t>Reverse repurchase agreements</w:t>
            </w:r>
          </w:p>
        </w:tc>
        <w:tc>
          <w:tcPr>
            <w:tcW w:w="0" w:type="auto"/>
            <w:gridSpan w:val="3"/>
            <w:shd w:val="clear" w:color="auto" w:fill="auto"/>
            <w:tcMar>
              <w:left w:w="20" w:type="dxa"/>
              <w:right w:w="20" w:type="dxa"/>
            </w:tcMar>
            <w:vAlign w:val="bottom"/>
          </w:tcPr>
          <w:p w14:paraId="36CA3F4D"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3F4E" w14:textId="77777777" w:rsidR="00787570" w:rsidRDefault="000D56E2">
            <w:pPr>
              <w:jc w:val="right"/>
              <w:textAlignment w:val="bottom"/>
            </w:pPr>
            <w:r>
              <w:rPr>
                <w:rFonts w:ascii="Arial" w:eastAsia="宋体" w:hAnsi="Arial" w:cs="Arial"/>
                <w:color w:val="026DCE"/>
                <w:sz w:val="18"/>
                <w:szCs w:val="18"/>
              </w:rPr>
              <w:t>1,250 </w:t>
            </w:r>
          </w:p>
        </w:tc>
        <w:tc>
          <w:tcPr>
            <w:tcW w:w="0" w:type="auto"/>
            <w:shd w:val="clear" w:color="auto" w:fill="auto"/>
            <w:tcMar>
              <w:top w:w="40" w:type="dxa"/>
              <w:bottom w:w="40" w:type="dxa"/>
              <w:right w:w="20" w:type="dxa"/>
            </w:tcMar>
            <w:vAlign w:val="bottom"/>
          </w:tcPr>
          <w:p w14:paraId="36CA3F4F"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3F50"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3F51" w14:textId="77777777" w:rsidR="00787570" w:rsidRDefault="000D56E2">
            <w:pPr>
              <w:jc w:val="right"/>
              <w:textAlignment w:val="bottom"/>
            </w:pPr>
            <w:r>
              <w:rPr>
                <w:rFonts w:ascii="Arial" w:eastAsia="宋体" w:hAnsi="Arial" w:cs="Arial"/>
                <w:color w:val="026DCE"/>
                <w:sz w:val="18"/>
                <w:szCs w:val="18"/>
              </w:rPr>
              <w:t>— </w:t>
            </w:r>
          </w:p>
        </w:tc>
        <w:tc>
          <w:tcPr>
            <w:tcW w:w="0" w:type="auto"/>
            <w:shd w:val="clear" w:color="auto" w:fill="auto"/>
            <w:tcMar>
              <w:top w:w="40" w:type="dxa"/>
              <w:bottom w:w="40" w:type="dxa"/>
              <w:right w:w="20" w:type="dxa"/>
            </w:tcMar>
            <w:vAlign w:val="bottom"/>
          </w:tcPr>
          <w:p w14:paraId="36CA3F52"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3F53"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3F54" w14:textId="77777777" w:rsidR="00787570" w:rsidRDefault="000D56E2">
            <w:pPr>
              <w:jc w:val="right"/>
              <w:textAlignment w:val="bottom"/>
            </w:pPr>
            <w:r>
              <w:rPr>
                <w:rFonts w:ascii="Arial" w:eastAsia="宋体" w:hAnsi="Arial" w:cs="Arial"/>
                <w:color w:val="026DCE"/>
                <w:sz w:val="18"/>
                <w:szCs w:val="18"/>
              </w:rPr>
              <w:t>1,250 </w:t>
            </w:r>
          </w:p>
        </w:tc>
        <w:tc>
          <w:tcPr>
            <w:tcW w:w="0" w:type="auto"/>
            <w:shd w:val="clear" w:color="auto" w:fill="auto"/>
            <w:tcMar>
              <w:top w:w="40" w:type="dxa"/>
              <w:bottom w:w="40" w:type="dxa"/>
              <w:right w:w="20" w:type="dxa"/>
            </w:tcMar>
            <w:vAlign w:val="bottom"/>
          </w:tcPr>
          <w:p w14:paraId="36CA3F55"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3F56"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3F57" w14:textId="77777777" w:rsidR="00787570" w:rsidRDefault="000D56E2">
            <w:pPr>
              <w:jc w:val="right"/>
              <w:textAlignment w:val="bottom"/>
            </w:pPr>
            <w:r>
              <w:rPr>
                <w:rFonts w:ascii="Arial" w:eastAsia="宋体" w:hAnsi="Arial" w:cs="Arial"/>
                <w:color w:val="026DCE"/>
                <w:sz w:val="18"/>
                <w:szCs w:val="18"/>
              </w:rPr>
              <w:t>— </w:t>
            </w:r>
          </w:p>
        </w:tc>
        <w:tc>
          <w:tcPr>
            <w:tcW w:w="0" w:type="auto"/>
            <w:shd w:val="clear" w:color="auto" w:fill="auto"/>
            <w:tcMar>
              <w:top w:w="40" w:type="dxa"/>
              <w:bottom w:w="40" w:type="dxa"/>
              <w:right w:w="20" w:type="dxa"/>
            </w:tcMar>
            <w:vAlign w:val="bottom"/>
          </w:tcPr>
          <w:p w14:paraId="36CA3F58"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3F59"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3F5A" w14:textId="77777777" w:rsidR="00787570" w:rsidRDefault="000D56E2">
            <w:pPr>
              <w:jc w:val="right"/>
              <w:textAlignment w:val="bottom"/>
            </w:pPr>
            <w:r>
              <w:rPr>
                <w:rFonts w:ascii="Arial" w:eastAsia="宋体" w:hAnsi="Arial" w:cs="Arial"/>
                <w:color w:val="026DCE"/>
                <w:sz w:val="18"/>
                <w:szCs w:val="18"/>
              </w:rPr>
              <w:t>(1,250)</w:t>
            </w:r>
          </w:p>
        </w:tc>
        <w:tc>
          <w:tcPr>
            <w:tcW w:w="0" w:type="auto"/>
            <w:shd w:val="clear" w:color="auto" w:fill="auto"/>
            <w:tcMar>
              <w:top w:w="40" w:type="dxa"/>
              <w:bottom w:w="40" w:type="dxa"/>
              <w:right w:w="20" w:type="dxa"/>
            </w:tcMar>
            <w:vAlign w:val="bottom"/>
          </w:tcPr>
          <w:p w14:paraId="36CA3F5B"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3F5C"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3F5D" w14:textId="77777777" w:rsidR="00787570" w:rsidRDefault="000D56E2">
            <w:pPr>
              <w:jc w:val="right"/>
              <w:textAlignment w:val="bottom"/>
            </w:pPr>
            <w:r>
              <w:rPr>
                <w:rFonts w:ascii="Arial" w:eastAsia="宋体" w:hAnsi="Arial" w:cs="Arial"/>
                <w:color w:val="026DCE"/>
                <w:sz w:val="18"/>
                <w:szCs w:val="18"/>
              </w:rPr>
              <w:t>— </w:t>
            </w:r>
          </w:p>
        </w:tc>
        <w:tc>
          <w:tcPr>
            <w:tcW w:w="0" w:type="auto"/>
            <w:shd w:val="clear" w:color="auto" w:fill="auto"/>
            <w:tcMar>
              <w:top w:w="40" w:type="dxa"/>
              <w:bottom w:w="40" w:type="dxa"/>
              <w:right w:w="20" w:type="dxa"/>
            </w:tcMar>
            <w:vAlign w:val="bottom"/>
          </w:tcPr>
          <w:p w14:paraId="36CA3F5E" w14:textId="77777777" w:rsidR="00787570" w:rsidRDefault="00787570">
            <w:pPr>
              <w:jc w:val="right"/>
              <w:rPr>
                <w:rFonts w:ascii="宋体"/>
              </w:rPr>
            </w:pPr>
          </w:p>
        </w:tc>
        <w:tc>
          <w:tcPr>
            <w:tcW w:w="0" w:type="auto"/>
            <w:shd w:val="clear" w:color="auto" w:fill="auto"/>
          </w:tcPr>
          <w:p w14:paraId="36CA3F5F" w14:textId="77777777" w:rsidR="00787570" w:rsidRDefault="00787570">
            <w:pPr>
              <w:rPr>
                <w:rFonts w:ascii="宋体"/>
              </w:rPr>
            </w:pPr>
          </w:p>
        </w:tc>
        <w:tc>
          <w:tcPr>
            <w:tcW w:w="0" w:type="auto"/>
            <w:shd w:val="clear" w:color="auto" w:fill="auto"/>
          </w:tcPr>
          <w:p w14:paraId="36CA3F60" w14:textId="77777777" w:rsidR="00787570" w:rsidRDefault="00787570">
            <w:pPr>
              <w:rPr>
                <w:rFonts w:ascii="宋体"/>
              </w:rPr>
            </w:pPr>
          </w:p>
        </w:tc>
        <w:tc>
          <w:tcPr>
            <w:tcW w:w="0" w:type="auto"/>
            <w:shd w:val="clear" w:color="auto" w:fill="auto"/>
          </w:tcPr>
          <w:p w14:paraId="36CA3F61" w14:textId="77777777" w:rsidR="00787570" w:rsidRDefault="00787570">
            <w:pPr>
              <w:rPr>
                <w:rFonts w:ascii="宋体"/>
              </w:rPr>
            </w:pPr>
          </w:p>
        </w:tc>
        <w:tc>
          <w:tcPr>
            <w:tcW w:w="0" w:type="auto"/>
            <w:shd w:val="clear" w:color="auto" w:fill="auto"/>
          </w:tcPr>
          <w:p w14:paraId="36CA3F62" w14:textId="77777777" w:rsidR="00787570" w:rsidRDefault="00787570">
            <w:pPr>
              <w:rPr>
                <w:rFonts w:ascii="宋体"/>
              </w:rPr>
            </w:pPr>
          </w:p>
        </w:tc>
        <w:tc>
          <w:tcPr>
            <w:tcW w:w="0" w:type="auto"/>
            <w:shd w:val="clear" w:color="auto" w:fill="auto"/>
          </w:tcPr>
          <w:p w14:paraId="36CA3F63" w14:textId="77777777" w:rsidR="00787570" w:rsidRDefault="00787570">
            <w:pPr>
              <w:rPr>
                <w:rFonts w:ascii="宋体"/>
              </w:rPr>
            </w:pPr>
          </w:p>
        </w:tc>
        <w:tc>
          <w:tcPr>
            <w:tcW w:w="0" w:type="auto"/>
            <w:shd w:val="clear" w:color="auto" w:fill="auto"/>
          </w:tcPr>
          <w:p w14:paraId="36CA3F64" w14:textId="77777777" w:rsidR="00787570" w:rsidRDefault="00787570">
            <w:pPr>
              <w:rPr>
                <w:rFonts w:ascii="宋体"/>
              </w:rPr>
            </w:pPr>
          </w:p>
        </w:tc>
        <w:tc>
          <w:tcPr>
            <w:tcW w:w="0" w:type="auto"/>
            <w:shd w:val="clear" w:color="auto" w:fill="auto"/>
          </w:tcPr>
          <w:p w14:paraId="36CA3F65" w14:textId="77777777" w:rsidR="00787570" w:rsidRDefault="00787570">
            <w:pPr>
              <w:rPr>
                <w:rFonts w:ascii="宋体"/>
              </w:rPr>
            </w:pPr>
          </w:p>
        </w:tc>
        <w:tc>
          <w:tcPr>
            <w:tcW w:w="0" w:type="auto"/>
            <w:shd w:val="clear" w:color="auto" w:fill="auto"/>
          </w:tcPr>
          <w:p w14:paraId="36CA3F66" w14:textId="77777777" w:rsidR="00787570" w:rsidRDefault="00787570">
            <w:pPr>
              <w:rPr>
                <w:rFonts w:ascii="宋体"/>
              </w:rPr>
            </w:pPr>
          </w:p>
        </w:tc>
        <w:tc>
          <w:tcPr>
            <w:tcW w:w="0" w:type="auto"/>
            <w:shd w:val="clear" w:color="auto" w:fill="auto"/>
          </w:tcPr>
          <w:p w14:paraId="36CA3F67" w14:textId="77777777" w:rsidR="00787570" w:rsidRDefault="00787570">
            <w:pPr>
              <w:rPr>
                <w:rFonts w:ascii="宋体"/>
              </w:rPr>
            </w:pPr>
          </w:p>
        </w:tc>
        <w:tc>
          <w:tcPr>
            <w:tcW w:w="0" w:type="auto"/>
            <w:shd w:val="clear" w:color="auto" w:fill="auto"/>
          </w:tcPr>
          <w:p w14:paraId="36CA3F68" w14:textId="77777777" w:rsidR="00787570" w:rsidRDefault="00787570">
            <w:pPr>
              <w:rPr>
                <w:rFonts w:ascii="宋体"/>
              </w:rPr>
            </w:pPr>
          </w:p>
        </w:tc>
        <w:tc>
          <w:tcPr>
            <w:tcW w:w="0" w:type="auto"/>
            <w:shd w:val="clear" w:color="auto" w:fill="auto"/>
          </w:tcPr>
          <w:p w14:paraId="36CA3F69" w14:textId="77777777" w:rsidR="00787570" w:rsidRDefault="00787570">
            <w:pPr>
              <w:rPr>
                <w:rFonts w:ascii="宋体"/>
              </w:rPr>
            </w:pPr>
          </w:p>
        </w:tc>
        <w:tc>
          <w:tcPr>
            <w:tcW w:w="0" w:type="auto"/>
            <w:shd w:val="clear" w:color="auto" w:fill="auto"/>
          </w:tcPr>
          <w:p w14:paraId="36CA3F6A" w14:textId="77777777" w:rsidR="00787570" w:rsidRDefault="00787570">
            <w:pPr>
              <w:rPr>
                <w:rFonts w:ascii="宋体"/>
              </w:rPr>
            </w:pPr>
          </w:p>
        </w:tc>
        <w:tc>
          <w:tcPr>
            <w:tcW w:w="0" w:type="auto"/>
            <w:shd w:val="clear" w:color="auto" w:fill="auto"/>
          </w:tcPr>
          <w:p w14:paraId="36CA3F6B" w14:textId="77777777" w:rsidR="00787570" w:rsidRDefault="00787570">
            <w:pPr>
              <w:rPr>
                <w:rFonts w:ascii="宋体"/>
              </w:rPr>
            </w:pPr>
          </w:p>
        </w:tc>
        <w:tc>
          <w:tcPr>
            <w:tcW w:w="0" w:type="auto"/>
            <w:shd w:val="clear" w:color="auto" w:fill="auto"/>
          </w:tcPr>
          <w:p w14:paraId="36CA3F6C" w14:textId="77777777" w:rsidR="00787570" w:rsidRDefault="00787570">
            <w:pPr>
              <w:rPr>
                <w:rFonts w:ascii="宋体"/>
              </w:rPr>
            </w:pPr>
          </w:p>
        </w:tc>
        <w:tc>
          <w:tcPr>
            <w:tcW w:w="0" w:type="auto"/>
            <w:shd w:val="clear" w:color="auto" w:fill="auto"/>
          </w:tcPr>
          <w:p w14:paraId="36CA3F6D" w14:textId="77777777" w:rsidR="00787570" w:rsidRDefault="00787570">
            <w:pPr>
              <w:rPr>
                <w:rFonts w:ascii="宋体"/>
              </w:rPr>
            </w:pPr>
          </w:p>
        </w:tc>
        <w:tc>
          <w:tcPr>
            <w:tcW w:w="0" w:type="auto"/>
            <w:shd w:val="clear" w:color="auto" w:fill="auto"/>
          </w:tcPr>
          <w:p w14:paraId="36CA3F6E" w14:textId="77777777" w:rsidR="00787570" w:rsidRDefault="00787570">
            <w:pPr>
              <w:rPr>
                <w:rFonts w:ascii="宋体"/>
              </w:rPr>
            </w:pPr>
          </w:p>
        </w:tc>
        <w:tc>
          <w:tcPr>
            <w:tcW w:w="0" w:type="auto"/>
            <w:shd w:val="clear" w:color="auto" w:fill="auto"/>
          </w:tcPr>
          <w:p w14:paraId="36CA3F6F" w14:textId="77777777" w:rsidR="00787570" w:rsidRDefault="00787570">
            <w:pPr>
              <w:rPr>
                <w:rFonts w:ascii="宋体"/>
              </w:rPr>
            </w:pPr>
          </w:p>
        </w:tc>
        <w:tc>
          <w:tcPr>
            <w:tcW w:w="0" w:type="auto"/>
            <w:shd w:val="clear" w:color="auto" w:fill="auto"/>
          </w:tcPr>
          <w:p w14:paraId="36CA3F70" w14:textId="77777777" w:rsidR="00787570" w:rsidRDefault="00787570">
            <w:pPr>
              <w:rPr>
                <w:rFonts w:ascii="宋体"/>
              </w:rPr>
            </w:pPr>
          </w:p>
        </w:tc>
        <w:tc>
          <w:tcPr>
            <w:tcW w:w="0" w:type="auto"/>
            <w:shd w:val="clear" w:color="auto" w:fill="auto"/>
          </w:tcPr>
          <w:p w14:paraId="36CA3F71" w14:textId="77777777" w:rsidR="00787570" w:rsidRDefault="00787570">
            <w:pPr>
              <w:rPr>
                <w:rFonts w:ascii="宋体"/>
              </w:rPr>
            </w:pPr>
          </w:p>
        </w:tc>
        <w:tc>
          <w:tcPr>
            <w:tcW w:w="0" w:type="auto"/>
            <w:shd w:val="clear" w:color="auto" w:fill="auto"/>
          </w:tcPr>
          <w:p w14:paraId="36CA3F72" w14:textId="77777777" w:rsidR="00787570" w:rsidRDefault="00787570">
            <w:pPr>
              <w:rPr>
                <w:rFonts w:ascii="宋体"/>
              </w:rPr>
            </w:pPr>
          </w:p>
        </w:tc>
        <w:tc>
          <w:tcPr>
            <w:tcW w:w="0" w:type="auto"/>
            <w:shd w:val="clear" w:color="auto" w:fill="auto"/>
          </w:tcPr>
          <w:p w14:paraId="36CA3F73" w14:textId="77777777" w:rsidR="00787570" w:rsidRDefault="00787570">
            <w:pPr>
              <w:rPr>
                <w:rFonts w:ascii="宋体"/>
              </w:rPr>
            </w:pPr>
          </w:p>
        </w:tc>
        <w:tc>
          <w:tcPr>
            <w:tcW w:w="0" w:type="auto"/>
            <w:shd w:val="clear" w:color="auto" w:fill="auto"/>
          </w:tcPr>
          <w:p w14:paraId="36CA3F74" w14:textId="77777777" w:rsidR="00787570" w:rsidRDefault="00787570">
            <w:pPr>
              <w:rPr>
                <w:rFonts w:ascii="宋体"/>
              </w:rPr>
            </w:pPr>
          </w:p>
        </w:tc>
        <w:tc>
          <w:tcPr>
            <w:tcW w:w="0" w:type="auto"/>
            <w:shd w:val="clear" w:color="auto" w:fill="auto"/>
          </w:tcPr>
          <w:p w14:paraId="36CA3F75" w14:textId="77777777" w:rsidR="00787570" w:rsidRDefault="00787570">
            <w:pPr>
              <w:rPr>
                <w:rFonts w:ascii="宋体"/>
              </w:rPr>
            </w:pPr>
          </w:p>
        </w:tc>
        <w:tc>
          <w:tcPr>
            <w:tcW w:w="0" w:type="auto"/>
            <w:shd w:val="clear" w:color="auto" w:fill="auto"/>
          </w:tcPr>
          <w:p w14:paraId="36CA3F76" w14:textId="77777777" w:rsidR="00787570" w:rsidRDefault="00787570">
            <w:pPr>
              <w:rPr>
                <w:rFonts w:ascii="宋体"/>
              </w:rPr>
            </w:pPr>
          </w:p>
        </w:tc>
      </w:tr>
      <w:tr w:rsidR="00787570" w14:paraId="36CA3FA3" w14:textId="77777777">
        <w:tc>
          <w:tcPr>
            <w:tcW w:w="0" w:type="auto"/>
            <w:gridSpan w:val="3"/>
            <w:shd w:val="clear" w:color="auto" w:fill="auto"/>
            <w:tcMar>
              <w:top w:w="40" w:type="dxa"/>
              <w:left w:w="20" w:type="dxa"/>
              <w:bottom w:w="40" w:type="dxa"/>
              <w:right w:w="20" w:type="dxa"/>
            </w:tcMar>
            <w:vAlign w:val="bottom"/>
          </w:tcPr>
          <w:p w14:paraId="36CA3F78" w14:textId="77777777" w:rsidR="00787570" w:rsidRDefault="000D56E2">
            <w:pPr>
              <w:ind w:hanging="180"/>
              <w:textAlignment w:val="bottom"/>
            </w:pPr>
            <w:r>
              <w:rPr>
                <w:rFonts w:ascii="Arial" w:eastAsia="宋体" w:hAnsi="Arial" w:cs="Arial"/>
                <w:b/>
                <w:bCs/>
                <w:color w:val="333333"/>
                <w:sz w:val="18"/>
                <w:szCs w:val="18"/>
              </w:rPr>
              <w:t>Total assets</w:t>
            </w:r>
          </w:p>
        </w:tc>
        <w:tc>
          <w:tcPr>
            <w:tcW w:w="0" w:type="auto"/>
            <w:gridSpan w:val="3"/>
            <w:shd w:val="clear" w:color="auto" w:fill="auto"/>
            <w:tcMar>
              <w:left w:w="20" w:type="dxa"/>
              <w:right w:w="20" w:type="dxa"/>
            </w:tcMar>
            <w:vAlign w:val="bottom"/>
          </w:tcPr>
          <w:p w14:paraId="36CA3F79" w14:textId="77777777" w:rsidR="00787570" w:rsidRDefault="00787570">
            <w:pPr>
              <w:rPr>
                <w:rFonts w:ascii="宋体"/>
              </w:rPr>
            </w:pPr>
          </w:p>
        </w:tc>
        <w:tc>
          <w:tcPr>
            <w:tcW w:w="0" w:type="auto"/>
            <w:gridSpan w:val="2"/>
            <w:tcBorders>
              <w:top w:val="single" w:sz="8" w:space="0" w:color="333333"/>
            </w:tcBorders>
            <w:shd w:val="clear" w:color="auto" w:fill="auto"/>
            <w:tcMar>
              <w:top w:w="40" w:type="dxa"/>
              <w:left w:w="20" w:type="dxa"/>
              <w:bottom w:w="40" w:type="dxa"/>
              <w:right w:w="0" w:type="dxa"/>
            </w:tcMar>
            <w:vAlign w:val="bottom"/>
          </w:tcPr>
          <w:p w14:paraId="36CA3F7A" w14:textId="77777777" w:rsidR="00787570" w:rsidRDefault="000D56E2">
            <w:pPr>
              <w:jc w:val="right"/>
              <w:textAlignment w:val="bottom"/>
            </w:pPr>
            <w:r>
              <w:rPr>
                <w:rFonts w:ascii="Arial" w:eastAsia="宋体" w:hAnsi="Arial" w:cs="Arial"/>
                <w:b/>
                <w:bCs/>
                <w:color w:val="026DCE"/>
                <w:sz w:val="18"/>
                <w:szCs w:val="18"/>
              </w:rPr>
              <w:t>3,246</w:t>
            </w:r>
            <w:r>
              <w:rPr>
                <w:rFonts w:ascii="Arial" w:eastAsia="宋体" w:hAnsi="Arial" w:cs="Arial"/>
                <w:color w:val="026DCE"/>
                <w:sz w:val="18"/>
                <w:szCs w:val="18"/>
              </w:rPr>
              <w:t> </w:t>
            </w:r>
          </w:p>
        </w:tc>
        <w:tc>
          <w:tcPr>
            <w:tcW w:w="0" w:type="auto"/>
            <w:tcBorders>
              <w:top w:val="single" w:sz="8" w:space="0" w:color="333333"/>
            </w:tcBorders>
            <w:shd w:val="clear" w:color="auto" w:fill="auto"/>
            <w:tcMar>
              <w:top w:w="40" w:type="dxa"/>
              <w:bottom w:w="40" w:type="dxa"/>
              <w:right w:w="20" w:type="dxa"/>
            </w:tcMar>
            <w:vAlign w:val="bottom"/>
          </w:tcPr>
          <w:p w14:paraId="36CA3F7B"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3F7C" w14:textId="77777777" w:rsidR="00787570" w:rsidRDefault="00787570">
            <w:pPr>
              <w:rPr>
                <w:rFonts w:ascii="宋体"/>
              </w:rPr>
            </w:pPr>
          </w:p>
        </w:tc>
        <w:tc>
          <w:tcPr>
            <w:tcW w:w="0" w:type="auto"/>
            <w:gridSpan w:val="2"/>
            <w:tcBorders>
              <w:top w:val="single" w:sz="8" w:space="0" w:color="333333"/>
            </w:tcBorders>
            <w:shd w:val="clear" w:color="auto" w:fill="auto"/>
            <w:tcMar>
              <w:top w:w="40" w:type="dxa"/>
              <w:left w:w="20" w:type="dxa"/>
              <w:bottom w:w="40" w:type="dxa"/>
              <w:right w:w="0" w:type="dxa"/>
            </w:tcMar>
            <w:vAlign w:val="bottom"/>
          </w:tcPr>
          <w:p w14:paraId="36CA3F7D" w14:textId="77777777" w:rsidR="00787570" w:rsidRDefault="000D56E2">
            <w:pPr>
              <w:jc w:val="right"/>
              <w:textAlignment w:val="bottom"/>
            </w:pPr>
            <w:r>
              <w:rPr>
                <w:rFonts w:ascii="Arial" w:eastAsia="宋体" w:hAnsi="Arial" w:cs="Arial"/>
                <w:b/>
                <w:bCs/>
                <w:color w:val="026DCE"/>
                <w:sz w:val="18"/>
                <w:szCs w:val="18"/>
              </w:rPr>
              <w:t>—</w:t>
            </w:r>
            <w:r>
              <w:rPr>
                <w:rFonts w:ascii="Arial" w:eastAsia="宋体" w:hAnsi="Arial" w:cs="Arial"/>
                <w:color w:val="026DCE"/>
                <w:sz w:val="18"/>
                <w:szCs w:val="18"/>
              </w:rPr>
              <w:t> </w:t>
            </w:r>
          </w:p>
        </w:tc>
        <w:tc>
          <w:tcPr>
            <w:tcW w:w="0" w:type="auto"/>
            <w:tcBorders>
              <w:top w:val="single" w:sz="8" w:space="0" w:color="333333"/>
            </w:tcBorders>
            <w:shd w:val="clear" w:color="auto" w:fill="auto"/>
            <w:tcMar>
              <w:top w:w="40" w:type="dxa"/>
              <w:bottom w:w="40" w:type="dxa"/>
              <w:right w:w="20" w:type="dxa"/>
            </w:tcMar>
            <w:vAlign w:val="bottom"/>
          </w:tcPr>
          <w:p w14:paraId="36CA3F7E"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3F7F" w14:textId="77777777" w:rsidR="00787570" w:rsidRDefault="00787570">
            <w:pPr>
              <w:rPr>
                <w:rFonts w:ascii="宋体"/>
              </w:rPr>
            </w:pPr>
          </w:p>
        </w:tc>
        <w:tc>
          <w:tcPr>
            <w:tcW w:w="0" w:type="auto"/>
            <w:gridSpan w:val="2"/>
            <w:tcBorders>
              <w:top w:val="single" w:sz="8" w:space="0" w:color="333333"/>
            </w:tcBorders>
            <w:shd w:val="clear" w:color="auto" w:fill="auto"/>
            <w:tcMar>
              <w:top w:w="40" w:type="dxa"/>
              <w:left w:w="20" w:type="dxa"/>
              <w:bottom w:w="40" w:type="dxa"/>
              <w:right w:w="0" w:type="dxa"/>
            </w:tcMar>
            <w:vAlign w:val="bottom"/>
          </w:tcPr>
          <w:p w14:paraId="36CA3F80" w14:textId="77777777" w:rsidR="00787570" w:rsidRDefault="000D56E2">
            <w:pPr>
              <w:jc w:val="right"/>
              <w:textAlignment w:val="bottom"/>
            </w:pPr>
            <w:r>
              <w:rPr>
                <w:rFonts w:ascii="Arial" w:eastAsia="宋体" w:hAnsi="Arial" w:cs="Arial"/>
                <w:b/>
                <w:bCs/>
                <w:color w:val="026DCE"/>
                <w:sz w:val="18"/>
                <w:szCs w:val="18"/>
              </w:rPr>
              <w:t>3,246</w:t>
            </w:r>
            <w:r>
              <w:rPr>
                <w:rFonts w:ascii="Arial" w:eastAsia="宋体" w:hAnsi="Arial" w:cs="Arial"/>
                <w:color w:val="026DCE"/>
                <w:sz w:val="18"/>
                <w:szCs w:val="18"/>
              </w:rPr>
              <w:t> </w:t>
            </w:r>
          </w:p>
        </w:tc>
        <w:tc>
          <w:tcPr>
            <w:tcW w:w="0" w:type="auto"/>
            <w:tcBorders>
              <w:top w:val="single" w:sz="8" w:space="0" w:color="333333"/>
            </w:tcBorders>
            <w:shd w:val="clear" w:color="auto" w:fill="auto"/>
            <w:tcMar>
              <w:top w:w="40" w:type="dxa"/>
              <w:bottom w:w="40" w:type="dxa"/>
              <w:right w:w="20" w:type="dxa"/>
            </w:tcMar>
            <w:vAlign w:val="bottom"/>
          </w:tcPr>
          <w:p w14:paraId="36CA3F81"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3F82" w14:textId="77777777" w:rsidR="00787570" w:rsidRDefault="00787570">
            <w:pPr>
              <w:rPr>
                <w:rFonts w:ascii="宋体"/>
              </w:rPr>
            </w:pPr>
          </w:p>
        </w:tc>
        <w:tc>
          <w:tcPr>
            <w:tcW w:w="0" w:type="auto"/>
            <w:gridSpan w:val="2"/>
            <w:tcBorders>
              <w:top w:val="single" w:sz="8" w:space="0" w:color="333333"/>
            </w:tcBorders>
            <w:shd w:val="clear" w:color="auto" w:fill="auto"/>
            <w:tcMar>
              <w:top w:w="40" w:type="dxa"/>
              <w:left w:w="20" w:type="dxa"/>
              <w:bottom w:w="40" w:type="dxa"/>
              <w:right w:w="0" w:type="dxa"/>
            </w:tcMar>
            <w:vAlign w:val="bottom"/>
          </w:tcPr>
          <w:p w14:paraId="36CA3F83" w14:textId="77777777" w:rsidR="00787570" w:rsidRDefault="000D56E2">
            <w:pPr>
              <w:jc w:val="right"/>
              <w:textAlignment w:val="bottom"/>
            </w:pPr>
            <w:r>
              <w:rPr>
                <w:rFonts w:ascii="Arial" w:eastAsia="宋体" w:hAnsi="Arial" w:cs="Arial"/>
                <w:b/>
                <w:bCs/>
                <w:color w:val="026DCE"/>
                <w:sz w:val="18"/>
                <w:szCs w:val="18"/>
              </w:rPr>
              <w:t>(328)</w:t>
            </w:r>
          </w:p>
        </w:tc>
        <w:tc>
          <w:tcPr>
            <w:tcW w:w="0" w:type="auto"/>
            <w:tcBorders>
              <w:top w:val="single" w:sz="8" w:space="0" w:color="333333"/>
            </w:tcBorders>
            <w:shd w:val="clear" w:color="auto" w:fill="auto"/>
            <w:tcMar>
              <w:top w:w="40" w:type="dxa"/>
              <w:bottom w:w="40" w:type="dxa"/>
              <w:right w:w="20" w:type="dxa"/>
            </w:tcMar>
            <w:vAlign w:val="bottom"/>
          </w:tcPr>
          <w:p w14:paraId="36CA3F84"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3F85" w14:textId="77777777" w:rsidR="00787570" w:rsidRDefault="00787570">
            <w:pPr>
              <w:rPr>
                <w:rFonts w:ascii="宋体"/>
              </w:rPr>
            </w:pPr>
          </w:p>
        </w:tc>
        <w:tc>
          <w:tcPr>
            <w:tcW w:w="0" w:type="auto"/>
            <w:gridSpan w:val="2"/>
            <w:tcBorders>
              <w:top w:val="single" w:sz="8" w:space="0" w:color="333333"/>
            </w:tcBorders>
            <w:shd w:val="clear" w:color="auto" w:fill="auto"/>
            <w:tcMar>
              <w:top w:w="40" w:type="dxa"/>
              <w:left w:w="20" w:type="dxa"/>
              <w:bottom w:w="40" w:type="dxa"/>
              <w:right w:w="0" w:type="dxa"/>
            </w:tcMar>
            <w:vAlign w:val="bottom"/>
          </w:tcPr>
          <w:p w14:paraId="36CA3F86" w14:textId="77777777" w:rsidR="00787570" w:rsidRDefault="000D56E2">
            <w:pPr>
              <w:jc w:val="right"/>
              <w:textAlignment w:val="bottom"/>
            </w:pPr>
            <w:r>
              <w:rPr>
                <w:rFonts w:ascii="Arial" w:eastAsia="宋体" w:hAnsi="Arial" w:cs="Arial"/>
                <w:b/>
                <w:bCs/>
                <w:color w:val="026DCE"/>
                <w:sz w:val="18"/>
                <w:szCs w:val="18"/>
              </w:rPr>
              <w:t>(2,837)</w:t>
            </w:r>
          </w:p>
        </w:tc>
        <w:tc>
          <w:tcPr>
            <w:tcW w:w="0" w:type="auto"/>
            <w:tcBorders>
              <w:top w:val="single" w:sz="8" w:space="0" w:color="333333"/>
            </w:tcBorders>
            <w:shd w:val="clear" w:color="auto" w:fill="auto"/>
            <w:tcMar>
              <w:top w:w="40" w:type="dxa"/>
              <w:bottom w:w="40" w:type="dxa"/>
              <w:right w:w="20" w:type="dxa"/>
            </w:tcMar>
            <w:vAlign w:val="bottom"/>
          </w:tcPr>
          <w:p w14:paraId="36CA3F87"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3F88" w14:textId="77777777" w:rsidR="00787570" w:rsidRDefault="00787570">
            <w:pPr>
              <w:rPr>
                <w:rFonts w:ascii="宋体"/>
              </w:rPr>
            </w:pPr>
          </w:p>
        </w:tc>
        <w:tc>
          <w:tcPr>
            <w:tcW w:w="0" w:type="auto"/>
            <w:gridSpan w:val="2"/>
            <w:tcBorders>
              <w:top w:val="single" w:sz="8" w:space="0" w:color="333333"/>
            </w:tcBorders>
            <w:shd w:val="clear" w:color="auto" w:fill="auto"/>
            <w:tcMar>
              <w:top w:w="40" w:type="dxa"/>
              <w:left w:w="20" w:type="dxa"/>
              <w:bottom w:w="40" w:type="dxa"/>
              <w:right w:w="0" w:type="dxa"/>
            </w:tcMar>
            <w:vAlign w:val="bottom"/>
          </w:tcPr>
          <w:p w14:paraId="36CA3F89" w14:textId="77777777" w:rsidR="00787570" w:rsidRDefault="000D56E2">
            <w:pPr>
              <w:jc w:val="right"/>
              <w:textAlignment w:val="bottom"/>
            </w:pPr>
            <w:r>
              <w:rPr>
                <w:rFonts w:ascii="Arial" w:eastAsia="宋体" w:hAnsi="Arial" w:cs="Arial"/>
                <w:b/>
                <w:bCs/>
                <w:color w:val="026DCE"/>
                <w:sz w:val="18"/>
                <w:szCs w:val="18"/>
              </w:rPr>
              <w:t>81</w:t>
            </w:r>
            <w:r>
              <w:rPr>
                <w:rFonts w:ascii="Arial" w:eastAsia="宋体" w:hAnsi="Arial" w:cs="Arial"/>
                <w:color w:val="026DCE"/>
                <w:sz w:val="18"/>
                <w:szCs w:val="18"/>
              </w:rPr>
              <w:t> </w:t>
            </w:r>
          </w:p>
        </w:tc>
        <w:tc>
          <w:tcPr>
            <w:tcW w:w="0" w:type="auto"/>
            <w:tcBorders>
              <w:top w:val="single" w:sz="8" w:space="0" w:color="333333"/>
            </w:tcBorders>
            <w:shd w:val="clear" w:color="auto" w:fill="auto"/>
            <w:tcMar>
              <w:top w:w="40" w:type="dxa"/>
              <w:bottom w:w="40" w:type="dxa"/>
              <w:right w:w="20" w:type="dxa"/>
            </w:tcMar>
            <w:vAlign w:val="bottom"/>
          </w:tcPr>
          <w:p w14:paraId="36CA3F8A" w14:textId="77777777" w:rsidR="00787570" w:rsidRDefault="00787570">
            <w:pPr>
              <w:jc w:val="right"/>
              <w:rPr>
                <w:rFonts w:ascii="宋体"/>
              </w:rPr>
            </w:pPr>
          </w:p>
        </w:tc>
        <w:tc>
          <w:tcPr>
            <w:tcW w:w="0" w:type="auto"/>
            <w:shd w:val="clear" w:color="auto" w:fill="auto"/>
          </w:tcPr>
          <w:p w14:paraId="36CA3F8B" w14:textId="77777777" w:rsidR="00787570" w:rsidRDefault="00787570">
            <w:pPr>
              <w:rPr>
                <w:rFonts w:ascii="宋体"/>
              </w:rPr>
            </w:pPr>
          </w:p>
        </w:tc>
        <w:tc>
          <w:tcPr>
            <w:tcW w:w="0" w:type="auto"/>
            <w:shd w:val="clear" w:color="auto" w:fill="auto"/>
          </w:tcPr>
          <w:p w14:paraId="36CA3F8C" w14:textId="77777777" w:rsidR="00787570" w:rsidRDefault="00787570">
            <w:pPr>
              <w:rPr>
                <w:rFonts w:ascii="宋体"/>
              </w:rPr>
            </w:pPr>
          </w:p>
        </w:tc>
        <w:tc>
          <w:tcPr>
            <w:tcW w:w="0" w:type="auto"/>
            <w:shd w:val="clear" w:color="auto" w:fill="auto"/>
          </w:tcPr>
          <w:p w14:paraId="36CA3F8D" w14:textId="77777777" w:rsidR="00787570" w:rsidRDefault="00787570">
            <w:pPr>
              <w:rPr>
                <w:rFonts w:ascii="宋体"/>
              </w:rPr>
            </w:pPr>
          </w:p>
        </w:tc>
        <w:tc>
          <w:tcPr>
            <w:tcW w:w="0" w:type="auto"/>
            <w:shd w:val="clear" w:color="auto" w:fill="auto"/>
          </w:tcPr>
          <w:p w14:paraId="36CA3F8E" w14:textId="77777777" w:rsidR="00787570" w:rsidRDefault="00787570">
            <w:pPr>
              <w:rPr>
                <w:rFonts w:ascii="宋体"/>
              </w:rPr>
            </w:pPr>
          </w:p>
        </w:tc>
        <w:tc>
          <w:tcPr>
            <w:tcW w:w="0" w:type="auto"/>
            <w:shd w:val="clear" w:color="auto" w:fill="auto"/>
          </w:tcPr>
          <w:p w14:paraId="36CA3F8F" w14:textId="77777777" w:rsidR="00787570" w:rsidRDefault="00787570">
            <w:pPr>
              <w:rPr>
                <w:rFonts w:ascii="宋体"/>
              </w:rPr>
            </w:pPr>
          </w:p>
        </w:tc>
        <w:tc>
          <w:tcPr>
            <w:tcW w:w="0" w:type="auto"/>
            <w:shd w:val="clear" w:color="auto" w:fill="auto"/>
          </w:tcPr>
          <w:p w14:paraId="36CA3F90" w14:textId="77777777" w:rsidR="00787570" w:rsidRDefault="00787570">
            <w:pPr>
              <w:rPr>
                <w:rFonts w:ascii="宋体"/>
              </w:rPr>
            </w:pPr>
          </w:p>
        </w:tc>
        <w:tc>
          <w:tcPr>
            <w:tcW w:w="0" w:type="auto"/>
            <w:shd w:val="clear" w:color="auto" w:fill="auto"/>
          </w:tcPr>
          <w:p w14:paraId="36CA3F91" w14:textId="77777777" w:rsidR="00787570" w:rsidRDefault="00787570">
            <w:pPr>
              <w:rPr>
                <w:rFonts w:ascii="宋体"/>
              </w:rPr>
            </w:pPr>
          </w:p>
        </w:tc>
        <w:tc>
          <w:tcPr>
            <w:tcW w:w="0" w:type="auto"/>
            <w:shd w:val="clear" w:color="auto" w:fill="auto"/>
          </w:tcPr>
          <w:p w14:paraId="36CA3F92" w14:textId="77777777" w:rsidR="00787570" w:rsidRDefault="00787570">
            <w:pPr>
              <w:rPr>
                <w:rFonts w:ascii="宋体"/>
              </w:rPr>
            </w:pPr>
          </w:p>
        </w:tc>
        <w:tc>
          <w:tcPr>
            <w:tcW w:w="0" w:type="auto"/>
            <w:shd w:val="clear" w:color="auto" w:fill="auto"/>
          </w:tcPr>
          <w:p w14:paraId="36CA3F93" w14:textId="77777777" w:rsidR="00787570" w:rsidRDefault="00787570">
            <w:pPr>
              <w:rPr>
                <w:rFonts w:ascii="宋体"/>
              </w:rPr>
            </w:pPr>
          </w:p>
        </w:tc>
        <w:tc>
          <w:tcPr>
            <w:tcW w:w="0" w:type="auto"/>
            <w:shd w:val="clear" w:color="auto" w:fill="auto"/>
          </w:tcPr>
          <w:p w14:paraId="36CA3F94" w14:textId="77777777" w:rsidR="00787570" w:rsidRDefault="00787570">
            <w:pPr>
              <w:rPr>
                <w:rFonts w:ascii="宋体"/>
              </w:rPr>
            </w:pPr>
          </w:p>
        </w:tc>
        <w:tc>
          <w:tcPr>
            <w:tcW w:w="0" w:type="auto"/>
            <w:shd w:val="clear" w:color="auto" w:fill="auto"/>
          </w:tcPr>
          <w:p w14:paraId="36CA3F95" w14:textId="77777777" w:rsidR="00787570" w:rsidRDefault="00787570">
            <w:pPr>
              <w:rPr>
                <w:rFonts w:ascii="宋体"/>
              </w:rPr>
            </w:pPr>
          </w:p>
        </w:tc>
        <w:tc>
          <w:tcPr>
            <w:tcW w:w="0" w:type="auto"/>
            <w:shd w:val="clear" w:color="auto" w:fill="auto"/>
          </w:tcPr>
          <w:p w14:paraId="36CA3F96" w14:textId="77777777" w:rsidR="00787570" w:rsidRDefault="00787570">
            <w:pPr>
              <w:rPr>
                <w:rFonts w:ascii="宋体"/>
              </w:rPr>
            </w:pPr>
          </w:p>
        </w:tc>
        <w:tc>
          <w:tcPr>
            <w:tcW w:w="0" w:type="auto"/>
            <w:shd w:val="clear" w:color="auto" w:fill="auto"/>
          </w:tcPr>
          <w:p w14:paraId="36CA3F97" w14:textId="77777777" w:rsidR="00787570" w:rsidRDefault="00787570">
            <w:pPr>
              <w:rPr>
                <w:rFonts w:ascii="宋体"/>
              </w:rPr>
            </w:pPr>
          </w:p>
        </w:tc>
        <w:tc>
          <w:tcPr>
            <w:tcW w:w="0" w:type="auto"/>
            <w:shd w:val="clear" w:color="auto" w:fill="auto"/>
          </w:tcPr>
          <w:p w14:paraId="36CA3F98" w14:textId="77777777" w:rsidR="00787570" w:rsidRDefault="00787570">
            <w:pPr>
              <w:rPr>
                <w:rFonts w:ascii="宋体"/>
              </w:rPr>
            </w:pPr>
          </w:p>
        </w:tc>
        <w:tc>
          <w:tcPr>
            <w:tcW w:w="0" w:type="auto"/>
            <w:shd w:val="clear" w:color="auto" w:fill="auto"/>
          </w:tcPr>
          <w:p w14:paraId="36CA3F99" w14:textId="77777777" w:rsidR="00787570" w:rsidRDefault="00787570">
            <w:pPr>
              <w:rPr>
                <w:rFonts w:ascii="宋体"/>
              </w:rPr>
            </w:pPr>
          </w:p>
        </w:tc>
        <w:tc>
          <w:tcPr>
            <w:tcW w:w="0" w:type="auto"/>
            <w:shd w:val="clear" w:color="auto" w:fill="auto"/>
          </w:tcPr>
          <w:p w14:paraId="36CA3F9A" w14:textId="77777777" w:rsidR="00787570" w:rsidRDefault="00787570">
            <w:pPr>
              <w:rPr>
                <w:rFonts w:ascii="宋体"/>
              </w:rPr>
            </w:pPr>
          </w:p>
        </w:tc>
        <w:tc>
          <w:tcPr>
            <w:tcW w:w="0" w:type="auto"/>
            <w:shd w:val="clear" w:color="auto" w:fill="auto"/>
          </w:tcPr>
          <w:p w14:paraId="36CA3F9B" w14:textId="77777777" w:rsidR="00787570" w:rsidRDefault="00787570">
            <w:pPr>
              <w:rPr>
                <w:rFonts w:ascii="宋体"/>
              </w:rPr>
            </w:pPr>
          </w:p>
        </w:tc>
        <w:tc>
          <w:tcPr>
            <w:tcW w:w="0" w:type="auto"/>
            <w:shd w:val="clear" w:color="auto" w:fill="auto"/>
          </w:tcPr>
          <w:p w14:paraId="36CA3F9C" w14:textId="77777777" w:rsidR="00787570" w:rsidRDefault="00787570">
            <w:pPr>
              <w:rPr>
                <w:rFonts w:ascii="宋体"/>
              </w:rPr>
            </w:pPr>
          </w:p>
        </w:tc>
        <w:tc>
          <w:tcPr>
            <w:tcW w:w="0" w:type="auto"/>
            <w:shd w:val="clear" w:color="auto" w:fill="auto"/>
          </w:tcPr>
          <w:p w14:paraId="36CA3F9D" w14:textId="77777777" w:rsidR="00787570" w:rsidRDefault="00787570">
            <w:pPr>
              <w:rPr>
                <w:rFonts w:ascii="宋体"/>
              </w:rPr>
            </w:pPr>
          </w:p>
        </w:tc>
        <w:tc>
          <w:tcPr>
            <w:tcW w:w="0" w:type="auto"/>
            <w:shd w:val="clear" w:color="auto" w:fill="auto"/>
          </w:tcPr>
          <w:p w14:paraId="36CA3F9E" w14:textId="77777777" w:rsidR="00787570" w:rsidRDefault="00787570">
            <w:pPr>
              <w:rPr>
                <w:rFonts w:ascii="宋体"/>
              </w:rPr>
            </w:pPr>
          </w:p>
        </w:tc>
        <w:tc>
          <w:tcPr>
            <w:tcW w:w="0" w:type="auto"/>
            <w:shd w:val="clear" w:color="auto" w:fill="auto"/>
          </w:tcPr>
          <w:p w14:paraId="36CA3F9F" w14:textId="77777777" w:rsidR="00787570" w:rsidRDefault="00787570">
            <w:pPr>
              <w:rPr>
                <w:rFonts w:ascii="宋体"/>
              </w:rPr>
            </w:pPr>
          </w:p>
        </w:tc>
        <w:tc>
          <w:tcPr>
            <w:tcW w:w="0" w:type="auto"/>
            <w:shd w:val="clear" w:color="auto" w:fill="auto"/>
          </w:tcPr>
          <w:p w14:paraId="36CA3FA0" w14:textId="77777777" w:rsidR="00787570" w:rsidRDefault="00787570">
            <w:pPr>
              <w:rPr>
                <w:rFonts w:ascii="宋体"/>
              </w:rPr>
            </w:pPr>
          </w:p>
        </w:tc>
        <w:tc>
          <w:tcPr>
            <w:tcW w:w="0" w:type="auto"/>
            <w:shd w:val="clear" w:color="auto" w:fill="auto"/>
          </w:tcPr>
          <w:p w14:paraId="36CA3FA1" w14:textId="77777777" w:rsidR="00787570" w:rsidRDefault="00787570">
            <w:pPr>
              <w:rPr>
                <w:rFonts w:ascii="宋体"/>
              </w:rPr>
            </w:pPr>
          </w:p>
        </w:tc>
        <w:tc>
          <w:tcPr>
            <w:tcW w:w="0" w:type="auto"/>
            <w:shd w:val="clear" w:color="auto" w:fill="auto"/>
          </w:tcPr>
          <w:p w14:paraId="36CA3FA2" w14:textId="77777777" w:rsidR="00787570" w:rsidRDefault="00787570">
            <w:pPr>
              <w:rPr>
                <w:rFonts w:ascii="宋体"/>
              </w:rPr>
            </w:pPr>
          </w:p>
        </w:tc>
      </w:tr>
      <w:tr w:rsidR="00787570" w14:paraId="36CA3FC9" w14:textId="77777777">
        <w:tc>
          <w:tcPr>
            <w:tcW w:w="0" w:type="auto"/>
            <w:gridSpan w:val="3"/>
            <w:shd w:val="clear" w:color="auto" w:fill="auto"/>
            <w:tcMar>
              <w:top w:w="40" w:type="dxa"/>
              <w:left w:w="20" w:type="dxa"/>
              <w:bottom w:w="40" w:type="dxa"/>
              <w:right w:w="20" w:type="dxa"/>
            </w:tcMar>
            <w:vAlign w:val="bottom"/>
          </w:tcPr>
          <w:p w14:paraId="36CA3FA4" w14:textId="77777777" w:rsidR="00787570" w:rsidRDefault="000D56E2">
            <w:pPr>
              <w:ind w:hanging="180"/>
              <w:textAlignment w:val="bottom"/>
            </w:pPr>
            <w:r>
              <w:rPr>
                <w:rFonts w:ascii="Arial" w:eastAsia="宋体" w:hAnsi="Arial" w:cs="Arial"/>
                <w:color w:val="333333"/>
                <w:sz w:val="18"/>
                <w:szCs w:val="18"/>
              </w:rPr>
              <w:t>Liabilities:</w:t>
            </w:r>
          </w:p>
        </w:tc>
        <w:tc>
          <w:tcPr>
            <w:tcW w:w="0" w:type="auto"/>
            <w:gridSpan w:val="3"/>
            <w:shd w:val="clear" w:color="auto" w:fill="auto"/>
            <w:tcMar>
              <w:left w:w="20" w:type="dxa"/>
              <w:right w:w="20" w:type="dxa"/>
            </w:tcMar>
            <w:vAlign w:val="bottom"/>
          </w:tcPr>
          <w:p w14:paraId="36CA3FA5" w14:textId="77777777" w:rsidR="00787570" w:rsidRDefault="00787570">
            <w:pPr>
              <w:rPr>
                <w:rFonts w:ascii="宋体"/>
              </w:rPr>
            </w:pPr>
          </w:p>
        </w:tc>
        <w:tc>
          <w:tcPr>
            <w:tcW w:w="0" w:type="auto"/>
            <w:gridSpan w:val="3"/>
            <w:tcBorders>
              <w:top w:val="double" w:sz="6" w:space="0" w:color="333333"/>
            </w:tcBorders>
            <w:shd w:val="clear" w:color="auto" w:fill="auto"/>
            <w:tcMar>
              <w:left w:w="20" w:type="dxa"/>
              <w:right w:w="20" w:type="dxa"/>
            </w:tcMar>
            <w:vAlign w:val="bottom"/>
          </w:tcPr>
          <w:p w14:paraId="36CA3FA6"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3FA7" w14:textId="77777777" w:rsidR="00787570" w:rsidRDefault="00787570">
            <w:pPr>
              <w:rPr>
                <w:rFonts w:ascii="宋体"/>
              </w:rPr>
            </w:pPr>
          </w:p>
        </w:tc>
        <w:tc>
          <w:tcPr>
            <w:tcW w:w="0" w:type="auto"/>
            <w:gridSpan w:val="3"/>
            <w:tcBorders>
              <w:top w:val="double" w:sz="6" w:space="0" w:color="333333"/>
            </w:tcBorders>
            <w:shd w:val="clear" w:color="auto" w:fill="auto"/>
            <w:tcMar>
              <w:left w:w="20" w:type="dxa"/>
              <w:right w:w="20" w:type="dxa"/>
            </w:tcMar>
            <w:vAlign w:val="bottom"/>
          </w:tcPr>
          <w:p w14:paraId="36CA3FA8"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3FA9" w14:textId="77777777" w:rsidR="00787570" w:rsidRDefault="00787570">
            <w:pPr>
              <w:rPr>
                <w:rFonts w:ascii="宋体"/>
              </w:rPr>
            </w:pPr>
          </w:p>
        </w:tc>
        <w:tc>
          <w:tcPr>
            <w:tcW w:w="0" w:type="auto"/>
            <w:gridSpan w:val="3"/>
            <w:tcBorders>
              <w:top w:val="double" w:sz="6" w:space="0" w:color="333333"/>
            </w:tcBorders>
            <w:shd w:val="clear" w:color="auto" w:fill="auto"/>
            <w:tcMar>
              <w:left w:w="20" w:type="dxa"/>
              <w:right w:w="20" w:type="dxa"/>
            </w:tcMar>
            <w:vAlign w:val="bottom"/>
          </w:tcPr>
          <w:p w14:paraId="36CA3FAA"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3FAB" w14:textId="77777777" w:rsidR="00787570" w:rsidRDefault="00787570">
            <w:pPr>
              <w:rPr>
                <w:rFonts w:ascii="宋体"/>
              </w:rPr>
            </w:pPr>
          </w:p>
        </w:tc>
        <w:tc>
          <w:tcPr>
            <w:tcW w:w="0" w:type="auto"/>
            <w:gridSpan w:val="3"/>
            <w:tcBorders>
              <w:top w:val="double" w:sz="6" w:space="0" w:color="333333"/>
            </w:tcBorders>
            <w:shd w:val="clear" w:color="auto" w:fill="auto"/>
            <w:tcMar>
              <w:left w:w="20" w:type="dxa"/>
              <w:right w:w="20" w:type="dxa"/>
            </w:tcMar>
            <w:vAlign w:val="bottom"/>
          </w:tcPr>
          <w:p w14:paraId="36CA3FAC"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3FAD" w14:textId="77777777" w:rsidR="00787570" w:rsidRDefault="00787570">
            <w:pPr>
              <w:rPr>
                <w:rFonts w:ascii="宋体"/>
              </w:rPr>
            </w:pPr>
          </w:p>
        </w:tc>
        <w:tc>
          <w:tcPr>
            <w:tcW w:w="0" w:type="auto"/>
            <w:gridSpan w:val="3"/>
            <w:tcBorders>
              <w:top w:val="double" w:sz="6" w:space="0" w:color="333333"/>
            </w:tcBorders>
            <w:shd w:val="clear" w:color="auto" w:fill="auto"/>
            <w:tcMar>
              <w:left w:w="20" w:type="dxa"/>
              <w:right w:w="20" w:type="dxa"/>
            </w:tcMar>
            <w:vAlign w:val="bottom"/>
          </w:tcPr>
          <w:p w14:paraId="36CA3FAE"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3FAF" w14:textId="77777777" w:rsidR="00787570" w:rsidRDefault="00787570">
            <w:pPr>
              <w:rPr>
                <w:rFonts w:ascii="宋体"/>
              </w:rPr>
            </w:pPr>
          </w:p>
        </w:tc>
        <w:tc>
          <w:tcPr>
            <w:tcW w:w="0" w:type="auto"/>
            <w:gridSpan w:val="3"/>
            <w:tcBorders>
              <w:top w:val="double" w:sz="6" w:space="0" w:color="333333"/>
            </w:tcBorders>
            <w:shd w:val="clear" w:color="auto" w:fill="auto"/>
            <w:tcMar>
              <w:left w:w="20" w:type="dxa"/>
              <w:right w:w="20" w:type="dxa"/>
            </w:tcMar>
            <w:vAlign w:val="bottom"/>
          </w:tcPr>
          <w:p w14:paraId="36CA3FB0" w14:textId="77777777" w:rsidR="00787570" w:rsidRDefault="00787570">
            <w:pPr>
              <w:rPr>
                <w:rFonts w:ascii="宋体"/>
              </w:rPr>
            </w:pPr>
          </w:p>
        </w:tc>
        <w:tc>
          <w:tcPr>
            <w:tcW w:w="0" w:type="auto"/>
            <w:shd w:val="clear" w:color="auto" w:fill="auto"/>
          </w:tcPr>
          <w:p w14:paraId="36CA3FB1" w14:textId="77777777" w:rsidR="00787570" w:rsidRDefault="00787570">
            <w:pPr>
              <w:rPr>
                <w:rFonts w:ascii="宋体"/>
              </w:rPr>
            </w:pPr>
          </w:p>
        </w:tc>
        <w:tc>
          <w:tcPr>
            <w:tcW w:w="0" w:type="auto"/>
            <w:shd w:val="clear" w:color="auto" w:fill="auto"/>
          </w:tcPr>
          <w:p w14:paraId="36CA3FB2" w14:textId="77777777" w:rsidR="00787570" w:rsidRDefault="00787570">
            <w:pPr>
              <w:rPr>
                <w:rFonts w:ascii="宋体"/>
              </w:rPr>
            </w:pPr>
          </w:p>
        </w:tc>
        <w:tc>
          <w:tcPr>
            <w:tcW w:w="0" w:type="auto"/>
            <w:shd w:val="clear" w:color="auto" w:fill="auto"/>
          </w:tcPr>
          <w:p w14:paraId="36CA3FB3" w14:textId="77777777" w:rsidR="00787570" w:rsidRDefault="00787570">
            <w:pPr>
              <w:rPr>
                <w:rFonts w:ascii="宋体"/>
              </w:rPr>
            </w:pPr>
          </w:p>
        </w:tc>
        <w:tc>
          <w:tcPr>
            <w:tcW w:w="0" w:type="auto"/>
            <w:shd w:val="clear" w:color="auto" w:fill="auto"/>
          </w:tcPr>
          <w:p w14:paraId="36CA3FB4" w14:textId="77777777" w:rsidR="00787570" w:rsidRDefault="00787570">
            <w:pPr>
              <w:rPr>
                <w:rFonts w:ascii="宋体"/>
              </w:rPr>
            </w:pPr>
          </w:p>
        </w:tc>
        <w:tc>
          <w:tcPr>
            <w:tcW w:w="0" w:type="auto"/>
            <w:shd w:val="clear" w:color="auto" w:fill="auto"/>
          </w:tcPr>
          <w:p w14:paraId="36CA3FB5" w14:textId="77777777" w:rsidR="00787570" w:rsidRDefault="00787570">
            <w:pPr>
              <w:rPr>
                <w:rFonts w:ascii="宋体"/>
              </w:rPr>
            </w:pPr>
          </w:p>
        </w:tc>
        <w:tc>
          <w:tcPr>
            <w:tcW w:w="0" w:type="auto"/>
            <w:shd w:val="clear" w:color="auto" w:fill="auto"/>
          </w:tcPr>
          <w:p w14:paraId="36CA3FB6" w14:textId="77777777" w:rsidR="00787570" w:rsidRDefault="00787570">
            <w:pPr>
              <w:rPr>
                <w:rFonts w:ascii="宋体"/>
              </w:rPr>
            </w:pPr>
          </w:p>
        </w:tc>
        <w:tc>
          <w:tcPr>
            <w:tcW w:w="0" w:type="auto"/>
            <w:shd w:val="clear" w:color="auto" w:fill="auto"/>
          </w:tcPr>
          <w:p w14:paraId="36CA3FB7" w14:textId="77777777" w:rsidR="00787570" w:rsidRDefault="00787570">
            <w:pPr>
              <w:rPr>
                <w:rFonts w:ascii="宋体"/>
              </w:rPr>
            </w:pPr>
          </w:p>
        </w:tc>
        <w:tc>
          <w:tcPr>
            <w:tcW w:w="0" w:type="auto"/>
            <w:shd w:val="clear" w:color="auto" w:fill="auto"/>
          </w:tcPr>
          <w:p w14:paraId="36CA3FB8" w14:textId="77777777" w:rsidR="00787570" w:rsidRDefault="00787570">
            <w:pPr>
              <w:rPr>
                <w:rFonts w:ascii="宋体"/>
              </w:rPr>
            </w:pPr>
          </w:p>
        </w:tc>
        <w:tc>
          <w:tcPr>
            <w:tcW w:w="0" w:type="auto"/>
            <w:shd w:val="clear" w:color="auto" w:fill="auto"/>
          </w:tcPr>
          <w:p w14:paraId="36CA3FB9" w14:textId="77777777" w:rsidR="00787570" w:rsidRDefault="00787570">
            <w:pPr>
              <w:rPr>
                <w:rFonts w:ascii="宋体"/>
              </w:rPr>
            </w:pPr>
          </w:p>
        </w:tc>
        <w:tc>
          <w:tcPr>
            <w:tcW w:w="0" w:type="auto"/>
            <w:shd w:val="clear" w:color="auto" w:fill="auto"/>
          </w:tcPr>
          <w:p w14:paraId="36CA3FBA" w14:textId="77777777" w:rsidR="00787570" w:rsidRDefault="00787570">
            <w:pPr>
              <w:rPr>
                <w:rFonts w:ascii="宋体"/>
              </w:rPr>
            </w:pPr>
          </w:p>
        </w:tc>
        <w:tc>
          <w:tcPr>
            <w:tcW w:w="0" w:type="auto"/>
            <w:shd w:val="clear" w:color="auto" w:fill="auto"/>
          </w:tcPr>
          <w:p w14:paraId="36CA3FBB" w14:textId="77777777" w:rsidR="00787570" w:rsidRDefault="00787570">
            <w:pPr>
              <w:rPr>
                <w:rFonts w:ascii="宋体"/>
              </w:rPr>
            </w:pPr>
          </w:p>
        </w:tc>
        <w:tc>
          <w:tcPr>
            <w:tcW w:w="0" w:type="auto"/>
            <w:shd w:val="clear" w:color="auto" w:fill="auto"/>
          </w:tcPr>
          <w:p w14:paraId="36CA3FBC" w14:textId="77777777" w:rsidR="00787570" w:rsidRDefault="00787570">
            <w:pPr>
              <w:rPr>
                <w:rFonts w:ascii="宋体"/>
              </w:rPr>
            </w:pPr>
          </w:p>
        </w:tc>
        <w:tc>
          <w:tcPr>
            <w:tcW w:w="0" w:type="auto"/>
            <w:shd w:val="clear" w:color="auto" w:fill="auto"/>
          </w:tcPr>
          <w:p w14:paraId="36CA3FBD" w14:textId="77777777" w:rsidR="00787570" w:rsidRDefault="00787570">
            <w:pPr>
              <w:rPr>
                <w:rFonts w:ascii="宋体"/>
              </w:rPr>
            </w:pPr>
          </w:p>
        </w:tc>
        <w:tc>
          <w:tcPr>
            <w:tcW w:w="0" w:type="auto"/>
            <w:shd w:val="clear" w:color="auto" w:fill="auto"/>
          </w:tcPr>
          <w:p w14:paraId="36CA3FBE" w14:textId="77777777" w:rsidR="00787570" w:rsidRDefault="00787570">
            <w:pPr>
              <w:rPr>
                <w:rFonts w:ascii="宋体"/>
              </w:rPr>
            </w:pPr>
          </w:p>
        </w:tc>
        <w:tc>
          <w:tcPr>
            <w:tcW w:w="0" w:type="auto"/>
            <w:shd w:val="clear" w:color="auto" w:fill="auto"/>
          </w:tcPr>
          <w:p w14:paraId="36CA3FBF" w14:textId="77777777" w:rsidR="00787570" w:rsidRDefault="00787570">
            <w:pPr>
              <w:rPr>
                <w:rFonts w:ascii="宋体"/>
              </w:rPr>
            </w:pPr>
          </w:p>
        </w:tc>
        <w:tc>
          <w:tcPr>
            <w:tcW w:w="0" w:type="auto"/>
            <w:shd w:val="clear" w:color="auto" w:fill="auto"/>
          </w:tcPr>
          <w:p w14:paraId="36CA3FC0" w14:textId="77777777" w:rsidR="00787570" w:rsidRDefault="00787570">
            <w:pPr>
              <w:rPr>
                <w:rFonts w:ascii="宋体"/>
              </w:rPr>
            </w:pPr>
          </w:p>
        </w:tc>
        <w:tc>
          <w:tcPr>
            <w:tcW w:w="0" w:type="auto"/>
            <w:shd w:val="clear" w:color="auto" w:fill="auto"/>
          </w:tcPr>
          <w:p w14:paraId="36CA3FC1" w14:textId="77777777" w:rsidR="00787570" w:rsidRDefault="00787570">
            <w:pPr>
              <w:rPr>
                <w:rFonts w:ascii="宋体"/>
              </w:rPr>
            </w:pPr>
          </w:p>
        </w:tc>
        <w:tc>
          <w:tcPr>
            <w:tcW w:w="0" w:type="auto"/>
            <w:shd w:val="clear" w:color="auto" w:fill="auto"/>
          </w:tcPr>
          <w:p w14:paraId="36CA3FC2" w14:textId="77777777" w:rsidR="00787570" w:rsidRDefault="00787570">
            <w:pPr>
              <w:rPr>
                <w:rFonts w:ascii="宋体"/>
              </w:rPr>
            </w:pPr>
          </w:p>
        </w:tc>
        <w:tc>
          <w:tcPr>
            <w:tcW w:w="0" w:type="auto"/>
            <w:shd w:val="clear" w:color="auto" w:fill="auto"/>
          </w:tcPr>
          <w:p w14:paraId="36CA3FC3" w14:textId="77777777" w:rsidR="00787570" w:rsidRDefault="00787570">
            <w:pPr>
              <w:rPr>
                <w:rFonts w:ascii="宋体"/>
              </w:rPr>
            </w:pPr>
          </w:p>
        </w:tc>
        <w:tc>
          <w:tcPr>
            <w:tcW w:w="0" w:type="auto"/>
            <w:shd w:val="clear" w:color="auto" w:fill="auto"/>
          </w:tcPr>
          <w:p w14:paraId="36CA3FC4" w14:textId="77777777" w:rsidR="00787570" w:rsidRDefault="00787570">
            <w:pPr>
              <w:rPr>
                <w:rFonts w:ascii="宋体"/>
              </w:rPr>
            </w:pPr>
          </w:p>
        </w:tc>
        <w:tc>
          <w:tcPr>
            <w:tcW w:w="0" w:type="auto"/>
            <w:shd w:val="clear" w:color="auto" w:fill="auto"/>
          </w:tcPr>
          <w:p w14:paraId="36CA3FC5" w14:textId="77777777" w:rsidR="00787570" w:rsidRDefault="00787570">
            <w:pPr>
              <w:rPr>
                <w:rFonts w:ascii="宋体"/>
              </w:rPr>
            </w:pPr>
          </w:p>
        </w:tc>
        <w:tc>
          <w:tcPr>
            <w:tcW w:w="0" w:type="auto"/>
            <w:shd w:val="clear" w:color="auto" w:fill="auto"/>
          </w:tcPr>
          <w:p w14:paraId="36CA3FC6" w14:textId="77777777" w:rsidR="00787570" w:rsidRDefault="00787570">
            <w:pPr>
              <w:rPr>
                <w:rFonts w:ascii="宋体"/>
              </w:rPr>
            </w:pPr>
          </w:p>
        </w:tc>
        <w:tc>
          <w:tcPr>
            <w:tcW w:w="0" w:type="auto"/>
            <w:shd w:val="clear" w:color="auto" w:fill="auto"/>
          </w:tcPr>
          <w:p w14:paraId="36CA3FC7" w14:textId="77777777" w:rsidR="00787570" w:rsidRDefault="00787570">
            <w:pPr>
              <w:rPr>
                <w:rFonts w:ascii="宋体"/>
              </w:rPr>
            </w:pPr>
          </w:p>
        </w:tc>
        <w:tc>
          <w:tcPr>
            <w:tcW w:w="0" w:type="auto"/>
            <w:shd w:val="clear" w:color="auto" w:fill="auto"/>
          </w:tcPr>
          <w:p w14:paraId="36CA3FC8" w14:textId="77777777" w:rsidR="00787570" w:rsidRDefault="00787570">
            <w:pPr>
              <w:rPr>
                <w:rFonts w:ascii="宋体"/>
              </w:rPr>
            </w:pPr>
          </w:p>
        </w:tc>
      </w:tr>
      <w:tr w:rsidR="00787570" w14:paraId="36CA3FF5" w14:textId="77777777">
        <w:tc>
          <w:tcPr>
            <w:tcW w:w="0" w:type="auto"/>
            <w:gridSpan w:val="3"/>
            <w:shd w:val="clear" w:color="auto" w:fill="auto"/>
            <w:tcMar>
              <w:top w:w="40" w:type="dxa"/>
              <w:left w:w="120" w:type="dxa"/>
              <w:bottom w:w="40" w:type="dxa"/>
              <w:right w:w="20" w:type="dxa"/>
            </w:tcMar>
            <w:vAlign w:val="bottom"/>
          </w:tcPr>
          <w:p w14:paraId="36CA3FCA" w14:textId="77777777" w:rsidR="00787570" w:rsidRDefault="000D56E2">
            <w:pPr>
              <w:textAlignment w:val="bottom"/>
            </w:pPr>
            <w:r>
              <w:rPr>
                <w:rFonts w:ascii="Arial" w:eastAsia="宋体" w:hAnsi="Arial" w:cs="Arial"/>
                <w:color w:val="333333"/>
                <w:sz w:val="18"/>
                <w:szCs w:val="18"/>
              </w:rPr>
              <w:t>Derivative liabilities subject to master</w:t>
            </w:r>
            <w:r>
              <w:rPr>
                <w:rFonts w:ascii="Arial" w:eastAsia="宋体" w:hAnsi="Arial" w:cs="Arial"/>
                <w:color w:val="333333"/>
                <w:sz w:val="18"/>
                <w:szCs w:val="18"/>
              </w:rPr>
              <w:br/>
              <w:t>netting arrangements</w:t>
            </w:r>
          </w:p>
        </w:tc>
        <w:tc>
          <w:tcPr>
            <w:tcW w:w="0" w:type="auto"/>
            <w:gridSpan w:val="3"/>
            <w:shd w:val="clear" w:color="auto" w:fill="auto"/>
            <w:tcMar>
              <w:left w:w="20" w:type="dxa"/>
              <w:right w:w="20" w:type="dxa"/>
            </w:tcMar>
            <w:vAlign w:val="bottom"/>
          </w:tcPr>
          <w:p w14:paraId="36CA3FCB"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3FCC" w14:textId="77777777" w:rsidR="00787570" w:rsidRDefault="000D56E2">
            <w:pPr>
              <w:jc w:val="right"/>
              <w:textAlignment w:val="bottom"/>
            </w:pPr>
            <w:r>
              <w:rPr>
                <w:rFonts w:ascii="Arial" w:eastAsia="宋体" w:hAnsi="Arial" w:cs="Arial"/>
                <w:color w:val="026DCE"/>
                <w:sz w:val="18"/>
                <w:szCs w:val="18"/>
              </w:rPr>
              <w:t>530 </w:t>
            </w:r>
          </w:p>
        </w:tc>
        <w:tc>
          <w:tcPr>
            <w:tcW w:w="0" w:type="auto"/>
            <w:shd w:val="clear" w:color="auto" w:fill="auto"/>
            <w:tcMar>
              <w:top w:w="40" w:type="dxa"/>
              <w:bottom w:w="40" w:type="dxa"/>
              <w:right w:w="20" w:type="dxa"/>
            </w:tcMar>
            <w:vAlign w:val="bottom"/>
          </w:tcPr>
          <w:p w14:paraId="36CA3FCD"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3FCE"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3FCF" w14:textId="77777777" w:rsidR="00787570" w:rsidRDefault="000D56E2">
            <w:pPr>
              <w:jc w:val="right"/>
              <w:textAlignment w:val="bottom"/>
            </w:pPr>
            <w:r>
              <w:rPr>
                <w:rFonts w:ascii="Arial" w:eastAsia="宋体" w:hAnsi="Arial" w:cs="Arial"/>
                <w:color w:val="026DCE"/>
                <w:sz w:val="18"/>
                <w:szCs w:val="18"/>
              </w:rPr>
              <w:t>— </w:t>
            </w:r>
          </w:p>
        </w:tc>
        <w:tc>
          <w:tcPr>
            <w:tcW w:w="0" w:type="auto"/>
            <w:shd w:val="clear" w:color="auto" w:fill="auto"/>
            <w:tcMar>
              <w:top w:w="40" w:type="dxa"/>
              <w:bottom w:w="40" w:type="dxa"/>
              <w:right w:w="20" w:type="dxa"/>
            </w:tcMar>
            <w:vAlign w:val="bottom"/>
          </w:tcPr>
          <w:p w14:paraId="36CA3FD0"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3FD1"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3FD2" w14:textId="77777777" w:rsidR="00787570" w:rsidRDefault="000D56E2">
            <w:pPr>
              <w:jc w:val="right"/>
              <w:textAlignment w:val="bottom"/>
            </w:pPr>
            <w:r>
              <w:rPr>
                <w:rFonts w:ascii="Arial" w:eastAsia="宋体" w:hAnsi="Arial" w:cs="Arial"/>
                <w:color w:val="026DCE"/>
                <w:sz w:val="18"/>
                <w:szCs w:val="18"/>
              </w:rPr>
              <w:t>530 </w:t>
            </w:r>
          </w:p>
        </w:tc>
        <w:tc>
          <w:tcPr>
            <w:tcW w:w="0" w:type="auto"/>
            <w:shd w:val="clear" w:color="auto" w:fill="auto"/>
            <w:tcMar>
              <w:top w:w="40" w:type="dxa"/>
              <w:bottom w:w="40" w:type="dxa"/>
              <w:right w:w="20" w:type="dxa"/>
            </w:tcMar>
            <w:vAlign w:val="bottom"/>
          </w:tcPr>
          <w:p w14:paraId="36CA3FD3"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3FD4"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3FD5" w14:textId="77777777" w:rsidR="00787570" w:rsidRDefault="000D56E2">
            <w:pPr>
              <w:jc w:val="right"/>
              <w:textAlignment w:val="bottom"/>
            </w:pPr>
            <w:r>
              <w:rPr>
                <w:rFonts w:ascii="Arial" w:eastAsia="宋体" w:hAnsi="Arial" w:cs="Arial"/>
                <w:color w:val="026DCE"/>
                <w:sz w:val="18"/>
                <w:szCs w:val="18"/>
              </w:rPr>
              <w:t>(328)</w:t>
            </w:r>
          </w:p>
        </w:tc>
        <w:tc>
          <w:tcPr>
            <w:tcW w:w="0" w:type="auto"/>
            <w:shd w:val="clear" w:color="auto" w:fill="auto"/>
            <w:tcMar>
              <w:top w:w="40" w:type="dxa"/>
              <w:bottom w:w="40" w:type="dxa"/>
              <w:right w:w="20" w:type="dxa"/>
            </w:tcMar>
            <w:vAlign w:val="bottom"/>
          </w:tcPr>
          <w:p w14:paraId="36CA3FD6"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3FD7"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3FD8" w14:textId="77777777" w:rsidR="00787570" w:rsidRDefault="000D56E2">
            <w:pPr>
              <w:jc w:val="right"/>
              <w:textAlignment w:val="bottom"/>
            </w:pPr>
            <w:r>
              <w:rPr>
                <w:rFonts w:ascii="Arial" w:eastAsia="宋体" w:hAnsi="Arial" w:cs="Arial"/>
                <w:color w:val="026DCE"/>
                <w:sz w:val="18"/>
                <w:szCs w:val="18"/>
              </w:rPr>
              <w:t>(202)</w:t>
            </w:r>
          </w:p>
        </w:tc>
        <w:tc>
          <w:tcPr>
            <w:tcW w:w="0" w:type="auto"/>
            <w:shd w:val="clear" w:color="auto" w:fill="auto"/>
            <w:tcMar>
              <w:top w:w="40" w:type="dxa"/>
              <w:bottom w:w="40" w:type="dxa"/>
              <w:right w:w="20" w:type="dxa"/>
            </w:tcMar>
            <w:vAlign w:val="bottom"/>
          </w:tcPr>
          <w:p w14:paraId="36CA3FD9"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3FDA"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3FDB" w14:textId="77777777" w:rsidR="00787570" w:rsidRDefault="000D56E2">
            <w:pPr>
              <w:jc w:val="right"/>
              <w:textAlignment w:val="bottom"/>
            </w:pPr>
            <w:r>
              <w:rPr>
                <w:rFonts w:ascii="Arial" w:eastAsia="宋体" w:hAnsi="Arial" w:cs="Arial"/>
                <w:color w:val="026DCE"/>
                <w:sz w:val="18"/>
                <w:szCs w:val="18"/>
              </w:rPr>
              <w:t>— </w:t>
            </w:r>
          </w:p>
        </w:tc>
        <w:tc>
          <w:tcPr>
            <w:tcW w:w="0" w:type="auto"/>
            <w:shd w:val="clear" w:color="auto" w:fill="auto"/>
            <w:tcMar>
              <w:top w:w="40" w:type="dxa"/>
              <w:bottom w:w="40" w:type="dxa"/>
              <w:right w:w="20" w:type="dxa"/>
            </w:tcMar>
            <w:vAlign w:val="bottom"/>
          </w:tcPr>
          <w:p w14:paraId="36CA3FDC" w14:textId="77777777" w:rsidR="00787570" w:rsidRDefault="00787570">
            <w:pPr>
              <w:jc w:val="right"/>
              <w:rPr>
                <w:rFonts w:ascii="宋体"/>
              </w:rPr>
            </w:pPr>
          </w:p>
        </w:tc>
        <w:tc>
          <w:tcPr>
            <w:tcW w:w="0" w:type="auto"/>
            <w:shd w:val="clear" w:color="auto" w:fill="auto"/>
          </w:tcPr>
          <w:p w14:paraId="36CA3FDD" w14:textId="77777777" w:rsidR="00787570" w:rsidRDefault="00787570">
            <w:pPr>
              <w:rPr>
                <w:rFonts w:ascii="宋体"/>
              </w:rPr>
            </w:pPr>
          </w:p>
        </w:tc>
        <w:tc>
          <w:tcPr>
            <w:tcW w:w="0" w:type="auto"/>
            <w:shd w:val="clear" w:color="auto" w:fill="auto"/>
          </w:tcPr>
          <w:p w14:paraId="36CA3FDE" w14:textId="77777777" w:rsidR="00787570" w:rsidRDefault="00787570">
            <w:pPr>
              <w:rPr>
                <w:rFonts w:ascii="宋体"/>
              </w:rPr>
            </w:pPr>
          </w:p>
        </w:tc>
        <w:tc>
          <w:tcPr>
            <w:tcW w:w="0" w:type="auto"/>
            <w:shd w:val="clear" w:color="auto" w:fill="auto"/>
          </w:tcPr>
          <w:p w14:paraId="36CA3FDF" w14:textId="77777777" w:rsidR="00787570" w:rsidRDefault="00787570">
            <w:pPr>
              <w:rPr>
                <w:rFonts w:ascii="宋体"/>
              </w:rPr>
            </w:pPr>
          </w:p>
        </w:tc>
        <w:tc>
          <w:tcPr>
            <w:tcW w:w="0" w:type="auto"/>
            <w:shd w:val="clear" w:color="auto" w:fill="auto"/>
          </w:tcPr>
          <w:p w14:paraId="36CA3FE0" w14:textId="77777777" w:rsidR="00787570" w:rsidRDefault="00787570">
            <w:pPr>
              <w:rPr>
                <w:rFonts w:ascii="宋体"/>
              </w:rPr>
            </w:pPr>
          </w:p>
        </w:tc>
        <w:tc>
          <w:tcPr>
            <w:tcW w:w="0" w:type="auto"/>
            <w:shd w:val="clear" w:color="auto" w:fill="auto"/>
          </w:tcPr>
          <w:p w14:paraId="36CA3FE1" w14:textId="77777777" w:rsidR="00787570" w:rsidRDefault="00787570">
            <w:pPr>
              <w:rPr>
                <w:rFonts w:ascii="宋体"/>
              </w:rPr>
            </w:pPr>
          </w:p>
        </w:tc>
        <w:tc>
          <w:tcPr>
            <w:tcW w:w="0" w:type="auto"/>
            <w:shd w:val="clear" w:color="auto" w:fill="auto"/>
          </w:tcPr>
          <w:p w14:paraId="36CA3FE2" w14:textId="77777777" w:rsidR="00787570" w:rsidRDefault="00787570">
            <w:pPr>
              <w:rPr>
                <w:rFonts w:ascii="宋体"/>
              </w:rPr>
            </w:pPr>
          </w:p>
        </w:tc>
        <w:tc>
          <w:tcPr>
            <w:tcW w:w="0" w:type="auto"/>
            <w:shd w:val="clear" w:color="auto" w:fill="auto"/>
          </w:tcPr>
          <w:p w14:paraId="36CA3FE3" w14:textId="77777777" w:rsidR="00787570" w:rsidRDefault="00787570">
            <w:pPr>
              <w:rPr>
                <w:rFonts w:ascii="宋体"/>
              </w:rPr>
            </w:pPr>
          </w:p>
        </w:tc>
        <w:tc>
          <w:tcPr>
            <w:tcW w:w="0" w:type="auto"/>
            <w:shd w:val="clear" w:color="auto" w:fill="auto"/>
          </w:tcPr>
          <w:p w14:paraId="36CA3FE4" w14:textId="77777777" w:rsidR="00787570" w:rsidRDefault="00787570">
            <w:pPr>
              <w:rPr>
                <w:rFonts w:ascii="宋体"/>
              </w:rPr>
            </w:pPr>
          </w:p>
        </w:tc>
        <w:tc>
          <w:tcPr>
            <w:tcW w:w="0" w:type="auto"/>
            <w:shd w:val="clear" w:color="auto" w:fill="auto"/>
          </w:tcPr>
          <w:p w14:paraId="36CA3FE5" w14:textId="77777777" w:rsidR="00787570" w:rsidRDefault="00787570">
            <w:pPr>
              <w:rPr>
                <w:rFonts w:ascii="宋体"/>
              </w:rPr>
            </w:pPr>
          </w:p>
        </w:tc>
        <w:tc>
          <w:tcPr>
            <w:tcW w:w="0" w:type="auto"/>
            <w:shd w:val="clear" w:color="auto" w:fill="auto"/>
          </w:tcPr>
          <w:p w14:paraId="36CA3FE6" w14:textId="77777777" w:rsidR="00787570" w:rsidRDefault="00787570">
            <w:pPr>
              <w:rPr>
                <w:rFonts w:ascii="宋体"/>
              </w:rPr>
            </w:pPr>
          </w:p>
        </w:tc>
        <w:tc>
          <w:tcPr>
            <w:tcW w:w="0" w:type="auto"/>
            <w:shd w:val="clear" w:color="auto" w:fill="auto"/>
          </w:tcPr>
          <w:p w14:paraId="36CA3FE7" w14:textId="77777777" w:rsidR="00787570" w:rsidRDefault="00787570">
            <w:pPr>
              <w:rPr>
                <w:rFonts w:ascii="宋体"/>
              </w:rPr>
            </w:pPr>
          </w:p>
        </w:tc>
        <w:tc>
          <w:tcPr>
            <w:tcW w:w="0" w:type="auto"/>
            <w:shd w:val="clear" w:color="auto" w:fill="auto"/>
          </w:tcPr>
          <w:p w14:paraId="36CA3FE8" w14:textId="77777777" w:rsidR="00787570" w:rsidRDefault="00787570">
            <w:pPr>
              <w:rPr>
                <w:rFonts w:ascii="宋体"/>
              </w:rPr>
            </w:pPr>
          </w:p>
        </w:tc>
        <w:tc>
          <w:tcPr>
            <w:tcW w:w="0" w:type="auto"/>
            <w:shd w:val="clear" w:color="auto" w:fill="auto"/>
          </w:tcPr>
          <w:p w14:paraId="36CA3FE9" w14:textId="77777777" w:rsidR="00787570" w:rsidRDefault="00787570">
            <w:pPr>
              <w:rPr>
                <w:rFonts w:ascii="宋体"/>
              </w:rPr>
            </w:pPr>
          </w:p>
        </w:tc>
        <w:tc>
          <w:tcPr>
            <w:tcW w:w="0" w:type="auto"/>
            <w:shd w:val="clear" w:color="auto" w:fill="auto"/>
          </w:tcPr>
          <w:p w14:paraId="36CA3FEA" w14:textId="77777777" w:rsidR="00787570" w:rsidRDefault="00787570">
            <w:pPr>
              <w:rPr>
                <w:rFonts w:ascii="宋体"/>
              </w:rPr>
            </w:pPr>
          </w:p>
        </w:tc>
        <w:tc>
          <w:tcPr>
            <w:tcW w:w="0" w:type="auto"/>
            <w:shd w:val="clear" w:color="auto" w:fill="auto"/>
          </w:tcPr>
          <w:p w14:paraId="36CA3FEB" w14:textId="77777777" w:rsidR="00787570" w:rsidRDefault="00787570">
            <w:pPr>
              <w:rPr>
                <w:rFonts w:ascii="宋体"/>
              </w:rPr>
            </w:pPr>
          </w:p>
        </w:tc>
        <w:tc>
          <w:tcPr>
            <w:tcW w:w="0" w:type="auto"/>
            <w:shd w:val="clear" w:color="auto" w:fill="auto"/>
          </w:tcPr>
          <w:p w14:paraId="36CA3FEC" w14:textId="77777777" w:rsidR="00787570" w:rsidRDefault="00787570">
            <w:pPr>
              <w:rPr>
                <w:rFonts w:ascii="宋体"/>
              </w:rPr>
            </w:pPr>
          </w:p>
        </w:tc>
        <w:tc>
          <w:tcPr>
            <w:tcW w:w="0" w:type="auto"/>
            <w:shd w:val="clear" w:color="auto" w:fill="auto"/>
          </w:tcPr>
          <w:p w14:paraId="36CA3FED" w14:textId="77777777" w:rsidR="00787570" w:rsidRDefault="00787570">
            <w:pPr>
              <w:rPr>
                <w:rFonts w:ascii="宋体"/>
              </w:rPr>
            </w:pPr>
          </w:p>
        </w:tc>
        <w:tc>
          <w:tcPr>
            <w:tcW w:w="0" w:type="auto"/>
            <w:shd w:val="clear" w:color="auto" w:fill="auto"/>
          </w:tcPr>
          <w:p w14:paraId="36CA3FEE" w14:textId="77777777" w:rsidR="00787570" w:rsidRDefault="00787570">
            <w:pPr>
              <w:rPr>
                <w:rFonts w:ascii="宋体"/>
              </w:rPr>
            </w:pPr>
          </w:p>
        </w:tc>
        <w:tc>
          <w:tcPr>
            <w:tcW w:w="0" w:type="auto"/>
            <w:shd w:val="clear" w:color="auto" w:fill="auto"/>
          </w:tcPr>
          <w:p w14:paraId="36CA3FEF" w14:textId="77777777" w:rsidR="00787570" w:rsidRDefault="00787570">
            <w:pPr>
              <w:rPr>
                <w:rFonts w:ascii="宋体"/>
              </w:rPr>
            </w:pPr>
          </w:p>
        </w:tc>
        <w:tc>
          <w:tcPr>
            <w:tcW w:w="0" w:type="auto"/>
            <w:shd w:val="clear" w:color="auto" w:fill="auto"/>
          </w:tcPr>
          <w:p w14:paraId="36CA3FF0" w14:textId="77777777" w:rsidR="00787570" w:rsidRDefault="00787570">
            <w:pPr>
              <w:rPr>
                <w:rFonts w:ascii="宋体"/>
              </w:rPr>
            </w:pPr>
          </w:p>
        </w:tc>
        <w:tc>
          <w:tcPr>
            <w:tcW w:w="0" w:type="auto"/>
            <w:shd w:val="clear" w:color="auto" w:fill="auto"/>
          </w:tcPr>
          <w:p w14:paraId="36CA3FF1" w14:textId="77777777" w:rsidR="00787570" w:rsidRDefault="00787570">
            <w:pPr>
              <w:rPr>
                <w:rFonts w:ascii="宋体"/>
              </w:rPr>
            </w:pPr>
          </w:p>
        </w:tc>
        <w:tc>
          <w:tcPr>
            <w:tcW w:w="0" w:type="auto"/>
            <w:shd w:val="clear" w:color="auto" w:fill="auto"/>
          </w:tcPr>
          <w:p w14:paraId="36CA3FF2" w14:textId="77777777" w:rsidR="00787570" w:rsidRDefault="00787570">
            <w:pPr>
              <w:rPr>
                <w:rFonts w:ascii="宋体"/>
              </w:rPr>
            </w:pPr>
          </w:p>
        </w:tc>
        <w:tc>
          <w:tcPr>
            <w:tcW w:w="0" w:type="auto"/>
            <w:shd w:val="clear" w:color="auto" w:fill="auto"/>
          </w:tcPr>
          <w:p w14:paraId="36CA3FF3" w14:textId="77777777" w:rsidR="00787570" w:rsidRDefault="00787570">
            <w:pPr>
              <w:rPr>
                <w:rFonts w:ascii="宋体"/>
              </w:rPr>
            </w:pPr>
          </w:p>
        </w:tc>
        <w:tc>
          <w:tcPr>
            <w:tcW w:w="0" w:type="auto"/>
            <w:shd w:val="clear" w:color="auto" w:fill="auto"/>
          </w:tcPr>
          <w:p w14:paraId="36CA3FF4" w14:textId="77777777" w:rsidR="00787570" w:rsidRDefault="00787570">
            <w:pPr>
              <w:rPr>
                <w:rFonts w:ascii="宋体"/>
              </w:rPr>
            </w:pPr>
          </w:p>
        </w:tc>
      </w:tr>
      <w:tr w:rsidR="00787570" w14:paraId="36CA4027" w14:textId="77777777">
        <w:tc>
          <w:tcPr>
            <w:tcW w:w="0" w:type="auto"/>
            <w:gridSpan w:val="3"/>
            <w:shd w:val="clear" w:color="auto" w:fill="auto"/>
            <w:tcMar>
              <w:top w:w="40" w:type="dxa"/>
              <w:left w:w="20" w:type="dxa"/>
              <w:bottom w:w="40" w:type="dxa"/>
              <w:right w:w="20" w:type="dxa"/>
            </w:tcMar>
            <w:vAlign w:val="bottom"/>
          </w:tcPr>
          <w:p w14:paraId="36CA3FF6" w14:textId="77777777" w:rsidR="00787570" w:rsidRDefault="000D56E2">
            <w:pPr>
              <w:ind w:hanging="180"/>
              <w:textAlignment w:val="bottom"/>
            </w:pPr>
            <w:r>
              <w:rPr>
                <w:rFonts w:ascii="Arial" w:eastAsia="宋体" w:hAnsi="Arial" w:cs="Arial"/>
                <w:b/>
                <w:bCs/>
                <w:color w:val="333333"/>
                <w:sz w:val="18"/>
                <w:szCs w:val="18"/>
              </w:rPr>
              <w:t>Total liabilities</w:t>
            </w:r>
          </w:p>
        </w:tc>
        <w:tc>
          <w:tcPr>
            <w:tcW w:w="0" w:type="auto"/>
            <w:gridSpan w:val="3"/>
            <w:shd w:val="clear" w:color="auto" w:fill="auto"/>
            <w:tcMar>
              <w:left w:w="20" w:type="dxa"/>
              <w:right w:w="20" w:type="dxa"/>
            </w:tcMar>
            <w:vAlign w:val="bottom"/>
          </w:tcPr>
          <w:p w14:paraId="36CA3FF7" w14:textId="77777777" w:rsidR="00787570" w:rsidRDefault="00787570">
            <w:pPr>
              <w:rPr>
                <w:rFonts w:ascii="宋体"/>
              </w:rPr>
            </w:pPr>
          </w:p>
        </w:tc>
        <w:tc>
          <w:tcPr>
            <w:tcW w:w="0" w:type="auto"/>
            <w:tcBorders>
              <w:top w:val="single" w:sz="8" w:space="0" w:color="333333"/>
              <w:bottom w:val="double" w:sz="6" w:space="0" w:color="333333"/>
            </w:tcBorders>
            <w:shd w:val="clear" w:color="auto" w:fill="auto"/>
            <w:tcMar>
              <w:top w:w="40" w:type="dxa"/>
              <w:left w:w="20" w:type="dxa"/>
              <w:bottom w:w="40" w:type="dxa"/>
            </w:tcMar>
            <w:vAlign w:val="bottom"/>
          </w:tcPr>
          <w:p w14:paraId="36CA3FF8" w14:textId="77777777" w:rsidR="00787570" w:rsidRDefault="000D56E2">
            <w:pPr>
              <w:textAlignment w:val="bottom"/>
            </w:pPr>
            <w:r>
              <w:rPr>
                <w:rFonts w:ascii="Arial" w:eastAsia="宋体" w:hAnsi="Arial" w:cs="Arial"/>
                <w:b/>
                <w:bCs/>
                <w:color w:val="026DCE"/>
                <w:sz w:val="18"/>
                <w:szCs w:val="18"/>
              </w:rPr>
              <w:t>$</w:t>
            </w:r>
          </w:p>
        </w:tc>
        <w:tc>
          <w:tcPr>
            <w:tcW w:w="0" w:type="auto"/>
            <w:tcBorders>
              <w:top w:val="single" w:sz="8" w:space="0" w:color="333333"/>
              <w:bottom w:val="double" w:sz="6" w:space="0" w:color="333333"/>
            </w:tcBorders>
            <w:shd w:val="clear" w:color="auto" w:fill="auto"/>
            <w:tcMar>
              <w:top w:w="40" w:type="dxa"/>
              <w:bottom w:w="40" w:type="dxa"/>
              <w:right w:w="0" w:type="dxa"/>
            </w:tcMar>
            <w:vAlign w:val="bottom"/>
          </w:tcPr>
          <w:p w14:paraId="36CA3FF9" w14:textId="77777777" w:rsidR="00787570" w:rsidRDefault="000D56E2">
            <w:pPr>
              <w:jc w:val="right"/>
              <w:textAlignment w:val="bottom"/>
            </w:pPr>
            <w:r>
              <w:rPr>
                <w:rFonts w:ascii="Arial" w:eastAsia="宋体" w:hAnsi="Arial" w:cs="Arial"/>
                <w:b/>
                <w:bCs/>
                <w:color w:val="026DCE"/>
                <w:sz w:val="18"/>
                <w:szCs w:val="18"/>
              </w:rPr>
              <w:t>530</w:t>
            </w:r>
            <w:r>
              <w:rPr>
                <w:rFonts w:ascii="Arial" w:eastAsia="宋体" w:hAnsi="Arial" w:cs="Arial"/>
                <w:color w:val="026DCE"/>
                <w:sz w:val="18"/>
                <w:szCs w:val="18"/>
              </w:rPr>
              <w:t> </w:t>
            </w:r>
          </w:p>
        </w:tc>
        <w:tc>
          <w:tcPr>
            <w:tcW w:w="0" w:type="auto"/>
            <w:tcBorders>
              <w:top w:val="single" w:sz="8" w:space="0" w:color="333333"/>
              <w:bottom w:val="double" w:sz="6" w:space="0" w:color="333333"/>
            </w:tcBorders>
            <w:shd w:val="clear" w:color="auto" w:fill="auto"/>
            <w:tcMar>
              <w:top w:w="40" w:type="dxa"/>
              <w:bottom w:w="40" w:type="dxa"/>
              <w:right w:w="20" w:type="dxa"/>
            </w:tcMar>
            <w:vAlign w:val="bottom"/>
          </w:tcPr>
          <w:p w14:paraId="36CA3FFA"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3FFB" w14:textId="77777777" w:rsidR="00787570" w:rsidRDefault="00787570">
            <w:pPr>
              <w:rPr>
                <w:rFonts w:ascii="宋体"/>
              </w:rPr>
            </w:pPr>
          </w:p>
        </w:tc>
        <w:tc>
          <w:tcPr>
            <w:tcW w:w="0" w:type="auto"/>
            <w:tcBorders>
              <w:top w:val="single" w:sz="8" w:space="0" w:color="333333"/>
              <w:bottom w:val="double" w:sz="6" w:space="0" w:color="333333"/>
            </w:tcBorders>
            <w:shd w:val="clear" w:color="auto" w:fill="auto"/>
            <w:tcMar>
              <w:top w:w="40" w:type="dxa"/>
              <w:left w:w="20" w:type="dxa"/>
              <w:bottom w:w="40" w:type="dxa"/>
            </w:tcMar>
            <w:vAlign w:val="bottom"/>
          </w:tcPr>
          <w:p w14:paraId="36CA3FFC" w14:textId="77777777" w:rsidR="00787570" w:rsidRDefault="000D56E2">
            <w:pPr>
              <w:textAlignment w:val="bottom"/>
            </w:pPr>
            <w:r>
              <w:rPr>
                <w:rFonts w:ascii="Arial" w:eastAsia="宋体" w:hAnsi="Arial" w:cs="Arial"/>
                <w:b/>
                <w:bCs/>
                <w:color w:val="026DCE"/>
                <w:sz w:val="18"/>
                <w:szCs w:val="18"/>
              </w:rPr>
              <w:t>$</w:t>
            </w:r>
          </w:p>
        </w:tc>
        <w:tc>
          <w:tcPr>
            <w:tcW w:w="0" w:type="auto"/>
            <w:tcBorders>
              <w:top w:val="single" w:sz="8" w:space="0" w:color="333333"/>
              <w:bottom w:val="double" w:sz="6" w:space="0" w:color="333333"/>
            </w:tcBorders>
            <w:shd w:val="clear" w:color="auto" w:fill="auto"/>
            <w:tcMar>
              <w:top w:w="40" w:type="dxa"/>
              <w:bottom w:w="40" w:type="dxa"/>
              <w:right w:w="0" w:type="dxa"/>
            </w:tcMar>
            <w:vAlign w:val="bottom"/>
          </w:tcPr>
          <w:p w14:paraId="36CA3FFD" w14:textId="77777777" w:rsidR="00787570" w:rsidRDefault="000D56E2">
            <w:pPr>
              <w:jc w:val="right"/>
              <w:textAlignment w:val="bottom"/>
            </w:pPr>
            <w:r>
              <w:rPr>
                <w:rFonts w:ascii="Arial" w:eastAsia="宋体" w:hAnsi="Arial" w:cs="Arial"/>
                <w:b/>
                <w:bCs/>
                <w:color w:val="026DCE"/>
                <w:sz w:val="18"/>
                <w:szCs w:val="18"/>
              </w:rPr>
              <w:t>—</w:t>
            </w:r>
            <w:r>
              <w:rPr>
                <w:rFonts w:ascii="Arial" w:eastAsia="宋体" w:hAnsi="Arial" w:cs="Arial"/>
                <w:color w:val="026DCE"/>
                <w:sz w:val="18"/>
                <w:szCs w:val="18"/>
              </w:rPr>
              <w:t> </w:t>
            </w:r>
          </w:p>
        </w:tc>
        <w:tc>
          <w:tcPr>
            <w:tcW w:w="0" w:type="auto"/>
            <w:tcBorders>
              <w:top w:val="single" w:sz="8" w:space="0" w:color="333333"/>
              <w:bottom w:val="double" w:sz="6" w:space="0" w:color="333333"/>
            </w:tcBorders>
            <w:shd w:val="clear" w:color="auto" w:fill="auto"/>
            <w:tcMar>
              <w:top w:w="40" w:type="dxa"/>
              <w:bottom w:w="40" w:type="dxa"/>
              <w:right w:w="20" w:type="dxa"/>
            </w:tcMar>
            <w:vAlign w:val="bottom"/>
          </w:tcPr>
          <w:p w14:paraId="36CA3FFE"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3FFF" w14:textId="77777777" w:rsidR="00787570" w:rsidRDefault="00787570">
            <w:pPr>
              <w:rPr>
                <w:rFonts w:ascii="宋体"/>
              </w:rPr>
            </w:pPr>
          </w:p>
        </w:tc>
        <w:tc>
          <w:tcPr>
            <w:tcW w:w="0" w:type="auto"/>
            <w:tcBorders>
              <w:top w:val="single" w:sz="8" w:space="0" w:color="333333"/>
              <w:bottom w:val="double" w:sz="6" w:space="0" w:color="333333"/>
            </w:tcBorders>
            <w:shd w:val="clear" w:color="auto" w:fill="auto"/>
            <w:tcMar>
              <w:top w:w="40" w:type="dxa"/>
              <w:left w:w="20" w:type="dxa"/>
              <w:bottom w:w="40" w:type="dxa"/>
            </w:tcMar>
            <w:vAlign w:val="bottom"/>
          </w:tcPr>
          <w:p w14:paraId="36CA4000" w14:textId="77777777" w:rsidR="00787570" w:rsidRDefault="000D56E2">
            <w:pPr>
              <w:textAlignment w:val="bottom"/>
            </w:pPr>
            <w:r>
              <w:rPr>
                <w:rFonts w:ascii="Arial" w:eastAsia="宋体" w:hAnsi="Arial" w:cs="Arial"/>
                <w:b/>
                <w:bCs/>
                <w:color w:val="026DCE"/>
                <w:sz w:val="18"/>
                <w:szCs w:val="18"/>
              </w:rPr>
              <w:t>$</w:t>
            </w:r>
          </w:p>
        </w:tc>
        <w:tc>
          <w:tcPr>
            <w:tcW w:w="0" w:type="auto"/>
            <w:tcBorders>
              <w:top w:val="single" w:sz="8" w:space="0" w:color="333333"/>
              <w:bottom w:val="double" w:sz="6" w:space="0" w:color="333333"/>
            </w:tcBorders>
            <w:shd w:val="clear" w:color="auto" w:fill="auto"/>
            <w:tcMar>
              <w:top w:w="40" w:type="dxa"/>
              <w:bottom w:w="40" w:type="dxa"/>
              <w:right w:w="0" w:type="dxa"/>
            </w:tcMar>
            <w:vAlign w:val="bottom"/>
          </w:tcPr>
          <w:p w14:paraId="36CA4001" w14:textId="77777777" w:rsidR="00787570" w:rsidRDefault="000D56E2">
            <w:pPr>
              <w:jc w:val="right"/>
              <w:textAlignment w:val="bottom"/>
            </w:pPr>
            <w:r>
              <w:rPr>
                <w:rFonts w:ascii="Arial" w:eastAsia="宋体" w:hAnsi="Arial" w:cs="Arial"/>
                <w:b/>
                <w:bCs/>
                <w:color w:val="026DCE"/>
                <w:sz w:val="18"/>
                <w:szCs w:val="18"/>
              </w:rPr>
              <w:t>530</w:t>
            </w:r>
            <w:r>
              <w:rPr>
                <w:rFonts w:ascii="Arial" w:eastAsia="宋体" w:hAnsi="Arial" w:cs="Arial"/>
                <w:color w:val="026DCE"/>
                <w:sz w:val="18"/>
                <w:szCs w:val="18"/>
              </w:rPr>
              <w:t> </w:t>
            </w:r>
          </w:p>
        </w:tc>
        <w:tc>
          <w:tcPr>
            <w:tcW w:w="0" w:type="auto"/>
            <w:tcBorders>
              <w:top w:val="single" w:sz="8" w:space="0" w:color="333333"/>
              <w:bottom w:val="double" w:sz="6" w:space="0" w:color="333333"/>
            </w:tcBorders>
            <w:shd w:val="clear" w:color="auto" w:fill="auto"/>
            <w:tcMar>
              <w:top w:w="40" w:type="dxa"/>
              <w:bottom w:w="40" w:type="dxa"/>
              <w:right w:w="20" w:type="dxa"/>
            </w:tcMar>
            <w:vAlign w:val="bottom"/>
          </w:tcPr>
          <w:p w14:paraId="36CA4002"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4003" w14:textId="77777777" w:rsidR="00787570" w:rsidRDefault="00787570">
            <w:pPr>
              <w:rPr>
                <w:rFonts w:ascii="宋体"/>
              </w:rPr>
            </w:pPr>
          </w:p>
        </w:tc>
        <w:tc>
          <w:tcPr>
            <w:tcW w:w="0" w:type="auto"/>
            <w:tcBorders>
              <w:top w:val="single" w:sz="8" w:space="0" w:color="333333"/>
              <w:bottom w:val="double" w:sz="6" w:space="0" w:color="333333"/>
            </w:tcBorders>
            <w:shd w:val="clear" w:color="auto" w:fill="auto"/>
            <w:tcMar>
              <w:top w:w="40" w:type="dxa"/>
              <w:left w:w="20" w:type="dxa"/>
              <w:bottom w:w="40" w:type="dxa"/>
            </w:tcMar>
            <w:vAlign w:val="bottom"/>
          </w:tcPr>
          <w:p w14:paraId="36CA4004" w14:textId="77777777" w:rsidR="00787570" w:rsidRDefault="000D56E2">
            <w:pPr>
              <w:textAlignment w:val="bottom"/>
            </w:pPr>
            <w:r>
              <w:rPr>
                <w:rFonts w:ascii="Arial" w:eastAsia="宋体" w:hAnsi="Arial" w:cs="Arial"/>
                <w:b/>
                <w:bCs/>
                <w:color w:val="026DCE"/>
                <w:sz w:val="18"/>
                <w:szCs w:val="18"/>
              </w:rPr>
              <w:t>$</w:t>
            </w:r>
          </w:p>
        </w:tc>
        <w:tc>
          <w:tcPr>
            <w:tcW w:w="0" w:type="auto"/>
            <w:tcBorders>
              <w:top w:val="single" w:sz="8" w:space="0" w:color="333333"/>
              <w:bottom w:val="double" w:sz="6" w:space="0" w:color="333333"/>
            </w:tcBorders>
            <w:shd w:val="clear" w:color="auto" w:fill="auto"/>
            <w:tcMar>
              <w:top w:w="40" w:type="dxa"/>
              <w:bottom w:w="40" w:type="dxa"/>
              <w:right w:w="0" w:type="dxa"/>
            </w:tcMar>
            <w:vAlign w:val="bottom"/>
          </w:tcPr>
          <w:p w14:paraId="36CA4005" w14:textId="77777777" w:rsidR="00787570" w:rsidRDefault="000D56E2">
            <w:pPr>
              <w:jc w:val="right"/>
              <w:textAlignment w:val="bottom"/>
            </w:pPr>
            <w:r>
              <w:rPr>
                <w:rFonts w:ascii="Arial" w:eastAsia="宋体" w:hAnsi="Arial" w:cs="Arial"/>
                <w:b/>
                <w:bCs/>
                <w:color w:val="026DCE"/>
                <w:sz w:val="18"/>
                <w:szCs w:val="18"/>
              </w:rPr>
              <w:t>(328)</w:t>
            </w:r>
          </w:p>
        </w:tc>
        <w:tc>
          <w:tcPr>
            <w:tcW w:w="0" w:type="auto"/>
            <w:tcBorders>
              <w:top w:val="single" w:sz="8" w:space="0" w:color="333333"/>
              <w:bottom w:val="double" w:sz="6" w:space="0" w:color="333333"/>
            </w:tcBorders>
            <w:shd w:val="clear" w:color="auto" w:fill="auto"/>
            <w:tcMar>
              <w:top w:w="40" w:type="dxa"/>
              <w:bottom w:w="40" w:type="dxa"/>
              <w:right w:w="20" w:type="dxa"/>
            </w:tcMar>
            <w:vAlign w:val="bottom"/>
          </w:tcPr>
          <w:p w14:paraId="36CA4006"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4007" w14:textId="77777777" w:rsidR="00787570" w:rsidRDefault="00787570">
            <w:pPr>
              <w:rPr>
                <w:rFonts w:ascii="宋体"/>
              </w:rPr>
            </w:pPr>
          </w:p>
        </w:tc>
        <w:tc>
          <w:tcPr>
            <w:tcW w:w="0" w:type="auto"/>
            <w:tcBorders>
              <w:top w:val="single" w:sz="8" w:space="0" w:color="333333"/>
              <w:bottom w:val="double" w:sz="6" w:space="0" w:color="333333"/>
            </w:tcBorders>
            <w:shd w:val="clear" w:color="auto" w:fill="auto"/>
            <w:tcMar>
              <w:top w:w="40" w:type="dxa"/>
              <w:left w:w="20" w:type="dxa"/>
              <w:bottom w:w="40" w:type="dxa"/>
            </w:tcMar>
            <w:vAlign w:val="bottom"/>
          </w:tcPr>
          <w:p w14:paraId="36CA4008" w14:textId="77777777" w:rsidR="00787570" w:rsidRDefault="000D56E2">
            <w:pPr>
              <w:textAlignment w:val="bottom"/>
            </w:pPr>
            <w:r>
              <w:rPr>
                <w:rFonts w:ascii="Arial" w:eastAsia="宋体" w:hAnsi="Arial" w:cs="Arial"/>
                <w:b/>
                <w:bCs/>
                <w:color w:val="026DCE"/>
                <w:sz w:val="18"/>
                <w:szCs w:val="18"/>
              </w:rPr>
              <w:t>$</w:t>
            </w:r>
          </w:p>
        </w:tc>
        <w:tc>
          <w:tcPr>
            <w:tcW w:w="0" w:type="auto"/>
            <w:tcBorders>
              <w:top w:val="single" w:sz="8" w:space="0" w:color="333333"/>
              <w:bottom w:val="double" w:sz="6" w:space="0" w:color="333333"/>
            </w:tcBorders>
            <w:shd w:val="clear" w:color="auto" w:fill="auto"/>
            <w:tcMar>
              <w:top w:w="40" w:type="dxa"/>
              <w:bottom w:w="40" w:type="dxa"/>
              <w:right w:w="0" w:type="dxa"/>
            </w:tcMar>
            <w:vAlign w:val="bottom"/>
          </w:tcPr>
          <w:p w14:paraId="36CA4009" w14:textId="77777777" w:rsidR="00787570" w:rsidRDefault="000D56E2">
            <w:pPr>
              <w:jc w:val="right"/>
              <w:textAlignment w:val="bottom"/>
            </w:pPr>
            <w:r>
              <w:rPr>
                <w:rFonts w:ascii="Arial" w:eastAsia="宋体" w:hAnsi="Arial" w:cs="Arial"/>
                <w:b/>
                <w:bCs/>
                <w:color w:val="026DCE"/>
                <w:sz w:val="18"/>
                <w:szCs w:val="18"/>
              </w:rPr>
              <w:t>(202)</w:t>
            </w:r>
          </w:p>
        </w:tc>
        <w:tc>
          <w:tcPr>
            <w:tcW w:w="0" w:type="auto"/>
            <w:tcBorders>
              <w:top w:val="single" w:sz="8" w:space="0" w:color="333333"/>
              <w:bottom w:val="double" w:sz="6" w:space="0" w:color="333333"/>
            </w:tcBorders>
            <w:shd w:val="clear" w:color="auto" w:fill="auto"/>
            <w:tcMar>
              <w:top w:w="40" w:type="dxa"/>
              <w:bottom w:w="40" w:type="dxa"/>
              <w:right w:w="20" w:type="dxa"/>
            </w:tcMar>
            <w:vAlign w:val="bottom"/>
          </w:tcPr>
          <w:p w14:paraId="36CA400A"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400B" w14:textId="77777777" w:rsidR="00787570" w:rsidRDefault="00787570">
            <w:pPr>
              <w:rPr>
                <w:rFonts w:ascii="宋体"/>
              </w:rPr>
            </w:pPr>
          </w:p>
        </w:tc>
        <w:tc>
          <w:tcPr>
            <w:tcW w:w="0" w:type="auto"/>
            <w:tcBorders>
              <w:top w:val="single" w:sz="8" w:space="0" w:color="333333"/>
              <w:bottom w:val="double" w:sz="6" w:space="0" w:color="333333"/>
            </w:tcBorders>
            <w:shd w:val="clear" w:color="auto" w:fill="auto"/>
            <w:tcMar>
              <w:top w:w="40" w:type="dxa"/>
              <w:left w:w="20" w:type="dxa"/>
              <w:bottom w:w="40" w:type="dxa"/>
            </w:tcMar>
            <w:vAlign w:val="bottom"/>
          </w:tcPr>
          <w:p w14:paraId="36CA400C" w14:textId="77777777" w:rsidR="00787570" w:rsidRDefault="000D56E2">
            <w:pPr>
              <w:textAlignment w:val="bottom"/>
            </w:pPr>
            <w:r>
              <w:rPr>
                <w:rFonts w:ascii="Arial" w:eastAsia="宋体" w:hAnsi="Arial" w:cs="Arial"/>
                <w:b/>
                <w:bCs/>
                <w:color w:val="026DCE"/>
                <w:sz w:val="18"/>
                <w:szCs w:val="18"/>
              </w:rPr>
              <w:t>$</w:t>
            </w:r>
          </w:p>
        </w:tc>
        <w:tc>
          <w:tcPr>
            <w:tcW w:w="0" w:type="auto"/>
            <w:tcBorders>
              <w:top w:val="single" w:sz="8" w:space="0" w:color="333333"/>
              <w:bottom w:val="double" w:sz="6" w:space="0" w:color="333333"/>
            </w:tcBorders>
            <w:shd w:val="clear" w:color="auto" w:fill="auto"/>
            <w:tcMar>
              <w:top w:w="40" w:type="dxa"/>
              <w:bottom w:w="40" w:type="dxa"/>
              <w:right w:w="0" w:type="dxa"/>
            </w:tcMar>
            <w:vAlign w:val="bottom"/>
          </w:tcPr>
          <w:p w14:paraId="36CA400D" w14:textId="77777777" w:rsidR="00787570" w:rsidRDefault="000D56E2">
            <w:pPr>
              <w:jc w:val="right"/>
              <w:textAlignment w:val="bottom"/>
            </w:pPr>
            <w:r>
              <w:rPr>
                <w:rFonts w:ascii="Arial" w:eastAsia="宋体" w:hAnsi="Arial" w:cs="Arial"/>
                <w:b/>
                <w:bCs/>
                <w:color w:val="026DCE"/>
                <w:sz w:val="18"/>
                <w:szCs w:val="18"/>
              </w:rPr>
              <w:t>—</w:t>
            </w:r>
            <w:r>
              <w:rPr>
                <w:rFonts w:ascii="Arial" w:eastAsia="宋体" w:hAnsi="Arial" w:cs="Arial"/>
                <w:color w:val="026DCE"/>
                <w:sz w:val="18"/>
                <w:szCs w:val="18"/>
              </w:rPr>
              <w:t> </w:t>
            </w:r>
          </w:p>
        </w:tc>
        <w:tc>
          <w:tcPr>
            <w:tcW w:w="0" w:type="auto"/>
            <w:tcBorders>
              <w:top w:val="single" w:sz="8" w:space="0" w:color="333333"/>
              <w:bottom w:val="double" w:sz="6" w:space="0" w:color="333333"/>
            </w:tcBorders>
            <w:shd w:val="clear" w:color="auto" w:fill="auto"/>
            <w:tcMar>
              <w:top w:w="40" w:type="dxa"/>
              <w:bottom w:w="40" w:type="dxa"/>
              <w:right w:w="20" w:type="dxa"/>
            </w:tcMar>
            <w:vAlign w:val="bottom"/>
          </w:tcPr>
          <w:p w14:paraId="36CA400E" w14:textId="77777777" w:rsidR="00787570" w:rsidRDefault="00787570">
            <w:pPr>
              <w:jc w:val="right"/>
              <w:rPr>
                <w:rFonts w:ascii="宋体"/>
              </w:rPr>
            </w:pPr>
          </w:p>
        </w:tc>
        <w:tc>
          <w:tcPr>
            <w:tcW w:w="0" w:type="auto"/>
            <w:shd w:val="clear" w:color="auto" w:fill="auto"/>
          </w:tcPr>
          <w:p w14:paraId="36CA400F" w14:textId="77777777" w:rsidR="00787570" w:rsidRDefault="00787570">
            <w:pPr>
              <w:rPr>
                <w:rFonts w:ascii="宋体"/>
              </w:rPr>
            </w:pPr>
          </w:p>
        </w:tc>
        <w:tc>
          <w:tcPr>
            <w:tcW w:w="0" w:type="auto"/>
            <w:shd w:val="clear" w:color="auto" w:fill="auto"/>
          </w:tcPr>
          <w:p w14:paraId="36CA4010" w14:textId="77777777" w:rsidR="00787570" w:rsidRDefault="00787570">
            <w:pPr>
              <w:rPr>
                <w:rFonts w:ascii="宋体"/>
              </w:rPr>
            </w:pPr>
          </w:p>
        </w:tc>
        <w:tc>
          <w:tcPr>
            <w:tcW w:w="0" w:type="auto"/>
            <w:shd w:val="clear" w:color="auto" w:fill="auto"/>
          </w:tcPr>
          <w:p w14:paraId="36CA4011" w14:textId="77777777" w:rsidR="00787570" w:rsidRDefault="00787570">
            <w:pPr>
              <w:rPr>
                <w:rFonts w:ascii="宋体"/>
              </w:rPr>
            </w:pPr>
          </w:p>
        </w:tc>
        <w:tc>
          <w:tcPr>
            <w:tcW w:w="0" w:type="auto"/>
            <w:shd w:val="clear" w:color="auto" w:fill="auto"/>
          </w:tcPr>
          <w:p w14:paraId="36CA4012" w14:textId="77777777" w:rsidR="00787570" w:rsidRDefault="00787570">
            <w:pPr>
              <w:rPr>
                <w:rFonts w:ascii="宋体"/>
              </w:rPr>
            </w:pPr>
          </w:p>
        </w:tc>
        <w:tc>
          <w:tcPr>
            <w:tcW w:w="0" w:type="auto"/>
            <w:shd w:val="clear" w:color="auto" w:fill="auto"/>
          </w:tcPr>
          <w:p w14:paraId="36CA4013" w14:textId="77777777" w:rsidR="00787570" w:rsidRDefault="00787570">
            <w:pPr>
              <w:rPr>
                <w:rFonts w:ascii="宋体"/>
              </w:rPr>
            </w:pPr>
          </w:p>
        </w:tc>
        <w:tc>
          <w:tcPr>
            <w:tcW w:w="0" w:type="auto"/>
            <w:shd w:val="clear" w:color="auto" w:fill="auto"/>
          </w:tcPr>
          <w:p w14:paraId="36CA4014" w14:textId="77777777" w:rsidR="00787570" w:rsidRDefault="00787570">
            <w:pPr>
              <w:rPr>
                <w:rFonts w:ascii="宋体"/>
              </w:rPr>
            </w:pPr>
          </w:p>
        </w:tc>
        <w:tc>
          <w:tcPr>
            <w:tcW w:w="0" w:type="auto"/>
            <w:shd w:val="clear" w:color="auto" w:fill="auto"/>
          </w:tcPr>
          <w:p w14:paraId="36CA4015" w14:textId="77777777" w:rsidR="00787570" w:rsidRDefault="00787570">
            <w:pPr>
              <w:rPr>
                <w:rFonts w:ascii="宋体"/>
              </w:rPr>
            </w:pPr>
          </w:p>
        </w:tc>
        <w:tc>
          <w:tcPr>
            <w:tcW w:w="0" w:type="auto"/>
            <w:shd w:val="clear" w:color="auto" w:fill="auto"/>
          </w:tcPr>
          <w:p w14:paraId="36CA4016" w14:textId="77777777" w:rsidR="00787570" w:rsidRDefault="00787570">
            <w:pPr>
              <w:rPr>
                <w:rFonts w:ascii="宋体"/>
              </w:rPr>
            </w:pPr>
          </w:p>
        </w:tc>
        <w:tc>
          <w:tcPr>
            <w:tcW w:w="0" w:type="auto"/>
            <w:shd w:val="clear" w:color="auto" w:fill="auto"/>
          </w:tcPr>
          <w:p w14:paraId="36CA4017" w14:textId="77777777" w:rsidR="00787570" w:rsidRDefault="00787570">
            <w:pPr>
              <w:rPr>
                <w:rFonts w:ascii="宋体"/>
              </w:rPr>
            </w:pPr>
          </w:p>
        </w:tc>
        <w:tc>
          <w:tcPr>
            <w:tcW w:w="0" w:type="auto"/>
            <w:shd w:val="clear" w:color="auto" w:fill="auto"/>
          </w:tcPr>
          <w:p w14:paraId="36CA4018" w14:textId="77777777" w:rsidR="00787570" w:rsidRDefault="00787570">
            <w:pPr>
              <w:rPr>
                <w:rFonts w:ascii="宋体"/>
              </w:rPr>
            </w:pPr>
          </w:p>
        </w:tc>
        <w:tc>
          <w:tcPr>
            <w:tcW w:w="0" w:type="auto"/>
            <w:shd w:val="clear" w:color="auto" w:fill="auto"/>
          </w:tcPr>
          <w:p w14:paraId="36CA4019" w14:textId="77777777" w:rsidR="00787570" w:rsidRDefault="00787570">
            <w:pPr>
              <w:rPr>
                <w:rFonts w:ascii="宋体"/>
              </w:rPr>
            </w:pPr>
          </w:p>
        </w:tc>
        <w:tc>
          <w:tcPr>
            <w:tcW w:w="0" w:type="auto"/>
            <w:shd w:val="clear" w:color="auto" w:fill="auto"/>
          </w:tcPr>
          <w:p w14:paraId="36CA401A" w14:textId="77777777" w:rsidR="00787570" w:rsidRDefault="00787570">
            <w:pPr>
              <w:rPr>
                <w:rFonts w:ascii="宋体"/>
              </w:rPr>
            </w:pPr>
          </w:p>
        </w:tc>
        <w:tc>
          <w:tcPr>
            <w:tcW w:w="0" w:type="auto"/>
            <w:shd w:val="clear" w:color="auto" w:fill="auto"/>
          </w:tcPr>
          <w:p w14:paraId="36CA401B" w14:textId="77777777" w:rsidR="00787570" w:rsidRDefault="00787570">
            <w:pPr>
              <w:rPr>
                <w:rFonts w:ascii="宋体"/>
              </w:rPr>
            </w:pPr>
          </w:p>
        </w:tc>
        <w:tc>
          <w:tcPr>
            <w:tcW w:w="0" w:type="auto"/>
            <w:shd w:val="clear" w:color="auto" w:fill="auto"/>
          </w:tcPr>
          <w:p w14:paraId="36CA401C" w14:textId="77777777" w:rsidR="00787570" w:rsidRDefault="00787570">
            <w:pPr>
              <w:rPr>
                <w:rFonts w:ascii="宋体"/>
              </w:rPr>
            </w:pPr>
          </w:p>
        </w:tc>
        <w:tc>
          <w:tcPr>
            <w:tcW w:w="0" w:type="auto"/>
            <w:shd w:val="clear" w:color="auto" w:fill="auto"/>
          </w:tcPr>
          <w:p w14:paraId="36CA401D" w14:textId="77777777" w:rsidR="00787570" w:rsidRDefault="00787570">
            <w:pPr>
              <w:rPr>
                <w:rFonts w:ascii="宋体"/>
              </w:rPr>
            </w:pPr>
          </w:p>
        </w:tc>
        <w:tc>
          <w:tcPr>
            <w:tcW w:w="0" w:type="auto"/>
            <w:shd w:val="clear" w:color="auto" w:fill="auto"/>
          </w:tcPr>
          <w:p w14:paraId="36CA401E" w14:textId="77777777" w:rsidR="00787570" w:rsidRDefault="00787570">
            <w:pPr>
              <w:rPr>
                <w:rFonts w:ascii="宋体"/>
              </w:rPr>
            </w:pPr>
          </w:p>
        </w:tc>
        <w:tc>
          <w:tcPr>
            <w:tcW w:w="0" w:type="auto"/>
            <w:shd w:val="clear" w:color="auto" w:fill="auto"/>
          </w:tcPr>
          <w:p w14:paraId="36CA401F" w14:textId="77777777" w:rsidR="00787570" w:rsidRDefault="00787570">
            <w:pPr>
              <w:rPr>
                <w:rFonts w:ascii="宋体"/>
              </w:rPr>
            </w:pPr>
          </w:p>
        </w:tc>
        <w:tc>
          <w:tcPr>
            <w:tcW w:w="0" w:type="auto"/>
            <w:shd w:val="clear" w:color="auto" w:fill="auto"/>
          </w:tcPr>
          <w:p w14:paraId="36CA4020" w14:textId="77777777" w:rsidR="00787570" w:rsidRDefault="00787570">
            <w:pPr>
              <w:rPr>
                <w:rFonts w:ascii="宋体"/>
              </w:rPr>
            </w:pPr>
          </w:p>
        </w:tc>
        <w:tc>
          <w:tcPr>
            <w:tcW w:w="0" w:type="auto"/>
            <w:shd w:val="clear" w:color="auto" w:fill="auto"/>
          </w:tcPr>
          <w:p w14:paraId="36CA4021" w14:textId="77777777" w:rsidR="00787570" w:rsidRDefault="00787570">
            <w:pPr>
              <w:rPr>
                <w:rFonts w:ascii="宋体"/>
              </w:rPr>
            </w:pPr>
          </w:p>
        </w:tc>
        <w:tc>
          <w:tcPr>
            <w:tcW w:w="0" w:type="auto"/>
            <w:shd w:val="clear" w:color="auto" w:fill="auto"/>
          </w:tcPr>
          <w:p w14:paraId="36CA4022" w14:textId="77777777" w:rsidR="00787570" w:rsidRDefault="00787570">
            <w:pPr>
              <w:rPr>
                <w:rFonts w:ascii="宋体"/>
              </w:rPr>
            </w:pPr>
          </w:p>
        </w:tc>
        <w:tc>
          <w:tcPr>
            <w:tcW w:w="0" w:type="auto"/>
            <w:shd w:val="clear" w:color="auto" w:fill="auto"/>
          </w:tcPr>
          <w:p w14:paraId="36CA4023" w14:textId="77777777" w:rsidR="00787570" w:rsidRDefault="00787570">
            <w:pPr>
              <w:rPr>
                <w:rFonts w:ascii="宋体"/>
              </w:rPr>
            </w:pPr>
          </w:p>
        </w:tc>
        <w:tc>
          <w:tcPr>
            <w:tcW w:w="0" w:type="auto"/>
            <w:shd w:val="clear" w:color="auto" w:fill="auto"/>
          </w:tcPr>
          <w:p w14:paraId="36CA4024" w14:textId="77777777" w:rsidR="00787570" w:rsidRDefault="00787570">
            <w:pPr>
              <w:rPr>
                <w:rFonts w:ascii="宋体"/>
              </w:rPr>
            </w:pPr>
          </w:p>
        </w:tc>
        <w:tc>
          <w:tcPr>
            <w:tcW w:w="0" w:type="auto"/>
            <w:shd w:val="clear" w:color="auto" w:fill="auto"/>
          </w:tcPr>
          <w:p w14:paraId="36CA4025" w14:textId="77777777" w:rsidR="00787570" w:rsidRDefault="00787570">
            <w:pPr>
              <w:rPr>
                <w:rFonts w:ascii="宋体"/>
              </w:rPr>
            </w:pPr>
          </w:p>
        </w:tc>
        <w:tc>
          <w:tcPr>
            <w:tcW w:w="0" w:type="auto"/>
            <w:shd w:val="clear" w:color="auto" w:fill="auto"/>
          </w:tcPr>
          <w:p w14:paraId="36CA4026" w14:textId="77777777" w:rsidR="00787570" w:rsidRDefault="00787570">
            <w:pPr>
              <w:rPr>
                <w:rFonts w:ascii="宋体"/>
              </w:rPr>
            </w:pPr>
          </w:p>
        </w:tc>
      </w:tr>
    </w:tbl>
    <w:p w14:paraId="36CA4028" w14:textId="77777777" w:rsidR="00787570" w:rsidRDefault="00787570">
      <w:pPr>
        <w:rPr>
          <w:vanish/>
        </w:rPr>
      </w:pPr>
    </w:p>
    <w:tbl>
      <w:tblPr>
        <w:tblW w:w="4986" w:type="pct"/>
        <w:tblCellMar>
          <w:top w:w="15" w:type="dxa"/>
          <w:left w:w="15" w:type="dxa"/>
          <w:bottom w:w="15" w:type="dxa"/>
          <w:right w:w="15" w:type="dxa"/>
        </w:tblCellMar>
        <w:tblLook w:val="04A0" w:firstRow="1" w:lastRow="0" w:firstColumn="1" w:lastColumn="0" w:noHBand="0" w:noVBand="1"/>
      </w:tblPr>
      <w:tblGrid>
        <w:gridCol w:w="49"/>
        <w:gridCol w:w="1125"/>
        <w:gridCol w:w="35"/>
        <w:gridCol w:w="36"/>
        <w:gridCol w:w="35"/>
        <w:gridCol w:w="35"/>
        <w:gridCol w:w="129"/>
        <w:gridCol w:w="883"/>
        <w:gridCol w:w="40"/>
        <w:gridCol w:w="36"/>
        <w:gridCol w:w="35"/>
        <w:gridCol w:w="35"/>
        <w:gridCol w:w="129"/>
        <w:gridCol w:w="689"/>
        <w:gridCol w:w="41"/>
        <w:gridCol w:w="36"/>
        <w:gridCol w:w="36"/>
        <w:gridCol w:w="36"/>
        <w:gridCol w:w="130"/>
        <w:gridCol w:w="766"/>
        <w:gridCol w:w="41"/>
        <w:gridCol w:w="36"/>
        <w:gridCol w:w="36"/>
        <w:gridCol w:w="36"/>
        <w:gridCol w:w="130"/>
        <w:gridCol w:w="901"/>
        <w:gridCol w:w="42"/>
        <w:gridCol w:w="36"/>
        <w:gridCol w:w="36"/>
        <w:gridCol w:w="36"/>
        <w:gridCol w:w="130"/>
        <w:gridCol w:w="749"/>
        <w:gridCol w:w="42"/>
        <w:gridCol w:w="36"/>
        <w:gridCol w:w="36"/>
        <w:gridCol w:w="36"/>
        <w:gridCol w:w="130"/>
        <w:gridCol w:w="606"/>
        <w:gridCol w:w="41"/>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tblGrid>
      <w:tr w:rsidR="00787570" w14:paraId="36CA4050" w14:textId="77777777">
        <w:trPr>
          <w:gridAfter w:val="24"/>
        </w:trPr>
        <w:tc>
          <w:tcPr>
            <w:tcW w:w="50" w:type="pct"/>
            <w:shd w:val="clear" w:color="auto" w:fill="auto"/>
          </w:tcPr>
          <w:p w14:paraId="36CA4029" w14:textId="77777777" w:rsidR="00787570" w:rsidRDefault="00787570">
            <w:pPr>
              <w:rPr>
                <w:rFonts w:ascii="宋体"/>
              </w:rPr>
            </w:pPr>
          </w:p>
        </w:tc>
        <w:tc>
          <w:tcPr>
            <w:tcW w:w="1451" w:type="pct"/>
            <w:shd w:val="clear" w:color="auto" w:fill="auto"/>
          </w:tcPr>
          <w:p w14:paraId="36CA402A" w14:textId="77777777" w:rsidR="00787570" w:rsidRDefault="00787570">
            <w:pPr>
              <w:rPr>
                <w:rFonts w:ascii="宋体"/>
              </w:rPr>
            </w:pPr>
          </w:p>
        </w:tc>
        <w:tc>
          <w:tcPr>
            <w:tcW w:w="5" w:type="pct"/>
            <w:shd w:val="clear" w:color="auto" w:fill="auto"/>
          </w:tcPr>
          <w:p w14:paraId="36CA402B" w14:textId="77777777" w:rsidR="00787570" w:rsidRDefault="00787570">
            <w:pPr>
              <w:rPr>
                <w:rFonts w:ascii="宋体"/>
              </w:rPr>
            </w:pPr>
          </w:p>
        </w:tc>
        <w:tc>
          <w:tcPr>
            <w:tcW w:w="5" w:type="pct"/>
            <w:shd w:val="clear" w:color="auto" w:fill="auto"/>
          </w:tcPr>
          <w:p w14:paraId="36CA402C" w14:textId="77777777" w:rsidR="00787570" w:rsidRDefault="00787570">
            <w:pPr>
              <w:rPr>
                <w:rFonts w:ascii="宋体"/>
              </w:rPr>
            </w:pPr>
          </w:p>
        </w:tc>
        <w:tc>
          <w:tcPr>
            <w:tcW w:w="24" w:type="pct"/>
            <w:shd w:val="clear" w:color="auto" w:fill="auto"/>
          </w:tcPr>
          <w:p w14:paraId="36CA402D" w14:textId="77777777" w:rsidR="00787570" w:rsidRDefault="00787570">
            <w:pPr>
              <w:rPr>
                <w:rFonts w:ascii="宋体"/>
              </w:rPr>
            </w:pPr>
          </w:p>
        </w:tc>
        <w:tc>
          <w:tcPr>
            <w:tcW w:w="5" w:type="pct"/>
            <w:shd w:val="clear" w:color="auto" w:fill="auto"/>
          </w:tcPr>
          <w:p w14:paraId="36CA402E" w14:textId="77777777" w:rsidR="00787570" w:rsidRDefault="00787570">
            <w:pPr>
              <w:rPr>
                <w:rFonts w:ascii="宋体"/>
              </w:rPr>
            </w:pPr>
          </w:p>
        </w:tc>
        <w:tc>
          <w:tcPr>
            <w:tcW w:w="50" w:type="pct"/>
            <w:shd w:val="clear" w:color="auto" w:fill="auto"/>
          </w:tcPr>
          <w:p w14:paraId="36CA402F" w14:textId="77777777" w:rsidR="00787570" w:rsidRDefault="00787570">
            <w:pPr>
              <w:rPr>
                <w:rFonts w:ascii="宋体"/>
              </w:rPr>
            </w:pPr>
          </w:p>
        </w:tc>
        <w:tc>
          <w:tcPr>
            <w:tcW w:w="492" w:type="pct"/>
            <w:shd w:val="clear" w:color="auto" w:fill="auto"/>
          </w:tcPr>
          <w:p w14:paraId="36CA4030" w14:textId="77777777" w:rsidR="00787570" w:rsidRDefault="00787570">
            <w:pPr>
              <w:rPr>
                <w:rFonts w:ascii="宋体"/>
              </w:rPr>
            </w:pPr>
          </w:p>
        </w:tc>
        <w:tc>
          <w:tcPr>
            <w:tcW w:w="5" w:type="pct"/>
            <w:shd w:val="clear" w:color="auto" w:fill="auto"/>
          </w:tcPr>
          <w:p w14:paraId="36CA4031" w14:textId="77777777" w:rsidR="00787570" w:rsidRDefault="00787570">
            <w:pPr>
              <w:rPr>
                <w:rFonts w:ascii="宋体"/>
              </w:rPr>
            </w:pPr>
          </w:p>
        </w:tc>
        <w:tc>
          <w:tcPr>
            <w:tcW w:w="5" w:type="pct"/>
            <w:shd w:val="clear" w:color="auto" w:fill="auto"/>
          </w:tcPr>
          <w:p w14:paraId="36CA4032" w14:textId="77777777" w:rsidR="00787570" w:rsidRDefault="00787570">
            <w:pPr>
              <w:rPr>
                <w:rFonts w:ascii="宋体"/>
              </w:rPr>
            </w:pPr>
          </w:p>
        </w:tc>
        <w:tc>
          <w:tcPr>
            <w:tcW w:w="24" w:type="pct"/>
            <w:shd w:val="clear" w:color="auto" w:fill="auto"/>
          </w:tcPr>
          <w:p w14:paraId="36CA4033" w14:textId="77777777" w:rsidR="00787570" w:rsidRDefault="00787570">
            <w:pPr>
              <w:rPr>
                <w:rFonts w:ascii="宋体"/>
              </w:rPr>
            </w:pPr>
          </w:p>
        </w:tc>
        <w:tc>
          <w:tcPr>
            <w:tcW w:w="5" w:type="pct"/>
            <w:shd w:val="clear" w:color="auto" w:fill="auto"/>
          </w:tcPr>
          <w:p w14:paraId="36CA4034" w14:textId="77777777" w:rsidR="00787570" w:rsidRDefault="00787570">
            <w:pPr>
              <w:rPr>
                <w:rFonts w:ascii="宋体"/>
              </w:rPr>
            </w:pPr>
          </w:p>
        </w:tc>
        <w:tc>
          <w:tcPr>
            <w:tcW w:w="50" w:type="pct"/>
            <w:shd w:val="clear" w:color="auto" w:fill="auto"/>
          </w:tcPr>
          <w:p w14:paraId="36CA4035" w14:textId="77777777" w:rsidR="00787570" w:rsidRDefault="00787570">
            <w:pPr>
              <w:rPr>
                <w:rFonts w:ascii="宋体"/>
              </w:rPr>
            </w:pPr>
          </w:p>
        </w:tc>
        <w:tc>
          <w:tcPr>
            <w:tcW w:w="492" w:type="pct"/>
            <w:shd w:val="clear" w:color="auto" w:fill="auto"/>
          </w:tcPr>
          <w:p w14:paraId="36CA4036" w14:textId="77777777" w:rsidR="00787570" w:rsidRDefault="00787570">
            <w:pPr>
              <w:rPr>
                <w:rFonts w:ascii="宋体"/>
              </w:rPr>
            </w:pPr>
          </w:p>
        </w:tc>
        <w:tc>
          <w:tcPr>
            <w:tcW w:w="5" w:type="pct"/>
            <w:shd w:val="clear" w:color="auto" w:fill="auto"/>
          </w:tcPr>
          <w:p w14:paraId="36CA4037" w14:textId="77777777" w:rsidR="00787570" w:rsidRDefault="00787570">
            <w:pPr>
              <w:rPr>
                <w:rFonts w:ascii="宋体"/>
              </w:rPr>
            </w:pPr>
          </w:p>
        </w:tc>
        <w:tc>
          <w:tcPr>
            <w:tcW w:w="5" w:type="pct"/>
            <w:shd w:val="clear" w:color="auto" w:fill="auto"/>
          </w:tcPr>
          <w:p w14:paraId="36CA4038" w14:textId="77777777" w:rsidR="00787570" w:rsidRDefault="00787570">
            <w:pPr>
              <w:rPr>
                <w:rFonts w:ascii="宋体"/>
              </w:rPr>
            </w:pPr>
          </w:p>
        </w:tc>
        <w:tc>
          <w:tcPr>
            <w:tcW w:w="24" w:type="pct"/>
            <w:shd w:val="clear" w:color="auto" w:fill="auto"/>
          </w:tcPr>
          <w:p w14:paraId="36CA4039" w14:textId="77777777" w:rsidR="00787570" w:rsidRDefault="00787570">
            <w:pPr>
              <w:rPr>
                <w:rFonts w:ascii="宋体"/>
              </w:rPr>
            </w:pPr>
          </w:p>
        </w:tc>
        <w:tc>
          <w:tcPr>
            <w:tcW w:w="5" w:type="pct"/>
            <w:shd w:val="clear" w:color="auto" w:fill="auto"/>
          </w:tcPr>
          <w:p w14:paraId="36CA403A" w14:textId="77777777" w:rsidR="00787570" w:rsidRDefault="00787570">
            <w:pPr>
              <w:rPr>
                <w:rFonts w:ascii="宋体"/>
              </w:rPr>
            </w:pPr>
          </w:p>
        </w:tc>
        <w:tc>
          <w:tcPr>
            <w:tcW w:w="50" w:type="pct"/>
            <w:shd w:val="clear" w:color="auto" w:fill="auto"/>
          </w:tcPr>
          <w:p w14:paraId="36CA403B" w14:textId="77777777" w:rsidR="00787570" w:rsidRDefault="00787570">
            <w:pPr>
              <w:rPr>
                <w:rFonts w:ascii="宋体"/>
              </w:rPr>
            </w:pPr>
          </w:p>
        </w:tc>
        <w:tc>
          <w:tcPr>
            <w:tcW w:w="492" w:type="pct"/>
            <w:shd w:val="clear" w:color="auto" w:fill="auto"/>
          </w:tcPr>
          <w:p w14:paraId="36CA403C" w14:textId="77777777" w:rsidR="00787570" w:rsidRDefault="00787570">
            <w:pPr>
              <w:rPr>
                <w:rFonts w:ascii="宋体"/>
              </w:rPr>
            </w:pPr>
          </w:p>
        </w:tc>
        <w:tc>
          <w:tcPr>
            <w:tcW w:w="5" w:type="pct"/>
            <w:shd w:val="clear" w:color="auto" w:fill="auto"/>
          </w:tcPr>
          <w:p w14:paraId="36CA403D" w14:textId="77777777" w:rsidR="00787570" w:rsidRDefault="00787570">
            <w:pPr>
              <w:rPr>
                <w:rFonts w:ascii="宋体"/>
              </w:rPr>
            </w:pPr>
          </w:p>
        </w:tc>
        <w:tc>
          <w:tcPr>
            <w:tcW w:w="5" w:type="pct"/>
            <w:shd w:val="clear" w:color="auto" w:fill="auto"/>
          </w:tcPr>
          <w:p w14:paraId="36CA403E" w14:textId="77777777" w:rsidR="00787570" w:rsidRDefault="00787570">
            <w:pPr>
              <w:rPr>
                <w:rFonts w:ascii="宋体"/>
              </w:rPr>
            </w:pPr>
          </w:p>
        </w:tc>
        <w:tc>
          <w:tcPr>
            <w:tcW w:w="24" w:type="pct"/>
            <w:shd w:val="clear" w:color="auto" w:fill="auto"/>
          </w:tcPr>
          <w:p w14:paraId="36CA403F" w14:textId="77777777" w:rsidR="00787570" w:rsidRDefault="00787570">
            <w:pPr>
              <w:rPr>
                <w:rFonts w:ascii="宋体"/>
              </w:rPr>
            </w:pPr>
          </w:p>
        </w:tc>
        <w:tc>
          <w:tcPr>
            <w:tcW w:w="5" w:type="pct"/>
            <w:shd w:val="clear" w:color="auto" w:fill="auto"/>
          </w:tcPr>
          <w:p w14:paraId="36CA4040" w14:textId="77777777" w:rsidR="00787570" w:rsidRDefault="00787570">
            <w:pPr>
              <w:rPr>
                <w:rFonts w:ascii="宋体"/>
              </w:rPr>
            </w:pPr>
          </w:p>
        </w:tc>
        <w:tc>
          <w:tcPr>
            <w:tcW w:w="50" w:type="pct"/>
            <w:shd w:val="clear" w:color="auto" w:fill="auto"/>
          </w:tcPr>
          <w:p w14:paraId="36CA4041" w14:textId="77777777" w:rsidR="00787570" w:rsidRDefault="00787570">
            <w:pPr>
              <w:rPr>
                <w:rFonts w:ascii="宋体"/>
              </w:rPr>
            </w:pPr>
          </w:p>
        </w:tc>
        <w:tc>
          <w:tcPr>
            <w:tcW w:w="492" w:type="pct"/>
            <w:shd w:val="clear" w:color="auto" w:fill="auto"/>
          </w:tcPr>
          <w:p w14:paraId="36CA4042" w14:textId="77777777" w:rsidR="00787570" w:rsidRDefault="00787570">
            <w:pPr>
              <w:rPr>
                <w:rFonts w:ascii="宋体"/>
              </w:rPr>
            </w:pPr>
          </w:p>
        </w:tc>
        <w:tc>
          <w:tcPr>
            <w:tcW w:w="5" w:type="pct"/>
            <w:shd w:val="clear" w:color="auto" w:fill="auto"/>
          </w:tcPr>
          <w:p w14:paraId="36CA4043" w14:textId="77777777" w:rsidR="00787570" w:rsidRDefault="00787570">
            <w:pPr>
              <w:rPr>
                <w:rFonts w:ascii="宋体"/>
              </w:rPr>
            </w:pPr>
          </w:p>
        </w:tc>
        <w:tc>
          <w:tcPr>
            <w:tcW w:w="5" w:type="pct"/>
            <w:shd w:val="clear" w:color="auto" w:fill="auto"/>
          </w:tcPr>
          <w:p w14:paraId="36CA4044" w14:textId="77777777" w:rsidR="00787570" w:rsidRDefault="00787570">
            <w:pPr>
              <w:rPr>
                <w:rFonts w:ascii="宋体"/>
              </w:rPr>
            </w:pPr>
          </w:p>
        </w:tc>
        <w:tc>
          <w:tcPr>
            <w:tcW w:w="24" w:type="pct"/>
            <w:shd w:val="clear" w:color="auto" w:fill="auto"/>
          </w:tcPr>
          <w:p w14:paraId="36CA4045" w14:textId="77777777" w:rsidR="00787570" w:rsidRDefault="00787570">
            <w:pPr>
              <w:rPr>
                <w:rFonts w:ascii="宋体"/>
              </w:rPr>
            </w:pPr>
          </w:p>
        </w:tc>
        <w:tc>
          <w:tcPr>
            <w:tcW w:w="5" w:type="pct"/>
            <w:shd w:val="clear" w:color="auto" w:fill="auto"/>
          </w:tcPr>
          <w:p w14:paraId="36CA4046" w14:textId="77777777" w:rsidR="00787570" w:rsidRDefault="00787570">
            <w:pPr>
              <w:rPr>
                <w:rFonts w:ascii="宋体"/>
              </w:rPr>
            </w:pPr>
          </w:p>
        </w:tc>
        <w:tc>
          <w:tcPr>
            <w:tcW w:w="50" w:type="pct"/>
            <w:shd w:val="clear" w:color="auto" w:fill="auto"/>
          </w:tcPr>
          <w:p w14:paraId="36CA4047" w14:textId="77777777" w:rsidR="00787570" w:rsidRDefault="00787570">
            <w:pPr>
              <w:rPr>
                <w:rFonts w:ascii="宋体"/>
              </w:rPr>
            </w:pPr>
          </w:p>
        </w:tc>
        <w:tc>
          <w:tcPr>
            <w:tcW w:w="492" w:type="pct"/>
            <w:shd w:val="clear" w:color="auto" w:fill="auto"/>
          </w:tcPr>
          <w:p w14:paraId="36CA4048" w14:textId="77777777" w:rsidR="00787570" w:rsidRDefault="00787570">
            <w:pPr>
              <w:rPr>
                <w:rFonts w:ascii="宋体"/>
              </w:rPr>
            </w:pPr>
          </w:p>
        </w:tc>
        <w:tc>
          <w:tcPr>
            <w:tcW w:w="5" w:type="pct"/>
            <w:shd w:val="clear" w:color="auto" w:fill="auto"/>
          </w:tcPr>
          <w:p w14:paraId="36CA4049" w14:textId="77777777" w:rsidR="00787570" w:rsidRDefault="00787570">
            <w:pPr>
              <w:rPr>
                <w:rFonts w:ascii="宋体"/>
              </w:rPr>
            </w:pPr>
          </w:p>
        </w:tc>
        <w:tc>
          <w:tcPr>
            <w:tcW w:w="5" w:type="pct"/>
            <w:shd w:val="clear" w:color="auto" w:fill="auto"/>
          </w:tcPr>
          <w:p w14:paraId="36CA404A" w14:textId="77777777" w:rsidR="00787570" w:rsidRDefault="00787570">
            <w:pPr>
              <w:rPr>
                <w:rFonts w:ascii="宋体"/>
              </w:rPr>
            </w:pPr>
          </w:p>
        </w:tc>
        <w:tc>
          <w:tcPr>
            <w:tcW w:w="24" w:type="pct"/>
            <w:shd w:val="clear" w:color="auto" w:fill="auto"/>
          </w:tcPr>
          <w:p w14:paraId="36CA404B" w14:textId="77777777" w:rsidR="00787570" w:rsidRDefault="00787570">
            <w:pPr>
              <w:rPr>
                <w:rFonts w:ascii="宋体"/>
              </w:rPr>
            </w:pPr>
          </w:p>
        </w:tc>
        <w:tc>
          <w:tcPr>
            <w:tcW w:w="5" w:type="pct"/>
            <w:shd w:val="clear" w:color="auto" w:fill="auto"/>
          </w:tcPr>
          <w:p w14:paraId="36CA404C" w14:textId="77777777" w:rsidR="00787570" w:rsidRDefault="00787570">
            <w:pPr>
              <w:rPr>
                <w:rFonts w:ascii="宋体"/>
              </w:rPr>
            </w:pPr>
          </w:p>
        </w:tc>
        <w:tc>
          <w:tcPr>
            <w:tcW w:w="50" w:type="pct"/>
            <w:shd w:val="clear" w:color="auto" w:fill="auto"/>
          </w:tcPr>
          <w:p w14:paraId="36CA404D" w14:textId="77777777" w:rsidR="00787570" w:rsidRDefault="00787570">
            <w:pPr>
              <w:rPr>
                <w:rFonts w:ascii="宋体"/>
              </w:rPr>
            </w:pPr>
          </w:p>
        </w:tc>
        <w:tc>
          <w:tcPr>
            <w:tcW w:w="493" w:type="pct"/>
            <w:shd w:val="clear" w:color="auto" w:fill="auto"/>
          </w:tcPr>
          <w:p w14:paraId="36CA404E" w14:textId="77777777" w:rsidR="00787570" w:rsidRDefault="00787570">
            <w:pPr>
              <w:rPr>
                <w:rFonts w:ascii="宋体"/>
              </w:rPr>
            </w:pPr>
          </w:p>
        </w:tc>
        <w:tc>
          <w:tcPr>
            <w:tcW w:w="5" w:type="pct"/>
            <w:shd w:val="clear" w:color="auto" w:fill="auto"/>
          </w:tcPr>
          <w:p w14:paraId="36CA404F" w14:textId="77777777" w:rsidR="00787570" w:rsidRDefault="00787570">
            <w:pPr>
              <w:rPr>
                <w:rFonts w:ascii="宋体"/>
              </w:rPr>
            </w:pPr>
          </w:p>
        </w:tc>
      </w:tr>
      <w:tr w:rsidR="00787570" w14:paraId="36CA405D" w14:textId="77777777">
        <w:tc>
          <w:tcPr>
            <w:tcW w:w="0" w:type="auto"/>
            <w:gridSpan w:val="3"/>
            <w:shd w:val="clear" w:color="auto" w:fill="auto"/>
            <w:tcMar>
              <w:left w:w="20" w:type="dxa"/>
              <w:right w:w="20" w:type="dxa"/>
            </w:tcMar>
            <w:vAlign w:val="bottom"/>
          </w:tcPr>
          <w:p w14:paraId="36CA4051"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4052" w14:textId="77777777" w:rsidR="00787570" w:rsidRDefault="00787570">
            <w:pPr>
              <w:rPr>
                <w:rFonts w:ascii="宋体"/>
              </w:rPr>
            </w:pPr>
          </w:p>
        </w:tc>
        <w:tc>
          <w:tcPr>
            <w:tcW w:w="0" w:type="auto"/>
            <w:gridSpan w:val="33"/>
            <w:shd w:val="clear" w:color="auto" w:fill="auto"/>
            <w:tcMar>
              <w:top w:w="40" w:type="dxa"/>
              <w:left w:w="20" w:type="dxa"/>
              <w:bottom w:w="40" w:type="dxa"/>
              <w:right w:w="20" w:type="dxa"/>
            </w:tcMar>
            <w:vAlign w:val="bottom"/>
          </w:tcPr>
          <w:p w14:paraId="36CA4053" w14:textId="77777777" w:rsidR="00787570" w:rsidRDefault="000D56E2">
            <w:pPr>
              <w:jc w:val="center"/>
              <w:textAlignment w:val="bottom"/>
            </w:pPr>
            <w:r>
              <w:rPr>
                <w:rFonts w:ascii="Arial" w:eastAsia="宋体" w:hAnsi="Arial" w:cs="Arial"/>
                <w:b/>
                <w:bCs/>
                <w:color w:val="333333"/>
                <w:sz w:val="18"/>
                <w:szCs w:val="18"/>
              </w:rPr>
              <w:t>Dec 28, 2019</w:t>
            </w:r>
          </w:p>
        </w:tc>
        <w:tc>
          <w:tcPr>
            <w:tcW w:w="0" w:type="auto"/>
            <w:gridSpan w:val="3"/>
            <w:shd w:val="clear" w:color="auto" w:fill="auto"/>
          </w:tcPr>
          <w:p w14:paraId="36CA4054" w14:textId="77777777" w:rsidR="00787570" w:rsidRDefault="00787570">
            <w:pPr>
              <w:rPr>
                <w:rFonts w:ascii="宋体"/>
                <w:vanish/>
              </w:rPr>
            </w:pPr>
          </w:p>
        </w:tc>
        <w:tc>
          <w:tcPr>
            <w:tcW w:w="0" w:type="auto"/>
            <w:gridSpan w:val="3"/>
            <w:shd w:val="clear" w:color="auto" w:fill="auto"/>
          </w:tcPr>
          <w:p w14:paraId="36CA4055" w14:textId="77777777" w:rsidR="00787570" w:rsidRDefault="00787570">
            <w:pPr>
              <w:rPr>
                <w:rFonts w:ascii="宋体"/>
                <w:vanish/>
              </w:rPr>
            </w:pPr>
          </w:p>
        </w:tc>
        <w:tc>
          <w:tcPr>
            <w:tcW w:w="0" w:type="auto"/>
            <w:gridSpan w:val="3"/>
            <w:shd w:val="clear" w:color="auto" w:fill="auto"/>
          </w:tcPr>
          <w:p w14:paraId="36CA4056" w14:textId="77777777" w:rsidR="00787570" w:rsidRDefault="00787570">
            <w:pPr>
              <w:rPr>
                <w:rFonts w:ascii="宋体"/>
                <w:vanish/>
              </w:rPr>
            </w:pPr>
          </w:p>
        </w:tc>
        <w:tc>
          <w:tcPr>
            <w:tcW w:w="0" w:type="auto"/>
            <w:gridSpan w:val="3"/>
            <w:shd w:val="clear" w:color="auto" w:fill="auto"/>
          </w:tcPr>
          <w:p w14:paraId="36CA4057" w14:textId="77777777" w:rsidR="00787570" w:rsidRDefault="00787570">
            <w:pPr>
              <w:rPr>
                <w:rFonts w:ascii="宋体"/>
                <w:vanish/>
              </w:rPr>
            </w:pPr>
          </w:p>
        </w:tc>
        <w:tc>
          <w:tcPr>
            <w:tcW w:w="0" w:type="auto"/>
            <w:gridSpan w:val="3"/>
            <w:shd w:val="clear" w:color="auto" w:fill="auto"/>
          </w:tcPr>
          <w:p w14:paraId="36CA4058" w14:textId="77777777" w:rsidR="00787570" w:rsidRDefault="00787570">
            <w:pPr>
              <w:rPr>
                <w:rFonts w:ascii="宋体"/>
                <w:vanish/>
              </w:rPr>
            </w:pPr>
          </w:p>
        </w:tc>
        <w:tc>
          <w:tcPr>
            <w:tcW w:w="0" w:type="auto"/>
            <w:gridSpan w:val="3"/>
            <w:shd w:val="clear" w:color="auto" w:fill="auto"/>
          </w:tcPr>
          <w:p w14:paraId="36CA4059" w14:textId="77777777" w:rsidR="00787570" w:rsidRDefault="00787570">
            <w:pPr>
              <w:rPr>
                <w:rFonts w:ascii="宋体"/>
                <w:vanish/>
              </w:rPr>
            </w:pPr>
          </w:p>
        </w:tc>
        <w:tc>
          <w:tcPr>
            <w:tcW w:w="0" w:type="auto"/>
            <w:gridSpan w:val="3"/>
            <w:shd w:val="clear" w:color="auto" w:fill="auto"/>
          </w:tcPr>
          <w:p w14:paraId="36CA405A" w14:textId="77777777" w:rsidR="00787570" w:rsidRDefault="00787570">
            <w:pPr>
              <w:rPr>
                <w:rFonts w:ascii="宋体"/>
                <w:vanish/>
              </w:rPr>
            </w:pPr>
          </w:p>
        </w:tc>
        <w:tc>
          <w:tcPr>
            <w:tcW w:w="0" w:type="auto"/>
            <w:gridSpan w:val="2"/>
            <w:shd w:val="clear" w:color="auto" w:fill="auto"/>
          </w:tcPr>
          <w:p w14:paraId="36CA405B" w14:textId="77777777" w:rsidR="00787570" w:rsidRDefault="00787570">
            <w:pPr>
              <w:rPr>
                <w:rFonts w:ascii="宋体"/>
                <w:vanish/>
              </w:rPr>
            </w:pPr>
          </w:p>
        </w:tc>
        <w:tc>
          <w:tcPr>
            <w:tcW w:w="0" w:type="auto"/>
            <w:shd w:val="clear" w:color="auto" w:fill="auto"/>
          </w:tcPr>
          <w:p w14:paraId="36CA405C" w14:textId="77777777" w:rsidR="00787570" w:rsidRDefault="00787570">
            <w:pPr>
              <w:rPr>
                <w:rFonts w:ascii="宋体"/>
                <w:vanish/>
              </w:rPr>
            </w:pPr>
          </w:p>
        </w:tc>
      </w:tr>
      <w:tr w:rsidR="00787570" w14:paraId="36CA407D" w14:textId="77777777">
        <w:tc>
          <w:tcPr>
            <w:tcW w:w="0" w:type="auto"/>
            <w:gridSpan w:val="3"/>
            <w:shd w:val="clear" w:color="auto" w:fill="auto"/>
            <w:tcMar>
              <w:left w:w="20" w:type="dxa"/>
              <w:right w:w="20" w:type="dxa"/>
            </w:tcMar>
            <w:vAlign w:val="bottom"/>
          </w:tcPr>
          <w:p w14:paraId="36CA405E"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405F" w14:textId="77777777" w:rsidR="00787570" w:rsidRDefault="00787570">
            <w:pPr>
              <w:rPr>
                <w:rFonts w:ascii="宋体"/>
              </w:rPr>
            </w:pPr>
          </w:p>
        </w:tc>
        <w:tc>
          <w:tcPr>
            <w:tcW w:w="0" w:type="auto"/>
            <w:gridSpan w:val="3"/>
            <w:tcBorders>
              <w:top w:val="single" w:sz="8" w:space="0" w:color="0071C5"/>
            </w:tcBorders>
            <w:shd w:val="clear" w:color="auto" w:fill="auto"/>
            <w:tcMar>
              <w:left w:w="20" w:type="dxa"/>
              <w:right w:w="20" w:type="dxa"/>
            </w:tcMar>
            <w:vAlign w:val="bottom"/>
          </w:tcPr>
          <w:p w14:paraId="36CA4060" w14:textId="77777777" w:rsidR="00787570" w:rsidRDefault="00787570">
            <w:pPr>
              <w:rPr>
                <w:rFonts w:ascii="宋体"/>
              </w:rPr>
            </w:pPr>
          </w:p>
        </w:tc>
        <w:tc>
          <w:tcPr>
            <w:tcW w:w="0" w:type="auto"/>
            <w:gridSpan w:val="3"/>
            <w:tcBorders>
              <w:top w:val="single" w:sz="8" w:space="0" w:color="0071C5"/>
            </w:tcBorders>
            <w:shd w:val="clear" w:color="auto" w:fill="auto"/>
            <w:tcMar>
              <w:left w:w="20" w:type="dxa"/>
              <w:right w:w="20" w:type="dxa"/>
            </w:tcMar>
            <w:vAlign w:val="bottom"/>
          </w:tcPr>
          <w:p w14:paraId="36CA4061" w14:textId="77777777" w:rsidR="00787570" w:rsidRDefault="00787570">
            <w:pPr>
              <w:rPr>
                <w:rFonts w:ascii="宋体"/>
              </w:rPr>
            </w:pPr>
          </w:p>
        </w:tc>
        <w:tc>
          <w:tcPr>
            <w:tcW w:w="0" w:type="auto"/>
            <w:gridSpan w:val="3"/>
            <w:tcBorders>
              <w:top w:val="single" w:sz="8" w:space="0" w:color="0071C5"/>
            </w:tcBorders>
            <w:shd w:val="clear" w:color="auto" w:fill="auto"/>
            <w:tcMar>
              <w:left w:w="20" w:type="dxa"/>
              <w:right w:w="20" w:type="dxa"/>
            </w:tcMar>
            <w:vAlign w:val="bottom"/>
          </w:tcPr>
          <w:p w14:paraId="36CA4062" w14:textId="77777777" w:rsidR="00787570" w:rsidRDefault="00787570">
            <w:pPr>
              <w:rPr>
                <w:rFonts w:ascii="宋体"/>
              </w:rPr>
            </w:pPr>
          </w:p>
        </w:tc>
        <w:tc>
          <w:tcPr>
            <w:tcW w:w="0" w:type="auto"/>
            <w:gridSpan w:val="3"/>
            <w:tcBorders>
              <w:top w:val="single" w:sz="8" w:space="0" w:color="0071C5"/>
            </w:tcBorders>
            <w:shd w:val="clear" w:color="auto" w:fill="auto"/>
            <w:tcMar>
              <w:left w:w="20" w:type="dxa"/>
              <w:right w:w="20" w:type="dxa"/>
            </w:tcMar>
            <w:vAlign w:val="bottom"/>
          </w:tcPr>
          <w:p w14:paraId="36CA4063" w14:textId="77777777" w:rsidR="00787570" w:rsidRDefault="00787570">
            <w:pPr>
              <w:rPr>
                <w:rFonts w:ascii="宋体"/>
              </w:rPr>
            </w:pPr>
          </w:p>
        </w:tc>
        <w:tc>
          <w:tcPr>
            <w:tcW w:w="0" w:type="auto"/>
            <w:gridSpan w:val="3"/>
            <w:tcBorders>
              <w:top w:val="single" w:sz="8" w:space="0" w:color="0071C5"/>
            </w:tcBorders>
            <w:shd w:val="clear" w:color="auto" w:fill="auto"/>
            <w:tcMar>
              <w:left w:w="20" w:type="dxa"/>
              <w:right w:w="20" w:type="dxa"/>
            </w:tcMar>
            <w:vAlign w:val="bottom"/>
          </w:tcPr>
          <w:p w14:paraId="36CA4064" w14:textId="77777777" w:rsidR="00787570" w:rsidRDefault="00787570">
            <w:pPr>
              <w:rPr>
                <w:rFonts w:ascii="宋体"/>
              </w:rPr>
            </w:pPr>
          </w:p>
        </w:tc>
        <w:tc>
          <w:tcPr>
            <w:tcW w:w="0" w:type="auto"/>
            <w:gridSpan w:val="3"/>
            <w:tcBorders>
              <w:top w:val="single" w:sz="8" w:space="0" w:color="0071C5"/>
            </w:tcBorders>
            <w:shd w:val="clear" w:color="auto" w:fill="auto"/>
            <w:tcMar>
              <w:left w:w="20" w:type="dxa"/>
              <w:right w:w="20" w:type="dxa"/>
            </w:tcMar>
            <w:vAlign w:val="bottom"/>
          </w:tcPr>
          <w:p w14:paraId="36CA4065" w14:textId="77777777" w:rsidR="00787570" w:rsidRDefault="00787570">
            <w:pPr>
              <w:rPr>
                <w:rFonts w:ascii="宋体"/>
              </w:rPr>
            </w:pPr>
          </w:p>
        </w:tc>
        <w:tc>
          <w:tcPr>
            <w:tcW w:w="0" w:type="auto"/>
            <w:gridSpan w:val="9"/>
            <w:tcBorders>
              <w:top w:val="single" w:sz="8" w:space="0" w:color="0071C5"/>
            </w:tcBorders>
            <w:shd w:val="clear" w:color="auto" w:fill="auto"/>
            <w:tcMar>
              <w:top w:w="40" w:type="dxa"/>
              <w:left w:w="20" w:type="dxa"/>
              <w:bottom w:w="40" w:type="dxa"/>
              <w:right w:w="20" w:type="dxa"/>
            </w:tcMar>
            <w:vAlign w:val="bottom"/>
          </w:tcPr>
          <w:p w14:paraId="36CA4066" w14:textId="77777777" w:rsidR="00787570" w:rsidRDefault="000D56E2">
            <w:pPr>
              <w:jc w:val="center"/>
              <w:textAlignment w:val="bottom"/>
            </w:pPr>
            <w:r>
              <w:rPr>
                <w:rFonts w:ascii="Arial" w:eastAsia="宋体" w:hAnsi="Arial" w:cs="Arial"/>
                <w:b/>
                <w:bCs/>
                <w:color w:val="333333"/>
                <w:sz w:val="18"/>
                <w:szCs w:val="18"/>
              </w:rPr>
              <w:t xml:space="preserve">Gross Amounts Not Offset in the </w:t>
            </w:r>
            <w:r>
              <w:rPr>
                <w:rFonts w:ascii="Arial" w:eastAsia="宋体" w:hAnsi="Arial" w:cs="Arial"/>
                <w:b/>
                <w:bCs/>
                <w:color w:val="333333"/>
                <w:sz w:val="18"/>
                <w:szCs w:val="18"/>
              </w:rPr>
              <w:t>Balance Sheet</w:t>
            </w:r>
          </w:p>
        </w:tc>
        <w:tc>
          <w:tcPr>
            <w:tcW w:w="0" w:type="auto"/>
            <w:gridSpan w:val="3"/>
            <w:shd w:val="clear" w:color="auto" w:fill="auto"/>
          </w:tcPr>
          <w:p w14:paraId="36CA4067" w14:textId="77777777" w:rsidR="00787570" w:rsidRDefault="00787570">
            <w:pPr>
              <w:rPr>
                <w:rFonts w:ascii="宋体"/>
                <w:vanish/>
              </w:rPr>
            </w:pPr>
          </w:p>
        </w:tc>
        <w:tc>
          <w:tcPr>
            <w:tcW w:w="0" w:type="auto"/>
            <w:gridSpan w:val="3"/>
            <w:shd w:val="clear" w:color="auto" w:fill="auto"/>
          </w:tcPr>
          <w:p w14:paraId="36CA4068" w14:textId="77777777" w:rsidR="00787570" w:rsidRDefault="00787570">
            <w:pPr>
              <w:rPr>
                <w:rFonts w:ascii="宋体"/>
                <w:vanish/>
              </w:rPr>
            </w:pPr>
          </w:p>
        </w:tc>
        <w:tc>
          <w:tcPr>
            <w:tcW w:w="0" w:type="auto"/>
            <w:gridSpan w:val="3"/>
            <w:tcBorders>
              <w:top w:val="single" w:sz="8" w:space="0" w:color="0071C5"/>
            </w:tcBorders>
            <w:shd w:val="clear" w:color="auto" w:fill="auto"/>
            <w:tcMar>
              <w:left w:w="20" w:type="dxa"/>
              <w:right w:w="20" w:type="dxa"/>
            </w:tcMar>
            <w:vAlign w:val="bottom"/>
          </w:tcPr>
          <w:p w14:paraId="36CA4069" w14:textId="77777777" w:rsidR="00787570" w:rsidRDefault="00787570">
            <w:pPr>
              <w:rPr>
                <w:rFonts w:ascii="宋体"/>
              </w:rPr>
            </w:pPr>
          </w:p>
        </w:tc>
        <w:tc>
          <w:tcPr>
            <w:tcW w:w="0" w:type="auto"/>
            <w:gridSpan w:val="3"/>
            <w:tcBorders>
              <w:top w:val="single" w:sz="8" w:space="0" w:color="0071C5"/>
            </w:tcBorders>
            <w:shd w:val="clear" w:color="auto" w:fill="auto"/>
            <w:tcMar>
              <w:left w:w="20" w:type="dxa"/>
              <w:right w:w="20" w:type="dxa"/>
            </w:tcMar>
            <w:vAlign w:val="bottom"/>
          </w:tcPr>
          <w:p w14:paraId="36CA406A" w14:textId="77777777" w:rsidR="00787570" w:rsidRDefault="00787570">
            <w:pPr>
              <w:rPr>
                <w:rFonts w:ascii="宋体"/>
              </w:rPr>
            </w:pPr>
          </w:p>
        </w:tc>
        <w:tc>
          <w:tcPr>
            <w:tcW w:w="0" w:type="auto"/>
            <w:shd w:val="clear" w:color="auto" w:fill="auto"/>
          </w:tcPr>
          <w:p w14:paraId="36CA406B" w14:textId="77777777" w:rsidR="00787570" w:rsidRDefault="00787570">
            <w:pPr>
              <w:rPr>
                <w:rFonts w:ascii="宋体"/>
              </w:rPr>
            </w:pPr>
          </w:p>
        </w:tc>
        <w:tc>
          <w:tcPr>
            <w:tcW w:w="0" w:type="auto"/>
            <w:shd w:val="clear" w:color="auto" w:fill="auto"/>
          </w:tcPr>
          <w:p w14:paraId="36CA406C" w14:textId="77777777" w:rsidR="00787570" w:rsidRDefault="00787570">
            <w:pPr>
              <w:rPr>
                <w:rFonts w:ascii="宋体"/>
              </w:rPr>
            </w:pPr>
          </w:p>
        </w:tc>
        <w:tc>
          <w:tcPr>
            <w:tcW w:w="0" w:type="auto"/>
            <w:shd w:val="clear" w:color="auto" w:fill="auto"/>
          </w:tcPr>
          <w:p w14:paraId="36CA406D" w14:textId="77777777" w:rsidR="00787570" w:rsidRDefault="00787570">
            <w:pPr>
              <w:rPr>
                <w:rFonts w:ascii="宋体"/>
              </w:rPr>
            </w:pPr>
          </w:p>
        </w:tc>
        <w:tc>
          <w:tcPr>
            <w:tcW w:w="0" w:type="auto"/>
            <w:shd w:val="clear" w:color="auto" w:fill="auto"/>
          </w:tcPr>
          <w:p w14:paraId="36CA406E" w14:textId="77777777" w:rsidR="00787570" w:rsidRDefault="00787570">
            <w:pPr>
              <w:rPr>
                <w:rFonts w:ascii="宋体"/>
              </w:rPr>
            </w:pPr>
          </w:p>
        </w:tc>
        <w:tc>
          <w:tcPr>
            <w:tcW w:w="0" w:type="auto"/>
            <w:shd w:val="clear" w:color="auto" w:fill="auto"/>
          </w:tcPr>
          <w:p w14:paraId="36CA406F" w14:textId="77777777" w:rsidR="00787570" w:rsidRDefault="00787570">
            <w:pPr>
              <w:rPr>
                <w:rFonts w:ascii="宋体"/>
              </w:rPr>
            </w:pPr>
          </w:p>
        </w:tc>
        <w:tc>
          <w:tcPr>
            <w:tcW w:w="0" w:type="auto"/>
            <w:shd w:val="clear" w:color="auto" w:fill="auto"/>
          </w:tcPr>
          <w:p w14:paraId="36CA4070" w14:textId="77777777" w:rsidR="00787570" w:rsidRDefault="00787570">
            <w:pPr>
              <w:rPr>
                <w:rFonts w:ascii="宋体"/>
              </w:rPr>
            </w:pPr>
          </w:p>
        </w:tc>
        <w:tc>
          <w:tcPr>
            <w:tcW w:w="0" w:type="auto"/>
            <w:shd w:val="clear" w:color="auto" w:fill="auto"/>
          </w:tcPr>
          <w:p w14:paraId="36CA4071" w14:textId="77777777" w:rsidR="00787570" w:rsidRDefault="00787570">
            <w:pPr>
              <w:rPr>
                <w:rFonts w:ascii="宋体"/>
              </w:rPr>
            </w:pPr>
          </w:p>
        </w:tc>
        <w:tc>
          <w:tcPr>
            <w:tcW w:w="0" w:type="auto"/>
            <w:shd w:val="clear" w:color="auto" w:fill="auto"/>
          </w:tcPr>
          <w:p w14:paraId="36CA4072" w14:textId="77777777" w:rsidR="00787570" w:rsidRDefault="00787570">
            <w:pPr>
              <w:rPr>
                <w:rFonts w:ascii="宋体"/>
              </w:rPr>
            </w:pPr>
          </w:p>
        </w:tc>
        <w:tc>
          <w:tcPr>
            <w:tcW w:w="0" w:type="auto"/>
            <w:shd w:val="clear" w:color="auto" w:fill="auto"/>
          </w:tcPr>
          <w:p w14:paraId="36CA4073" w14:textId="77777777" w:rsidR="00787570" w:rsidRDefault="00787570">
            <w:pPr>
              <w:rPr>
                <w:rFonts w:ascii="宋体"/>
              </w:rPr>
            </w:pPr>
          </w:p>
        </w:tc>
        <w:tc>
          <w:tcPr>
            <w:tcW w:w="0" w:type="auto"/>
            <w:shd w:val="clear" w:color="auto" w:fill="auto"/>
          </w:tcPr>
          <w:p w14:paraId="36CA4074" w14:textId="77777777" w:rsidR="00787570" w:rsidRDefault="00787570">
            <w:pPr>
              <w:rPr>
                <w:rFonts w:ascii="宋体"/>
              </w:rPr>
            </w:pPr>
          </w:p>
        </w:tc>
        <w:tc>
          <w:tcPr>
            <w:tcW w:w="0" w:type="auto"/>
            <w:shd w:val="clear" w:color="auto" w:fill="auto"/>
          </w:tcPr>
          <w:p w14:paraId="36CA4075" w14:textId="77777777" w:rsidR="00787570" w:rsidRDefault="00787570">
            <w:pPr>
              <w:rPr>
                <w:rFonts w:ascii="宋体"/>
              </w:rPr>
            </w:pPr>
          </w:p>
        </w:tc>
        <w:tc>
          <w:tcPr>
            <w:tcW w:w="0" w:type="auto"/>
            <w:shd w:val="clear" w:color="auto" w:fill="auto"/>
          </w:tcPr>
          <w:p w14:paraId="36CA4076" w14:textId="77777777" w:rsidR="00787570" w:rsidRDefault="00787570">
            <w:pPr>
              <w:rPr>
                <w:rFonts w:ascii="宋体"/>
              </w:rPr>
            </w:pPr>
          </w:p>
        </w:tc>
        <w:tc>
          <w:tcPr>
            <w:tcW w:w="0" w:type="auto"/>
            <w:shd w:val="clear" w:color="auto" w:fill="auto"/>
          </w:tcPr>
          <w:p w14:paraId="36CA4077" w14:textId="77777777" w:rsidR="00787570" w:rsidRDefault="00787570">
            <w:pPr>
              <w:rPr>
                <w:rFonts w:ascii="宋体"/>
              </w:rPr>
            </w:pPr>
          </w:p>
        </w:tc>
        <w:tc>
          <w:tcPr>
            <w:tcW w:w="0" w:type="auto"/>
            <w:shd w:val="clear" w:color="auto" w:fill="auto"/>
          </w:tcPr>
          <w:p w14:paraId="36CA4078" w14:textId="77777777" w:rsidR="00787570" w:rsidRDefault="00787570">
            <w:pPr>
              <w:rPr>
                <w:rFonts w:ascii="宋体"/>
              </w:rPr>
            </w:pPr>
          </w:p>
        </w:tc>
        <w:tc>
          <w:tcPr>
            <w:tcW w:w="0" w:type="auto"/>
            <w:shd w:val="clear" w:color="auto" w:fill="auto"/>
          </w:tcPr>
          <w:p w14:paraId="36CA4079" w14:textId="77777777" w:rsidR="00787570" w:rsidRDefault="00787570">
            <w:pPr>
              <w:rPr>
                <w:rFonts w:ascii="宋体"/>
              </w:rPr>
            </w:pPr>
          </w:p>
        </w:tc>
        <w:tc>
          <w:tcPr>
            <w:tcW w:w="0" w:type="auto"/>
            <w:shd w:val="clear" w:color="auto" w:fill="auto"/>
          </w:tcPr>
          <w:p w14:paraId="36CA407A" w14:textId="77777777" w:rsidR="00787570" w:rsidRDefault="00787570">
            <w:pPr>
              <w:rPr>
                <w:rFonts w:ascii="宋体"/>
              </w:rPr>
            </w:pPr>
          </w:p>
        </w:tc>
        <w:tc>
          <w:tcPr>
            <w:tcW w:w="0" w:type="auto"/>
            <w:shd w:val="clear" w:color="auto" w:fill="auto"/>
          </w:tcPr>
          <w:p w14:paraId="36CA407B" w14:textId="77777777" w:rsidR="00787570" w:rsidRDefault="00787570">
            <w:pPr>
              <w:rPr>
                <w:rFonts w:ascii="宋体"/>
              </w:rPr>
            </w:pPr>
          </w:p>
        </w:tc>
        <w:tc>
          <w:tcPr>
            <w:tcW w:w="0" w:type="auto"/>
            <w:shd w:val="clear" w:color="auto" w:fill="auto"/>
          </w:tcPr>
          <w:p w14:paraId="36CA407C" w14:textId="77777777" w:rsidR="00787570" w:rsidRDefault="00787570">
            <w:pPr>
              <w:rPr>
                <w:rFonts w:ascii="宋体"/>
              </w:rPr>
            </w:pPr>
          </w:p>
        </w:tc>
      </w:tr>
      <w:tr w:rsidR="00787570" w14:paraId="36CA40A3" w14:textId="77777777">
        <w:tc>
          <w:tcPr>
            <w:tcW w:w="0" w:type="auto"/>
            <w:gridSpan w:val="3"/>
            <w:shd w:val="clear" w:color="auto" w:fill="auto"/>
            <w:tcMar>
              <w:top w:w="40" w:type="dxa"/>
              <w:left w:w="20" w:type="dxa"/>
              <w:bottom w:w="40" w:type="dxa"/>
              <w:right w:w="20" w:type="dxa"/>
            </w:tcMar>
            <w:vAlign w:val="bottom"/>
          </w:tcPr>
          <w:p w14:paraId="36CA407E" w14:textId="77777777" w:rsidR="00787570" w:rsidRDefault="000D56E2">
            <w:pPr>
              <w:ind w:hanging="180"/>
              <w:textAlignment w:val="bottom"/>
            </w:pPr>
            <w:r>
              <w:rPr>
                <w:rFonts w:ascii="Arial" w:eastAsia="宋体" w:hAnsi="Arial" w:cs="Arial"/>
                <w:b/>
                <w:bCs/>
                <w:color w:val="333333"/>
                <w:sz w:val="18"/>
                <w:szCs w:val="18"/>
              </w:rPr>
              <w:t>(In Millions)</w:t>
            </w:r>
          </w:p>
        </w:tc>
        <w:tc>
          <w:tcPr>
            <w:tcW w:w="0" w:type="auto"/>
            <w:gridSpan w:val="3"/>
            <w:shd w:val="clear" w:color="auto" w:fill="auto"/>
            <w:tcMar>
              <w:left w:w="20" w:type="dxa"/>
              <w:right w:w="20" w:type="dxa"/>
            </w:tcMar>
            <w:vAlign w:val="bottom"/>
          </w:tcPr>
          <w:p w14:paraId="36CA407F" w14:textId="77777777" w:rsidR="00787570" w:rsidRDefault="00787570">
            <w:pPr>
              <w:rPr>
                <w:rFonts w:ascii="宋体"/>
              </w:rPr>
            </w:pPr>
          </w:p>
        </w:tc>
        <w:tc>
          <w:tcPr>
            <w:tcW w:w="0" w:type="auto"/>
            <w:gridSpan w:val="3"/>
            <w:shd w:val="clear" w:color="auto" w:fill="auto"/>
            <w:tcMar>
              <w:top w:w="40" w:type="dxa"/>
              <w:left w:w="20" w:type="dxa"/>
              <w:bottom w:w="40" w:type="dxa"/>
              <w:right w:w="20" w:type="dxa"/>
            </w:tcMar>
            <w:vAlign w:val="bottom"/>
          </w:tcPr>
          <w:p w14:paraId="36CA4080" w14:textId="77777777" w:rsidR="00787570" w:rsidRDefault="000D56E2">
            <w:pPr>
              <w:jc w:val="center"/>
              <w:textAlignment w:val="bottom"/>
            </w:pPr>
            <w:r>
              <w:rPr>
                <w:rFonts w:ascii="Arial" w:eastAsia="宋体" w:hAnsi="Arial" w:cs="Arial"/>
                <w:b/>
                <w:bCs/>
                <w:color w:val="333333"/>
                <w:sz w:val="18"/>
                <w:szCs w:val="18"/>
              </w:rPr>
              <w:t>Gross Amounts Recognized</w:t>
            </w:r>
          </w:p>
        </w:tc>
        <w:tc>
          <w:tcPr>
            <w:tcW w:w="0" w:type="auto"/>
            <w:gridSpan w:val="3"/>
            <w:shd w:val="clear" w:color="auto" w:fill="auto"/>
            <w:tcMar>
              <w:left w:w="20" w:type="dxa"/>
              <w:right w:w="20" w:type="dxa"/>
            </w:tcMar>
            <w:vAlign w:val="bottom"/>
          </w:tcPr>
          <w:p w14:paraId="36CA4081" w14:textId="77777777" w:rsidR="00787570" w:rsidRDefault="00787570">
            <w:pPr>
              <w:rPr>
                <w:rFonts w:ascii="宋体"/>
              </w:rPr>
            </w:pPr>
          </w:p>
        </w:tc>
        <w:tc>
          <w:tcPr>
            <w:tcW w:w="0" w:type="auto"/>
            <w:gridSpan w:val="3"/>
            <w:shd w:val="clear" w:color="auto" w:fill="auto"/>
            <w:tcMar>
              <w:top w:w="40" w:type="dxa"/>
              <w:left w:w="20" w:type="dxa"/>
              <w:bottom w:w="40" w:type="dxa"/>
              <w:right w:w="20" w:type="dxa"/>
            </w:tcMar>
            <w:vAlign w:val="bottom"/>
          </w:tcPr>
          <w:p w14:paraId="36CA4082" w14:textId="77777777" w:rsidR="00787570" w:rsidRDefault="000D56E2">
            <w:pPr>
              <w:jc w:val="center"/>
              <w:textAlignment w:val="bottom"/>
            </w:pPr>
            <w:r>
              <w:rPr>
                <w:rFonts w:ascii="Arial" w:eastAsia="宋体" w:hAnsi="Arial" w:cs="Arial"/>
                <w:b/>
                <w:bCs/>
                <w:color w:val="333333"/>
                <w:sz w:val="18"/>
                <w:szCs w:val="18"/>
              </w:rPr>
              <w:t>Gross Amounts Offset in the Balance Sheet</w:t>
            </w:r>
          </w:p>
        </w:tc>
        <w:tc>
          <w:tcPr>
            <w:tcW w:w="0" w:type="auto"/>
            <w:gridSpan w:val="3"/>
            <w:shd w:val="clear" w:color="auto" w:fill="auto"/>
            <w:tcMar>
              <w:left w:w="20" w:type="dxa"/>
              <w:right w:w="20" w:type="dxa"/>
            </w:tcMar>
            <w:vAlign w:val="bottom"/>
          </w:tcPr>
          <w:p w14:paraId="36CA4083" w14:textId="77777777" w:rsidR="00787570" w:rsidRDefault="00787570">
            <w:pPr>
              <w:rPr>
                <w:rFonts w:ascii="宋体"/>
              </w:rPr>
            </w:pPr>
          </w:p>
        </w:tc>
        <w:tc>
          <w:tcPr>
            <w:tcW w:w="0" w:type="auto"/>
            <w:gridSpan w:val="3"/>
            <w:shd w:val="clear" w:color="auto" w:fill="auto"/>
            <w:tcMar>
              <w:top w:w="40" w:type="dxa"/>
              <w:left w:w="20" w:type="dxa"/>
              <w:bottom w:w="40" w:type="dxa"/>
              <w:right w:w="20" w:type="dxa"/>
            </w:tcMar>
            <w:vAlign w:val="bottom"/>
          </w:tcPr>
          <w:p w14:paraId="36CA4084" w14:textId="77777777" w:rsidR="00787570" w:rsidRDefault="000D56E2">
            <w:pPr>
              <w:jc w:val="center"/>
              <w:textAlignment w:val="bottom"/>
            </w:pPr>
            <w:r>
              <w:rPr>
                <w:rFonts w:ascii="Arial" w:eastAsia="宋体" w:hAnsi="Arial" w:cs="Arial"/>
                <w:b/>
                <w:bCs/>
                <w:color w:val="333333"/>
                <w:sz w:val="18"/>
                <w:szCs w:val="18"/>
              </w:rPr>
              <w:t>Net Amounts Presented in the Balance Sheet</w:t>
            </w:r>
          </w:p>
        </w:tc>
        <w:tc>
          <w:tcPr>
            <w:tcW w:w="0" w:type="auto"/>
            <w:gridSpan w:val="3"/>
            <w:shd w:val="clear" w:color="auto" w:fill="auto"/>
            <w:tcMar>
              <w:left w:w="20" w:type="dxa"/>
              <w:right w:w="20" w:type="dxa"/>
            </w:tcMar>
            <w:vAlign w:val="bottom"/>
          </w:tcPr>
          <w:p w14:paraId="36CA4085" w14:textId="77777777" w:rsidR="00787570" w:rsidRDefault="00787570">
            <w:pPr>
              <w:rPr>
                <w:rFonts w:ascii="宋体"/>
              </w:rPr>
            </w:pPr>
          </w:p>
        </w:tc>
        <w:tc>
          <w:tcPr>
            <w:tcW w:w="0" w:type="auto"/>
            <w:gridSpan w:val="3"/>
            <w:tcBorders>
              <w:top w:val="single" w:sz="8" w:space="0" w:color="0071C5"/>
            </w:tcBorders>
            <w:shd w:val="clear" w:color="auto" w:fill="auto"/>
            <w:tcMar>
              <w:top w:w="40" w:type="dxa"/>
              <w:left w:w="20" w:type="dxa"/>
              <w:bottom w:w="40" w:type="dxa"/>
              <w:right w:w="20" w:type="dxa"/>
            </w:tcMar>
            <w:vAlign w:val="bottom"/>
          </w:tcPr>
          <w:p w14:paraId="36CA4086" w14:textId="77777777" w:rsidR="00787570" w:rsidRDefault="000D56E2">
            <w:pPr>
              <w:jc w:val="center"/>
              <w:textAlignment w:val="bottom"/>
            </w:pPr>
            <w:r>
              <w:rPr>
                <w:rFonts w:ascii="Arial" w:eastAsia="宋体" w:hAnsi="Arial" w:cs="Arial"/>
                <w:b/>
                <w:bCs/>
                <w:color w:val="333333"/>
                <w:sz w:val="18"/>
                <w:szCs w:val="18"/>
              </w:rPr>
              <w:t>Financial Instruments</w:t>
            </w:r>
          </w:p>
        </w:tc>
        <w:tc>
          <w:tcPr>
            <w:tcW w:w="0" w:type="auto"/>
            <w:gridSpan w:val="3"/>
            <w:tcBorders>
              <w:top w:val="single" w:sz="8" w:space="0" w:color="0071C5"/>
            </w:tcBorders>
            <w:shd w:val="clear" w:color="auto" w:fill="auto"/>
            <w:tcMar>
              <w:left w:w="20" w:type="dxa"/>
              <w:right w:w="20" w:type="dxa"/>
            </w:tcMar>
            <w:vAlign w:val="bottom"/>
          </w:tcPr>
          <w:p w14:paraId="36CA4087" w14:textId="77777777" w:rsidR="00787570" w:rsidRDefault="00787570">
            <w:pPr>
              <w:rPr>
                <w:rFonts w:ascii="宋体"/>
              </w:rPr>
            </w:pPr>
          </w:p>
        </w:tc>
        <w:tc>
          <w:tcPr>
            <w:tcW w:w="0" w:type="auto"/>
            <w:gridSpan w:val="3"/>
            <w:tcBorders>
              <w:top w:val="single" w:sz="8" w:space="0" w:color="0071C5"/>
            </w:tcBorders>
            <w:shd w:val="clear" w:color="auto" w:fill="auto"/>
            <w:tcMar>
              <w:top w:w="40" w:type="dxa"/>
              <w:left w:w="20" w:type="dxa"/>
              <w:bottom w:w="40" w:type="dxa"/>
              <w:right w:w="20" w:type="dxa"/>
            </w:tcMar>
            <w:vAlign w:val="bottom"/>
          </w:tcPr>
          <w:p w14:paraId="36CA4088" w14:textId="77777777" w:rsidR="00787570" w:rsidRDefault="000D56E2">
            <w:pPr>
              <w:jc w:val="center"/>
              <w:textAlignment w:val="bottom"/>
            </w:pPr>
            <w:r>
              <w:rPr>
                <w:rFonts w:ascii="Arial" w:eastAsia="宋体" w:hAnsi="Arial" w:cs="Arial"/>
                <w:b/>
                <w:bCs/>
                <w:color w:val="333333"/>
                <w:sz w:val="18"/>
                <w:szCs w:val="18"/>
              </w:rPr>
              <w:t>Cash and Non-Cash Collateral Received or Pledged</w:t>
            </w:r>
          </w:p>
        </w:tc>
        <w:tc>
          <w:tcPr>
            <w:tcW w:w="0" w:type="auto"/>
            <w:gridSpan w:val="3"/>
            <w:shd w:val="clear" w:color="auto" w:fill="auto"/>
            <w:tcMar>
              <w:left w:w="20" w:type="dxa"/>
              <w:right w:w="20" w:type="dxa"/>
            </w:tcMar>
            <w:vAlign w:val="bottom"/>
          </w:tcPr>
          <w:p w14:paraId="36CA4089" w14:textId="77777777" w:rsidR="00787570" w:rsidRDefault="00787570">
            <w:pPr>
              <w:rPr>
                <w:rFonts w:ascii="宋体"/>
              </w:rPr>
            </w:pPr>
          </w:p>
        </w:tc>
        <w:tc>
          <w:tcPr>
            <w:tcW w:w="0" w:type="auto"/>
            <w:gridSpan w:val="3"/>
            <w:shd w:val="clear" w:color="auto" w:fill="auto"/>
            <w:tcMar>
              <w:top w:w="40" w:type="dxa"/>
              <w:left w:w="20" w:type="dxa"/>
              <w:bottom w:w="40" w:type="dxa"/>
              <w:right w:w="20" w:type="dxa"/>
            </w:tcMar>
            <w:vAlign w:val="bottom"/>
          </w:tcPr>
          <w:p w14:paraId="36CA408A" w14:textId="77777777" w:rsidR="00787570" w:rsidRDefault="000D56E2">
            <w:pPr>
              <w:jc w:val="center"/>
              <w:textAlignment w:val="bottom"/>
            </w:pPr>
            <w:r>
              <w:rPr>
                <w:rFonts w:ascii="Arial" w:eastAsia="宋体" w:hAnsi="Arial" w:cs="Arial"/>
                <w:b/>
                <w:bCs/>
                <w:color w:val="333333"/>
                <w:sz w:val="18"/>
                <w:szCs w:val="18"/>
              </w:rPr>
              <w:t>Net Amount</w:t>
            </w:r>
          </w:p>
        </w:tc>
        <w:tc>
          <w:tcPr>
            <w:tcW w:w="0" w:type="auto"/>
            <w:shd w:val="clear" w:color="auto" w:fill="auto"/>
          </w:tcPr>
          <w:p w14:paraId="36CA408B" w14:textId="77777777" w:rsidR="00787570" w:rsidRDefault="00787570">
            <w:pPr>
              <w:rPr>
                <w:rFonts w:ascii="宋体"/>
              </w:rPr>
            </w:pPr>
          </w:p>
        </w:tc>
        <w:tc>
          <w:tcPr>
            <w:tcW w:w="0" w:type="auto"/>
            <w:shd w:val="clear" w:color="auto" w:fill="auto"/>
          </w:tcPr>
          <w:p w14:paraId="36CA408C" w14:textId="77777777" w:rsidR="00787570" w:rsidRDefault="00787570">
            <w:pPr>
              <w:rPr>
                <w:rFonts w:ascii="宋体"/>
              </w:rPr>
            </w:pPr>
          </w:p>
        </w:tc>
        <w:tc>
          <w:tcPr>
            <w:tcW w:w="0" w:type="auto"/>
            <w:shd w:val="clear" w:color="auto" w:fill="auto"/>
          </w:tcPr>
          <w:p w14:paraId="36CA408D" w14:textId="77777777" w:rsidR="00787570" w:rsidRDefault="00787570">
            <w:pPr>
              <w:rPr>
                <w:rFonts w:ascii="宋体"/>
              </w:rPr>
            </w:pPr>
          </w:p>
        </w:tc>
        <w:tc>
          <w:tcPr>
            <w:tcW w:w="0" w:type="auto"/>
            <w:shd w:val="clear" w:color="auto" w:fill="auto"/>
          </w:tcPr>
          <w:p w14:paraId="36CA408E" w14:textId="77777777" w:rsidR="00787570" w:rsidRDefault="00787570">
            <w:pPr>
              <w:rPr>
                <w:rFonts w:ascii="宋体"/>
              </w:rPr>
            </w:pPr>
          </w:p>
        </w:tc>
        <w:tc>
          <w:tcPr>
            <w:tcW w:w="0" w:type="auto"/>
            <w:shd w:val="clear" w:color="auto" w:fill="auto"/>
          </w:tcPr>
          <w:p w14:paraId="36CA408F" w14:textId="77777777" w:rsidR="00787570" w:rsidRDefault="00787570">
            <w:pPr>
              <w:rPr>
                <w:rFonts w:ascii="宋体"/>
              </w:rPr>
            </w:pPr>
          </w:p>
        </w:tc>
        <w:tc>
          <w:tcPr>
            <w:tcW w:w="0" w:type="auto"/>
            <w:shd w:val="clear" w:color="auto" w:fill="auto"/>
          </w:tcPr>
          <w:p w14:paraId="36CA4090" w14:textId="77777777" w:rsidR="00787570" w:rsidRDefault="00787570">
            <w:pPr>
              <w:rPr>
                <w:rFonts w:ascii="宋体"/>
              </w:rPr>
            </w:pPr>
          </w:p>
        </w:tc>
        <w:tc>
          <w:tcPr>
            <w:tcW w:w="0" w:type="auto"/>
            <w:shd w:val="clear" w:color="auto" w:fill="auto"/>
          </w:tcPr>
          <w:p w14:paraId="36CA4091" w14:textId="77777777" w:rsidR="00787570" w:rsidRDefault="00787570">
            <w:pPr>
              <w:rPr>
                <w:rFonts w:ascii="宋体"/>
              </w:rPr>
            </w:pPr>
          </w:p>
        </w:tc>
        <w:tc>
          <w:tcPr>
            <w:tcW w:w="0" w:type="auto"/>
            <w:shd w:val="clear" w:color="auto" w:fill="auto"/>
          </w:tcPr>
          <w:p w14:paraId="36CA4092" w14:textId="77777777" w:rsidR="00787570" w:rsidRDefault="00787570">
            <w:pPr>
              <w:rPr>
                <w:rFonts w:ascii="宋体"/>
              </w:rPr>
            </w:pPr>
          </w:p>
        </w:tc>
        <w:tc>
          <w:tcPr>
            <w:tcW w:w="0" w:type="auto"/>
            <w:shd w:val="clear" w:color="auto" w:fill="auto"/>
          </w:tcPr>
          <w:p w14:paraId="36CA4093" w14:textId="77777777" w:rsidR="00787570" w:rsidRDefault="00787570">
            <w:pPr>
              <w:rPr>
                <w:rFonts w:ascii="宋体"/>
              </w:rPr>
            </w:pPr>
          </w:p>
        </w:tc>
        <w:tc>
          <w:tcPr>
            <w:tcW w:w="0" w:type="auto"/>
            <w:shd w:val="clear" w:color="auto" w:fill="auto"/>
          </w:tcPr>
          <w:p w14:paraId="36CA4094" w14:textId="77777777" w:rsidR="00787570" w:rsidRDefault="00787570">
            <w:pPr>
              <w:rPr>
                <w:rFonts w:ascii="宋体"/>
              </w:rPr>
            </w:pPr>
          </w:p>
        </w:tc>
        <w:tc>
          <w:tcPr>
            <w:tcW w:w="0" w:type="auto"/>
            <w:shd w:val="clear" w:color="auto" w:fill="auto"/>
          </w:tcPr>
          <w:p w14:paraId="36CA4095" w14:textId="77777777" w:rsidR="00787570" w:rsidRDefault="00787570">
            <w:pPr>
              <w:rPr>
                <w:rFonts w:ascii="宋体"/>
              </w:rPr>
            </w:pPr>
          </w:p>
        </w:tc>
        <w:tc>
          <w:tcPr>
            <w:tcW w:w="0" w:type="auto"/>
            <w:shd w:val="clear" w:color="auto" w:fill="auto"/>
          </w:tcPr>
          <w:p w14:paraId="36CA4096" w14:textId="77777777" w:rsidR="00787570" w:rsidRDefault="00787570">
            <w:pPr>
              <w:rPr>
                <w:rFonts w:ascii="宋体"/>
              </w:rPr>
            </w:pPr>
          </w:p>
        </w:tc>
        <w:tc>
          <w:tcPr>
            <w:tcW w:w="0" w:type="auto"/>
            <w:shd w:val="clear" w:color="auto" w:fill="auto"/>
          </w:tcPr>
          <w:p w14:paraId="36CA4097" w14:textId="77777777" w:rsidR="00787570" w:rsidRDefault="00787570">
            <w:pPr>
              <w:rPr>
                <w:rFonts w:ascii="宋体"/>
              </w:rPr>
            </w:pPr>
          </w:p>
        </w:tc>
        <w:tc>
          <w:tcPr>
            <w:tcW w:w="0" w:type="auto"/>
            <w:shd w:val="clear" w:color="auto" w:fill="auto"/>
          </w:tcPr>
          <w:p w14:paraId="36CA4098" w14:textId="77777777" w:rsidR="00787570" w:rsidRDefault="00787570">
            <w:pPr>
              <w:rPr>
                <w:rFonts w:ascii="宋体"/>
              </w:rPr>
            </w:pPr>
          </w:p>
        </w:tc>
        <w:tc>
          <w:tcPr>
            <w:tcW w:w="0" w:type="auto"/>
            <w:shd w:val="clear" w:color="auto" w:fill="auto"/>
          </w:tcPr>
          <w:p w14:paraId="36CA4099" w14:textId="77777777" w:rsidR="00787570" w:rsidRDefault="00787570">
            <w:pPr>
              <w:rPr>
                <w:rFonts w:ascii="宋体"/>
              </w:rPr>
            </w:pPr>
          </w:p>
        </w:tc>
        <w:tc>
          <w:tcPr>
            <w:tcW w:w="0" w:type="auto"/>
            <w:shd w:val="clear" w:color="auto" w:fill="auto"/>
          </w:tcPr>
          <w:p w14:paraId="36CA409A" w14:textId="77777777" w:rsidR="00787570" w:rsidRDefault="00787570">
            <w:pPr>
              <w:rPr>
                <w:rFonts w:ascii="宋体"/>
              </w:rPr>
            </w:pPr>
          </w:p>
        </w:tc>
        <w:tc>
          <w:tcPr>
            <w:tcW w:w="0" w:type="auto"/>
            <w:shd w:val="clear" w:color="auto" w:fill="auto"/>
          </w:tcPr>
          <w:p w14:paraId="36CA409B" w14:textId="77777777" w:rsidR="00787570" w:rsidRDefault="00787570">
            <w:pPr>
              <w:rPr>
                <w:rFonts w:ascii="宋体"/>
              </w:rPr>
            </w:pPr>
          </w:p>
        </w:tc>
        <w:tc>
          <w:tcPr>
            <w:tcW w:w="0" w:type="auto"/>
            <w:shd w:val="clear" w:color="auto" w:fill="auto"/>
          </w:tcPr>
          <w:p w14:paraId="36CA409C" w14:textId="77777777" w:rsidR="00787570" w:rsidRDefault="00787570">
            <w:pPr>
              <w:rPr>
                <w:rFonts w:ascii="宋体"/>
              </w:rPr>
            </w:pPr>
          </w:p>
        </w:tc>
        <w:tc>
          <w:tcPr>
            <w:tcW w:w="0" w:type="auto"/>
            <w:shd w:val="clear" w:color="auto" w:fill="auto"/>
          </w:tcPr>
          <w:p w14:paraId="36CA409D" w14:textId="77777777" w:rsidR="00787570" w:rsidRDefault="00787570">
            <w:pPr>
              <w:rPr>
                <w:rFonts w:ascii="宋体"/>
              </w:rPr>
            </w:pPr>
          </w:p>
        </w:tc>
        <w:tc>
          <w:tcPr>
            <w:tcW w:w="0" w:type="auto"/>
            <w:shd w:val="clear" w:color="auto" w:fill="auto"/>
          </w:tcPr>
          <w:p w14:paraId="36CA409E" w14:textId="77777777" w:rsidR="00787570" w:rsidRDefault="00787570">
            <w:pPr>
              <w:rPr>
                <w:rFonts w:ascii="宋体"/>
              </w:rPr>
            </w:pPr>
          </w:p>
        </w:tc>
        <w:tc>
          <w:tcPr>
            <w:tcW w:w="0" w:type="auto"/>
            <w:shd w:val="clear" w:color="auto" w:fill="auto"/>
          </w:tcPr>
          <w:p w14:paraId="36CA409F" w14:textId="77777777" w:rsidR="00787570" w:rsidRDefault="00787570">
            <w:pPr>
              <w:rPr>
                <w:rFonts w:ascii="宋体"/>
              </w:rPr>
            </w:pPr>
          </w:p>
        </w:tc>
        <w:tc>
          <w:tcPr>
            <w:tcW w:w="0" w:type="auto"/>
            <w:shd w:val="clear" w:color="auto" w:fill="auto"/>
          </w:tcPr>
          <w:p w14:paraId="36CA40A0" w14:textId="77777777" w:rsidR="00787570" w:rsidRDefault="00787570">
            <w:pPr>
              <w:rPr>
                <w:rFonts w:ascii="宋体"/>
              </w:rPr>
            </w:pPr>
          </w:p>
        </w:tc>
        <w:tc>
          <w:tcPr>
            <w:tcW w:w="0" w:type="auto"/>
            <w:shd w:val="clear" w:color="auto" w:fill="auto"/>
          </w:tcPr>
          <w:p w14:paraId="36CA40A1" w14:textId="77777777" w:rsidR="00787570" w:rsidRDefault="00787570">
            <w:pPr>
              <w:rPr>
                <w:rFonts w:ascii="宋体"/>
              </w:rPr>
            </w:pPr>
          </w:p>
        </w:tc>
        <w:tc>
          <w:tcPr>
            <w:tcW w:w="0" w:type="auto"/>
            <w:shd w:val="clear" w:color="auto" w:fill="auto"/>
          </w:tcPr>
          <w:p w14:paraId="36CA40A2" w14:textId="77777777" w:rsidR="00787570" w:rsidRDefault="00787570">
            <w:pPr>
              <w:rPr>
                <w:rFonts w:ascii="宋体"/>
              </w:rPr>
            </w:pPr>
          </w:p>
        </w:tc>
      </w:tr>
      <w:tr w:rsidR="00787570" w14:paraId="36CA40C9" w14:textId="77777777">
        <w:tc>
          <w:tcPr>
            <w:tcW w:w="0" w:type="auto"/>
            <w:gridSpan w:val="3"/>
            <w:tcBorders>
              <w:top w:val="single" w:sz="8" w:space="0" w:color="0071C5"/>
            </w:tcBorders>
            <w:shd w:val="clear" w:color="auto" w:fill="auto"/>
            <w:tcMar>
              <w:top w:w="40" w:type="dxa"/>
              <w:left w:w="20" w:type="dxa"/>
              <w:bottom w:w="40" w:type="dxa"/>
              <w:right w:w="20" w:type="dxa"/>
            </w:tcMar>
            <w:vAlign w:val="bottom"/>
          </w:tcPr>
          <w:p w14:paraId="36CA40A4" w14:textId="77777777" w:rsidR="00787570" w:rsidRDefault="000D56E2">
            <w:pPr>
              <w:ind w:hanging="180"/>
              <w:textAlignment w:val="bottom"/>
            </w:pPr>
            <w:r>
              <w:rPr>
                <w:rFonts w:ascii="Arial" w:eastAsia="宋体" w:hAnsi="Arial" w:cs="Arial"/>
                <w:color w:val="333333"/>
                <w:sz w:val="18"/>
                <w:szCs w:val="18"/>
              </w:rPr>
              <w:t>Assets:</w:t>
            </w:r>
          </w:p>
        </w:tc>
        <w:tc>
          <w:tcPr>
            <w:tcW w:w="0" w:type="auto"/>
            <w:gridSpan w:val="3"/>
            <w:shd w:val="clear" w:color="auto" w:fill="auto"/>
            <w:tcMar>
              <w:left w:w="20" w:type="dxa"/>
              <w:right w:w="20" w:type="dxa"/>
            </w:tcMar>
            <w:vAlign w:val="bottom"/>
          </w:tcPr>
          <w:p w14:paraId="36CA40A5" w14:textId="77777777" w:rsidR="00787570" w:rsidRDefault="00787570">
            <w:pPr>
              <w:rPr>
                <w:rFonts w:ascii="宋体"/>
              </w:rPr>
            </w:pPr>
          </w:p>
        </w:tc>
        <w:tc>
          <w:tcPr>
            <w:tcW w:w="0" w:type="auto"/>
            <w:gridSpan w:val="3"/>
            <w:tcBorders>
              <w:top w:val="single" w:sz="8" w:space="0" w:color="0071C5"/>
            </w:tcBorders>
            <w:shd w:val="clear" w:color="auto" w:fill="auto"/>
            <w:tcMar>
              <w:left w:w="20" w:type="dxa"/>
              <w:right w:w="20" w:type="dxa"/>
            </w:tcMar>
            <w:vAlign w:val="bottom"/>
          </w:tcPr>
          <w:p w14:paraId="36CA40A6"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40A7" w14:textId="77777777" w:rsidR="00787570" w:rsidRDefault="00787570">
            <w:pPr>
              <w:rPr>
                <w:rFonts w:ascii="宋体"/>
              </w:rPr>
            </w:pPr>
          </w:p>
        </w:tc>
        <w:tc>
          <w:tcPr>
            <w:tcW w:w="0" w:type="auto"/>
            <w:gridSpan w:val="3"/>
            <w:tcBorders>
              <w:top w:val="single" w:sz="8" w:space="0" w:color="0071C5"/>
            </w:tcBorders>
            <w:shd w:val="clear" w:color="auto" w:fill="auto"/>
            <w:tcMar>
              <w:left w:w="20" w:type="dxa"/>
              <w:right w:w="20" w:type="dxa"/>
            </w:tcMar>
            <w:vAlign w:val="bottom"/>
          </w:tcPr>
          <w:p w14:paraId="36CA40A8"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40A9" w14:textId="77777777" w:rsidR="00787570" w:rsidRDefault="00787570">
            <w:pPr>
              <w:rPr>
                <w:rFonts w:ascii="宋体"/>
              </w:rPr>
            </w:pPr>
          </w:p>
        </w:tc>
        <w:tc>
          <w:tcPr>
            <w:tcW w:w="0" w:type="auto"/>
            <w:gridSpan w:val="3"/>
            <w:tcBorders>
              <w:top w:val="single" w:sz="8" w:space="0" w:color="0071C5"/>
            </w:tcBorders>
            <w:shd w:val="clear" w:color="auto" w:fill="auto"/>
            <w:tcMar>
              <w:left w:w="20" w:type="dxa"/>
              <w:right w:w="20" w:type="dxa"/>
            </w:tcMar>
            <w:vAlign w:val="bottom"/>
          </w:tcPr>
          <w:p w14:paraId="36CA40AA"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40AB" w14:textId="77777777" w:rsidR="00787570" w:rsidRDefault="00787570">
            <w:pPr>
              <w:rPr>
                <w:rFonts w:ascii="宋体"/>
              </w:rPr>
            </w:pPr>
          </w:p>
        </w:tc>
        <w:tc>
          <w:tcPr>
            <w:tcW w:w="0" w:type="auto"/>
            <w:gridSpan w:val="3"/>
            <w:tcBorders>
              <w:top w:val="single" w:sz="8" w:space="0" w:color="0071C5"/>
            </w:tcBorders>
            <w:shd w:val="clear" w:color="auto" w:fill="auto"/>
            <w:tcMar>
              <w:left w:w="20" w:type="dxa"/>
              <w:right w:w="20" w:type="dxa"/>
            </w:tcMar>
            <w:vAlign w:val="bottom"/>
          </w:tcPr>
          <w:p w14:paraId="36CA40AC"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40AD" w14:textId="77777777" w:rsidR="00787570" w:rsidRDefault="00787570">
            <w:pPr>
              <w:rPr>
                <w:rFonts w:ascii="宋体"/>
              </w:rPr>
            </w:pPr>
          </w:p>
        </w:tc>
        <w:tc>
          <w:tcPr>
            <w:tcW w:w="0" w:type="auto"/>
            <w:gridSpan w:val="3"/>
            <w:tcBorders>
              <w:top w:val="single" w:sz="8" w:space="0" w:color="0071C5"/>
            </w:tcBorders>
            <w:shd w:val="clear" w:color="auto" w:fill="auto"/>
            <w:tcMar>
              <w:left w:w="20" w:type="dxa"/>
              <w:right w:w="20" w:type="dxa"/>
            </w:tcMar>
            <w:vAlign w:val="bottom"/>
          </w:tcPr>
          <w:p w14:paraId="36CA40AE"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40AF" w14:textId="77777777" w:rsidR="00787570" w:rsidRDefault="00787570">
            <w:pPr>
              <w:rPr>
                <w:rFonts w:ascii="宋体"/>
              </w:rPr>
            </w:pPr>
          </w:p>
        </w:tc>
        <w:tc>
          <w:tcPr>
            <w:tcW w:w="0" w:type="auto"/>
            <w:gridSpan w:val="3"/>
            <w:tcBorders>
              <w:top w:val="single" w:sz="8" w:space="0" w:color="0071C5"/>
            </w:tcBorders>
            <w:shd w:val="clear" w:color="auto" w:fill="auto"/>
            <w:tcMar>
              <w:left w:w="20" w:type="dxa"/>
              <w:right w:w="20" w:type="dxa"/>
            </w:tcMar>
            <w:vAlign w:val="bottom"/>
          </w:tcPr>
          <w:p w14:paraId="36CA40B0" w14:textId="77777777" w:rsidR="00787570" w:rsidRDefault="00787570">
            <w:pPr>
              <w:rPr>
                <w:rFonts w:ascii="宋体"/>
              </w:rPr>
            </w:pPr>
          </w:p>
        </w:tc>
        <w:tc>
          <w:tcPr>
            <w:tcW w:w="0" w:type="auto"/>
            <w:shd w:val="clear" w:color="auto" w:fill="auto"/>
          </w:tcPr>
          <w:p w14:paraId="36CA40B1" w14:textId="77777777" w:rsidR="00787570" w:rsidRDefault="00787570">
            <w:pPr>
              <w:rPr>
                <w:rFonts w:ascii="宋体"/>
              </w:rPr>
            </w:pPr>
          </w:p>
        </w:tc>
        <w:tc>
          <w:tcPr>
            <w:tcW w:w="0" w:type="auto"/>
            <w:shd w:val="clear" w:color="auto" w:fill="auto"/>
          </w:tcPr>
          <w:p w14:paraId="36CA40B2" w14:textId="77777777" w:rsidR="00787570" w:rsidRDefault="00787570">
            <w:pPr>
              <w:rPr>
                <w:rFonts w:ascii="宋体"/>
              </w:rPr>
            </w:pPr>
          </w:p>
        </w:tc>
        <w:tc>
          <w:tcPr>
            <w:tcW w:w="0" w:type="auto"/>
            <w:shd w:val="clear" w:color="auto" w:fill="auto"/>
          </w:tcPr>
          <w:p w14:paraId="36CA40B3" w14:textId="77777777" w:rsidR="00787570" w:rsidRDefault="00787570">
            <w:pPr>
              <w:rPr>
                <w:rFonts w:ascii="宋体"/>
              </w:rPr>
            </w:pPr>
          </w:p>
        </w:tc>
        <w:tc>
          <w:tcPr>
            <w:tcW w:w="0" w:type="auto"/>
            <w:shd w:val="clear" w:color="auto" w:fill="auto"/>
          </w:tcPr>
          <w:p w14:paraId="36CA40B4" w14:textId="77777777" w:rsidR="00787570" w:rsidRDefault="00787570">
            <w:pPr>
              <w:rPr>
                <w:rFonts w:ascii="宋体"/>
              </w:rPr>
            </w:pPr>
          </w:p>
        </w:tc>
        <w:tc>
          <w:tcPr>
            <w:tcW w:w="0" w:type="auto"/>
            <w:shd w:val="clear" w:color="auto" w:fill="auto"/>
          </w:tcPr>
          <w:p w14:paraId="36CA40B5" w14:textId="77777777" w:rsidR="00787570" w:rsidRDefault="00787570">
            <w:pPr>
              <w:rPr>
                <w:rFonts w:ascii="宋体"/>
              </w:rPr>
            </w:pPr>
          </w:p>
        </w:tc>
        <w:tc>
          <w:tcPr>
            <w:tcW w:w="0" w:type="auto"/>
            <w:shd w:val="clear" w:color="auto" w:fill="auto"/>
          </w:tcPr>
          <w:p w14:paraId="36CA40B6" w14:textId="77777777" w:rsidR="00787570" w:rsidRDefault="00787570">
            <w:pPr>
              <w:rPr>
                <w:rFonts w:ascii="宋体"/>
              </w:rPr>
            </w:pPr>
          </w:p>
        </w:tc>
        <w:tc>
          <w:tcPr>
            <w:tcW w:w="0" w:type="auto"/>
            <w:shd w:val="clear" w:color="auto" w:fill="auto"/>
          </w:tcPr>
          <w:p w14:paraId="36CA40B7" w14:textId="77777777" w:rsidR="00787570" w:rsidRDefault="00787570">
            <w:pPr>
              <w:rPr>
                <w:rFonts w:ascii="宋体"/>
              </w:rPr>
            </w:pPr>
          </w:p>
        </w:tc>
        <w:tc>
          <w:tcPr>
            <w:tcW w:w="0" w:type="auto"/>
            <w:shd w:val="clear" w:color="auto" w:fill="auto"/>
          </w:tcPr>
          <w:p w14:paraId="36CA40B8" w14:textId="77777777" w:rsidR="00787570" w:rsidRDefault="00787570">
            <w:pPr>
              <w:rPr>
                <w:rFonts w:ascii="宋体"/>
              </w:rPr>
            </w:pPr>
          </w:p>
        </w:tc>
        <w:tc>
          <w:tcPr>
            <w:tcW w:w="0" w:type="auto"/>
            <w:shd w:val="clear" w:color="auto" w:fill="auto"/>
          </w:tcPr>
          <w:p w14:paraId="36CA40B9" w14:textId="77777777" w:rsidR="00787570" w:rsidRDefault="00787570">
            <w:pPr>
              <w:rPr>
                <w:rFonts w:ascii="宋体"/>
              </w:rPr>
            </w:pPr>
          </w:p>
        </w:tc>
        <w:tc>
          <w:tcPr>
            <w:tcW w:w="0" w:type="auto"/>
            <w:shd w:val="clear" w:color="auto" w:fill="auto"/>
          </w:tcPr>
          <w:p w14:paraId="36CA40BA" w14:textId="77777777" w:rsidR="00787570" w:rsidRDefault="00787570">
            <w:pPr>
              <w:rPr>
                <w:rFonts w:ascii="宋体"/>
              </w:rPr>
            </w:pPr>
          </w:p>
        </w:tc>
        <w:tc>
          <w:tcPr>
            <w:tcW w:w="0" w:type="auto"/>
            <w:shd w:val="clear" w:color="auto" w:fill="auto"/>
          </w:tcPr>
          <w:p w14:paraId="36CA40BB" w14:textId="77777777" w:rsidR="00787570" w:rsidRDefault="00787570">
            <w:pPr>
              <w:rPr>
                <w:rFonts w:ascii="宋体"/>
              </w:rPr>
            </w:pPr>
          </w:p>
        </w:tc>
        <w:tc>
          <w:tcPr>
            <w:tcW w:w="0" w:type="auto"/>
            <w:shd w:val="clear" w:color="auto" w:fill="auto"/>
          </w:tcPr>
          <w:p w14:paraId="36CA40BC" w14:textId="77777777" w:rsidR="00787570" w:rsidRDefault="00787570">
            <w:pPr>
              <w:rPr>
                <w:rFonts w:ascii="宋体"/>
              </w:rPr>
            </w:pPr>
          </w:p>
        </w:tc>
        <w:tc>
          <w:tcPr>
            <w:tcW w:w="0" w:type="auto"/>
            <w:shd w:val="clear" w:color="auto" w:fill="auto"/>
          </w:tcPr>
          <w:p w14:paraId="36CA40BD" w14:textId="77777777" w:rsidR="00787570" w:rsidRDefault="00787570">
            <w:pPr>
              <w:rPr>
                <w:rFonts w:ascii="宋体"/>
              </w:rPr>
            </w:pPr>
          </w:p>
        </w:tc>
        <w:tc>
          <w:tcPr>
            <w:tcW w:w="0" w:type="auto"/>
            <w:shd w:val="clear" w:color="auto" w:fill="auto"/>
          </w:tcPr>
          <w:p w14:paraId="36CA40BE" w14:textId="77777777" w:rsidR="00787570" w:rsidRDefault="00787570">
            <w:pPr>
              <w:rPr>
                <w:rFonts w:ascii="宋体"/>
              </w:rPr>
            </w:pPr>
          </w:p>
        </w:tc>
        <w:tc>
          <w:tcPr>
            <w:tcW w:w="0" w:type="auto"/>
            <w:shd w:val="clear" w:color="auto" w:fill="auto"/>
          </w:tcPr>
          <w:p w14:paraId="36CA40BF" w14:textId="77777777" w:rsidR="00787570" w:rsidRDefault="00787570">
            <w:pPr>
              <w:rPr>
                <w:rFonts w:ascii="宋体"/>
              </w:rPr>
            </w:pPr>
          </w:p>
        </w:tc>
        <w:tc>
          <w:tcPr>
            <w:tcW w:w="0" w:type="auto"/>
            <w:shd w:val="clear" w:color="auto" w:fill="auto"/>
          </w:tcPr>
          <w:p w14:paraId="36CA40C0" w14:textId="77777777" w:rsidR="00787570" w:rsidRDefault="00787570">
            <w:pPr>
              <w:rPr>
                <w:rFonts w:ascii="宋体"/>
              </w:rPr>
            </w:pPr>
          </w:p>
        </w:tc>
        <w:tc>
          <w:tcPr>
            <w:tcW w:w="0" w:type="auto"/>
            <w:shd w:val="clear" w:color="auto" w:fill="auto"/>
          </w:tcPr>
          <w:p w14:paraId="36CA40C1" w14:textId="77777777" w:rsidR="00787570" w:rsidRDefault="00787570">
            <w:pPr>
              <w:rPr>
                <w:rFonts w:ascii="宋体"/>
              </w:rPr>
            </w:pPr>
          </w:p>
        </w:tc>
        <w:tc>
          <w:tcPr>
            <w:tcW w:w="0" w:type="auto"/>
            <w:shd w:val="clear" w:color="auto" w:fill="auto"/>
          </w:tcPr>
          <w:p w14:paraId="36CA40C2" w14:textId="77777777" w:rsidR="00787570" w:rsidRDefault="00787570">
            <w:pPr>
              <w:rPr>
                <w:rFonts w:ascii="宋体"/>
              </w:rPr>
            </w:pPr>
          </w:p>
        </w:tc>
        <w:tc>
          <w:tcPr>
            <w:tcW w:w="0" w:type="auto"/>
            <w:shd w:val="clear" w:color="auto" w:fill="auto"/>
          </w:tcPr>
          <w:p w14:paraId="36CA40C3" w14:textId="77777777" w:rsidR="00787570" w:rsidRDefault="00787570">
            <w:pPr>
              <w:rPr>
                <w:rFonts w:ascii="宋体"/>
              </w:rPr>
            </w:pPr>
          </w:p>
        </w:tc>
        <w:tc>
          <w:tcPr>
            <w:tcW w:w="0" w:type="auto"/>
            <w:shd w:val="clear" w:color="auto" w:fill="auto"/>
          </w:tcPr>
          <w:p w14:paraId="36CA40C4" w14:textId="77777777" w:rsidR="00787570" w:rsidRDefault="00787570">
            <w:pPr>
              <w:rPr>
                <w:rFonts w:ascii="宋体"/>
              </w:rPr>
            </w:pPr>
          </w:p>
        </w:tc>
        <w:tc>
          <w:tcPr>
            <w:tcW w:w="0" w:type="auto"/>
            <w:shd w:val="clear" w:color="auto" w:fill="auto"/>
          </w:tcPr>
          <w:p w14:paraId="36CA40C5" w14:textId="77777777" w:rsidR="00787570" w:rsidRDefault="00787570">
            <w:pPr>
              <w:rPr>
                <w:rFonts w:ascii="宋体"/>
              </w:rPr>
            </w:pPr>
          </w:p>
        </w:tc>
        <w:tc>
          <w:tcPr>
            <w:tcW w:w="0" w:type="auto"/>
            <w:shd w:val="clear" w:color="auto" w:fill="auto"/>
          </w:tcPr>
          <w:p w14:paraId="36CA40C6" w14:textId="77777777" w:rsidR="00787570" w:rsidRDefault="00787570">
            <w:pPr>
              <w:rPr>
                <w:rFonts w:ascii="宋体"/>
              </w:rPr>
            </w:pPr>
          </w:p>
        </w:tc>
        <w:tc>
          <w:tcPr>
            <w:tcW w:w="0" w:type="auto"/>
            <w:shd w:val="clear" w:color="auto" w:fill="auto"/>
          </w:tcPr>
          <w:p w14:paraId="36CA40C7" w14:textId="77777777" w:rsidR="00787570" w:rsidRDefault="00787570">
            <w:pPr>
              <w:rPr>
                <w:rFonts w:ascii="宋体"/>
              </w:rPr>
            </w:pPr>
          </w:p>
        </w:tc>
        <w:tc>
          <w:tcPr>
            <w:tcW w:w="0" w:type="auto"/>
            <w:shd w:val="clear" w:color="auto" w:fill="auto"/>
          </w:tcPr>
          <w:p w14:paraId="36CA40C8" w14:textId="77777777" w:rsidR="00787570" w:rsidRDefault="00787570">
            <w:pPr>
              <w:rPr>
                <w:rFonts w:ascii="宋体"/>
              </w:rPr>
            </w:pPr>
          </w:p>
        </w:tc>
      </w:tr>
      <w:tr w:rsidR="00787570" w14:paraId="36CA40FB" w14:textId="77777777">
        <w:tc>
          <w:tcPr>
            <w:tcW w:w="0" w:type="auto"/>
            <w:gridSpan w:val="3"/>
            <w:shd w:val="clear" w:color="auto" w:fill="auto"/>
            <w:tcMar>
              <w:top w:w="40" w:type="dxa"/>
              <w:left w:w="120" w:type="dxa"/>
              <w:bottom w:w="40" w:type="dxa"/>
              <w:right w:w="20" w:type="dxa"/>
            </w:tcMar>
          </w:tcPr>
          <w:p w14:paraId="36CA40CA" w14:textId="77777777" w:rsidR="00787570" w:rsidRDefault="000D56E2">
            <w:pPr>
              <w:textAlignment w:val="top"/>
            </w:pPr>
            <w:r>
              <w:rPr>
                <w:rFonts w:ascii="Arial" w:eastAsia="宋体" w:hAnsi="Arial" w:cs="Arial"/>
                <w:color w:val="333333"/>
                <w:sz w:val="18"/>
                <w:szCs w:val="18"/>
              </w:rPr>
              <w:t>Derivative assets subject to master</w:t>
            </w:r>
            <w:r>
              <w:rPr>
                <w:rFonts w:ascii="Arial" w:eastAsia="宋体" w:hAnsi="Arial" w:cs="Arial"/>
                <w:color w:val="333333"/>
                <w:sz w:val="18"/>
                <w:szCs w:val="18"/>
              </w:rPr>
              <w:br/>
              <w:t>netting arrangements</w:t>
            </w:r>
          </w:p>
        </w:tc>
        <w:tc>
          <w:tcPr>
            <w:tcW w:w="0" w:type="auto"/>
            <w:gridSpan w:val="3"/>
            <w:shd w:val="clear" w:color="auto" w:fill="auto"/>
            <w:tcMar>
              <w:left w:w="20" w:type="dxa"/>
              <w:right w:w="20" w:type="dxa"/>
            </w:tcMar>
            <w:vAlign w:val="bottom"/>
          </w:tcPr>
          <w:p w14:paraId="36CA40CB" w14:textId="77777777" w:rsidR="00787570" w:rsidRDefault="00787570">
            <w:pPr>
              <w:rPr>
                <w:rFonts w:ascii="宋体"/>
              </w:rPr>
            </w:pPr>
          </w:p>
        </w:tc>
        <w:tc>
          <w:tcPr>
            <w:tcW w:w="0" w:type="auto"/>
            <w:shd w:val="clear" w:color="auto" w:fill="auto"/>
            <w:tcMar>
              <w:top w:w="40" w:type="dxa"/>
              <w:left w:w="20" w:type="dxa"/>
              <w:bottom w:w="40" w:type="dxa"/>
            </w:tcMar>
            <w:vAlign w:val="bottom"/>
          </w:tcPr>
          <w:p w14:paraId="36CA40CC" w14:textId="77777777" w:rsidR="00787570" w:rsidRDefault="000D56E2">
            <w:pPr>
              <w:textAlignment w:val="bottom"/>
            </w:pPr>
            <w:r>
              <w:rPr>
                <w:rFonts w:ascii="Arial" w:eastAsia="宋体" w:hAnsi="Arial" w:cs="Arial"/>
                <w:color w:val="333333"/>
                <w:sz w:val="18"/>
                <w:szCs w:val="18"/>
              </w:rPr>
              <w:t>$</w:t>
            </w:r>
          </w:p>
        </w:tc>
        <w:tc>
          <w:tcPr>
            <w:tcW w:w="0" w:type="auto"/>
            <w:shd w:val="clear" w:color="auto" w:fill="auto"/>
            <w:tcMar>
              <w:top w:w="40" w:type="dxa"/>
              <w:bottom w:w="40" w:type="dxa"/>
              <w:right w:w="0" w:type="dxa"/>
            </w:tcMar>
            <w:vAlign w:val="bottom"/>
          </w:tcPr>
          <w:p w14:paraId="36CA40CD" w14:textId="77777777" w:rsidR="00787570" w:rsidRDefault="000D56E2">
            <w:pPr>
              <w:jc w:val="right"/>
              <w:textAlignment w:val="bottom"/>
            </w:pPr>
            <w:r>
              <w:rPr>
                <w:rFonts w:ascii="Arial" w:eastAsia="宋体" w:hAnsi="Arial" w:cs="Arial"/>
                <w:color w:val="333333"/>
                <w:sz w:val="18"/>
                <w:szCs w:val="18"/>
              </w:rPr>
              <w:t>974 </w:t>
            </w:r>
          </w:p>
        </w:tc>
        <w:tc>
          <w:tcPr>
            <w:tcW w:w="0" w:type="auto"/>
            <w:shd w:val="clear" w:color="auto" w:fill="auto"/>
            <w:tcMar>
              <w:top w:w="40" w:type="dxa"/>
              <w:bottom w:w="40" w:type="dxa"/>
              <w:right w:w="20" w:type="dxa"/>
            </w:tcMar>
            <w:vAlign w:val="bottom"/>
          </w:tcPr>
          <w:p w14:paraId="36CA40CE"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40CF" w14:textId="77777777" w:rsidR="00787570" w:rsidRDefault="00787570">
            <w:pPr>
              <w:rPr>
                <w:rFonts w:ascii="宋体"/>
              </w:rPr>
            </w:pPr>
          </w:p>
        </w:tc>
        <w:tc>
          <w:tcPr>
            <w:tcW w:w="0" w:type="auto"/>
            <w:shd w:val="clear" w:color="auto" w:fill="auto"/>
            <w:tcMar>
              <w:top w:w="40" w:type="dxa"/>
              <w:left w:w="20" w:type="dxa"/>
              <w:bottom w:w="40" w:type="dxa"/>
            </w:tcMar>
            <w:vAlign w:val="bottom"/>
          </w:tcPr>
          <w:p w14:paraId="36CA40D0" w14:textId="77777777" w:rsidR="00787570" w:rsidRDefault="000D56E2">
            <w:pPr>
              <w:textAlignment w:val="bottom"/>
            </w:pPr>
            <w:r>
              <w:rPr>
                <w:rFonts w:ascii="Arial" w:eastAsia="宋体" w:hAnsi="Arial" w:cs="Arial"/>
                <w:color w:val="333333"/>
                <w:sz w:val="18"/>
                <w:szCs w:val="18"/>
              </w:rPr>
              <w:t>$</w:t>
            </w:r>
          </w:p>
        </w:tc>
        <w:tc>
          <w:tcPr>
            <w:tcW w:w="0" w:type="auto"/>
            <w:shd w:val="clear" w:color="auto" w:fill="auto"/>
            <w:tcMar>
              <w:top w:w="40" w:type="dxa"/>
              <w:bottom w:w="40" w:type="dxa"/>
              <w:right w:w="0" w:type="dxa"/>
            </w:tcMar>
            <w:vAlign w:val="bottom"/>
          </w:tcPr>
          <w:p w14:paraId="36CA40D1" w14:textId="77777777" w:rsidR="00787570" w:rsidRDefault="000D56E2">
            <w:pPr>
              <w:jc w:val="right"/>
              <w:textAlignment w:val="bottom"/>
            </w:pPr>
            <w:r>
              <w:rPr>
                <w:rFonts w:ascii="Arial" w:eastAsia="宋体" w:hAnsi="Arial" w:cs="Arial"/>
                <w:color w:val="333333"/>
                <w:sz w:val="18"/>
                <w:szCs w:val="18"/>
              </w:rPr>
              <w:t>— </w:t>
            </w:r>
          </w:p>
        </w:tc>
        <w:tc>
          <w:tcPr>
            <w:tcW w:w="0" w:type="auto"/>
            <w:shd w:val="clear" w:color="auto" w:fill="auto"/>
            <w:tcMar>
              <w:top w:w="40" w:type="dxa"/>
              <w:bottom w:w="40" w:type="dxa"/>
              <w:right w:w="20" w:type="dxa"/>
            </w:tcMar>
            <w:vAlign w:val="bottom"/>
          </w:tcPr>
          <w:p w14:paraId="36CA40D2"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40D3" w14:textId="77777777" w:rsidR="00787570" w:rsidRDefault="00787570">
            <w:pPr>
              <w:rPr>
                <w:rFonts w:ascii="宋体"/>
              </w:rPr>
            </w:pPr>
          </w:p>
        </w:tc>
        <w:tc>
          <w:tcPr>
            <w:tcW w:w="0" w:type="auto"/>
            <w:shd w:val="clear" w:color="auto" w:fill="auto"/>
            <w:tcMar>
              <w:top w:w="40" w:type="dxa"/>
              <w:left w:w="20" w:type="dxa"/>
              <w:bottom w:w="40" w:type="dxa"/>
            </w:tcMar>
            <w:vAlign w:val="bottom"/>
          </w:tcPr>
          <w:p w14:paraId="36CA40D4" w14:textId="77777777" w:rsidR="00787570" w:rsidRDefault="000D56E2">
            <w:pPr>
              <w:textAlignment w:val="bottom"/>
            </w:pPr>
            <w:r>
              <w:rPr>
                <w:rFonts w:ascii="Arial" w:eastAsia="宋体" w:hAnsi="Arial" w:cs="Arial"/>
                <w:color w:val="333333"/>
                <w:sz w:val="18"/>
                <w:szCs w:val="18"/>
              </w:rPr>
              <w:t>$</w:t>
            </w:r>
          </w:p>
        </w:tc>
        <w:tc>
          <w:tcPr>
            <w:tcW w:w="0" w:type="auto"/>
            <w:shd w:val="clear" w:color="auto" w:fill="auto"/>
            <w:tcMar>
              <w:top w:w="40" w:type="dxa"/>
              <w:bottom w:w="40" w:type="dxa"/>
              <w:right w:w="0" w:type="dxa"/>
            </w:tcMar>
            <w:vAlign w:val="bottom"/>
          </w:tcPr>
          <w:p w14:paraId="36CA40D5" w14:textId="77777777" w:rsidR="00787570" w:rsidRDefault="000D56E2">
            <w:pPr>
              <w:jc w:val="right"/>
              <w:textAlignment w:val="bottom"/>
            </w:pPr>
            <w:r>
              <w:rPr>
                <w:rFonts w:ascii="Arial" w:eastAsia="宋体" w:hAnsi="Arial" w:cs="Arial"/>
                <w:color w:val="333333"/>
                <w:sz w:val="18"/>
                <w:szCs w:val="18"/>
              </w:rPr>
              <w:t>974 </w:t>
            </w:r>
          </w:p>
        </w:tc>
        <w:tc>
          <w:tcPr>
            <w:tcW w:w="0" w:type="auto"/>
            <w:shd w:val="clear" w:color="auto" w:fill="auto"/>
            <w:tcMar>
              <w:top w:w="40" w:type="dxa"/>
              <w:bottom w:w="40" w:type="dxa"/>
              <w:right w:w="20" w:type="dxa"/>
            </w:tcMar>
            <w:vAlign w:val="bottom"/>
          </w:tcPr>
          <w:p w14:paraId="36CA40D6"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40D7" w14:textId="77777777" w:rsidR="00787570" w:rsidRDefault="00787570">
            <w:pPr>
              <w:rPr>
                <w:rFonts w:ascii="宋体"/>
              </w:rPr>
            </w:pPr>
          </w:p>
        </w:tc>
        <w:tc>
          <w:tcPr>
            <w:tcW w:w="0" w:type="auto"/>
            <w:shd w:val="clear" w:color="auto" w:fill="auto"/>
            <w:tcMar>
              <w:top w:w="40" w:type="dxa"/>
              <w:left w:w="20" w:type="dxa"/>
              <w:bottom w:w="40" w:type="dxa"/>
            </w:tcMar>
            <w:vAlign w:val="bottom"/>
          </w:tcPr>
          <w:p w14:paraId="36CA40D8" w14:textId="77777777" w:rsidR="00787570" w:rsidRDefault="000D56E2">
            <w:pPr>
              <w:textAlignment w:val="bottom"/>
            </w:pPr>
            <w:r>
              <w:rPr>
                <w:rFonts w:ascii="Arial" w:eastAsia="宋体" w:hAnsi="Arial" w:cs="Arial"/>
                <w:color w:val="333333"/>
                <w:sz w:val="18"/>
                <w:szCs w:val="18"/>
              </w:rPr>
              <w:t>$</w:t>
            </w:r>
          </w:p>
        </w:tc>
        <w:tc>
          <w:tcPr>
            <w:tcW w:w="0" w:type="auto"/>
            <w:shd w:val="clear" w:color="auto" w:fill="auto"/>
            <w:tcMar>
              <w:top w:w="40" w:type="dxa"/>
              <w:bottom w:w="40" w:type="dxa"/>
              <w:right w:w="0" w:type="dxa"/>
            </w:tcMar>
            <w:vAlign w:val="bottom"/>
          </w:tcPr>
          <w:p w14:paraId="36CA40D9" w14:textId="77777777" w:rsidR="00787570" w:rsidRDefault="000D56E2">
            <w:pPr>
              <w:jc w:val="right"/>
              <w:textAlignment w:val="bottom"/>
            </w:pPr>
            <w:r>
              <w:rPr>
                <w:rFonts w:ascii="Arial" w:eastAsia="宋体" w:hAnsi="Arial" w:cs="Arial"/>
                <w:color w:val="333333"/>
                <w:sz w:val="18"/>
                <w:szCs w:val="18"/>
              </w:rPr>
              <w:t>(144)</w:t>
            </w:r>
          </w:p>
        </w:tc>
        <w:tc>
          <w:tcPr>
            <w:tcW w:w="0" w:type="auto"/>
            <w:shd w:val="clear" w:color="auto" w:fill="auto"/>
            <w:tcMar>
              <w:top w:w="40" w:type="dxa"/>
              <w:bottom w:w="40" w:type="dxa"/>
              <w:right w:w="20" w:type="dxa"/>
            </w:tcMar>
            <w:vAlign w:val="bottom"/>
          </w:tcPr>
          <w:p w14:paraId="36CA40DA"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40DB" w14:textId="77777777" w:rsidR="00787570" w:rsidRDefault="00787570">
            <w:pPr>
              <w:rPr>
                <w:rFonts w:ascii="宋体"/>
              </w:rPr>
            </w:pPr>
          </w:p>
        </w:tc>
        <w:tc>
          <w:tcPr>
            <w:tcW w:w="0" w:type="auto"/>
            <w:shd w:val="clear" w:color="auto" w:fill="auto"/>
            <w:tcMar>
              <w:top w:w="40" w:type="dxa"/>
              <w:left w:w="20" w:type="dxa"/>
              <w:bottom w:w="40" w:type="dxa"/>
            </w:tcMar>
            <w:vAlign w:val="bottom"/>
          </w:tcPr>
          <w:p w14:paraId="36CA40DC" w14:textId="77777777" w:rsidR="00787570" w:rsidRDefault="000D56E2">
            <w:pPr>
              <w:textAlignment w:val="bottom"/>
            </w:pPr>
            <w:r>
              <w:rPr>
                <w:rFonts w:ascii="Arial" w:eastAsia="宋体" w:hAnsi="Arial" w:cs="Arial"/>
                <w:color w:val="333333"/>
                <w:sz w:val="18"/>
                <w:szCs w:val="18"/>
              </w:rPr>
              <w:t>$</w:t>
            </w:r>
          </w:p>
        </w:tc>
        <w:tc>
          <w:tcPr>
            <w:tcW w:w="0" w:type="auto"/>
            <w:shd w:val="clear" w:color="auto" w:fill="auto"/>
            <w:tcMar>
              <w:top w:w="40" w:type="dxa"/>
              <w:bottom w:w="40" w:type="dxa"/>
              <w:right w:w="0" w:type="dxa"/>
            </w:tcMar>
            <w:vAlign w:val="bottom"/>
          </w:tcPr>
          <w:p w14:paraId="36CA40DD" w14:textId="77777777" w:rsidR="00787570" w:rsidRDefault="000D56E2">
            <w:pPr>
              <w:jc w:val="right"/>
              <w:textAlignment w:val="bottom"/>
            </w:pPr>
            <w:r>
              <w:rPr>
                <w:rFonts w:ascii="Arial" w:eastAsia="宋体" w:hAnsi="Arial" w:cs="Arial"/>
                <w:color w:val="333333"/>
                <w:sz w:val="18"/>
                <w:szCs w:val="18"/>
              </w:rPr>
              <w:t>(808)</w:t>
            </w:r>
          </w:p>
        </w:tc>
        <w:tc>
          <w:tcPr>
            <w:tcW w:w="0" w:type="auto"/>
            <w:shd w:val="clear" w:color="auto" w:fill="auto"/>
            <w:tcMar>
              <w:top w:w="40" w:type="dxa"/>
              <w:bottom w:w="40" w:type="dxa"/>
              <w:right w:w="20" w:type="dxa"/>
            </w:tcMar>
            <w:vAlign w:val="bottom"/>
          </w:tcPr>
          <w:p w14:paraId="36CA40DE"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40DF" w14:textId="77777777" w:rsidR="00787570" w:rsidRDefault="00787570">
            <w:pPr>
              <w:rPr>
                <w:rFonts w:ascii="宋体"/>
              </w:rPr>
            </w:pPr>
          </w:p>
        </w:tc>
        <w:tc>
          <w:tcPr>
            <w:tcW w:w="0" w:type="auto"/>
            <w:shd w:val="clear" w:color="auto" w:fill="auto"/>
            <w:tcMar>
              <w:top w:w="40" w:type="dxa"/>
              <w:left w:w="20" w:type="dxa"/>
              <w:bottom w:w="40" w:type="dxa"/>
            </w:tcMar>
            <w:vAlign w:val="bottom"/>
          </w:tcPr>
          <w:p w14:paraId="36CA40E0" w14:textId="77777777" w:rsidR="00787570" w:rsidRDefault="000D56E2">
            <w:pPr>
              <w:textAlignment w:val="bottom"/>
            </w:pPr>
            <w:r>
              <w:rPr>
                <w:rFonts w:ascii="Arial" w:eastAsia="宋体" w:hAnsi="Arial" w:cs="Arial"/>
                <w:color w:val="333333"/>
                <w:sz w:val="18"/>
                <w:szCs w:val="18"/>
              </w:rPr>
              <w:t>$</w:t>
            </w:r>
          </w:p>
        </w:tc>
        <w:tc>
          <w:tcPr>
            <w:tcW w:w="0" w:type="auto"/>
            <w:shd w:val="clear" w:color="auto" w:fill="auto"/>
            <w:tcMar>
              <w:top w:w="40" w:type="dxa"/>
              <w:bottom w:w="40" w:type="dxa"/>
              <w:right w:w="0" w:type="dxa"/>
            </w:tcMar>
            <w:vAlign w:val="bottom"/>
          </w:tcPr>
          <w:p w14:paraId="36CA40E1" w14:textId="77777777" w:rsidR="00787570" w:rsidRDefault="000D56E2">
            <w:pPr>
              <w:jc w:val="right"/>
              <w:textAlignment w:val="bottom"/>
            </w:pPr>
            <w:r>
              <w:rPr>
                <w:rFonts w:ascii="Arial" w:eastAsia="宋体" w:hAnsi="Arial" w:cs="Arial"/>
                <w:color w:val="333333"/>
                <w:sz w:val="18"/>
                <w:szCs w:val="18"/>
              </w:rPr>
              <w:t>22 </w:t>
            </w:r>
          </w:p>
        </w:tc>
        <w:tc>
          <w:tcPr>
            <w:tcW w:w="0" w:type="auto"/>
            <w:shd w:val="clear" w:color="auto" w:fill="auto"/>
            <w:tcMar>
              <w:top w:w="40" w:type="dxa"/>
              <w:bottom w:w="40" w:type="dxa"/>
              <w:right w:w="20" w:type="dxa"/>
            </w:tcMar>
            <w:vAlign w:val="bottom"/>
          </w:tcPr>
          <w:p w14:paraId="36CA40E2" w14:textId="77777777" w:rsidR="00787570" w:rsidRDefault="00787570">
            <w:pPr>
              <w:jc w:val="right"/>
              <w:rPr>
                <w:rFonts w:ascii="宋体"/>
              </w:rPr>
            </w:pPr>
          </w:p>
        </w:tc>
        <w:tc>
          <w:tcPr>
            <w:tcW w:w="0" w:type="auto"/>
            <w:shd w:val="clear" w:color="auto" w:fill="auto"/>
          </w:tcPr>
          <w:p w14:paraId="36CA40E3" w14:textId="77777777" w:rsidR="00787570" w:rsidRDefault="00787570">
            <w:pPr>
              <w:rPr>
                <w:rFonts w:ascii="宋体"/>
              </w:rPr>
            </w:pPr>
          </w:p>
        </w:tc>
        <w:tc>
          <w:tcPr>
            <w:tcW w:w="0" w:type="auto"/>
            <w:shd w:val="clear" w:color="auto" w:fill="auto"/>
          </w:tcPr>
          <w:p w14:paraId="36CA40E4" w14:textId="77777777" w:rsidR="00787570" w:rsidRDefault="00787570">
            <w:pPr>
              <w:rPr>
                <w:rFonts w:ascii="宋体"/>
              </w:rPr>
            </w:pPr>
          </w:p>
        </w:tc>
        <w:tc>
          <w:tcPr>
            <w:tcW w:w="0" w:type="auto"/>
            <w:shd w:val="clear" w:color="auto" w:fill="auto"/>
          </w:tcPr>
          <w:p w14:paraId="36CA40E5" w14:textId="77777777" w:rsidR="00787570" w:rsidRDefault="00787570">
            <w:pPr>
              <w:rPr>
                <w:rFonts w:ascii="宋体"/>
              </w:rPr>
            </w:pPr>
          </w:p>
        </w:tc>
        <w:tc>
          <w:tcPr>
            <w:tcW w:w="0" w:type="auto"/>
            <w:shd w:val="clear" w:color="auto" w:fill="auto"/>
          </w:tcPr>
          <w:p w14:paraId="36CA40E6" w14:textId="77777777" w:rsidR="00787570" w:rsidRDefault="00787570">
            <w:pPr>
              <w:rPr>
                <w:rFonts w:ascii="宋体"/>
              </w:rPr>
            </w:pPr>
          </w:p>
        </w:tc>
        <w:tc>
          <w:tcPr>
            <w:tcW w:w="0" w:type="auto"/>
            <w:shd w:val="clear" w:color="auto" w:fill="auto"/>
          </w:tcPr>
          <w:p w14:paraId="36CA40E7" w14:textId="77777777" w:rsidR="00787570" w:rsidRDefault="00787570">
            <w:pPr>
              <w:rPr>
                <w:rFonts w:ascii="宋体"/>
              </w:rPr>
            </w:pPr>
          </w:p>
        </w:tc>
        <w:tc>
          <w:tcPr>
            <w:tcW w:w="0" w:type="auto"/>
            <w:shd w:val="clear" w:color="auto" w:fill="auto"/>
          </w:tcPr>
          <w:p w14:paraId="36CA40E8" w14:textId="77777777" w:rsidR="00787570" w:rsidRDefault="00787570">
            <w:pPr>
              <w:rPr>
                <w:rFonts w:ascii="宋体"/>
              </w:rPr>
            </w:pPr>
          </w:p>
        </w:tc>
        <w:tc>
          <w:tcPr>
            <w:tcW w:w="0" w:type="auto"/>
            <w:shd w:val="clear" w:color="auto" w:fill="auto"/>
          </w:tcPr>
          <w:p w14:paraId="36CA40E9" w14:textId="77777777" w:rsidR="00787570" w:rsidRDefault="00787570">
            <w:pPr>
              <w:rPr>
                <w:rFonts w:ascii="宋体"/>
              </w:rPr>
            </w:pPr>
          </w:p>
        </w:tc>
        <w:tc>
          <w:tcPr>
            <w:tcW w:w="0" w:type="auto"/>
            <w:shd w:val="clear" w:color="auto" w:fill="auto"/>
          </w:tcPr>
          <w:p w14:paraId="36CA40EA" w14:textId="77777777" w:rsidR="00787570" w:rsidRDefault="00787570">
            <w:pPr>
              <w:rPr>
                <w:rFonts w:ascii="宋体"/>
              </w:rPr>
            </w:pPr>
          </w:p>
        </w:tc>
        <w:tc>
          <w:tcPr>
            <w:tcW w:w="0" w:type="auto"/>
            <w:shd w:val="clear" w:color="auto" w:fill="auto"/>
          </w:tcPr>
          <w:p w14:paraId="36CA40EB" w14:textId="77777777" w:rsidR="00787570" w:rsidRDefault="00787570">
            <w:pPr>
              <w:rPr>
                <w:rFonts w:ascii="宋体"/>
              </w:rPr>
            </w:pPr>
          </w:p>
        </w:tc>
        <w:tc>
          <w:tcPr>
            <w:tcW w:w="0" w:type="auto"/>
            <w:shd w:val="clear" w:color="auto" w:fill="auto"/>
          </w:tcPr>
          <w:p w14:paraId="36CA40EC" w14:textId="77777777" w:rsidR="00787570" w:rsidRDefault="00787570">
            <w:pPr>
              <w:rPr>
                <w:rFonts w:ascii="宋体"/>
              </w:rPr>
            </w:pPr>
          </w:p>
        </w:tc>
        <w:tc>
          <w:tcPr>
            <w:tcW w:w="0" w:type="auto"/>
            <w:shd w:val="clear" w:color="auto" w:fill="auto"/>
          </w:tcPr>
          <w:p w14:paraId="36CA40ED" w14:textId="77777777" w:rsidR="00787570" w:rsidRDefault="00787570">
            <w:pPr>
              <w:rPr>
                <w:rFonts w:ascii="宋体"/>
              </w:rPr>
            </w:pPr>
          </w:p>
        </w:tc>
        <w:tc>
          <w:tcPr>
            <w:tcW w:w="0" w:type="auto"/>
            <w:shd w:val="clear" w:color="auto" w:fill="auto"/>
          </w:tcPr>
          <w:p w14:paraId="36CA40EE" w14:textId="77777777" w:rsidR="00787570" w:rsidRDefault="00787570">
            <w:pPr>
              <w:rPr>
                <w:rFonts w:ascii="宋体"/>
              </w:rPr>
            </w:pPr>
          </w:p>
        </w:tc>
        <w:tc>
          <w:tcPr>
            <w:tcW w:w="0" w:type="auto"/>
            <w:shd w:val="clear" w:color="auto" w:fill="auto"/>
          </w:tcPr>
          <w:p w14:paraId="36CA40EF" w14:textId="77777777" w:rsidR="00787570" w:rsidRDefault="00787570">
            <w:pPr>
              <w:rPr>
                <w:rFonts w:ascii="宋体"/>
              </w:rPr>
            </w:pPr>
          </w:p>
        </w:tc>
        <w:tc>
          <w:tcPr>
            <w:tcW w:w="0" w:type="auto"/>
            <w:shd w:val="clear" w:color="auto" w:fill="auto"/>
          </w:tcPr>
          <w:p w14:paraId="36CA40F0" w14:textId="77777777" w:rsidR="00787570" w:rsidRDefault="00787570">
            <w:pPr>
              <w:rPr>
                <w:rFonts w:ascii="宋体"/>
              </w:rPr>
            </w:pPr>
          </w:p>
        </w:tc>
        <w:tc>
          <w:tcPr>
            <w:tcW w:w="0" w:type="auto"/>
            <w:shd w:val="clear" w:color="auto" w:fill="auto"/>
          </w:tcPr>
          <w:p w14:paraId="36CA40F1" w14:textId="77777777" w:rsidR="00787570" w:rsidRDefault="00787570">
            <w:pPr>
              <w:rPr>
                <w:rFonts w:ascii="宋体"/>
              </w:rPr>
            </w:pPr>
          </w:p>
        </w:tc>
        <w:tc>
          <w:tcPr>
            <w:tcW w:w="0" w:type="auto"/>
            <w:shd w:val="clear" w:color="auto" w:fill="auto"/>
          </w:tcPr>
          <w:p w14:paraId="36CA40F2" w14:textId="77777777" w:rsidR="00787570" w:rsidRDefault="00787570">
            <w:pPr>
              <w:rPr>
                <w:rFonts w:ascii="宋体"/>
              </w:rPr>
            </w:pPr>
          </w:p>
        </w:tc>
        <w:tc>
          <w:tcPr>
            <w:tcW w:w="0" w:type="auto"/>
            <w:shd w:val="clear" w:color="auto" w:fill="auto"/>
          </w:tcPr>
          <w:p w14:paraId="36CA40F3" w14:textId="77777777" w:rsidR="00787570" w:rsidRDefault="00787570">
            <w:pPr>
              <w:rPr>
                <w:rFonts w:ascii="宋体"/>
              </w:rPr>
            </w:pPr>
          </w:p>
        </w:tc>
        <w:tc>
          <w:tcPr>
            <w:tcW w:w="0" w:type="auto"/>
            <w:shd w:val="clear" w:color="auto" w:fill="auto"/>
          </w:tcPr>
          <w:p w14:paraId="36CA40F4" w14:textId="77777777" w:rsidR="00787570" w:rsidRDefault="00787570">
            <w:pPr>
              <w:rPr>
                <w:rFonts w:ascii="宋体"/>
              </w:rPr>
            </w:pPr>
          </w:p>
        </w:tc>
        <w:tc>
          <w:tcPr>
            <w:tcW w:w="0" w:type="auto"/>
            <w:shd w:val="clear" w:color="auto" w:fill="auto"/>
          </w:tcPr>
          <w:p w14:paraId="36CA40F5" w14:textId="77777777" w:rsidR="00787570" w:rsidRDefault="00787570">
            <w:pPr>
              <w:rPr>
                <w:rFonts w:ascii="宋体"/>
              </w:rPr>
            </w:pPr>
          </w:p>
        </w:tc>
        <w:tc>
          <w:tcPr>
            <w:tcW w:w="0" w:type="auto"/>
            <w:shd w:val="clear" w:color="auto" w:fill="auto"/>
          </w:tcPr>
          <w:p w14:paraId="36CA40F6" w14:textId="77777777" w:rsidR="00787570" w:rsidRDefault="00787570">
            <w:pPr>
              <w:rPr>
                <w:rFonts w:ascii="宋体"/>
              </w:rPr>
            </w:pPr>
          </w:p>
        </w:tc>
        <w:tc>
          <w:tcPr>
            <w:tcW w:w="0" w:type="auto"/>
            <w:shd w:val="clear" w:color="auto" w:fill="auto"/>
          </w:tcPr>
          <w:p w14:paraId="36CA40F7" w14:textId="77777777" w:rsidR="00787570" w:rsidRDefault="00787570">
            <w:pPr>
              <w:rPr>
                <w:rFonts w:ascii="宋体"/>
              </w:rPr>
            </w:pPr>
          </w:p>
        </w:tc>
        <w:tc>
          <w:tcPr>
            <w:tcW w:w="0" w:type="auto"/>
            <w:shd w:val="clear" w:color="auto" w:fill="auto"/>
          </w:tcPr>
          <w:p w14:paraId="36CA40F8" w14:textId="77777777" w:rsidR="00787570" w:rsidRDefault="00787570">
            <w:pPr>
              <w:rPr>
                <w:rFonts w:ascii="宋体"/>
              </w:rPr>
            </w:pPr>
          </w:p>
        </w:tc>
        <w:tc>
          <w:tcPr>
            <w:tcW w:w="0" w:type="auto"/>
            <w:shd w:val="clear" w:color="auto" w:fill="auto"/>
          </w:tcPr>
          <w:p w14:paraId="36CA40F9" w14:textId="77777777" w:rsidR="00787570" w:rsidRDefault="00787570">
            <w:pPr>
              <w:rPr>
                <w:rFonts w:ascii="宋体"/>
              </w:rPr>
            </w:pPr>
          </w:p>
        </w:tc>
        <w:tc>
          <w:tcPr>
            <w:tcW w:w="0" w:type="auto"/>
            <w:shd w:val="clear" w:color="auto" w:fill="auto"/>
          </w:tcPr>
          <w:p w14:paraId="36CA40FA" w14:textId="77777777" w:rsidR="00787570" w:rsidRDefault="00787570">
            <w:pPr>
              <w:rPr>
                <w:rFonts w:ascii="宋体"/>
              </w:rPr>
            </w:pPr>
          </w:p>
        </w:tc>
      </w:tr>
      <w:tr w:rsidR="00787570" w14:paraId="36CA4127" w14:textId="77777777">
        <w:tc>
          <w:tcPr>
            <w:tcW w:w="0" w:type="auto"/>
            <w:gridSpan w:val="3"/>
            <w:shd w:val="clear" w:color="auto" w:fill="auto"/>
            <w:tcMar>
              <w:top w:w="40" w:type="dxa"/>
              <w:left w:w="120" w:type="dxa"/>
              <w:bottom w:w="40" w:type="dxa"/>
              <w:right w:w="20" w:type="dxa"/>
            </w:tcMar>
            <w:vAlign w:val="bottom"/>
          </w:tcPr>
          <w:p w14:paraId="36CA40FC" w14:textId="77777777" w:rsidR="00787570" w:rsidRDefault="000D56E2">
            <w:pPr>
              <w:textAlignment w:val="bottom"/>
            </w:pPr>
            <w:r>
              <w:rPr>
                <w:rFonts w:ascii="Arial" w:eastAsia="宋体" w:hAnsi="Arial" w:cs="Arial"/>
                <w:color w:val="333333"/>
                <w:sz w:val="18"/>
                <w:szCs w:val="18"/>
              </w:rPr>
              <w:t>Reverse repurchase agreements</w:t>
            </w:r>
          </w:p>
        </w:tc>
        <w:tc>
          <w:tcPr>
            <w:tcW w:w="0" w:type="auto"/>
            <w:gridSpan w:val="3"/>
            <w:shd w:val="clear" w:color="auto" w:fill="auto"/>
            <w:tcMar>
              <w:left w:w="20" w:type="dxa"/>
              <w:right w:w="20" w:type="dxa"/>
            </w:tcMar>
            <w:vAlign w:val="bottom"/>
          </w:tcPr>
          <w:p w14:paraId="36CA40FD"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40FE" w14:textId="77777777" w:rsidR="00787570" w:rsidRDefault="000D56E2">
            <w:pPr>
              <w:jc w:val="right"/>
              <w:textAlignment w:val="bottom"/>
            </w:pPr>
            <w:r>
              <w:rPr>
                <w:rFonts w:ascii="Arial" w:eastAsia="宋体" w:hAnsi="Arial" w:cs="Arial"/>
                <w:color w:val="333333"/>
                <w:sz w:val="18"/>
                <w:szCs w:val="18"/>
              </w:rPr>
              <w:t>1,850 </w:t>
            </w:r>
          </w:p>
        </w:tc>
        <w:tc>
          <w:tcPr>
            <w:tcW w:w="0" w:type="auto"/>
            <w:shd w:val="clear" w:color="auto" w:fill="auto"/>
            <w:tcMar>
              <w:top w:w="40" w:type="dxa"/>
              <w:bottom w:w="40" w:type="dxa"/>
              <w:right w:w="20" w:type="dxa"/>
            </w:tcMar>
            <w:vAlign w:val="bottom"/>
          </w:tcPr>
          <w:p w14:paraId="36CA40FF"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4100"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4101" w14:textId="77777777" w:rsidR="00787570" w:rsidRDefault="000D56E2">
            <w:pPr>
              <w:jc w:val="right"/>
              <w:textAlignment w:val="bottom"/>
            </w:pPr>
            <w:r>
              <w:rPr>
                <w:rFonts w:ascii="Arial" w:eastAsia="宋体" w:hAnsi="Arial" w:cs="Arial"/>
                <w:color w:val="333333"/>
                <w:sz w:val="18"/>
                <w:szCs w:val="18"/>
              </w:rPr>
              <w:t>— </w:t>
            </w:r>
          </w:p>
        </w:tc>
        <w:tc>
          <w:tcPr>
            <w:tcW w:w="0" w:type="auto"/>
            <w:shd w:val="clear" w:color="auto" w:fill="auto"/>
            <w:tcMar>
              <w:top w:w="40" w:type="dxa"/>
              <w:bottom w:w="40" w:type="dxa"/>
              <w:right w:w="20" w:type="dxa"/>
            </w:tcMar>
            <w:vAlign w:val="bottom"/>
          </w:tcPr>
          <w:p w14:paraId="36CA4102"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4103"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4104" w14:textId="77777777" w:rsidR="00787570" w:rsidRDefault="000D56E2">
            <w:pPr>
              <w:jc w:val="right"/>
              <w:textAlignment w:val="bottom"/>
            </w:pPr>
            <w:r>
              <w:rPr>
                <w:rFonts w:ascii="Arial" w:eastAsia="宋体" w:hAnsi="Arial" w:cs="Arial"/>
                <w:color w:val="333333"/>
                <w:sz w:val="18"/>
                <w:szCs w:val="18"/>
              </w:rPr>
              <w:t>1,850 </w:t>
            </w:r>
          </w:p>
        </w:tc>
        <w:tc>
          <w:tcPr>
            <w:tcW w:w="0" w:type="auto"/>
            <w:shd w:val="clear" w:color="auto" w:fill="auto"/>
            <w:tcMar>
              <w:top w:w="40" w:type="dxa"/>
              <w:bottom w:w="40" w:type="dxa"/>
              <w:right w:w="20" w:type="dxa"/>
            </w:tcMar>
            <w:vAlign w:val="bottom"/>
          </w:tcPr>
          <w:p w14:paraId="36CA4105"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4106"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4107" w14:textId="77777777" w:rsidR="00787570" w:rsidRDefault="000D56E2">
            <w:pPr>
              <w:jc w:val="right"/>
              <w:textAlignment w:val="bottom"/>
            </w:pPr>
            <w:r>
              <w:rPr>
                <w:rFonts w:ascii="Arial" w:eastAsia="宋体" w:hAnsi="Arial" w:cs="Arial"/>
                <w:color w:val="333333"/>
                <w:sz w:val="18"/>
                <w:szCs w:val="18"/>
              </w:rPr>
              <w:t>— </w:t>
            </w:r>
          </w:p>
        </w:tc>
        <w:tc>
          <w:tcPr>
            <w:tcW w:w="0" w:type="auto"/>
            <w:shd w:val="clear" w:color="auto" w:fill="auto"/>
            <w:tcMar>
              <w:top w:w="40" w:type="dxa"/>
              <w:bottom w:w="40" w:type="dxa"/>
              <w:right w:w="20" w:type="dxa"/>
            </w:tcMar>
            <w:vAlign w:val="bottom"/>
          </w:tcPr>
          <w:p w14:paraId="36CA4108"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4109"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410A" w14:textId="77777777" w:rsidR="00787570" w:rsidRDefault="000D56E2">
            <w:pPr>
              <w:jc w:val="right"/>
              <w:textAlignment w:val="bottom"/>
            </w:pPr>
            <w:r>
              <w:rPr>
                <w:rFonts w:ascii="Arial" w:eastAsia="宋体" w:hAnsi="Arial" w:cs="Arial"/>
                <w:color w:val="333333"/>
                <w:sz w:val="18"/>
                <w:szCs w:val="18"/>
              </w:rPr>
              <w:t>(1,850)</w:t>
            </w:r>
          </w:p>
        </w:tc>
        <w:tc>
          <w:tcPr>
            <w:tcW w:w="0" w:type="auto"/>
            <w:shd w:val="clear" w:color="auto" w:fill="auto"/>
            <w:tcMar>
              <w:top w:w="40" w:type="dxa"/>
              <w:bottom w:w="40" w:type="dxa"/>
              <w:right w:w="20" w:type="dxa"/>
            </w:tcMar>
            <w:vAlign w:val="bottom"/>
          </w:tcPr>
          <w:p w14:paraId="36CA410B"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410C"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410D" w14:textId="77777777" w:rsidR="00787570" w:rsidRDefault="000D56E2">
            <w:pPr>
              <w:jc w:val="right"/>
              <w:textAlignment w:val="bottom"/>
            </w:pPr>
            <w:r>
              <w:rPr>
                <w:rFonts w:ascii="Arial" w:eastAsia="宋体" w:hAnsi="Arial" w:cs="Arial"/>
                <w:color w:val="333333"/>
                <w:sz w:val="18"/>
                <w:szCs w:val="18"/>
              </w:rPr>
              <w:t>— </w:t>
            </w:r>
          </w:p>
        </w:tc>
        <w:tc>
          <w:tcPr>
            <w:tcW w:w="0" w:type="auto"/>
            <w:shd w:val="clear" w:color="auto" w:fill="auto"/>
            <w:tcMar>
              <w:top w:w="40" w:type="dxa"/>
              <w:bottom w:w="40" w:type="dxa"/>
              <w:right w:w="20" w:type="dxa"/>
            </w:tcMar>
            <w:vAlign w:val="bottom"/>
          </w:tcPr>
          <w:p w14:paraId="36CA410E" w14:textId="77777777" w:rsidR="00787570" w:rsidRDefault="00787570">
            <w:pPr>
              <w:jc w:val="right"/>
              <w:rPr>
                <w:rFonts w:ascii="宋体"/>
              </w:rPr>
            </w:pPr>
          </w:p>
        </w:tc>
        <w:tc>
          <w:tcPr>
            <w:tcW w:w="0" w:type="auto"/>
            <w:shd w:val="clear" w:color="auto" w:fill="auto"/>
          </w:tcPr>
          <w:p w14:paraId="36CA410F" w14:textId="77777777" w:rsidR="00787570" w:rsidRDefault="00787570">
            <w:pPr>
              <w:rPr>
                <w:rFonts w:ascii="宋体"/>
              </w:rPr>
            </w:pPr>
          </w:p>
        </w:tc>
        <w:tc>
          <w:tcPr>
            <w:tcW w:w="0" w:type="auto"/>
            <w:shd w:val="clear" w:color="auto" w:fill="auto"/>
          </w:tcPr>
          <w:p w14:paraId="36CA4110" w14:textId="77777777" w:rsidR="00787570" w:rsidRDefault="00787570">
            <w:pPr>
              <w:rPr>
                <w:rFonts w:ascii="宋体"/>
              </w:rPr>
            </w:pPr>
          </w:p>
        </w:tc>
        <w:tc>
          <w:tcPr>
            <w:tcW w:w="0" w:type="auto"/>
            <w:shd w:val="clear" w:color="auto" w:fill="auto"/>
          </w:tcPr>
          <w:p w14:paraId="36CA4111" w14:textId="77777777" w:rsidR="00787570" w:rsidRDefault="00787570">
            <w:pPr>
              <w:rPr>
                <w:rFonts w:ascii="宋体"/>
              </w:rPr>
            </w:pPr>
          </w:p>
        </w:tc>
        <w:tc>
          <w:tcPr>
            <w:tcW w:w="0" w:type="auto"/>
            <w:shd w:val="clear" w:color="auto" w:fill="auto"/>
          </w:tcPr>
          <w:p w14:paraId="36CA4112" w14:textId="77777777" w:rsidR="00787570" w:rsidRDefault="00787570">
            <w:pPr>
              <w:rPr>
                <w:rFonts w:ascii="宋体"/>
              </w:rPr>
            </w:pPr>
          </w:p>
        </w:tc>
        <w:tc>
          <w:tcPr>
            <w:tcW w:w="0" w:type="auto"/>
            <w:shd w:val="clear" w:color="auto" w:fill="auto"/>
          </w:tcPr>
          <w:p w14:paraId="36CA4113" w14:textId="77777777" w:rsidR="00787570" w:rsidRDefault="00787570">
            <w:pPr>
              <w:rPr>
                <w:rFonts w:ascii="宋体"/>
              </w:rPr>
            </w:pPr>
          </w:p>
        </w:tc>
        <w:tc>
          <w:tcPr>
            <w:tcW w:w="0" w:type="auto"/>
            <w:shd w:val="clear" w:color="auto" w:fill="auto"/>
          </w:tcPr>
          <w:p w14:paraId="36CA4114" w14:textId="77777777" w:rsidR="00787570" w:rsidRDefault="00787570">
            <w:pPr>
              <w:rPr>
                <w:rFonts w:ascii="宋体"/>
              </w:rPr>
            </w:pPr>
          </w:p>
        </w:tc>
        <w:tc>
          <w:tcPr>
            <w:tcW w:w="0" w:type="auto"/>
            <w:shd w:val="clear" w:color="auto" w:fill="auto"/>
          </w:tcPr>
          <w:p w14:paraId="36CA4115" w14:textId="77777777" w:rsidR="00787570" w:rsidRDefault="00787570">
            <w:pPr>
              <w:rPr>
                <w:rFonts w:ascii="宋体"/>
              </w:rPr>
            </w:pPr>
          </w:p>
        </w:tc>
        <w:tc>
          <w:tcPr>
            <w:tcW w:w="0" w:type="auto"/>
            <w:shd w:val="clear" w:color="auto" w:fill="auto"/>
          </w:tcPr>
          <w:p w14:paraId="36CA4116" w14:textId="77777777" w:rsidR="00787570" w:rsidRDefault="00787570">
            <w:pPr>
              <w:rPr>
                <w:rFonts w:ascii="宋体"/>
              </w:rPr>
            </w:pPr>
          </w:p>
        </w:tc>
        <w:tc>
          <w:tcPr>
            <w:tcW w:w="0" w:type="auto"/>
            <w:shd w:val="clear" w:color="auto" w:fill="auto"/>
          </w:tcPr>
          <w:p w14:paraId="36CA4117" w14:textId="77777777" w:rsidR="00787570" w:rsidRDefault="00787570">
            <w:pPr>
              <w:rPr>
                <w:rFonts w:ascii="宋体"/>
              </w:rPr>
            </w:pPr>
          </w:p>
        </w:tc>
        <w:tc>
          <w:tcPr>
            <w:tcW w:w="0" w:type="auto"/>
            <w:shd w:val="clear" w:color="auto" w:fill="auto"/>
          </w:tcPr>
          <w:p w14:paraId="36CA4118" w14:textId="77777777" w:rsidR="00787570" w:rsidRDefault="00787570">
            <w:pPr>
              <w:rPr>
                <w:rFonts w:ascii="宋体"/>
              </w:rPr>
            </w:pPr>
          </w:p>
        </w:tc>
        <w:tc>
          <w:tcPr>
            <w:tcW w:w="0" w:type="auto"/>
            <w:shd w:val="clear" w:color="auto" w:fill="auto"/>
          </w:tcPr>
          <w:p w14:paraId="36CA4119" w14:textId="77777777" w:rsidR="00787570" w:rsidRDefault="00787570">
            <w:pPr>
              <w:rPr>
                <w:rFonts w:ascii="宋体"/>
              </w:rPr>
            </w:pPr>
          </w:p>
        </w:tc>
        <w:tc>
          <w:tcPr>
            <w:tcW w:w="0" w:type="auto"/>
            <w:shd w:val="clear" w:color="auto" w:fill="auto"/>
          </w:tcPr>
          <w:p w14:paraId="36CA411A" w14:textId="77777777" w:rsidR="00787570" w:rsidRDefault="00787570">
            <w:pPr>
              <w:rPr>
                <w:rFonts w:ascii="宋体"/>
              </w:rPr>
            </w:pPr>
          </w:p>
        </w:tc>
        <w:tc>
          <w:tcPr>
            <w:tcW w:w="0" w:type="auto"/>
            <w:shd w:val="clear" w:color="auto" w:fill="auto"/>
          </w:tcPr>
          <w:p w14:paraId="36CA411B" w14:textId="77777777" w:rsidR="00787570" w:rsidRDefault="00787570">
            <w:pPr>
              <w:rPr>
                <w:rFonts w:ascii="宋体"/>
              </w:rPr>
            </w:pPr>
          </w:p>
        </w:tc>
        <w:tc>
          <w:tcPr>
            <w:tcW w:w="0" w:type="auto"/>
            <w:shd w:val="clear" w:color="auto" w:fill="auto"/>
          </w:tcPr>
          <w:p w14:paraId="36CA411C" w14:textId="77777777" w:rsidR="00787570" w:rsidRDefault="00787570">
            <w:pPr>
              <w:rPr>
                <w:rFonts w:ascii="宋体"/>
              </w:rPr>
            </w:pPr>
          </w:p>
        </w:tc>
        <w:tc>
          <w:tcPr>
            <w:tcW w:w="0" w:type="auto"/>
            <w:shd w:val="clear" w:color="auto" w:fill="auto"/>
          </w:tcPr>
          <w:p w14:paraId="36CA411D" w14:textId="77777777" w:rsidR="00787570" w:rsidRDefault="00787570">
            <w:pPr>
              <w:rPr>
                <w:rFonts w:ascii="宋体"/>
              </w:rPr>
            </w:pPr>
          </w:p>
        </w:tc>
        <w:tc>
          <w:tcPr>
            <w:tcW w:w="0" w:type="auto"/>
            <w:shd w:val="clear" w:color="auto" w:fill="auto"/>
          </w:tcPr>
          <w:p w14:paraId="36CA411E" w14:textId="77777777" w:rsidR="00787570" w:rsidRDefault="00787570">
            <w:pPr>
              <w:rPr>
                <w:rFonts w:ascii="宋体"/>
              </w:rPr>
            </w:pPr>
          </w:p>
        </w:tc>
        <w:tc>
          <w:tcPr>
            <w:tcW w:w="0" w:type="auto"/>
            <w:shd w:val="clear" w:color="auto" w:fill="auto"/>
          </w:tcPr>
          <w:p w14:paraId="36CA411F" w14:textId="77777777" w:rsidR="00787570" w:rsidRDefault="00787570">
            <w:pPr>
              <w:rPr>
                <w:rFonts w:ascii="宋体"/>
              </w:rPr>
            </w:pPr>
          </w:p>
        </w:tc>
        <w:tc>
          <w:tcPr>
            <w:tcW w:w="0" w:type="auto"/>
            <w:shd w:val="clear" w:color="auto" w:fill="auto"/>
          </w:tcPr>
          <w:p w14:paraId="36CA4120" w14:textId="77777777" w:rsidR="00787570" w:rsidRDefault="00787570">
            <w:pPr>
              <w:rPr>
                <w:rFonts w:ascii="宋体"/>
              </w:rPr>
            </w:pPr>
          </w:p>
        </w:tc>
        <w:tc>
          <w:tcPr>
            <w:tcW w:w="0" w:type="auto"/>
            <w:shd w:val="clear" w:color="auto" w:fill="auto"/>
          </w:tcPr>
          <w:p w14:paraId="36CA4121" w14:textId="77777777" w:rsidR="00787570" w:rsidRDefault="00787570">
            <w:pPr>
              <w:rPr>
                <w:rFonts w:ascii="宋体"/>
              </w:rPr>
            </w:pPr>
          </w:p>
        </w:tc>
        <w:tc>
          <w:tcPr>
            <w:tcW w:w="0" w:type="auto"/>
            <w:shd w:val="clear" w:color="auto" w:fill="auto"/>
          </w:tcPr>
          <w:p w14:paraId="36CA4122" w14:textId="77777777" w:rsidR="00787570" w:rsidRDefault="00787570">
            <w:pPr>
              <w:rPr>
                <w:rFonts w:ascii="宋体"/>
              </w:rPr>
            </w:pPr>
          </w:p>
        </w:tc>
        <w:tc>
          <w:tcPr>
            <w:tcW w:w="0" w:type="auto"/>
            <w:shd w:val="clear" w:color="auto" w:fill="auto"/>
          </w:tcPr>
          <w:p w14:paraId="36CA4123" w14:textId="77777777" w:rsidR="00787570" w:rsidRDefault="00787570">
            <w:pPr>
              <w:rPr>
                <w:rFonts w:ascii="宋体"/>
              </w:rPr>
            </w:pPr>
          </w:p>
        </w:tc>
        <w:tc>
          <w:tcPr>
            <w:tcW w:w="0" w:type="auto"/>
            <w:shd w:val="clear" w:color="auto" w:fill="auto"/>
          </w:tcPr>
          <w:p w14:paraId="36CA4124" w14:textId="77777777" w:rsidR="00787570" w:rsidRDefault="00787570">
            <w:pPr>
              <w:rPr>
                <w:rFonts w:ascii="宋体"/>
              </w:rPr>
            </w:pPr>
          </w:p>
        </w:tc>
        <w:tc>
          <w:tcPr>
            <w:tcW w:w="0" w:type="auto"/>
            <w:shd w:val="clear" w:color="auto" w:fill="auto"/>
          </w:tcPr>
          <w:p w14:paraId="36CA4125" w14:textId="77777777" w:rsidR="00787570" w:rsidRDefault="00787570">
            <w:pPr>
              <w:rPr>
                <w:rFonts w:ascii="宋体"/>
              </w:rPr>
            </w:pPr>
          </w:p>
        </w:tc>
        <w:tc>
          <w:tcPr>
            <w:tcW w:w="0" w:type="auto"/>
            <w:shd w:val="clear" w:color="auto" w:fill="auto"/>
          </w:tcPr>
          <w:p w14:paraId="36CA4126" w14:textId="77777777" w:rsidR="00787570" w:rsidRDefault="00787570">
            <w:pPr>
              <w:rPr>
                <w:rFonts w:ascii="宋体"/>
              </w:rPr>
            </w:pPr>
          </w:p>
        </w:tc>
      </w:tr>
      <w:tr w:rsidR="00787570" w14:paraId="36CA4153" w14:textId="77777777">
        <w:tc>
          <w:tcPr>
            <w:tcW w:w="0" w:type="auto"/>
            <w:gridSpan w:val="3"/>
            <w:shd w:val="clear" w:color="auto" w:fill="auto"/>
            <w:tcMar>
              <w:top w:w="40" w:type="dxa"/>
              <w:left w:w="20" w:type="dxa"/>
              <w:bottom w:w="40" w:type="dxa"/>
              <w:right w:w="20" w:type="dxa"/>
            </w:tcMar>
            <w:vAlign w:val="bottom"/>
          </w:tcPr>
          <w:p w14:paraId="36CA4128" w14:textId="77777777" w:rsidR="00787570" w:rsidRDefault="000D56E2">
            <w:pPr>
              <w:ind w:hanging="180"/>
              <w:textAlignment w:val="bottom"/>
            </w:pPr>
            <w:r>
              <w:rPr>
                <w:rFonts w:ascii="Arial" w:eastAsia="宋体" w:hAnsi="Arial" w:cs="Arial"/>
                <w:b/>
                <w:bCs/>
                <w:color w:val="333333"/>
                <w:sz w:val="18"/>
                <w:szCs w:val="18"/>
              </w:rPr>
              <w:t>Total assets</w:t>
            </w:r>
          </w:p>
        </w:tc>
        <w:tc>
          <w:tcPr>
            <w:tcW w:w="0" w:type="auto"/>
            <w:gridSpan w:val="3"/>
            <w:shd w:val="clear" w:color="auto" w:fill="auto"/>
            <w:tcMar>
              <w:left w:w="20" w:type="dxa"/>
              <w:right w:w="20" w:type="dxa"/>
            </w:tcMar>
            <w:vAlign w:val="bottom"/>
          </w:tcPr>
          <w:p w14:paraId="36CA4129" w14:textId="77777777" w:rsidR="00787570" w:rsidRDefault="00787570">
            <w:pPr>
              <w:rPr>
                <w:rFonts w:ascii="宋体"/>
              </w:rPr>
            </w:pPr>
          </w:p>
        </w:tc>
        <w:tc>
          <w:tcPr>
            <w:tcW w:w="0" w:type="auto"/>
            <w:gridSpan w:val="2"/>
            <w:tcBorders>
              <w:top w:val="single" w:sz="8" w:space="0" w:color="333333"/>
            </w:tcBorders>
            <w:shd w:val="clear" w:color="auto" w:fill="auto"/>
            <w:tcMar>
              <w:top w:w="40" w:type="dxa"/>
              <w:left w:w="20" w:type="dxa"/>
              <w:bottom w:w="40" w:type="dxa"/>
              <w:right w:w="0" w:type="dxa"/>
            </w:tcMar>
            <w:vAlign w:val="bottom"/>
          </w:tcPr>
          <w:p w14:paraId="36CA412A" w14:textId="77777777" w:rsidR="00787570" w:rsidRDefault="000D56E2">
            <w:pPr>
              <w:jc w:val="right"/>
              <w:textAlignment w:val="bottom"/>
            </w:pPr>
            <w:r>
              <w:rPr>
                <w:rFonts w:ascii="Arial" w:eastAsia="宋体" w:hAnsi="Arial" w:cs="Arial"/>
                <w:b/>
                <w:bCs/>
                <w:color w:val="333333"/>
                <w:sz w:val="18"/>
                <w:szCs w:val="18"/>
              </w:rPr>
              <w:t>2,824</w:t>
            </w:r>
            <w:r>
              <w:rPr>
                <w:rFonts w:ascii="Arial" w:eastAsia="宋体" w:hAnsi="Arial" w:cs="Arial"/>
                <w:color w:val="333333"/>
                <w:sz w:val="18"/>
                <w:szCs w:val="18"/>
              </w:rPr>
              <w:t> </w:t>
            </w:r>
          </w:p>
        </w:tc>
        <w:tc>
          <w:tcPr>
            <w:tcW w:w="0" w:type="auto"/>
            <w:tcBorders>
              <w:top w:val="single" w:sz="8" w:space="0" w:color="333333"/>
            </w:tcBorders>
            <w:shd w:val="clear" w:color="auto" w:fill="auto"/>
            <w:tcMar>
              <w:top w:w="40" w:type="dxa"/>
              <w:bottom w:w="40" w:type="dxa"/>
              <w:right w:w="20" w:type="dxa"/>
            </w:tcMar>
            <w:vAlign w:val="bottom"/>
          </w:tcPr>
          <w:p w14:paraId="36CA412B"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412C" w14:textId="77777777" w:rsidR="00787570" w:rsidRDefault="00787570">
            <w:pPr>
              <w:rPr>
                <w:rFonts w:ascii="宋体"/>
              </w:rPr>
            </w:pPr>
          </w:p>
        </w:tc>
        <w:tc>
          <w:tcPr>
            <w:tcW w:w="0" w:type="auto"/>
            <w:gridSpan w:val="2"/>
            <w:tcBorders>
              <w:top w:val="single" w:sz="8" w:space="0" w:color="333333"/>
            </w:tcBorders>
            <w:shd w:val="clear" w:color="auto" w:fill="auto"/>
            <w:tcMar>
              <w:top w:w="40" w:type="dxa"/>
              <w:left w:w="20" w:type="dxa"/>
              <w:bottom w:w="40" w:type="dxa"/>
              <w:right w:w="0" w:type="dxa"/>
            </w:tcMar>
            <w:vAlign w:val="bottom"/>
          </w:tcPr>
          <w:p w14:paraId="36CA412D" w14:textId="77777777" w:rsidR="00787570" w:rsidRDefault="000D56E2">
            <w:pPr>
              <w:jc w:val="right"/>
              <w:textAlignment w:val="bottom"/>
            </w:pPr>
            <w:r>
              <w:rPr>
                <w:rFonts w:ascii="Arial" w:eastAsia="宋体" w:hAnsi="Arial" w:cs="Arial"/>
                <w:b/>
                <w:bCs/>
                <w:color w:val="333333"/>
                <w:sz w:val="18"/>
                <w:szCs w:val="18"/>
              </w:rPr>
              <w:t>—</w:t>
            </w:r>
            <w:r>
              <w:rPr>
                <w:rFonts w:ascii="Arial" w:eastAsia="宋体" w:hAnsi="Arial" w:cs="Arial"/>
                <w:color w:val="333333"/>
                <w:sz w:val="18"/>
                <w:szCs w:val="18"/>
              </w:rPr>
              <w:t> </w:t>
            </w:r>
          </w:p>
        </w:tc>
        <w:tc>
          <w:tcPr>
            <w:tcW w:w="0" w:type="auto"/>
            <w:tcBorders>
              <w:top w:val="single" w:sz="8" w:space="0" w:color="333333"/>
            </w:tcBorders>
            <w:shd w:val="clear" w:color="auto" w:fill="auto"/>
            <w:tcMar>
              <w:top w:w="40" w:type="dxa"/>
              <w:bottom w:w="40" w:type="dxa"/>
              <w:right w:w="20" w:type="dxa"/>
            </w:tcMar>
            <w:vAlign w:val="bottom"/>
          </w:tcPr>
          <w:p w14:paraId="36CA412E"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412F" w14:textId="77777777" w:rsidR="00787570" w:rsidRDefault="00787570">
            <w:pPr>
              <w:rPr>
                <w:rFonts w:ascii="宋体"/>
              </w:rPr>
            </w:pPr>
          </w:p>
        </w:tc>
        <w:tc>
          <w:tcPr>
            <w:tcW w:w="0" w:type="auto"/>
            <w:gridSpan w:val="2"/>
            <w:tcBorders>
              <w:top w:val="single" w:sz="8" w:space="0" w:color="333333"/>
            </w:tcBorders>
            <w:shd w:val="clear" w:color="auto" w:fill="auto"/>
            <w:tcMar>
              <w:top w:w="40" w:type="dxa"/>
              <w:left w:w="20" w:type="dxa"/>
              <w:bottom w:w="40" w:type="dxa"/>
              <w:right w:w="0" w:type="dxa"/>
            </w:tcMar>
            <w:vAlign w:val="bottom"/>
          </w:tcPr>
          <w:p w14:paraId="36CA4130" w14:textId="77777777" w:rsidR="00787570" w:rsidRDefault="000D56E2">
            <w:pPr>
              <w:jc w:val="right"/>
              <w:textAlignment w:val="bottom"/>
            </w:pPr>
            <w:r>
              <w:rPr>
                <w:rFonts w:ascii="Arial" w:eastAsia="宋体" w:hAnsi="Arial" w:cs="Arial"/>
                <w:b/>
                <w:bCs/>
                <w:color w:val="333333"/>
                <w:sz w:val="18"/>
                <w:szCs w:val="18"/>
              </w:rPr>
              <w:t>2,824</w:t>
            </w:r>
            <w:r>
              <w:rPr>
                <w:rFonts w:ascii="Arial" w:eastAsia="宋体" w:hAnsi="Arial" w:cs="Arial"/>
                <w:color w:val="333333"/>
                <w:sz w:val="18"/>
                <w:szCs w:val="18"/>
              </w:rPr>
              <w:t> </w:t>
            </w:r>
          </w:p>
        </w:tc>
        <w:tc>
          <w:tcPr>
            <w:tcW w:w="0" w:type="auto"/>
            <w:tcBorders>
              <w:top w:val="single" w:sz="8" w:space="0" w:color="333333"/>
            </w:tcBorders>
            <w:shd w:val="clear" w:color="auto" w:fill="auto"/>
            <w:tcMar>
              <w:top w:w="40" w:type="dxa"/>
              <w:bottom w:w="40" w:type="dxa"/>
              <w:right w:w="20" w:type="dxa"/>
            </w:tcMar>
            <w:vAlign w:val="bottom"/>
          </w:tcPr>
          <w:p w14:paraId="36CA4131"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4132" w14:textId="77777777" w:rsidR="00787570" w:rsidRDefault="00787570">
            <w:pPr>
              <w:rPr>
                <w:rFonts w:ascii="宋体"/>
              </w:rPr>
            </w:pPr>
          </w:p>
        </w:tc>
        <w:tc>
          <w:tcPr>
            <w:tcW w:w="0" w:type="auto"/>
            <w:gridSpan w:val="2"/>
            <w:tcBorders>
              <w:top w:val="single" w:sz="8" w:space="0" w:color="333333"/>
            </w:tcBorders>
            <w:shd w:val="clear" w:color="auto" w:fill="auto"/>
            <w:tcMar>
              <w:top w:w="40" w:type="dxa"/>
              <w:left w:w="20" w:type="dxa"/>
              <w:bottom w:w="40" w:type="dxa"/>
              <w:right w:w="0" w:type="dxa"/>
            </w:tcMar>
            <w:vAlign w:val="bottom"/>
          </w:tcPr>
          <w:p w14:paraId="36CA4133" w14:textId="77777777" w:rsidR="00787570" w:rsidRDefault="000D56E2">
            <w:pPr>
              <w:jc w:val="right"/>
              <w:textAlignment w:val="bottom"/>
            </w:pPr>
            <w:r>
              <w:rPr>
                <w:rFonts w:ascii="Arial" w:eastAsia="宋体" w:hAnsi="Arial" w:cs="Arial"/>
                <w:b/>
                <w:bCs/>
                <w:color w:val="333333"/>
                <w:sz w:val="18"/>
                <w:szCs w:val="18"/>
              </w:rPr>
              <w:t>(144)</w:t>
            </w:r>
          </w:p>
        </w:tc>
        <w:tc>
          <w:tcPr>
            <w:tcW w:w="0" w:type="auto"/>
            <w:tcBorders>
              <w:top w:val="single" w:sz="8" w:space="0" w:color="333333"/>
            </w:tcBorders>
            <w:shd w:val="clear" w:color="auto" w:fill="auto"/>
            <w:tcMar>
              <w:top w:w="40" w:type="dxa"/>
              <w:bottom w:w="40" w:type="dxa"/>
              <w:right w:w="20" w:type="dxa"/>
            </w:tcMar>
            <w:vAlign w:val="bottom"/>
          </w:tcPr>
          <w:p w14:paraId="36CA4134"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4135" w14:textId="77777777" w:rsidR="00787570" w:rsidRDefault="00787570">
            <w:pPr>
              <w:rPr>
                <w:rFonts w:ascii="宋体"/>
              </w:rPr>
            </w:pPr>
          </w:p>
        </w:tc>
        <w:tc>
          <w:tcPr>
            <w:tcW w:w="0" w:type="auto"/>
            <w:gridSpan w:val="2"/>
            <w:tcBorders>
              <w:top w:val="single" w:sz="8" w:space="0" w:color="333333"/>
            </w:tcBorders>
            <w:shd w:val="clear" w:color="auto" w:fill="auto"/>
            <w:tcMar>
              <w:top w:w="40" w:type="dxa"/>
              <w:left w:w="20" w:type="dxa"/>
              <w:bottom w:w="40" w:type="dxa"/>
              <w:right w:w="0" w:type="dxa"/>
            </w:tcMar>
            <w:vAlign w:val="bottom"/>
          </w:tcPr>
          <w:p w14:paraId="36CA4136" w14:textId="77777777" w:rsidR="00787570" w:rsidRDefault="000D56E2">
            <w:pPr>
              <w:jc w:val="right"/>
              <w:textAlignment w:val="bottom"/>
            </w:pPr>
            <w:r>
              <w:rPr>
                <w:rFonts w:ascii="Arial" w:eastAsia="宋体" w:hAnsi="Arial" w:cs="Arial"/>
                <w:b/>
                <w:bCs/>
                <w:color w:val="333333"/>
                <w:sz w:val="18"/>
                <w:szCs w:val="18"/>
              </w:rPr>
              <w:t>(2,658)</w:t>
            </w:r>
          </w:p>
        </w:tc>
        <w:tc>
          <w:tcPr>
            <w:tcW w:w="0" w:type="auto"/>
            <w:tcBorders>
              <w:top w:val="single" w:sz="8" w:space="0" w:color="333333"/>
            </w:tcBorders>
            <w:shd w:val="clear" w:color="auto" w:fill="auto"/>
            <w:tcMar>
              <w:top w:w="40" w:type="dxa"/>
              <w:bottom w:w="40" w:type="dxa"/>
              <w:right w:w="20" w:type="dxa"/>
            </w:tcMar>
            <w:vAlign w:val="bottom"/>
          </w:tcPr>
          <w:p w14:paraId="36CA4137"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4138" w14:textId="77777777" w:rsidR="00787570" w:rsidRDefault="00787570">
            <w:pPr>
              <w:rPr>
                <w:rFonts w:ascii="宋体"/>
              </w:rPr>
            </w:pPr>
          </w:p>
        </w:tc>
        <w:tc>
          <w:tcPr>
            <w:tcW w:w="0" w:type="auto"/>
            <w:gridSpan w:val="2"/>
            <w:tcBorders>
              <w:top w:val="single" w:sz="8" w:space="0" w:color="333333"/>
            </w:tcBorders>
            <w:shd w:val="clear" w:color="auto" w:fill="auto"/>
            <w:tcMar>
              <w:top w:w="40" w:type="dxa"/>
              <w:left w:w="20" w:type="dxa"/>
              <w:bottom w:w="40" w:type="dxa"/>
              <w:right w:w="0" w:type="dxa"/>
            </w:tcMar>
            <w:vAlign w:val="bottom"/>
          </w:tcPr>
          <w:p w14:paraId="36CA4139" w14:textId="77777777" w:rsidR="00787570" w:rsidRDefault="000D56E2">
            <w:pPr>
              <w:jc w:val="right"/>
              <w:textAlignment w:val="bottom"/>
            </w:pPr>
            <w:r>
              <w:rPr>
                <w:rFonts w:ascii="Arial" w:eastAsia="宋体" w:hAnsi="Arial" w:cs="Arial"/>
                <w:b/>
                <w:bCs/>
                <w:color w:val="333333"/>
                <w:sz w:val="18"/>
                <w:szCs w:val="18"/>
              </w:rPr>
              <w:t>22</w:t>
            </w:r>
            <w:r>
              <w:rPr>
                <w:rFonts w:ascii="Arial" w:eastAsia="宋体" w:hAnsi="Arial" w:cs="Arial"/>
                <w:color w:val="333333"/>
                <w:sz w:val="18"/>
                <w:szCs w:val="18"/>
              </w:rPr>
              <w:t> </w:t>
            </w:r>
          </w:p>
        </w:tc>
        <w:tc>
          <w:tcPr>
            <w:tcW w:w="0" w:type="auto"/>
            <w:tcBorders>
              <w:top w:val="single" w:sz="8" w:space="0" w:color="333333"/>
            </w:tcBorders>
            <w:shd w:val="clear" w:color="auto" w:fill="auto"/>
            <w:tcMar>
              <w:top w:w="40" w:type="dxa"/>
              <w:bottom w:w="40" w:type="dxa"/>
              <w:right w:w="20" w:type="dxa"/>
            </w:tcMar>
            <w:vAlign w:val="bottom"/>
          </w:tcPr>
          <w:p w14:paraId="36CA413A" w14:textId="77777777" w:rsidR="00787570" w:rsidRDefault="00787570">
            <w:pPr>
              <w:jc w:val="right"/>
              <w:rPr>
                <w:rFonts w:ascii="宋体"/>
              </w:rPr>
            </w:pPr>
          </w:p>
        </w:tc>
        <w:tc>
          <w:tcPr>
            <w:tcW w:w="0" w:type="auto"/>
            <w:shd w:val="clear" w:color="auto" w:fill="auto"/>
          </w:tcPr>
          <w:p w14:paraId="36CA413B" w14:textId="77777777" w:rsidR="00787570" w:rsidRDefault="00787570">
            <w:pPr>
              <w:rPr>
                <w:rFonts w:ascii="宋体"/>
              </w:rPr>
            </w:pPr>
          </w:p>
        </w:tc>
        <w:tc>
          <w:tcPr>
            <w:tcW w:w="0" w:type="auto"/>
            <w:shd w:val="clear" w:color="auto" w:fill="auto"/>
          </w:tcPr>
          <w:p w14:paraId="36CA413C" w14:textId="77777777" w:rsidR="00787570" w:rsidRDefault="00787570">
            <w:pPr>
              <w:rPr>
                <w:rFonts w:ascii="宋体"/>
              </w:rPr>
            </w:pPr>
          </w:p>
        </w:tc>
        <w:tc>
          <w:tcPr>
            <w:tcW w:w="0" w:type="auto"/>
            <w:shd w:val="clear" w:color="auto" w:fill="auto"/>
          </w:tcPr>
          <w:p w14:paraId="36CA413D" w14:textId="77777777" w:rsidR="00787570" w:rsidRDefault="00787570">
            <w:pPr>
              <w:rPr>
                <w:rFonts w:ascii="宋体"/>
              </w:rPr>
            </w:pPr>
          </w:p>
        </w:tc>
        <w:tc>
          <w:tcPr>
            <w:tcW w:w="0" w:type="auto"/>
            <w:shd w:val="clear" w:color="auto" w:fill="auto"/>
          </w:tcPr>
          <w:p w14:paraId="36CA413E" w14:textId="77777777" w:rsidR="00787570" w:rsidRDefault="00787570">
            <w:pPr>
              <w:rPr>
                <w:rFonts w:ascii="宋体"/>
              </w:rPr>
            </w:pPr>
          </w:p>
        </w:tc>
        <w:tc>
          <w:tcPr>
            <w:tcW w:w="0" w:type="auto"/>
            <w:shd w:val="clear" w:color="auto" w:fill="auto"/>
          </w:tcPr>
          <w:p w14:paraId="36CA413F" w14:textId="77777777" w:rsidR="00787570" w:rsidRDefault="00787570">
            <w:pPr>
              <w:rPr>
                <w:rFonts w:ascii="宋体"/>
              </w:rPr>
            </w:pPr>
          </w:p>
        </w:tc>
        <w:tc>
          <w:tcPr>
            <w:tcW w:w="0" w:type="auto"/>
            <w:shd w:val="clear" w:color="auto" w:fill="auto"/>
          </w:tcPr>
          <w:p w14:paraId="36CA4140" w14:textId="77777777" w:rsidR="00787570" w:rsidRDefault="00787570">
            <w:pPr>
              <w:rPr>
                <w:rFonts w:ascii="宋体"/>
              </w:rPr>
            </w:pPr>
          </w:p>
        </w:tc>
        <w:tc>
          <w:tcPr>
            <w:tcW w:w="0" w:type="auto"/>
            <w:shd w:val="clear" w:color="auto" w:fill="auto"/>
          </w:tcPr>
          <w:p w14:paraId="36CA4141" w14:textId="77777777" w:rsidR="00787570" w:rsidRDefault="00787570">
            <w:pPr>
              <w:rPr>
                <w:rFonts w:ascii="宋体"/>
              </w:rPr>
            </w:pPr>
          </w:p>
        </w:tc>
        <w:tc>
          <w:tcPr>
            <w:tcW w:w="0" w:type="auto"/>
            <w:shd w:val="clear" w:color="auto" w:fill="auto"/>
          </w:tcPr>
          <w:p w14:paraId="36CA4142" w14:textId="77777777" w:rsidR="00787570" w:rsidRDefault="00787570">
            <w:pPr>
              <w:rPr>
                <w:rFonts w:ascii="宋体"/>
              </w:rPr>
            </w:pPr>
          </w:p>
        </w:tc>
        <w:tc>
          <w:tcPr>
            <w:tcW w:w="0" w:type="auto"/>
            <w:shd w:val="clear" w:color="auto" w:fill="auto"/>
          </w:tcPr>
          <w:p w14:paraId="36CA4143" w14:textId="77777777" w:rsidR="00787570" w:rsidRDefault="00787570">
            <w:pPr>
              <w:rPr>
                <w:rFonts w:ascii="宋体"/>
              </w:rPr>
            </w:pPr>
          </w:p>
        </w:tc>
        <w:tc>
          <w:tcPr>
            <w:tcW w:w="0" w:type="auto"/>
            <w:shd w:val="clear" w:color="auto" w:fill="auto"/>
          </w:tcPr>
          <w:p w14:paraId="36CA4144" w14:textId="77777777" w:rsidR="00787570" w:rsidRDefault="00787570">
            <w:pPr>
              <w:rPr>
                <w:rFonts w:ascii="宋体"/>
              </w:rPr>
            </w:pPr>
          </w:p>
        </w:tc>
        <w:tc>
          <w:tcPr>
            <w:tcW w:w="0" w:type="auto"/>
            <w:shd w:val="clear" w:color="auto" w:fill="auto"/>
          </w:tcPr>
          <w:p w14:paraId="36CA4145" w14:textId="77777777" w:rsidR="00787570" w:rsidRDefault="00787570">
            <w:pPr>
              <w:rPr>
                <w:rFonts w:ascii="宋体"/>
              </w:rPr>
            </w:pPr>
          </w:p>
        </w:tc>
        <w:tc>
          <w:tcPr>
            <w:tcW w:w="0" w:type="auto"/>
            <w:shd w:val="clear" w:color="auto" w:fill="auto"/>
          </w:tcPr>
          <w:p w14:paraId="36CA4146" w14:textId="77777777" w:rsidR="00787570" w:rsidRDefault="00787570">
            <w:pPr>
              <w:rPr>
                <w:rFonts w:ascii="宋体"/>
              </w:rPr>
            </w:pPr>
          </w:p>
        </w:tc>
        <w:tc>
          <w:tcPr>
            <w:tcW w:w="0" w:type="auto"/>
            <w:shd w:val="clear" w:color="auto" w:fill="auto"/>
          </w:tcPr>
          <w:p w14:paraId="36CA4147" w14:textId="77777777" w:rsidR="00787570" w:rsidRDefault="00787570">
            <w:pPr>
              <w:rPr>
                <w:rFonts w:ascii="宋体"/>
              </w:rPr>
            </w:pPr>
          </w:p>
        </w:tc>
        <w:tc>
          <w:tcPr>
            <w:tcW w:w="0" w:type="auto"/>
            <w:shd w:val="clear" w:color="auto" w:fill="auto"/>
          </w:tcPr>
          <w:p w14:paraId="36CA4148" w14:textId="77777777" w:rsidR="00787570" w:rsidRDefault="00787570">
            <w:pPr>
              <w:rPr>
                <w:rFonts w:ascii="宋体"/>
              </w:rPr>
            </w:pPr>
          </w:p>
        </w:tc>
        <w:tc>
          <w:tcPr>
            <w:tcW w:w="0" w:type="auto"/>
            <w:shd w:val="clear" w:color="auto" w:fill="auto"/>
          </w:tcPr>
          <w:p w14:paraId="36CA4149" w14:textId="77777777" w:rsidR="00787570" w:rsidRDefault="00787570">
            <w:pPr>
              <w:rPr>
                <w:rFonts w:ascii="宋体"/>
              </w:rPr>
            </w:pPr>
          </w:p>
        </w:tc>
        <w:tc>
          <w:tcPr>
            <w:tcW w:w="0" w:type="auto"/>
            <w:shd w:val="clear" w:color="auto" w:fill="auto"/>
          </w:tcPr>
          <w:p w14:paraId="36CA414A" w14:textId="77777777" w:rsidR="00787570" w:rsidRDefault="00787570">
            <w:pPr>
              <w:rPr>
                <w:rFonts w:ascii="宋体"/>
              </w:rPr>
            </w:pPr>
          </w:p>
        </w:tc>
        <w:tc>
          <w:tcPr>
            <w:tcW w:w="0" w:type="auto"/>
            <w:shd w:val="clear" w:color="auto" w:fill="auto"/>
          </w:tcPr>
          <w:p w14:paraId="36CA414B" w14:textId="77777777" w:rsidR="00787570" w:rsidRDefault="00787570">
            <w:pPr>
              <w:rPr>
                <w:rFonts w:ascii="宋体"/>
              </w:rPr>
            </w:pPr>
          </w:p>
        </w:tc>
        <w:tc>
          <w:tcPr>
            <w:tcW w:w="0" w:type="auto"/>
            <w:shd w:val="clear" w:color="auto" w:fill="auto"/>
          </w:tcPr>
          <w:p w14:paraId="36CA414C" w14:textId="77777777" w:rsidR="00787570" w:rsidRDefault="00787570">
            <w:pPr>
              <w:rPr>
                <w:rFonts w:ascii="宋体"/>
              </w:rPr>
            </w:pPr>
          </w:p>
        </w:tc>
        <w:tc>
          <w:tcPr>
            <w:tcW w:w="0" w:type="auto"/>
            <w:shd w:val="clear" w:color="auto" w:fill="auto"/>
          </w:tcPr>
          <w:p w14:paraId="36CA414D" w14:textId="77777777" w:rsidR="00787570" w:rsidRDefault="00787570">
            <w:pPr>
              <w:rPr>
                <w:rFonts w:ascii="宋体"/>
              </w:rPr>
            </w:pPr>
          </w:p>
        </w:tc>
        <w:tc>
          <w:tcPr>
            <w:tcW w:w="0" w:type="auto"/>
            <w:shd w:val="clear" w:color="auto" w:fill="auto"/>
          </w:tcPr>
          <w:p w14:paraId="36CA414E" w14:textId="77777777" w:rsidR="00787570" w:rsidRDefault="00787570">
            <w:pPr>
              <w:rPr>
                <w:rFonts w:ascii="宋体"/>
              </w:rPr>
            </w:pPr>
          </w:p>
        </w:tc>
        <w:tc>
          <w:tcPr>
            <w:tcW w:w="0" w:type="auto"/>
            <w:shd w:val="clear" w:color="auto" w:fill="auto"/>
          </w:tcPr>
          <w:p w14:paraId="36CA414F" w14:textId="77777777" w:rsidR="00787570" w:rsidRDefault="00787570">
            <w:pPr>
              <w:rPr>
                <w:rFonts w:ascii="宋体"/>
              </w:rPr>
            </w:pPr>
          </w:p>
        </w:tc>
        <w:tc>
          <w:tcPr>
            <w:tcW w:w="0" w:type="auto"/>
            <w:shd w:val="clear" w:color="auto" w:fill="auto"/>
          </w:tcPr>
          <w:p w14:paraId="36CA4150" w14:textId="77777777" w:rsidR="00787570" w:rsidRDefault="00787570">
            <w:pPr>
              <w:rPr>
                <w:rFonts w:ascii="宋体"/>
              </w:rPr>
            </w:pPr>
          </w:p>
        </w:tc>
        <w:tc>
          <w:tcPr>
            <w:tcW w:w="0" w:type="auto"/>
            <w:shd w:val="clear" w:color="auto" w:fill="auto"/>
          </w:tcPr>
          <w:p w14:paraId="36CA4151" w14:textId="77777777" w:rsidR="00787570" w:rsidRDefault="00787570">
            <w:pPr>
              <w:rPr>
                <w:rFonts w:ascii="宋体"/>
              </w:rPr>
            </w:pPr>
          </w:p>
        </w:tc>
        <w:tc>
          <w:tcPr>
            <w:tcW w:w="0" w:type="auto"/>
            <w:shd w:val="clear" w:color="auto" w:fill="auto"/>
          </w:tcPr>
          <w:p w14:paraId="36CA4152" w14:textId="77777777" w:rsidR="00787570" w:rsidRDefault="00787570">
            <w:pPr>
              <w:rPr>
                <w:rFonts w:ascii="宋体"/>
              </w:rPr>
            </w:pPr>
          </w:p>
        </w:tc>
      </w:tr>
      <w:tr w:rsidR="00787570" w14:paraId="36CA4179" w14:textId="77777777">
        <w:tc>
          <w:tcPr>
            <w:tcW w:w="0" w:type="auto"/>
            <w:gridSpan w:val="3"/>
            <w:shd w:val="clear" w:color="auto" w:fill="auto"/>
            <w:tcMar>
              <w:top w:w="40" w:type="dxa"/>
              <w:left w:w="20" w:type="dxa"/>
              <w:bottom w:w="40" w:type="dxa"/>
              <w:right w:w="20" w:type="dxa"/>
            </w:tcMar>
            <w:vAlign w:val="bottom"/>
          </w:tcPr>
          <w:p w14:paraId="36CA4154" w14:textId="77777777" w:rsidR="00787570" w:rsidRDefault="000D56E2">
            <w:pPr>
              <w:ind w:hanging="180"/>
              <w:textAlignment w:val="bottom"/>
            </w:pPr>
            <w:r>
              <w:rPr>
                <w:rFonts w:ascii="Arial" w:eastAsia="宋体" w:hAnsi="Arial" w:cs="Arial"/>
                <w:color w:val="333333"/>
                <w:sz w:val="18"/>
                <w:szCs w:val="18"/>
              </w:rPr>
              <w:t>Liabilities:</w:t>
            </w:r>
          </w:p>
        </w:tc>
        <w:tc>
          <w:tcPr>
            <w:tcW w:w="0" w:type="auto"/>
            <w:gridSpan w:val="3"/>
            <w:shd w:val="clear" w:color="auto" w:fill="auto"/>
            <w:tcMar>
              <w:left w:w="20" w:type="dxa"/>
              <w:right w:w="20" w:type="dxa"/>
            </w:tcMar>
            <w:vAlign w:val="bottom"/>
          </w:tcPr>
          <w:p w14:paraId="36CA4155" w14:textId="77777777" w:rsidR="00787570" w:rsidRDefault="00787570">
            <w:pPr>
              <w:rPr>
                <w:rFonts w:ascii="宋体"/>
              </w:rPr>
            </w:pPr>
          </w:p>
        </w:tc>
        <w:tc>
          <w:tcPr>
            <w:tcW w:w="0" w:type="auto"/>
            <w:gridSpan w:val="3"/>
            <w:tcBorders>
              <w:top w:val="double" w:sz="6" w:space="0" w:color="333333"/>
            </w:tcBorders>
            <w:shd w:val="clear" w:color="auto" w:fill="auto"/>
            <w:tcMar>
              <w:left w:w="20" w:type="dxa"/>
              <w:right w:w="20" w:type="dxa"/>
            </w:tcMar>
            <w:vAlign w:val="bottom"/>
          </w:tcPr>
          <w:p w14:paraId="36CA4156"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4157" w14:textId="77777777" w:rsidR="00787570" w:rsidRDefault="00787570">
            <w:pPr>
              <w:rPr>
                <w:rFonts w:ascii="宋体"/>
              </w:rPr>
            </w:pPr>
          </w:p>
        </w:tc>
        <w:tc>
          <w:tcPr>
            <w:tcW w:w="0" w:type="auto"/>
            <w:gridSpan w:val="3"/>
            <w:tcBorders>
              <w:top w:val="double" w:sz="6" w:space="0" w:color="333333"/>
            </w:tcBorders>
            <w:shd w:val="clear" w:color="auto" w:fill="auto"/>
            <w:tcMar>
              <w:left w:w="20" w:type="dxa"/>
              <w:right w:w="20" w:type="dxa"/>
            </w:tcMar>
            <w:vAlign w:val="bottom"/>
          </w:tcPr>
          <w:p w14:paraId="36CA4158"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4159" w14:textId="77777777" w:rsidR="00787570" w:rsidRDefault="00787570">
            <w:pPr>
              <w:rPr>
                <w:rFonts w:ascii="宋体"/>
              </w:rPr>
            </w:pPr>
          </w:p>
        </w:tc>
        <w:tc>
          <w:tcPr>
            <w:tcW w:w="0" w:type="auto"/>
            <w:gridSpan w:val="3"/>
            <w:tcBorders>
              <w:top w:val="double" w:sz="6" w:space="0" w:color="333333"/>
            </w:tcBorders>
            <w:shd w:val="clear" w:color="auto" w:fill="auto"/>
            <w:tcMar>
              <w:left w:w="20" w:type="dxa"/>
              <w:right w:w="20" w:type="dxa"/>
            </w:tcMar>
            <w:vAlign w:val="bottom"/>
          </w:tcPr>
          <w:p w14:paraId="36CA415A"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415B" w14:textId="77777777" w:rsidR="00787570" w:rsidRDefault="00787570">
            <w:pPr>
              <w:rPr>
                <w:rFonts w:ascii="宋体"/>
              </w:rPr>
            </w:pPr>
          </w:p>
        </w:tc>
        <w:tc>
          <w:tcPr>
            <w:tcW w:w="0" w:type="auto"/>
            <w:gridSpan w:val="3"/>
            <w:tcBorders>
              <w:top w:val="double" w:sz="6" w:space="0" w:color="333333"/>
            </w:tcBorders>
            <w:shd w:val="clear" w:color="auto" w:fill="auto"/>
            <w:tcMar>
              <w:left w:w="20" w:type="dxa"/>
              <w:right w:w="20" w:type="dxa"/>
            </w:tcMar>
            <w:vAlign w:val="bottom"/>
          </w:tcPr>
          <w:p w14:paraId="36CA415C"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415D" w14:textId="77777777" w:rsidR="00787570" w:rsidRDefault="00787570">
            <w:pPr>
              <w:rPr>
                <w:rFonts w:ascii="宋体"/>
              </w:rPr>
            </w:pPr>
          </w:p>
        </w:tc>
        <w:tc>
          <w:tcPr>
            <w:tcW w:w="0" w:type="auto"/>
            <w:gridSpan w:val="3"/>
            <w:tcBorders>
              <w:top w:val="double" w:sz="6" w:space="0" w:color="333333"/>
            </w:tcBorders>
            <w:shd w:val="clear" w:color="auto" w:fill="auto"/>
            <w:tcMar>
              <w:left w:w="20" w:type="dxa"/>
              <w:right w:w="20" w:type="dxa"/>
            </w:tcMar>
            <w:vAlign w:val="bottom"/>
          </w:tcPr>
          <w:p w14:paraId="36CA415E"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415F" w14:textId="77777777" w:rsidR="00787570" w:rsidRDefault="00787570">
            <w:pPr>
              <w:rPr>
                <w:rFonts w:ascii="宋体"/>
              </w:rPr>
            </w:pPr>
          </w:p>
        </w:tc>
        <w:tc>
          <w:tcPr>
            <w:tcW w:w="0" w:type="auto"/>
            <w:gridSpan w:val="3"/>
            <w:tcBorders>
              <w:top w:val="double" w:sz="6" w:space="0" w:color="333333"/>
            </w:tcBorders>
            <w:shd w:val="clear" w:color="auto" w:fill="auto"/>
            <w:tcMar>
              <w:left w:w="20" w:type="dxa"/>
              <w:right w:w="20" w:type="dxa"/>
            </w:tcMar>
            <w:vAlign w:val="bottom"/>
          </w:tcPr>
          <w:p w14:paraId="36CA4160" w14:textId="77777777" w:rsidR="00787570" w:rsidRDefault="00787570">
            <w:pPr>
              <w:rPr>
                <w:rFonts w:ascii="宋体"/>
              </w:rPr>
            </w:pPr>
          </w:p>
        </w:tc>
        <w:tc>
          <w:tcPr>
            <w:tcW w:w="0" w:type="auto"/>
            <w:shd w:val="clear" w:color="auto" w:fill="auto"/>
          </w:tcPr>
          <w:p w14:paraId="36CA4161" w14:textId="77777777" w:rsidR="00787570" w:rsidRDefault="00787570">
            <w:pPr>
              <w:rPr>
                <w:rFonts w:ascii="宋体"/>
              </w:rPr>
            </w:pPr>
          </w:p>
        </w:tc>
        <w:tc>
          <w:tcPr>
            <w:tcW w:w="0" w:type="auto"/>
            <w:shd w:val="clear" w:color="auto" w:fill="auto"/>
          </w:tcPr>
          <w:p w14:paraId="36CA4162" w14:textId="77777777" w:rsidR="00787570" w:rsidRDefault="00787570">
            <w:pPr>
              <w:rPr>
                <w:rFonts w:ascii="宋体"/>
              </w:rPr>
            </w:pPr>
          </w:p>
        </w:tc>
        <w:tc>
          <w:tcPr>
            <w:tcW w:w="0" w:type="auto"/>
            <w:shd w:val="clear" w:color="auto" w:fill="auto"/>
          </w:tcPr>
          <w:p w14:paraId="36CA4163" w14:textId="77777777" w:rsidR="00787570" w:rsidRDefault="00787570">
            <w:pPr>
              <w:rPr>
                <w:rFonts w:ascii="宋体"/>
              </w:rPr>
            </w:pPr>
          </w:p>
        </w:tc>
        <w:tc>
          <w:tcPr>
            <w:tcW w:w="0" w:type="auto"/>
            <w:shd w:val="clear" w:color="auto" w:fill="auto"/>
          </w:tcPr>
          <w:p w14:paraId="36CA4164" w14:textId="77777777" w:rsidR="00787570" w:rsidRDefault="00787570">
            <w:pPr>
              <w:rPr>
                <w:rFonts w:ascii="宋体"/>
              </w:rPr>
            </w:pPr>
          </w:p>
        </w:tc>
        <w:tc>
          <w:tcPr>
            <w:tcW w:w="0" w:type="auto"/>
            <w:shd w:val="clear" w:color="auto" w:fill="auto"/>
          </w:tcPr>
          <w:p w14:paraId="36CA4165" w14:textId="77777777" w:rsidR="00787570" w:rsidRDefault="00787570">
            <w:pPr>
              <w:rPr>
                <w:rFonts w:ascii="宋体"/>
              </w:rPr>
            </w:pPr>
          </w:p>
        </w:tc>
        <w:tc>
          <w:tcPr>
            <w:tcW w:w="0" w:type="auto"/>
            <w:shd w:val="clear" w:color="auto" w:fill="auto"/>
          </w:tcPr>
          <w:p w14:paraId="36CA4166" w14:textId="77777777" w:rsidR="00787570" w:rsidRDefault="00787570">
            <w:pPr>
              <w:rPr>
                <w:rFonts w:ascii="宋体"/>
              </w:rPr>
            </w:pPr>
          </w:p>
        </w:tc>
        <w:tc>
          <w:tcPr>
            <w:tcW w:w="0" w:type="auto"/>
            <w:shd w:val="clear" w:color="auto" w:fill="auto"/>
          </w:tcPr>
          <w:p w14:paraId="36CA4167" w14:textId="77777777" w:rsidR="00787570" w:rsidRDefault="00787570">
            <w:pPr>
              <w:rPr>
                <w:rFonts w:ascii="宋体"/>
              </w:rPr>
            </w:pPr>
          </w:p>
        </w:tc>
        <w:tc>
          <w:tcPr>
            <w:tcW w:w="0" w:type="auto"/>
            <w:shd w:val="clear" w:color="auto" w:fill="auto"/>
          </w:tcPr>
          <w:p w14:paraId="36CA4168" w14:textId="77777777" w:rsidR="00787570" w:rsidRDefault="00787570">
            <w:pPr>
              <w:rPr>
                <w:rFonts w:ascii="宋体"/>
              </w:rPr>
            </w:pPr>
          </w:p>
        </w:tc>
        <w:tc>
          <w:tcPr>
            <w:tcW w:w="0" w:type="auto"/>
            <w:shd w:val="clear" w:color="auto" w:fill="auto"/>
          </w:tcPr>
          <w:p w14:paraId="36CA4169" w14:textId="77777777" w:rsidR="00787570" w:rsidRDefault="00787570">
            <w:pPr>
              <w:rPr>
                <w:rFonts w:ascii="宋体"/>
              </w:rPr>
            </w:pPr>
          </w:p>
        </w:tc>
        <w:tc>
          <w:tcPr>
            <w:tcW w:w="0" w:type="auto"/>
            <w:shd w:val="clear" w:color="auto" w:fill="auto"/>
          </w:tcPr>
          <w:p w14:paraId="36CA416A" w14:textId="77777777" w:rsidR="00787570" w:rsidRDefault="00787570">
            <w:pPr>
              <w:rPr>
                <w:rFonts w:ascii="宋体"/>
              </w:rPr>
            </w:pPr>
          </w:p>
        </w:tc>
        <w:tc>
          <w:tcPr>
            <w:tcW w:w="0" w:type="auto"/>
            <w:shd w:val="clear" w:color="auto" w:fill="auto"/>
          </w:tcPr>
          <w:p w14:paraId="36CA416B" w14:textId="77777777" w:rsidR="00787570" w:rsidRDefault="00787570">
            <w:pPr>
              <w:rPr>
                <w:rFonts w:ascii="宋体"/>
              </w:rPr>
            </w:pPr>
          </w:p>
        </w:tc>
        <w:tc>
          <w:tcPr>
            <w:tcW w:w="0" w:type="auto"/>
            <w:shd w:val="clear" w:color="auto" w:fill="auto"/>
          </w:tcPr>
          <w:p w14:paraId="36CA416C" w14:textId="77777777" w:rsidR="00787570" w:rsidRDefault="00787570">
            <w:pPr>
              <w:rPr>
                <w:rFonts w:ascii="宋体"/>
              </w:rPr>
            </w:pPr>
          </w:p>
        </w:tc>
        <w:tc>
          <w:tcPr>
            <w:tcW w:w="0" w:type="auto"/>
            <w:shd w:val="clear" w:color="auto" w:fill="auto"/>
          </w:tcPr>
          <w:p w14:paraId="36CA416D" w14:textId="77777777" w:rsidR="00787570" w:rsidRDefault="00787570">
            <w:pPr>
              <w:rPr>
                <w:rFonts w:ascii="宋体"/>
              </w:rPr>
            </w:pPr>
          </w:p>
        </w:tc>
        <w:tc>
          <w:tcPr>
            <w:tcW w:w="0" w:type="auto"/>
            <w:shd w:val="clear" w:color="auto" w:fill="auto"/>
          </w:tcPr>
          <w:p w14:paraId="36CA416E" w14:textId="77777777" w:rsidR="00787570" w:rsidRDefault="00787570">
            <w:pPr>
              <w:rPr>
                <w:rFonts w:ascii="宋体"/>
              </w:rPr>
            </w:pPr>
          </w:p>
        </w:tc>
        <w:tc>
          <w:tcPr>
            <w:tcW w:w="0" w:type="auto"/>
            <w:shd w:val="clear" w:color="auto" w:fill="auto"/>
          </w:tcPr>
          <w:p w14:paraId="36CA416F" w14:textId="77777777" w:rsidR="00787570" w:rsidRDefault="00787570">
            <w:pPr>
              <w:rPr>
                <w:rFonts w:ascii="宋体"/>
              </w:rPr>
            </w:pPr>
          </w:p>
        </w:tc>
        <w:tc>
          <w:tcPr>
            <w:tcW w:w="0" w:type="auto"/>
            <w:shd w:val="clear" w:color="auto" w:fill="auto"/>
          </w:tcPr>
          <w:p w14:paraId="36CA4170" w14:textId="77777777" w:rsidR="00787570" w:rsidRDefault="00787570">
            <w:pPr>
              <w:rPr>
                <w:rFonts w:ascii="宋体"/>
              </w:rPr>
            </w:pPr>
          </w:p>
        </w:tc>
        <w:tc>
          <w:tcPr>
            <w:tcW w:w="0" w:type="auto"/>
            <w:shd w:val="clear" w:color="auto" w:fill="auto"/>
          </w:tcPr>
          <w:p w14:paraId="36CA4171" w14:textId="77777777" w:rsidR="00787570" w:rsidRDefault="00787570">
            <w:pPr>
              <w:rPr>
                <w:rFonts w:ascii="宋体"/>
              </w:rPr>
            </w:pPr>
          </w:p>
        </w:tc>
        <w:tc>
          <w:tcPr>
            <w:tcW w:w="0" w:type="auto"/>
            <w:shd w:val="clear" w:color="auto" w:fill="auto"/>
          </w:tcPr>
          <w:p w14:paraId="36CA4172" w14:textId="77777777" w:rsidR="00787570" w:rsidRDefault="00787570">
            <w:pPr>
              <w:rPr>
                <w:rFonts w:ascii="宋体"/>
              </w:rPr>
            </w:pPr>
          </w:p>
        </w:tc>
        <w:tc>
          <w:tcPr>
            <w:tcW w:w="0" w:type="auto"/>
            <w:shd w:val="clear" w:color="auto" w:fill="auto"/>
          </w:tcPr>
          <w:p w14:paraId="36CA4173" w14:textId="77777777" w:rsidR="00787570" w:rsidRDefault="00787570">
            <w:pPr>
              <w:rPr>
                <w:rFonts w:ascii="宋体"/>
              </w:rPr>
            </w:pPr>
          </w:p>
        </w:tc>
        <w:tc>
          <w:tcPr>
            <w:tcW w:w="0" w:type="auto"/>
            <w:shd w:val="clear" w:color="auto" w:fill="auto"/>
          </w:tcPr>
          <w:p w14:paraId="36CA4174" w14:textId="77777777" w:rsidR="00787570" w:rsidRDefault="00787570">
            <w:pPr>
              <w:rPr>
                <w:rFonts w:ascii="宋体"/>
              </w:rPr>
            </w:pPr>
          </w:p>
        </w:tc>
        <w:tc>
          <w:tcPr>
            <w:tcW w:w="0" w:type="auto"/>
            <w:shd w:val="clear" w:color="auto" w:fill="auto"/>
          </w:tcPr>
          <w:p w14:paraId="36CA4175" w14:textId="77777777" w:rsidR="00787570" w:rsidRDefault="00787570">
            <w:pPr>
              <w:rPr>
                <w:rFonts w:ascii="宋体"/>
              </w:rPr>
            </w:pPr>
          </w:p>
        </w:tc>
        <w:tc>
          <w:tcPr>
            <w:tcW w:w="0" w:type="auto"/>
            <w:shd w:val="clear" w:color="auto" w:fill="auto"/>
          </w:tcPr>
          <w:p w14:paraId="36CA4176" w14:textId="77777777" w:rsidR="00787570" w:rsidRDefault="00787570">
            <w:pPr>
              <w:rPr>
                <w:rFonts w:ascii="宋体"/>
              </w:rPr>
            </w:pPr>
          </w:p>
        </w:tc>
        <w:tc>
          <w:tcPr>
            <w:tcW w:w="0" w:type="auto"/>
            <w:shd w:val="clear" w:color="auto" w:fill="auto"/>
          </w:tcPr>
          <w:p w14:paraId="36CA4177" w14:textId="77777777" w:rsidR="00787570" w:rsidRDefault="00787570">
            <w:pPr>
              <w:rPr>
                <w:rFonts w:ascii="宋体"/>
              </w:rPr>
            </w:pPr>
          </w:p>
        </w:tc>
        <w:tc>
          <w:tcPr>
            <w:tcW w:w="0" w:type="auto"/>
            <w:shd w:val="clear" w:color="auto" w:fill="auto"/>
          </w:tcPr>
          <w:p w14:paraId="36CA4178" w14:textId="77777777" w:rsidR="00787570" w:rsidRDefault="00787570">
            <w:pPr>
              <w:rPr>
                <w:rFonts w:ascii="宋体"/>
              </w:rPr>
            </w:pPr>
          </w:p>
        </w:tc>
      </w:tr>
      <w:tr w:rsidR="00787570" w14:paraId="36CA41A5" w14:textId="77777777">
        <w:tc>
          <w:tcPr>
            <w:tcW w:w="0" w:type="auto"/>
            <w:gridSpan w:val="3"/>
            <w:shd w:val="clear" w:color="auto" w:fill="auto"/>
            <w:tcMar>
              <w:top w:w="40" w:type="dxa"/>
              <w:left w:w="120" w:type="dxa"/>
              <w:bottom w:w="40" w:type="dxa"/>
              <w:right w:w="20" w:type="dxa"/>
            </w:tcMar>
          </w:tcPr>
          <w:p w14:paraId="36CA417A" w14:textId="77777777" w:rsidR="00787570" w:rsidRDefault="000D56E2">
            <w:pPr>
              <w:textAlignment w:val="top"/>
            </w:pPr>
            <w:r>
              <w:rPr>
                <w:rFonts w:ascii="Arial" w:eastAsia="宋体" w:hAnsi="Arial" w:cs="Arial"/>
                <w:color w:val="333333"/>
                <w:sz w:val="18"/>
                <w:szCs w:val="18"/>
              </w:rPr>
              <w:t>Derivative liabilities subject to master</w:t>
            </w:r>
            <w:r>
              <w:rPr>
                <w:rFonts w:ascii="Arial" w:eastAsia="宋体" w:hAnsi="Arial" w:cs="Arial"/>
                <w:color w:val="333333"/>
                <w:sz w:val="18"/>
                <w:szCs w:val="18"/>
              </w:rPr>
              <w:br/>
              <w:t>netting arrangements</w:t>
            </w:r>
          </w:p>
        </w:tc>
        <w:tc>
          <w:tcPr>
            <w:tcW w:w="0" w:type="auto"/>
            <w:gridSpan w:val="3"/>
            <w:shd w:val="clear" w:color="auto" w:fill="auto"/>
            <w:tcMar>
              <w:left w:w="20" w:type="dxa"/>
              <w:right w:w="20" w:type="dxa"/>
            </w:tcMar>
            <w:vAlign w:val="bottom"/>
          </w:tcPr>
          <w:p w14:paraId="36CA417B"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417C" w14:textId="77777777" w:rsidR="00787570" w:rsidRDefault="000D56E2">
            <w:pPr>
              <w:jc w:val="right"/>
              <w:textAlignment w:val="bottom"/>
            </w:pPr>
            <w:r>
              <w:rPr>
                <w:rFonts w:ascii="Arial" w:eastAsia="宋体" w:hAnsi="Arial" w:cs="Arial"/>
                <w:color w:val="333333"/>
                <w:sz w:val="18"/>
                <w:szCs w:val="18"/>
              </w:rPr>
              <w:t>262 </w:t>
            </w:r>
          </w:p>
        </w:tc>
        <w:tc>
          <w:tcPr>
            <w:tcW w:w="0" w:type="auto"/>
            <w:shd w:val="clear" w:color="auto" w:fill="auto"/>
            <w:tcMar>
              <w:top w:w="40" w:type="dxa"/>
              <w:bottom w:w="40" w:type="dxa"/>
              <w:right w:w="20" w:type="dxa"/>
            </w:tcMar>
            <w:vAlign w:val="bottom"/>
          </w:tcPr>
          <w:p w14:paraId="36CA417D"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417E"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417F" w14:textId="77777777" w:rsidR="00787570" w:rsidRDefault="000D56E2">
            <w:pPr>
              <w:jc w:val="right"/>
              <w:textAlignment w:val="bottom"/>
            </w:pPr>
            <w:r>
              <w:rPr>
                <w:rFonts w:ascii="Arial" w:eastAsia="宋体" w:hAnsi="Arial" w:cs="Arial"/>
                <w:color w:val="333333"/>
                <w:sz w:val="18"/>
                <w:szCs w:val="18"/>
              </w:rPr>
              <w:t>— </w:t>
            </w:r>
          </w:p>
        </w:tc>
        <w:tc>
          <w:tcPr>
            <w:tcW w:w="0" w:type="auto"/>
            <w:shd w:val="clear" w:color="auto" w:fill="auto"/>
            <w:tcMar>
              <w:top w:w="40" w:type="dxa"/>
              <w:bottom w:w="40" w:type="dxa"/>
              <w:right w:w="20" w:type="dxa"/>
            </w:tcMar>
            <w:vAlign w:val="bottom"/>
          </w:tcPr>
          <w:p w14:paraId="36CA4180"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4181"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4182" w14:textId="77777777" w:rsidR="00787570" w:rsidRDefault="000D56E2">
            <w:pPr>
              <w:jc w:val="right"/>
              <w:textAlignment w:val="bottom"/>
            </w:pPr>
            <w:r>
              <w:rPr>
                <w:rFonts w:ascii="Arial" w:eastAsia="宋体" w:hAnsi="Arial" w:cs="Arial"/>
                <w:color w:val="333333"/>
                <w:sz w:val="18"/>
                <w:szCs w:val="18"/>
              </w:rPr>
              <w:t>262 </w:t>
            </w:r>
          </w:p>
        </w:tc>
        <w:tc>
          <w:tcPr>
            <w:tcW w:w="0" w:type="auto"/>
            <w:shd w:val="clear" w:color="auto" w:fill="auto"/>
            <w:tcMar>
              <w:top w:w="40" w:type="dxa"/>
              <w:bottom w:w="40" w:type="dxa"/>
              <w:right w:w="20" w:type="dxa"/>
            </w:tcMar>
            <w:vAlign w:val="bottom"/>
          </w:tcPr>
          <w:p w14:paraId="36CA4183"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4184"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4185" w14:textId="77777777" w:rsidR="00787570" w:rsidRDefault="000D56E2">
            <w:pPr>
              <w:jc w:val="right"/>
              <w:textAlignment w:val="bottom"/>
            </w:pPr>
            <w:r>
              <w:rPr>
                <w:rFonts w:ascii="Arial" w:eastAsia="宋体" w:hAnsi="Arial" w:cs="Arial"/>
                <w:color w:val="333333"/>
                <w:sz w:val="18"/>
                <w:szCs w:val="18"/>
              </w:rPr>
              <w:t>(144)</w:t>
            </w:r>
          </w:p>
        </w:tc>
        <w:tc>
          <w:tcPr>
            <w:tcW w:w="0" w:type="auto"/>
            <w:shd w:val="clear" w:color="auto" w:fill="auto"/>
            <w:tcMar>
              <w:top w:w="40" w:type="dxa"/>
              <w:bottom w:w="40" w:type="dxa"/>
              <w:right w:w="20" w:type="dxa"/>
            </w:tcMar>
            <w:vAlign w:val="bottom"/>
          </w:tcPr>
          <w:p w14:paraId="36CA4186"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4187"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4188" w14:textId="77777777" w:rsidR="00787570" w:rsidRDefault="000D56E2">
            <w:pPr>
              <w:jc w:val="right"/>
              <w:textAlignment w:val="bottom"/>
            </w:pPr>
            <w:r>
              <w:rPr>
                <w:rFonts w:ascii="Arial" w:eastAsia="宋体" w:hAnsi="Arial" w:cs="Arial"/>
                <w:color w:val="333333"/>
                <w:sz w:val="18"/>
                <w:szCs w:val="18"/>
              </w:rPr>
              <w:t>(72)</w:t>
            </w:r>
          </w:p>
        </w:tc>
        <w:tc>
          <w:tcPr>
            <w:tcW w:w="0" w:type="auto"/>
            <w:shd w:val="clear" w:color="auto" w:fill="auto"/>
            <w:tcMar>
              <w:top w:w="40" w:type="dxa"/>
              <w:bottom w:w="40" w:type="dxa"/>
              <w:right w:w="20" w:type="dxa"/>
            </w:tcMar>
            <w:vAlign w:val="bottom"/>
          </w:tcPr>
          <w:p w14:paraId="36CA4189"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418A"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418B" w14:textId="77777777" w:rsidR="00787570" w:rsidRDefault="000D56E2">
            <w:pPr>
              <w:jc w:val="right"/>
              <w:textAlignment w:val="bottom"/>
            </w:pPr>
            <w:r>
              <w:rPr>
                <w:rFonts w:ascii="Arial" w:eastAsia="宋体" w:hAnsi="Arial" w:cs="Arial"/>
                <w:color w:val="333333"/>
                <w:sz w:val="18"/>
                <w:szCs w:val="18"/>
              </w:rPr>
              <w:t>46 </w:t>
            </w:r>
          </w:p>
        </w:tc>
        <w:tc>
          <w:tcPr>
            <w:tcW w:w="0" w:type="auto"/>
            <w:shd w:val="clear" w:color="auto" w:fill="auto"/>
            <w:tcMar>
              <w:top w:w="40" w:type="dxa"/>
              <w:bottom w:w="40" w:type="dxa"/>
              <w:right w:w="20" w:type="dxa"/>
            </w:tcMar>
            <w:vAlign w:val="bottom"/>
          </w:tcPr>
          <w:p w14:paraId="36CA418C" w14:textId="77777777" w:rsidR="00787570" w:rsidRDefault="00787570">
            <w:pPr>
              <w:jc w:val="right"/>
              <w:rPr>
                <w:rFonts w:ascii="宋体"/>
              </w:rPr>
            </w:pPr>
          </w:p>
        </w:tc>
        <w:tc>
          <w:tcPr>
            <w:tcW w:w="0" w:type="auto"/>
            <w:shd w:val="clear" w:color="auto" w:fill="auto"/>
          </w:tcPr>
          <w:p w14:paraId="36CA418D" w14:textId="77777777" w:rsidR="00787570" w:rsidRDefault="00787570">
            <w:pPr>
              <w:rPr>
                <w:rFonts w:ascii="宋体"/>
              </w:rPr>
            </w:pPr>
          </w:p>
        </w:tc>
        <w:tc>
          <w:tcPr>
            <w:tcW w:w="0" w:type="auto"/>
            <w:shd w:val="clear" w:color="auto" w:fill="auto"/>
          </w:tcPr>
          <w:p w14:paraId="36CA418E" w14:textId="77777777" w:rsidR="00787570" w:rsidRDefault="00787570">
            <w:pPr>
              <w:rPr>
                <w:rFonts w:ascii="宋体"/>
              </w:rPr>
            </w:pPr>
          </w:p>
        </w:tc>
        <w:tc>
          <w:tcPr>
            <w:tcW w:w="0" w:type="auto"/>
            <w:shd w:val="clear" w:color="auto" w:fill="auto"/>
          </w:tcPr>
          <w:p w14:paraId="36CA418F" w14:textId="77777777" w:rsidR="00787570" w:rsidRDefault="00787570">
            <w:pPr>
              <w:rPr>
                <w:rFonts w:ascii="宋体"/>
              </w:rPr>
            </w:pPr>
          </w:p>
        </w:tc>
        <w:tc>
          <w:tcPr>
            <w:tcW w:w="0" w:type="auto"/>
            <w:shd w:val="clear" w:color="auto" w:fill="auto"/>
          </w:tcPr>
          <w:p w14:paraId="36CA4190" w14:textId="77777777" w:rsidR="00787570" w:rsidRDefault="00787570">
            <w:pPr>
              <w:rPr>
                <w:rFonts w:ascii="宋体"/>
              </w:rPr>
            </w:pPr>
          </w:p>
        </w:tc>
        <w:tc>
          <w:tcPr>
            <w:tcW w:w="0" w:type="auto"/>
            <w:shd w:val="clear" w:color="auto" w:fill="auto"/>
          </w:tcPr>
          <w:p w14:paraId="36CA4191" w14:textId="77777777" w:rsidR="00787570" w:rsidRDefault="00787570">
            <w:pPr>
              <w:rPr>
                <w:rFonts w:ascii="宋体"/>
              </w:rPr>
            </w:pPr>
          </w:p>
        </w:tc>
        <w:tc>
          <w:tcPr>
            <w:tcW w:w="0" w:type="auto"/>
            <w:shd w:val="clear" w:color="auto" w:fill="auto"/>
          </w:tcPr>
          <w:p w14:paraId="36CA4192" w14:textId="77777777" w:rsidR="00787570" w:rsidRDefault="00787570">
            <w:pPr>
              <w:rPr>
                <w:rFonts w:ascii="宋体"/>
              </w:rPr>
            </w:pPr>
          </w:p>
        </w:tc>
        <w:tc>
          <w:tcPr>
            <w:tcW w:w="0" w:type="auto"/>
            <w:shd w:val="clear" w:color="auto" w:fill="auto"/>
          </w:tcPr>
          <w:p w14:paraId="36CA4193" w14:textId="77777777" w:rsidR="00787570" w:rsidRDefault="00787570">
            <w:pPr>
              <w:rPr>
                <w:rFonts w:ascii="宋体"/>
              </w:rPr>
            </w:pPr>
          </w:p>
        </w:tc>
        <w:tc>
          <w:tcPr>
            <w:tcW w:w="0" w:type="auto"/>
            <w:shd w:val="clear" w:color="auto" w:fill="auto"/>
          </w:tcPr>
          <w:p w14:paraId="36CA4194" w14:textId="77777777" w:rsidR="00787570" w:rsidRDefault="00787570">
            <w:pPr>
              <w:rPr>
                <w:rFonts w:ascii="宋体"/>
              </w:rPr>
            </w:pPr>
          </w:p>
        </w:tc>
        <w:tc>
          <w:tcPr>
            <w:tcW w:w="0" w:type="auto"/>
            <w:shd w:val="clear" w:color="auto" w:fill="auto"/>
          </w:tcPr>
          <w:p w14:paraId="36CA4195" w14:textId="77777777" w:rsidR="00787570" w:rsidRDefault="00787570">
            <w:pPr>
              <w:rPr>
                <w:rFonts w:ascii="宋体"/>
              </w:rPr>
            </w:pPr>
          </w:p>
        </w:tc>
        <w:tc>
          <w:tcPr>
            <w:tcW w:w="0" w:type="auto"/>
            <w:shd w:val="clear" w:color="auto" w:fill="auto"/>
          </w:tcPr>
          <w:p w14:paraId="36CA4196" w14:textId="77777777" w:rsidR="00787570" w:rsidRDefault="00787570">
            <w:pPr>
              <w:rPr>
                <w:rFonts w:ascii="宋体"/>
              </w:rPr>
            </w:pPr>
          </w:p>
        </w:tc>
        <w:tc>
          <w:tcPr>
            <w:tcW w:w="0" w:type="auto"/>
            <w:shd w:val="clear" w:color="auto" w:fill="auto"/>
          </w:tcPr>
          <w:p w14:paraId="36CA4197" w14:textId="77777777" w:rsidR="00787570" w:rsidRDefault="00787570">
            <w:pPr>
              <w:rPr>
                <w:rFonts w:ascii="宋体"/>
              </w:rPr>
            </w:pPr>
          </w:p>
        </w:tc>
        <w:tc>
          <w:tcPr>
            <w:tcW w:w="0" w:type="auto"/>
            <w:shd w:val="clear" w:color="auto" w:fill="auto"/>
          </w:tcPr>
          <w:p w14:paraId="36CA4198" w14:textId="77777777" w:rsidR="00787570" w:rsidRDefault="00787570">
            <w:pPr>
              <w:rPr>
                <w:rFonts w:ascii="宋体"/>
              </w:rPr>
            </w:pPr>
          </w:p>
        </w:tc>
        <w:tc>
          <w:tcPr>
            <w:tcW w:w="0" w:type="auto"/>
            <w:shd w:val="clear" w:color="auto" w:fill="auto"/>
          </w:tcPr>
          <w:p w14:paraId="36CA4199" w14:textId="77777777" w:rsidR="00787570" w:rsidRDefault="00787570">
            <w:pPr>
              <w:rPr>
                <w:rFonts w:ascii="宋体"/>
              </w:rPr>
            </w:pPr>
          </w:p>
        </w:tc>
        <w:tc>
          <w:tcPr>
            <w:tcW w:w="0" w:type="auto"/>
            <w:shd w:val="clear" w:color="auto" w:fill="auto"/>
          </w:tcPr>
          <w:p w14:paraId="36CA419A" w14:textId="77777777" w:rsidR="00787570" w:rsidRDefault="00787570">
            <w:pPr>
              <w:rPr>
                <w:rFonts w:ascii="宋体"/>
              </w:rPr>
            </w:pPr>
          </w:p>
        </w:tc>
        <w:tc>
          <w:tcPr>
            <w:tcW w:w="0" w:type="auto"/>
            <w:shd w:val="clear" w:color="auto" w:fill="auto"/>
          </w:tcPr>
          <w:p w14:paraId="36CA419B" w14:textId="77777777" w:rsidR="00787570" w:rsidRDefault="00787570">
            <w:pPr>
              <w:rPr>
                <w:rFonts w:ascii="宋体"/>
              </w:rPr>
            </w:pPr>
          </w:p>
        </w:tc>
        <w:tc>
          <w:tcPr>
            <w:tcW w:w="0" w:type="auto"/>
            <w:shd w:val="clear" w:color="auto" w:fill="auto"/>
          </w:tcPr>
          <w:p w14:paraId="36CA419C" w14:textId="77777777" w:rsidR="00787570" w:rsidRDefault="00787570">
            <w:pPr>
              <w:rPr>
                <w:rFonts w:ascii="宋体"/>
              </w:rPr>
            </w:pPr>
          </w:p>
        </w:tc>
        <w:tc>
          <w:tcPr>
            <w:tcW w:w="0" w:type="auto"/>
            <w:shd w:val="clear" w:color="auto" w:fill="auto"/>
          </w:tcPr>
          <w:p w14:paraId="36CA419D" w14:textId="77777777" w:rsidR="00787570" w:rsidRDefault="00787570">
            <w:pPr>
              <w:rPr>
                <w:rFonts w:ascii="宋体"/>
              </w:rPr>
            </w:pPr>
          </w:p>
        </w:tc>
        <w:tc>
          <w:tcPr>
            <w:tcW w:w="0" w:type="auto"/>
            <w:shd w:val="clear" w:color="auto" w:fill="auto"/>
          </w:tcPr>
          <w:p w14:paraId="36CA419E" w14:textId="77777777" w:rsidR="00787570" w:rsidRDefault="00787570">
            <w:pPr>
              <w:rPr>
                <w:rFonts w:ascii="宋体"/>
              </w:rPr>
            </w:pPr>
          </w:p>
        </w:tc>
        <w:tc>
          <w:tcPr>
            <w:tcW w:w="0" w:type="auto"/>
            <w:shd w:val="clear" w:color="auto" w:fill="auto"/>
          </w:tcPr>
          <w:p w14:paraId="36CA419F" w14:textId="77777777" w:rsidR="00787570" w:rsidRDefault="00787570">
            <w:pPr>
              <w:rPr>
                <w:rFonts w:ascii="宋体"/>
              </w:rPr>
            </w:pPr>
          </w:p>
        </w:tc>
        <w:tc>
          <w:tcPr>
            <w:tcW w:w="0" w:type="auto"/>
            <w:shd w:val="clear" w:color="auto" w:fill="auto"/>
          </w:tcPr>
          <w:p w14:paraId="36CA41A0" w14:textId="77777777" w:rsidR="00787570" w:rsidRDefault="00787570">
            <w:pPr>
              <w:rPr>
                <w:rFonts w:ascii="宋体"/>
              </w:rPr>
            </w:pPr>
          </w:p>
        </w:tc>
        <w:tc>
          <w:tcPr>
            <w:tcW w:w="0" w:type="auto"/>
            <w:shd w:val="clear" w:color="auto" w:fill="auto"/>
          </w:tcPr>
          <w:p w14:paraId="36CA41A1" w14:textId="77777777" w:rsidR="00787570" w:rsidRDefault="00787570">
            <w:pPr>
              <w:rPr>
                <w:rFonts w:ascii="宋体"/>
              </w:rPr>
            </w:pPr>
          </w:p>
        </w:tc>
        <w:tc>
          <w:tcPr>
            <w:tcW w:w="0" w:type="auto"/>
            <w:shd w:val="clear" w:color="auto" w:fill="auto"/>
          </w:tcPr>
          <w:p w14:paraId="36CA41A2" w14:textId="77777777" w:rsidR="00787570" w:rsidRDefault="00787570">
            <w:pPr>
              <w:rPr>
                <w:rFonts w:ascii="宋体"/>
              </w:rPr>
            </w:pPr>
          </w:p>
        </w:tc>
        <w:tc>
          <w:tcPr>
            <w:tcW w:w="0" w:type="auto"/>
            <w:shd w:val="clear" w:color="auto" w:fill="auto"/>
          </w:tcPr>
          <w:p w14:paraId="36CA41A3" w14:textId="77777777" w:rsidR="00787570" w:rsidRDefault="00787570">
            <w:pPr>
              <w:rPr>
                <w:rFonts w:ascii="宋体"/>
              </w:rPr>
            </w:pPr>
          </w:p>
        </w:tc>
        <w:tc>
          <w:tcPr>
            <w:tcW w:w="0" w:type="auto"/>
            <w:shd w:val="clear" w:color="auto" w:fill="auto"/>
          </w:tcPr>
          <w:p w14:paraId="36CA41A4" w14:textId="77777777" w:rsidR="00787570" w:rsidRDefault="00787570">
            <w:pPr>
              <w:rPr>
                <w:rFonts w:ascii="宋体"/>
              </w:rPr>
            </w:pPr>
          </w:p>
        </w:tc>
      </w:tr>
      <w:tr w:rsidR="00787570" w14:paraId="36CA41D7" w14:textId="77777777">
        <w:tc>
          <w:tcPr>
            <w:tcW w:w="0" w:type="auto"/>
            <w:gridSpan w:val="3"/>
            <w:shd w:val="clear" w:color="auto" w:fill="auto"/>
            <w:tcMar>
              <w:top w:w="40" w:type="dxa"/>
              <w:left w:w="20" w:type="dxa"/>
              <w:bottom w:w="40" w:type="dxa"/>
              <w:right w:w="20" w:type="dxa"/>
            </w:tcMar>
            <w:vAlign w:val="bottom"/>
          </w:tcPr>
          <w:p w14:paraId="36CA41A6" w14:textId="77777777" w:rsidR="00787570" w:rsidRDefault="000D56E2">
            <w:pPr>
              <w:ind w:hanging="180"/>
              <w:textAlignment w:val="bottom"/>
            </w:pPr>
            <w:r>
              <w:rPr>
                <w:rFonts w:ascii="Arial" w:eastAsia="宋体" w:hAnsi="Arial" w:cs="Arial"/>
                <w:b/>
                <w:bCs/>
                <w:color w:val="333333"/>
                <w:sz w:val="18"/>
                <w:szCs w:val="18"/>
              </w:rPr>
              <w:t>Total liabilities</w:t>
            </w:r>
          </w:p>
        </w:tc>
        <w:tc>
          <w:tcPr>
            <w:tcW w:w="0" w:type="auto"/>
            <w:gridSpan w:val="3"/>
            <w:shd w:val="clear" w:color="auto" w:fill="auto"/>
            <w:tcMar>
              <w:left w:w="20" w:type="dxa"/>
              <w:right w:w="20" w:type="dxa"/>
            </w:tcMar>
            <w:vAlign w:val="bottom"/>
          </w:tcPr>
          <w:p w14:paraId="36CA41A7" w14:textId="77777777" w:rsidR="00787570" w:rsidRDefault="00787570">
            <w:pPr>
              <w:rPr>
                <w:rFonts w:ascii="宋体"/>
              </w:rPr>
            </w:pPr>
          </w:p>
        </w:tc>
        <w:tc>
          <w:tcPr>
            <w:tcW w:w="0" w:type="auto"/>
            <w:tcBorders>
              <w:top w:val="single" w:sz="8" w:space="0" w:color="333333"/>
              <w:bottom w:val="double" w:sz="6" w:space="0" w:color="333333"/>
            </w:tcBorders>
            <w:shd w:val="clear" w:color="auto" w:fill="auto"/>
            <w:tcMar>
              <w:top w:w="40" w:type="dxa"/>
              <w:left w:w="20" w:type="dxa"/>
              <w:bottom w:w="40" w:type="dxa"/>
            </w:tcMar>
            <w:vAlign w:val="bottom"/>
          </w:tcPr>
          <w:p w14:paraId="36CA41A8" w14:textId="77777777" w:rsidR="00787570" w:rsidRDefault="000D56E2">
            <w:pPr>
              <w:textAlignment w:val="bottom"/>
            </w:pPr>
            <w:r>
              <w:rPr>
                <w:rFonts w:ascii="Arial" w:eastAsia="宋体" w:hAnsi="Arial" w:cs="Arial"/>
                <w:b/>
                <w:bCs/>
                <w:color w:val="333333"/>
                <w:sz w:val="18"/>
                <w:szCs w:val="18"/>
              </w:rPr>
              <w:t>$</w:t>
            </w:r>
          </w:p>
        </w:tc>
        <w:tc>
          <w:tcPr>
            <w:tcW w:w="0" w:type="auto"/>
            <w:tcBorders>
              <w:top w:val="single" w:sz="8" w:space="0" w:color="333333"/>
              <w:bottom w:val="double" w:sz="6" w:space="0" w:color="333333"/>
            </w:tcBorders>
            <w:shd w:val="clear" w:color="auto" w:fill="auto"/>
            <w:tcMar>
              <w:top w:w="40" w:type="dxa"/>
              <w:bottom w:w="40" w:type="dxa"/>
              <w:right w:w="0" w:type="dxa"/>
            </w:tcMar>
            <w:vAlign w:val="bottom"/>
          </w:tcPr>
          <w:p w14:paraId="36CA41A9" w14:textId="77777777" w:rsidR="00787570" w:rsidRDefault="000D56E2">
            <w:pPr>
              <w:jc w:val="right"/>
              <w:textAlignment w:val="bottom"/>
            </w:pPr>
            <w:r>
              <w:rPr>
                <w:rFonts w:ascii="Arial" w:eastAsia="宋体" w:hAnsi="Arial" w:cs="Arial"/>
                <w:b/>
                <w:bCs/>
                <w:color w:val="333333"/>
                <w:sz w:val="18"/>
                <w:szCs w:val="18"/>
              </w:rPr>
              <w:t>262</w:t>
            </w:r>
            <w:r>
              <w:rPr>
                <w:rFonts w:ascii="Arial" w:eastAsia="宋体" w:hAnsi="Arial" w:cs="Arial"/>
                <w:color w:val="333333"/>
                <w:sz w:val="18"/>
                <w:szCs w:val="18"/>
              </w:rPr>
              <w:t> </w:t>
            </w:r>
          </w:p>
        </w:tc>
        <w:tc>
          <w:tcPr>
            <w:tcW w:w="0" w:type="auto"/>
            <w:tcBorders>
              <w:top w:val="single" w:sz="8" w:space="0" w:color="333333"/>
              <w:bottom w:val="double" w:sz="6" w:space="0" w:color="333333"/>
            </w:tcBorders>
            <w:shd w:val="clear" w:color="auto" w:fill="auto"/>
            <w:tcMar>
              <w:top w:w="40" w:type="dxa"/>
              <w:bottom w:w="40" w:type="dxa"/>
              <w:right w:w="20" w:type="dxa"/>
            </w:tcMar>
            <w:vAlign w:val="bottom"/>
          </w:tcPr>
          <w:p w14:paraId="36CA41AA"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41AB" w14:textId="77777777" w:rsidR="00787570" w:rsidRDefault="00787570">
            <w:pPr>
              <w:rPr>
                <w:rFonts w:ascii="宋体"/>
              </w:rPr>
            </w:pPr>
          </w:p>
        </w:tc>
        <w:tc>
          <w:tcPr>
            <w:tcW w:w="0" w:type="auto"/>
            <w:tcBorders>
              <w:top w:val="single" w:sz="8" w:space="0" w:color="333333"/>
              <w:bottom w:val="double" w:sz="6" w:space="0" w:color="333333"/>
            </w:tcBorders>
            <w:shd w:val="clear" w:color="auto" w:fill="auto"/>
            <w:tcMar>
              <w:top w:w="40" w:type="dxa"/>
              <w:left w:w="20" w:type="dxa"/>
              <w:bottom w:w="40" w:type="dxa"/>
            </w:tcMar>
            <w:vAlign w:val="bottom"/>
          </w:tcPr>
          <w:p w14:paraId="36CA41AC" w14:textId="77777777" w:rsidR="00787570" w:rsidRDefault="000D56E2">
            <w:pPr>
              <w:textAlignment w:val="bottom"/>
            </w:pPr>
            <w:r>
              <w:rPr>
                <w:rFonts w:ascii="Arial" w:eastAsia="宋体" w:hAnsi="Arial" w:cs="Arial"/>
                <w:b/>
                <w:bCs/>
                <w:color w:val="333333"/>
                <w:sz w:val="18"/>
                <w:szCs w:val="18"/>
              </w:rPr>
              <w:t>$</w:t>
            </w:r>
          </w:p>
        </w:tc>
        <w:tc>
          <w:tcPr>
            <w:tcW w:w="0" w:type="auto"/>
            <w:tcBorders>
              <w:top w:val="single" w:sz="8" w:space="0" w:color="333333"/>
              <w:bottom w:val="double" w:sz="6" w:space="0" w:color="333333"/>
            </w:tcBorders>
            <w:shd w:val="clear" w:color="auto" w:fill="auto"/>
            <w:tcMar>
              <w:top w:w="40" w:type="dxa"/>
              <w:bottom w:w="40" w:type="dxa"/>
              <w:right w:w="0" w:type="dxa"/>
            </w:tcMar>
            <w:vAlign w:val="bottom"/>
          </w:tcPr>
          <w:p w14:paraId="36CA41AD" w14:textId="77777777" w:rsidR="00787570" w:rsidRDefault="000D56E2">
            <w:pPr>
              <w:jc w:val="right"/>
              <w:textAlignment w:val="bottom"/>
            </w:pPr>
            <w:r>
              <w:rPr>
                <w:rFonts w:ascii="Arial" w:eastAsia="宋体" w:hAnsi="Arial" w:cs="Arial"/>
                <w:b/>
                <w:bCs/>
                <w:color w:val="333333"/>
                <w:sz w:val="18"/>
                <w:szCs w:val="18"/>
              </w:rPr>
              <w:t>—</w:t>
            </w:r>
            <w:r>
              <w:rPr>
                <w:rFonts w:ascii="Arial" w:eastAsia="宋体" w:hAnsi="Arial" w:cs="Arial"/>
                <w:color w:val="333333"/>
                <w:sz w:val="18"/>
                <w:szCs w:val="18"/>
              </w:rPr>
              <w:t> </w:t>
            </w:r>
          </w:p>
        </w:tc>
        <w:tc>
          <w:tcPr>
            <w:tcW w:w="0" w:type="auto"/>
            <w:tcBorders>
              <w:top w:val="single" w:sz="8" w:space="0" w:color="333333"/>
              <w:bottom w:val="double" w:sz="6" w:space="0" w:color="333333"/>
            </w:tcBorders>
            <w:shd w:val="clear" w:color="auto" w:fill="auto"/>
            <w:tcMar>
              <w:top w:w="40" w:type="dxa"/>
              <w:bottom w:w="40" w:type="dxa"/>
              <w:right w:w="20" w:type="dxa"/>
            </w:tcMar>
            <w:vAlign w:val="bottom"/>
          </w:tcPr>
          <w:p w14:paraId="36CA41AE"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41AF" w14:textId="77777777" w:rsidR="00787570" w:rsidRDefault="00787570">
            <w:pPr>
              <w:rPr>
                <w:rFonts w:ascii="宋体"/>
              </w:rPr>
            </w:pPr>
          </w:p>
        </w:tc>
        <w:tc>
          <w:tcPr>
            <w:tcW w:w="0" w:type="auto"/>
            <w:tcBorders>
              <w:top w:val="single" w:sz="8" w:space="0" w:color="333333"/>
              <w:bottom w:val="double" w:sz="6" w:space="0" w:color="333333"/>
            </w:tcBorders>
            <w:shd w:val="clear" w:color="auto" w:fill="auto"/>
            <w:tcMar>
              <w:top w:w="40" w:type="dxa"/>
              <w:left w:w="20" w:type="dxa"/>
              <w:bottom w:w="40" w:type="dxa"/>
            </w:tcMar>
            <w:vAlign w:val="bottom"/>
          </w:tcPr>
          <w:p w14:paraId="36CA41B0" w14:textId="77777777" w:rsidR="00787570" w:rsidRDefault="000D56E2">
            <w:pPr>
              <w:textAlignment w:val="bottom"/>
            </w:pPr>
            <w:r>
              <w:rPr>
                <w:rFonts w:ascii="Arial" w:eastAsia="宋体" w:hAnsi="Arial" w:cs="Arial"/>
                <w:b/>
                <w:bCs/>
                <w:color w:val="333333"/>
                <w:sz w:val="18"/>
                <w:szCs w:val="18"/>
              </w:rPr>
              <w:t>$</w:t>
            </w:r>
          </w:p>
        </w:tc>
        <w:tc>
          <w:tcPr>
            <w:tcW w:w="0" w:type="auto"/>
            <w:tcBorders>
              <w:top w:val="single" w:sz="8" w:space="0" w:color="333333"/>
              <w:bottom w:val="double" w:sz="6" w:space="0" w:color="333333"/>
            </w:tcBorders>
            <w:shd w:val="clear" w:color="auto" w:fill="auto"/>
            <w:tcMar>
              <w:top w:w="40" w:type="dxa"/>
              <w:bottom w:w="40" w:type="dxa"/>
              <w:right w:w="0" w:type="dxa"/>
            </w:tcMar>
            <w:vAlign w:val="bottom"/>
          </w:tcPr>
          <w:p w14:paraId="36CA41B1" w14:textId="77777777" w:rsidR="00787570" w:rsidRDefault="000D56E2">
            <w:pPr>
              <w:jc w:val="right"/>
              <w:textAlignment w:val="bottom"/>
            </w:pPr>
            <w:r>
              <w:rPr>
                <w:rFonts w:ascii="Arial" w:eastAsia="宋体" w:hAnsi="Arial" w:cs="Arial"/>
                <w:b/>
                <w:bCs/>
                <w:color w:val="333333"/>
                <w:sz w:val="18"/>
                <w:szCs w:val="18"/>
              </w:rPr>
              <w:t>262</w:t>
            </w:r>
            <w:r>
              <w:rPr>
                <w:rFonts w:ascii="Arial" w:eastAsia="宋体" w:hAnsi="Arial" w:cs="Arial"/>
                <w:color w:val="333333"/>
                <w:sz w:val="18"/>
                <w:szCs w:val="18"/>
              </w:rPr>
              <w:t> </w:t>
            </w:r>
          </w:p>
        </w:tc>
        <w:tc>
          <w:tcPr>
            <w:tcW w:w="0" w:type="auto"/>
            <w:tcBorders>
              <w:top w:val="single" w:sz="8" w:space="0" w:color="333333"/>
              <w:bottom w:val="double" w:sz="6" w:space="0" w:color="333333"/>
            </w:tcBorders>
            <w:shd w:val="clear" w:color="auto" w:fill="auto"/>
            <w:tcMar>
              <w:top w:w="40" w:type="dxa"/>
              <w:bottom w:w="40" w:type="dxa"/>
              <w:right w:w="20" w:type="dxa"/>
            </w:tcMar>
            <w:vAlign w:val="bottom"/>
          </w:tcPr>
          <w:p w14:paraId="36CA41B2"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41B3" w14:textId="77777777" w:rsidR="00787570" w:rsidRDefault="00787570">
            <w:pPr>
              <w:rPr>
                <w:rFonts w:ascii="宋体"/>
              </w:rPr>
            </w:pPr>
          </w:p>
        </w:tc>
        <w:tc>
          <w:tcPr>
            <w:tcW w:w="0" w:type="auto"/>
            <w:tcBorders>
              <w:top w:val="single" w:sz="8" w:space="0" w:color="333333"/>
              <w:bottom w:val="double" w:sz="6" w:space="0" w:color="333333"/>
            </w:tcBorders>
            <w:shd w:val="clear" w:color="auto" w:fill="auto"/>
            <w:tcMar>
              <w:top w:w="40" w:type="dxa"/>
              <w:left w:w="20" w:type="dxa"/>
              <w:bottom w:w="40" w:type="dxa"/>
            </w:tcMar>
            <w:vAlign w:val="bottom"/>
          </w:tcPr>
          <w:p w14:paraId="36CA41B4" w14:textId="77777777" w:rsidR="00787570" w:rsidRDefault="000D56E2">
            <w:pPr>
              <w:textAlignment w:val="bottom"/>
            </w:pPr>
            <w:r>
              <w:rPr>
                <w:rFonts w:ascii="Arial" w:eastAsia="宋体" w:hAnsi="Arial" w:cs="Arial"/>
                <w:b/>
                <w:bCs/>
                <w:color w:val="333333"/>
                <w:sz w:val="18"/>
                <w:szCs w:val="18"/>
              </w:rPr>
              <w:t>$</w:t>
            </w:r>
          </w:p>
        </w:tc>
        <w:tc>
          <w:tcPr>
            <w:tcW w:w="0" w:type="auto"/>
            <w:tcBorders>
              <w:top w:val="single" w:sz="8" w:space="0" w:color="333333"/>
              <w:bottom w:val="double" w:sz="6" w:space="0" w:color="333333"/>
            </w:tcBorders>
            <w:shd w:val="clear" w:color="auto" w:fill="auto"/>
            <w:tcMar>
              <w:top w:w="40" w:type="dxa"/>
              <w:bottom w:w="40" w:type="dxa"/>
              <w:right w:w="0" w:type="dxa"/>
            </w:tcMar>
            <w:vAlign w:val="bottom"/>
          </w:tcPr>
          <w:p w14:paraId="36CA41B5" w14:textId="77777777" w:rsidR="00787570" w:rsidRDefault="000D56E2">
            <w:pPr>
              <w:jc w:val="right"/>
              <w:textAlignment w:val="bottom"/>
            </w:pPr>
            <w:r>
              <w:rPr>
                <w:rFonts w:ascii="Arial" w:eastAsia="宋体" w:hAnsi="Arial" w:cs="Arial"/>
                <w:b/>
                <w:bCs/>
                <w:color w:val="333333"/>
                <w:sz w:val="18"/>
                <w:szCs w:val="18"/>
              </w:rPr>
              <w:t>(144)</w:t>
            </w:r>
          </w:p>
        </w:tc>
        <w:tc>
          <w:tcPr>
            <w:tcW w:w="0" w:type="auto"/>
            <w:tcBorders>
              <w:top w:val="single" w:sz="8" w:space="0" w:color="333333"/>
              <w:bottom w:val="double" w:sz="6" w:space="0" w:color="333333"/>
            </w:tcBorders>
            <w:shd w:val="clear" w:color="auto" w:fill="auto"/>
            <w:tcMar>
              <w:top w:w="40" w:type="dxa"/>
              <w:bottom w:w="40" w:type="dxa"/>
              <w:right w:w="20" w:type="dxa"/>
            </w:tcMar>
            <w:vAlign w:val="bottom"/>
          </w:tcPr>
          <w:p w14:paraId="36CA41B6"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41B7" w14:textId="77777777" w:rsidR="00787570" w:rsidRDefault="00787570">
            <w:pPr>
              <w:rPr>
                <w:rFonts w:ascii="宋体"/>
              </w:rPr>
            </w:pPr>
          </w:p>
        </w:tc>
        <w:tc>
          <w:tcPr>
            <w:tcW w:w="0" w:type="auto"/>
            <w:tcBorders>
              <w:top w:val="single" w:sz="8" w:space="0" w:color="333333"/>
              <w:bottom w:val="double" w:sz="6" w:space="0" w:color="333333"/>
            </w:tcBorders>
            <w:shd w:val="clear" w:color="auto" w:fill="auto"/>
            <w:tcMar>
              <w:top w:w="40" w:type="dxa"/>
              <w:left w:w="20" w:type="dxa"/>
              <w:bottom w:w="40" w:type="dxa"/>
            </w:tcMar>
            <w:vAlign w:val="bottom"/>
          </w:tcPr>
          <w:p w14:paraId="36CA41B8" w14:textId="77777777" w:rsidR="00787570" w:rsidRDefault="000D56E2">
            <w:pPr>
              <w:textAlignment w:val="bottom"/>
            </w:pPr>
            <w:r>
              <w:rPr>
                <w:rFonts w:ascii="Arial" w:eastAsia="宋体" w:hAnsi="Arial" w:cs="Arial"/>
                <w:b/>
                <w:bCs/>
                <w:color w:val="333333"/>
                <w:sz w:val="18"/>
                <w:szCs w:val="18"/>
              </w:rPr>
              <w:t>$</w:t>
            </w:r>
          </w:p>
        </w:tc>
        <w:tc>
          <w:tcPr>
            <w:tcW w:w="0" w:type="auto"/>
            <w:tcBorders>
              <w:top w:val="single" w:sz="8" w:space="0" w:color="333333"/>
              <w:bottom w:val="double" w:sz="6" w:space="0" w:color="333333"/>
            </w:tcBorders>
            <w:shd w:val="clear" w:color="auto" w:fill="auto"/>
            <w:tcMar>
              <w:top w:w="40" w:type="dxa"/>
              <w:bottom w:w="40" w:type="dxa"/>
              <w:right w:w="0" w:type="dxa"/>
            </w:tcMar>
            <w:vAlign w:val="bottom"/>
          </w:tcPr>
          <w:p w14:paraId="36CA41B9" w14:textId="77777777" w:rsidR="00787570" w:rsidRDefault="000D56E2">
            <w:pPr>
              <w:jc w:val="right"/>
              <w:textAlignment w:val="bottom"/>
            </w:pPr>
            <w:r>
              <w:rPr>
                <w:rFonts w:ascii="Arial" w:eastAsia="宋体" w:hAnsi="Arial" w:cs="Arial"/>
                <w:b/>
                <w:bCs/>
                <w:color w:val="333333"/>
                <w:sz w:val="18"/>
                <w:szCs w:val="18"/>
              </w:rPr>
              <w:t>(72)</w:t>
            </w:r>
          </w:p>
        </w:tc>
        <w:tc>
          <w:tcPr>
            <w:tcW w:w="0" w:type="auto"/>
            <w:tcBorders>
              <w:top w:val="single" w:sz="8" w:space="0" w:color="333333"/>
              <w:bottom w:val="double" w:sz="6" w:space="0" w:color="333333"/>
            </w:tcBorders>
            <w:shd w:val="clear" w:color="auto" w:fill="auto"/>
            <w:tcMar>
              <w:top w:w="40" w:type="dxa"/>
              <w:bottom w:w="40" w:type="dxa"/>
              <w:right w:w="20" w:type="dxa"/>
            </w:tcMar>
            <w:vAlign w:val="bottom"/>
          </w:tcPr>
          <w:p w14:paraId="36CA41BA"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41BB" w14:textId="77777777" w:rsidR="00787570" w:rsidRDefault="00787570">
            <w:pPr>
              <w:rPr>
                <w:rFonts w:ascii="宋体"/>
              </w:rPr>
            </w:pPr>
          </w:p>
        </w:tc>
        <w:tc>
          <w:tcPr>
            <w:tcW w:w="0" w:type="auto"/>
            <w:tcBorders>
              <w:top w:val="single" w:sz="8" w:space="0" w:color="333333"/>
              <w:bottom w:val="double" w:sz="6" w:space="0" w:color="333333"/>
            </w:tcBorders>
            <w:shd w:val="clear" w:color="auto" w:fill="auto"/>
            <w:tcMar>
              <w:top w:w="40" w:type="dxa"/>
              <w:left w:w="20" w:type="dxa"/>
              <w:bottom w:w="40" w:type="dxa"/>
            </w:tcMar>
            <w:vAlign w:val="bottom"/>
          </w:tcPr>
          <w:p w14:paraId="36CA41BC" w14:textId="77777777" w:rsidR="00787570" w:rsidRDefault="000D56E2">
            <w:pPr>
              <w:textAlignment w:val="bottom"/>
            </w:pPr>
            <w:r>
              <w:rPr>
                <w:rFonts w:ascii="Arial" w:eastAsia="宋体" w:hAnsi="Arial" w:cs="Arial"/>
                <w:b/>
                <w:bCs/>
                <w:color w:val="333333"/>
                <w:sz w:val="18"/>
                <w:szCs w:val="18"/>
              </w:rPr>
              <w:t>$</w:t>
            </w:r>
          </w:p>
        </w:tc>
        <w:tc>
          <w:tcPr>
            <w:tcW w:w="0" w:type="auto"/>
            <w:tcBorders>
              <w:top w:val="single" w:sz="8" w:space="0" w:color="333333"/>
              <w:bottom w:val="double" w:sz="6" w:space="0" w:color="333333"/>
            </w:tcBorders>
            <w:shd w:val="clear" w:color="auto" w:fill="auto"/>
            <w:tcMar>
              <w:top w:w="40" w:type="dxa"/>
              <w:bottom w:w="40" w:type="dxa"/>
              <w:right w:w="0" w:type="dxa"/>
            </w:tcMar>
            <w:vAlign w:val="bottom"/>
          </w:tcPr>
          <w:p w14:paraId="36CA41BD" w14:textId="77777777" w:rsidR="00787570" w:rsidRDefault="000D56E2">
            <w:pPr>
              <w:jc w:val="right"/>
              <w:textAlignment w:val="bottom"/>
            </w:pPr>
            <w:r>
              <w:rPr>
                <w:rFonts w:ascii="Arial" w:eastAsia="宋体" w:hAnsi="Arial" w:cs="Arial"/>
                <w:b/>
                <w:bCs/>
                <w:color w:val="333333"/>
                <w:sz w:val="18"/>
                <w:szCs w:val="18"/>
              </w:rPr>
              <w:t>46</w:t>
            </w:r>
            <w:r>
              <w:rPr>
                <w:rFonts w:ascii="Arial" w:eastAsia="宋体" w:hAnsi="Arial" w:cs="Arial"/>
                <w:color w:val="333333"/>
                <w:sz w:val="18"/>
                <w:szCs w:val="18"/>
              </w:rPr>
              <w:t> </w:t>
            </w:r>
          </w:p>
        </w:tc>
        <w:tc>
          <w:tcPr>
            <w:tcW w:w="0" w:type="auto"/>
            <w:tcBorders>
              <w:top w:val="single" w:sz="8" w:space="0" w:color="333333"/>
              <w:bottom w:val="double" w:sz="6" w:space="0" w:color="333333"/>
            </w:tcBorders>
            <w:shd w:val="clear" w:color="auto" w:fill="auto"/>
            <w:tcMar>
              <w:top w:w="40" w:type="dxa"/>
              <w:bottom w:w="40" w:type="dxa"/>
              <w:right w:w="20" w:type="dxa"/>
            </w:tcMar>
            <w:vAlign w:val="bottom"/>
          </w:tcPr>
          <w:p w14:paraId="36CA41BE" w14:textId="77777777" w:rsidR="00787570" w:rsidRDefault="00787570">
            <w:pPr>
              <w:jc w:val="right"/>
              <w:rPr>
                <w:rFonts w:ascii="宋体"/>
              </w:rPr>
            </w:pPr>
          </w:p>
        </w:tc>
        <w:tc>
          <w:tcPr>
            <w:tcW w:w="0" w:type="auto"/>
            <w:shd w:val="clear" w:color="auto" w:fill="auto"/>
          </w:tcPr>
          <w:p w14:paraId="36CA41BF" w14:textId="77777777" w:rsidR="00787570" w:rsidRDefault="00787570">
            <w:pPr>
              <w:rPr>
                <w:rFonts w:ascii="宋体"/>
              </w:rPr>
            </w:pPr>
          </w:p>
        </w:tc>
        <w:tc>
          <w:tcPr>
            <w:tcW w:w="0" w:type="auto"/>
            <w:shd w:val="clear" w:color="auto" w:fill="auto"/>
          </w:tcPr>
          <w:p w14:paraId="36CA41C0" w14:textId="77777777" w:rsidR="00787570" w:rsidRDefault="00787570">
            <w:pPr>
              <w:rPr>
                <w:rFonts w:ascii="宋体"/>
              </w:rPr>
            </w:pPr>
          </w:p>
        </w:tc>
        <w:tc>
          <w:tcPr>
            <w:tcW w:w="0" w:type="auto"/>
            <w:shd w:val="clear" w:color="auto" w:fill="auto"/>
          </w:tcPr>
          <w:p w14:paraId="36CA41C1" w14:textId="77777777" w:rsidR="00787570" w:rsidRDefault="00787570">
            <w:pPr>
              <w:rPr>
                <w:rFonts w:ascii="宋体"/>
              </w:rPr>
            </w:pPr>
          </w:p>
        </w:tc>
        <w:tc>
          <w:tcPr>
            <w:tcW w:w="0" w:type="auto"/>
            <w:shd w:val="clear" w:color="auto" w:fill="auto"/>
          </w:tcPr>
          <w:p w14:paraId="36CA41C2" w14:textId="77777777" w:rsidR="00787570" w:rsidRDefault="00787570">
            <w:pPr>
              <w:rPr>
                <w:rFonts w:ascii="宋体"/>
              </w:rPr>
            </w:pPr>
          </w:p>
        </w:tc>
        <w:tc>
          <w:tcPr>
            <w:tcW w:w="0" w:type="auto"/>
            <w:shd w:val="clear" w:color="auto" w:fill="auto"/>
          </w:tcPr>
          <w:p w14:paraId="36CA41C3" w14:textId="77777777" w:rsidR="00787570" w:rsidRDefault="00787570">
            <w:pPr>
              <w:rPr>
                <w:rFonts w:ascii="宋体"/>
              </w:rPr>
            </w:pPr>
          </w:p>
        </w:tc>
        <w:tc>
          <w:tcPr>
            <w:tcW w:w="0" w:type="auto"/>
            <w:shd w:val="clear" w:color="auto" w:fill="auto"/>
          </w:tcPr>
          <w:p w14:paraId="36CA41C4" w14:textId="77777777" w:rsidR="00787570" w:rsidRDefault="00787570">
            <w:pPr>
              <w:rPr>
                <w:rFonts w:ascii="宋体"/>
              </w:rPr>
            </w:pPr>
          </w:p>
        </w:tc>
        <w:tc>
          <w:tcPr>
            <w:tcW w:w="0" w:type="auto"/>
            <w:shd w:val="clear" w:color="auto" w:fill="auto"/>
          </w:tcPr>
          <w:p w14:paraId="36CA41C5" w14:textId="77777777" w:rsidR="00787570" w:rsidRDefault="00787570">
            <w:pPr>
              <w:rPr>
                <w:rFonts w:ascii="宋体"/>
              </w:rPr>
            </w:pPr>
          </w:p>
        </w:tc>
        <w:tc>
          <w:tcPr>
            <w:tcW w:w="0" w:type="auto"/>
            <w:shd w:val="clear" w:color="auto" w:fill="auto"/>
          </w:tcPr>
          <w:p w14:paraId="36CA41C6" w14:textId="77777777" w:rsidR="00787570" w:rsidRDefault="00787570">
            <w:pPr>
              <w:rPr>
                <w:rFonts w:ascii="宋体"/>
              </w:rPr>
            </w:pPr>
          </w:p>
        </w:tc>
        <w:tc>
          <w:tcPr>
            <w:tcW w:w="0" w:type="auto"/>
            <w:shd w:val="clear" w:color="auto" w:fill="auto"/>
          </w:tcPr>
          <w:p w14:paraId="36CA41C7" w14:textId="77777777" w:rsidR="00787570" w:rsidRDefault="00787570">
            <w:pPr>
              <w:rPr>
                <w:rFonts w:ascii="宋体"/>
              </w:rPr>
            </w:pPr>
          </w:p>
        </w:tc>
        <w:tc>
          <w:tcPr>
            <w:tcW w:w="0" w:type="auto"/>
            <w:shd w:val="clear" w:color="auto" w:fill="auto"/>
          </w:tcPr>
          <w:p w14:paraId="36CA41C8" w14:textId="77777777" w:rsidR="00787570" w:rsidRDefault="00787570">
            <w:pPr>
              <w:rPr>
                <w:rFonts w:ascii="宋体"/>
              </w:rPr>
            </w:pPr>
          </w:p>
        </w:tc>
        <w:tc>
          <w:tcPr>
            <w:tcW w:w="0" w:type="auto"/>
            <w:shd w:val="clear" w:color="auto" w:fill="auto"/>
          </w:tcPr>
          <w:p w14:paraId="36CA41C9" w14:textId="77777777" w:rsidR="00787570" w:rsidRDefault="00787570">
            <w:pPr>
              <w:rPr>
                <w:rFonts w:ascii="宋体"/>
              </w:rPr>
            </w:pPr>
          </w:p>
        </w:tc>
        <w:tc>
          <w:tcPr>
            <w:tcW w:w="0" w:type="auto"/>
            <w:shd w:val="clear" w:color="auto" w:fill="auto"/>
          </w:tcPr>
          <w:p w14:paraId="36CA41CA" w14:textId="77777777" w:rsidR="00787570" w:rsidRDefault="00787570">
            <w:pPr>
              <w:rPr>
                <w:rFonts w:ascii="宋体"/>
              </w:rPr>
            </w:pPr>
          </w:p>
        </w:tc>
        <w:tc>
          <w:tcPr>
            <w:tcW w:w="0" w:type="auto"/>
            <w:shd w:val="clear" w:color="auto" w:fill="auto"/>
          </w:tcPr>
          <w:p w14:paraId="36CA41CB" w14:textId="77777777" w:rsidR="00787570" w:rsidRDefault="00787570">
            <w:pPr>
              <w:rPr>
                <w:rFonts w:ascii="宋体"/>
              </w:rPr>
            </w:pPr>
          </w:p>
        </w:tc>
        <w:tc>
          <w:tcPr>
            <w:tcW w:w="0" w:type="auto"/>
            <w:shd w:val="clear" w:color="auto" w:fill="auto"/>
          </w:tcPr>
          <w:p w14:paraId="36CA41CC" w14:textId="77777777" w:rsidR="00787570" w:rsidRDefault="00787570">
            <w:pPr>
              <w:rPr>
                <w:rFonts w:ascii="宋体"/>
              </w:rPr>
            </w:pPr>
          </w:p>
        </w:tc>
        <w:tc>
          <w:tcPr>
            <w:tcW w:w="0" w:type="auto"/>
            <w:shd w:val="clear" w:color="auto" w:fill="auto"/>
          </w:tcPr>
          <w:p w14:paraId="36CA41CD" w14:textId="77777777" w:rsidR="00787570" w:rsidRDefault="00787570">
            <w:pPr>
              <w:rPr>
                <w:rFonts w:ascii="宋体"/>
              </w:rPr>
            </w:pPr>
          </w:p>
        </w:tc>
        <w:tc>
          <w:tcPr>
            <w:tcW w:w="0" w:type="auto"/>
            <w:shd w:val="clear" w:color="auto" w:fill="auto"/>
          </w:tcPr>
          <w:p w14:paraId="36CA41CE" w14:textId="77777777" w:rsidR="00787570" w:rsidRDefault="00787570">
            <w:pPr>
              <w:rPr>
                <w:rFonts w:ascii="宋体"/>
              </w:rPr>
            </w:pPr>
          </w:p>
        </w:tc>
        <w:tc>
          <w:tcPr>
            <w:tcW w:w="0" w:type="auto"/>
            <w:shd w:val="clear" w:color="auto" w:fill="auto"/>
          </w:tcPr>
          <w:p w14:paraId="36CA41CF" w14:textId="77777777" w:rsidR="00787570" w:rsidRDefault="00787570">
            <w:pPr>
              <w:rPr>
                <w:rFonts w:ascii="宋体"/>
              </w:rPr>
            </w:pPr>
          </w:p>
        </w:tc>
        <w:tc>
          <w:tcPr>
            <w:tcW w:w="0" w:type="auto"/>
            <w:shd w:val="clear" w:color="auto" w:fill="auto"/>
          </w:tcPr>
          <w:p w14:paraId="36CA41D0" w14:textId="77777777" w:rsidR="00787570" w:rsidRDefault="00787570">
            <w:pPr>
              <w:rPr>
                <w:rFonts w:ascii="宋体"/>
              </w:rPr>
            </w:pPr>
          </w:p>
        </w:tc>
        <w:tc>
          <w:tcPr>
            <w:tcW w:w="0" w:type="auto"/>
            <w:shd w:val="clear" w:color="auto" w:fill="auto"/>
          </w:tcPr>
          <w:p w14:paraId="36CA41D1" w14:textId="77777777" w:rsidR="00787570" w:rsidRDefault="00787570">
            <w:pPr>
              <w:rPr>
                <w:rFonts w:ascii="宋体"/>
              </w:rPr>
            </w:pPr>
          </w:p>
        </w:tc>
        <w:tc>
          <w:tcPr>
            <w:tcW w:w="0" w:type="auto"/>
            <w:shd w:val="clear" w:color="auto" w:fill="auto"/>
          </w:tcPr>
          <w:p w14:paraId="36CA41D2" w14:textId="77777777" w:rsidR="00787570" w:rsidRDefault="00787570">
            <w:pPr>
              <w:rPr>
                <w:rFonts w:ascii="宋体"/>
              </w:rPr>
            </w:pPr>
          </w:p>
        </w:tc>
        <w:tc>
          <w:tcPr>
            <w:tcW w:w="0" w:type="auto"/>
            <w:shd w:val="clear" w:color="auto" w:fill="auto"/>
          </w:tcPr>
          <w:p w14:paraId="36CA41D3" w14:textId="77777777" w:rsidR="00787570" w:rsidRDefault="00787570">
            <w:pPr>
              <w:rPr>
                <w:rFonts w:ascii="宋体"/>
              </w:rPr>
            </w:pPr>
          </w:p>
        </w:tc>
        <w:tc>
          <w:tcPr>
            <w:tcW w:w="0" w:type="auto"/>
            <w:shd w:val="clear" w:color="auto" w:fill="auto"/>
          </w:tcPr>
          <w:p w14:paraId="36CA41D4" w14:textId="77777777" w:rsidR="00787570" w:rsidRDefault="00787570">
            <w:pPr>
              <w:rPr>
                <w:rFonts w:ascii="宋体"/>
              </w:rPr>
            </w:pPr>
          </w:p>
        </w:tc>
        <w:tc>
          <w:tcPr>
            <w:tcW w:w="0" w:type="auto"/>
            <w:shd w:val="clear" w:color="auto" w:fill="auto"/>
          </w:tcPr>
          <w:p w14:paraId="36CA41D5" w14:textId="77777777" w:rsidR="00787570" w:rsidRDefault="00787570">
            <w:pPr>
              <w:rPr>
                <w:rFonts w:ascii="宋体"/>
              </w:rPr>
            </w:pPr>
          </w:p>
        </w:tc>
        <w:tc>
          <w:tcPr>
            <w:tcW w:w="0" w:type="auto"/>
            <w:shd w:val="clear" w:color="auto" w:fill="auto"/>
          </w:tcPr>
          <w:p w14:paraId="36CA41D6" w14:textId="77777777" w:rsidR="00787570" w:rsidRDefault="00787570">
            <w:pPr>
              <w:rPr>
                <w:rFonts w:ascii="宋体"/>
              </w:rPr>
            </w:pPr>
          </w:p>
        </w:tc>
      </w:tr>
    </w:tbl>
    <w:p w14:paraId="36CA41D8" w14:textId="77777777" w:rsidR="00787570" w:rsidRDefault="000D56E2">
      <w:pPr>
        <w:spacing w:before="300" w:after="180"/>
      </w:pPr>
      <w:r>
        <w:rPr>
          <w:rFonts w:ascii="Arial" w:eastAsia="宋体" w:hAnsi="Arial" w:cs="Arial"/>
          <w:color w:val="333333"/>
          <w:sz w:val="18"/>
          <w:szCs w:val="18"/>
        </w:rPr>
        <w:t xml:space="preserve">We obtain and secure available collateral from counterparties against obligations, including securities lending </w:t>
      </w:r>
      <w:r>
        <w:rPr>
          <w:rFonts w:ascii="Arial" w:eastAsia="宋体" w:hAnsi="Arial" w:cs="Arial"/>
          <w:color w:val="333333"/>
          <w:sz w:val="18"/>
          <w:szCs w:val="18"/>
        </w:rPr>
        <w:t>transactions and reverse repurchase agreements, when we deem it appropriate.</w:t>
      </w:r>
    </w:p>
    <w:p w14:paraId="36CA41D9" w14:textId="77777777" w:rsidR="00787570" w:rsidRDefault="000D56E2">
      <w:pPr>
        <w:spacing w:after="180"/>
      </w:pPr>
      <w:r>
        <w:rPr>
          <w:rFonts w:ascii="Arial" w:eastAsia="宋体" w:hAnsi="Arial" w:cs="Arial"/>
          <w:b/>
          <w:bCs/>
          <w:color w:val="0071C5"/>
        </w:rPr>
        <w:t>DERIVATIVES IN CASH FLOW HEDGING RELATIONSHIPS</w:t>
      </w:r>
    </w:p>
    <w:p w14:paraId="36CA41DA" w14:textId="77777777" w:rsidR="00787570" w:rsidRDefault="000D56E2">
      <w:pPr>
        <w:spacing w:after="180"/>
      </w:pPr>
      <w:r>
        <w:rPr>
          <w:rFonts w:ascii="Arial" w:eastAsia="宋体" w:hAnsi="Arial" w:cs="Arial"/>
          <w:color w:val="333333"/>
          <w:sz w:val="18"/>
          <w:szCs w:val="18"/>
        </w:rPr>
        <w:t>The before-tax net gains or losses attributed to cash flow hedges, recognized in other comprehensive income (loss), were $267 millio</w:t>
      </w:r>
      <w:r>
        <w:rPr>
          <w:rFonts w:ascii="Arial" w:eastAsia="宋体" w:hAnsi="Arial" w:cs="Arial"/>
          <w:color w:val="333333"/>
          <w:sz w:val="18"/>
          <w:szCs w:val="18"/>
        </w:rPr>
        <w:t xml:space="preserve">n net </w:t>
      </w:r>
      <w:r>
        <w:rPr>
          <w:rFonts w:ascii="Arial" w:eastAsia="宋体" w:hAnsi="Arial" w:cs="Arial"/>
          <w:color w:val="000000"/>
          <w:sz w:val="18"/>
          <w:szCs w:val="18"/>
        </w:rPr>
        <w:t>gains</w:t>
      </w:r>
      <w:r>
        <w:rPr>
          <w:rFonts w:ascii="Arial" w:eastAsia="宋体" w:hAnsi="Arial" w:cs="Arial"/>
          <w:color w:val="333333"/>
          <w:sz w:val="18"/>
          <w:szCs w:val="18"/>
        </w:rPr>
        <w:t xml:space="preserve"> in the third quarter of 2020 and $286 million net gains in the first nine months of 2020 ($203 million net losses in the third quarter of 2019 and $52 million net </w:t>
      </w:r>
      <w:r>
        <w:rPr>
          <w:rFonts w:ascii="Arial" w:eastAsia="宋体" w:hAnsi="Arial" w:cs="Arial"/>
          <w:color w:val="000000"/>
          <w:sz w:val="18"/>
          <w:szCs w:val="18"/>
        </w:rPr>
        <w:t>losses</w:t>
      </w:r>
      <w:r>
        <w:rPr>
          <w:rFonts w:ascii="Arial" w:eastAsia="宋体" w:hAnsi="Arial" w:cs="Arial"/>
          <w:color w:val="333333"/>
          <w:sz w:val="18"/>
          <w:szCs w:val="18"/>
        </w:rPr>
        <w:t xml:space="preserve"> in the first nine months of 2019). Substantially all of our cash flow hedg</w:t>
      </w:r>
      <w:r>
        <w:rPr>
          <w:rFonts w:ascii="Arial" w:eastAsia="宋体" w:hAnsi="Arial" w:cs="Arial"/>
          <w:color w:val="333333"/>
          <w:sz w:val="18"/>
          <w:szCs w:val="18"/>
        </w:rPr>
        <w:t>es were foreign currency contracts for all periods presented.</w:t>
      </w:r>
    </w:p>
    <w:p w14:paraId="36CA41DB" w14:textId="77777777" w:rsidR="00787570" w:rsidRDefault="000D56E2">
      <w:pPr>
        <w:spacing w:after="180"/>
      </w:pPr>
      <w:r>
        <w:rPr>
          <w:rFonts w:ascii="Arial" w:eastAsia="宋体" w:hAnsi="Arial" w:cs="Arial"/>
          <w:color w:val="333333"/>
          <w:sz w:val="18"/>
          <w:szCs w:val="18"/>
        </w:rPr>
        <w:t xml:space="preserve">During the first nine months of 2020 and 2019, the amounts excluded from effectiveness testing were insignificant. </w:t>
      </w:r>
    </w:p>
    <w:p w14:paraId="36CA41DC" w14:textId="77777777" w:rsidR="00787570" w:rsidRDefault="00787570">
      <w:pPr>
        <w:spacing w:after="180"/>
      </w:pPr>
    </w:p>
    <w:p w14:paraId="36CA41DD" w14:textId="77777777" w:rsidR="00787570" w:rsidRDefault="00787570">
      <w:pPr>
        <w:spacing w:after="180"/>
      </w:pPr>
    </w:p>
    <w:p w14:paraId="36CA41DE" w14:textId="77777777" w:rsidR="00787570" w:rsidRDefault="00787570">
      <w:pPr>
        <w:spacing w:after="180"/>
      </w:pPr>
    </w:p>
    <w:p w14:paraId="36CA41DF" w14:textId="77777777" w:rsidR="00787570" w:rsidRDefault="00787570">
      <w:pPr>
        <w:spacing w:after="180"/>
      </w:pPr>
    </w:p>
    <w:p w14:paraId="36CA41E0" w14:textId="77777777" w:rsidR="00787570" w:rsidRDefault="00787570">
      <w:pPr>
        <w:spacing w:after="180"/>
      </w:pPr>
    </w:p>
    <w:p w14:paraId="36CA41E1" w14:textId="77777777" w:rsidR="00787570" w:rsidRDefault="00787570">
      <w:pPr>
        <w:spacing w:after="180"/>
      </w:pPr>
    </w:p>
    <w:p w14:paraId="36CA41E2" w14:textId="77777777" w:rsidR="00787570" w:rsidRDefault="00787570">
      <w:pPr>
        <w:spacing w:after="180"/>
      </w:pPr>
    </w:p>
    <w:tbl>
      <w:tblPr>
        <w:tblW w:w="5000" w:type="pct"/>
        <w:tblCellMar>
          <w:top w:w="15" w:type="dxa"/>
          <w:left w:w="15" w:type="dxa"/>
          <w:bottom w:w="15" w:type="dxa"/>
          <w:right w:w="15" w:type="dxa"/>
        </w:tblCellMar>
        <w:tblLook w:val="04A0" w:firstRow="1" w:lastRow="0" w:firstColumn="1" w:lastColumn="0" w:noHBand="0" w:noVBand="1"/>
      </w:tblPr>
      <w:tblGrid>
        <w:gridCol w:w="86"/>
        <w:gridCol w:w="426"/>
        <w:gridCol w:w="36"/>
        <w:gridCol w:w="62"/>
        <w:gridCol w:w="1676"/>
        <w:gridCol w:w="36"/>
        <w:gridCol w:w="62"/>
        <w:gridCol w:w="3655"/>
        <w:gridCol w:w="36"/>
        <w:gridCol w:w="63"/>
        <w:gridCol w:w="2162"/>
        <w:gridCol w:w="36"/>
      </w:tblGrid>
      <w:tr w:rsidR="00787570" w14:paraId="36CA41EF" w14:textId="77777777">
        <w:tc>
          <w:tcPr>
            <w:tcW w:w="50" w:type="pct"/>
            <w:shd w:val="clear" w:color="auto" w:fill="auto"/>
            <w:vAlign w:val="bottom"/>
          </w:tcPr>
          <w:p w14:paraId="36CA41E3" w14:textId="77777777" w:rsidR="00787570" w:rsidRDefault="00787570">
            <w:pPr>
              <w:rPr>
                <w:rFonts w:ascii="宋体"/>
              </w:rPr>
            </w:pPr>
          </w:p>
        </w:tc>
        <w:tc>
          <w:tcPr>
            <w:tcW w:w="248" w:type="pct"/>
            <w:shd w:val="clear" w:color="auto" w:fill="auto"/>
            <w:vAlign w:val="bottom"/>
          </w:tcPr>
          <w:p w14:paraId="36CA41E4" w14:textId="77777777" w:rsidR="00787570" w:rsidRDefault="00787570">
            <w:pPr>
              <w:rPr>
                <w:rFonts w:ascii="宋体"/>
              </w:rPr>
            </w:pPr>
          </w:p>
        </w:tc>
        <w:tc>
          <w:tcPr>
            <w:tcW w:w="5" w:type="pct"/>
            <w:shd w:val="clear" w:color="auto" w:fill="auto"/>
            <w:vAlign w:val="bottom"/>
          </w:tcPr>
          <w:p w14:paraId="36CA41E5" w14:textId="77777777" w:rsidR="00787570" w:rsidRDefault="00787570">
            <w:pPr>
              <w:rPr>
                <w:rFonts w:ascii="宋体"/>
              </w:rPr>
            </w:pPr>
          </w:p>
        </w:tc>
        <w:tc>
          <w:tcPr>
            <w:tcW w:w="50" w:type="pct"/>
            <w:shd w:val="clear" w:color="auto" w:fill="auto"/>
            <w:vAlign w:val="bottom"/>
          </w:tcPr>
          <w:p w14:paraId="36CA41E6" w14:textId="77777777" w:rsidR="00787570" w:rsidRDefault="00787570">
            <w:pPr>
              <w:rPr>
                <w:rFonts w:ascii="宋体"/>
              </w:rPr>
            </w:pPr>
          </w:p>
        </w:tc>
        <w:tc>
          <w:tcPr>
            <w:tcW w:w="1018" w:type="pct"/>
            <w:shd w:val="clear" w:color="auto" w:fill="auto"/>
            <w:vAlign w:val="bottom"/>
          </w:tcPr>
          <w:p w14:paraId="36CA41E7" w14:textId="77777777" w:rsidR="00787570" w:rsidRDefault="00787570">
            <w:pPr>
              <w:rPr>
                <w:rFonts w:ascii="宋体"/>
              </w:rPr>
            </w:pPr>
          </w:p>
        </w:tc>
        <w:tc>
          <w:tcPr>
            <w:tcW w:w="5" w:type="pct"/>
            <w:shd w:val="clear" w:color="auto" w:fill="auto"/>
            <w:vAlign w:val="bottom"/>
          </w:tcPr>
          <w:p w14:paraId="36CA41E8" w14:textId="77777777" w:rsidR="00787570" w:rsidRDefault="00787570">
            <w:pPr>
              <w:rPr>
                <w:rFonts w:ascii="宋体"/>
              </w:rPr>
            </w:pPr>
          </w:p>
        </w:tc>
        <w:tc>
          <w:tcPr>
            <w:tcW w:w="50" w:type="pct"/>
            <w:shd w:val="clear" w:color="auto" w:fill="auto"/>
            <w:vAlign w:val="bottom"/>
          </w:tcPr>
          <w:p w14:paraId="36CA41E9" w14:textId="77777777" w:rsidR="00787570" w:rsidRDefault="00787570">
            <w:pPr>
              <w:rPr>
                <w:rFonts w:ascii="宋体"/>
              </w:rPr>
            </w:pPr>
          </w:p>
        </w:tc>
        <w:tc>
          <w:tcPr>
            <w:tcW w:w="2204" w:type="pct"/>
            <w:shd w:val="clear" w:color="auto" w:fill="auto"/>
            <w:vAlign w:val="bottom"/>
          </w:tcPr>
          <w:p w14:paraId="36CA41EA" w14:textId="77777777" w:rsidR="00787570" w:rsidRDefault="00787570">
            <w:pPr>
              <w:rPr>
                <w:rFonts w:ascii="宋体"/>
              </w:rPr>
            </w:pPr>
          </w:p>
        </w:tc>
        <w:tc>
          <w:tcPr>
            <w:tcW w:w="5" w:type="pct"/>
            <w:shd w:val="clear" w:color="auto" w:fill="auto"/>
            <w:vAlign w:val="bottom"/>
          </w:tcPr>
          <w:p w14:paraId="36CA41EB" w14:textId="77777777" w:rsidR="00787570" w:rsidRDefault="00787570">
            <w:pPr>
              <w:rPr>
                <w:rFonts w:ascii="宋体"/>
              </w:rPr>
            </w:pPr>
          </w:p>
        </w:tc>
        <w:tc>
          <w:tcPr>
            <w:tcW w:w="50" w:type="pct"/>
            <w:shd w:val="clear" w:color="auto" w:fill="auto"/>
            <w:vAlign w:val="bottom"/>
          </w:tcPr>
          <w:p w14:paraId="36CA41EC" w14:textId="77777777" w:rsidR="00787570" w:rsidRDefault="00787570">
            <w:pPr>
              <w:rPr>
                <w:rFonts w:ascii="宋体"/>
              </w:rPr>
            </w:pPr>
          </w:p>
        </w:tc>
        <w:tc>
          <w:tcPr>
            <w:tcW w:w="1308" w:type="pct"/>
            <w:shd w:val="clear" w:color="auto" w:fill="auto"/>
            <w:vAlign w:val="bottom"/>
          </w:tcPr>
          <w:p w14:paraId="36CA41ED" w14:textId="77777777" w:rsidR="00787570" w:rsidRDefault="00787570">
            <w:pPr>
              <w:rPr>
                <w:rFonts w:ascii="宋体"/>
              </w:rPr>
            </w:pPr>
          </w:p>
        </w:tc>
        <w:tc>
          <w:tcPr>
            <w:tcW w:w="5" w:type="pct"/>
            <w:shd w:val="clear" w:color="auto" w:fill="auto"/>
            <w:vAlign w:val="bottom"/>
          </w:tcPr>
          <w:p w14:paraId="36CA41EE" w14:textId="77777777" w:rsidR="00787570" w:rsidRDefault="00787570">
            <w:pPr>
              <w:rPr>
                <w:rFonts w:ascii="宋体"/>
              </w:rPr>
            </w:pPr>
          </w:p>
        </w:tc>
      </w:tr>
      <w:tr w:rsidR="00787570" w14:paraId="36CA41F4" w14:textId="77777777">
        <w:tc>
          <w:tcPr>
            <w:tcW w:w="0" w:type="auto"/>
            <w:gridSpan w:val="3"/>
            <w:tcBorders>
              <w:top w:val="single" w:sz="8" w:space="0" w:color="0071C5"/>
            </w:tcBorders>
            <w:shd w:val="clear" w:color="auto" w:fill="auto"/>
            <w:tcMar>
              <w:left w:w="20" w:type="dxa"/>
              <w:right w:w="20" w:type="dxa"/>
            </w:tcMar>
            <w:vAlign w:val="center"/>
          </w:tcPr>
          <w:p w14:paraId="36CA41F0" w14:textId="77777777" w:rsidR="00787570" w:rsidRDefault="000D56E2">
            <w:pPr>
              <w:textAlignment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Viewer9_files/intc-20200926_g2.jpg"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36CA5C27" wp14:editId="36CA5C28">
                  <wp:extent cx="304800" cy="304800"/>
                  <wp:effectExtent l="0" t="0" r="0" b="0"/>
                  <wp:docPr id="20" name="图片 83" descr="IMG_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83" descr="IMG_329"/>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8" w:space="0" w:color="0071C5"/>
            </w:tcBorders>
            <w:shd w:val="clear" w:color="auto" w:fill="auto"/>
            <w:tcMar>
              <w:top w:w="40" w:type="dxa"/>
              <w:left w:w="20" w:type="dxa"/>
              <w:bottom w:w="40" w:type="dxa"/>
              <w:right w:w="20" w:type="dxa"/>
            </w:tcMar>
            <w:vAlign w:val="center"/>
          </w:tcPr>
          <w:p w14:paraId="36CA41F1" w14:textId="77777777" w:rsidR="00787570" w:rsidRDefault="000D56E2">
            <w:pPr>
              <w:textAlignment w:val="center"/>
            </w:pPr>
            <w:r>
              <w:rPr>
                <w:rFonts w:ascii="Arial" w:eastAsia="宋体" w:hAnsi="Arial" w:cs="Arial"/>
                <w:color w:val="333333"/>
                <w:sz w:val="16"/>
                <w:szCs w:val="16"/>
              </w:rPr>
              <w:t> FINANCIAL STATEMENTS</w:t>
            </w:r>
          </w:p>
        </w:tc>
        <w:tc>
          <w:tcPr>
            <w:tcW w:w="0" w:type="auto"/>
            <w:gridSpan w:val="3"/>
            <w:tcBorders>
              <w:top w:val="single" w:sz="8" w:space="0" w:color="0071C5"/>
              <w:left w:val="single" w:sz="24" w:space="0" w:color="0071C5"/>
            </w:tcBorders>
            <w:shd w:val="clear" w:color="auto" w:fill="auto"/>
            <w:tcMar>
              <w:top w:w="40" w:type="dxa"/>
              <w:left w:w="20" w:type="dxa"/>
              <w:bottom w:w="40" w:type="dxa"/>
              <w:right w:w="20" w:type="dxa"/>
            </w:tcMar>
            <w:vAlign w:val="center"/>
          </w:tcPr>
          <w:p w14:paraId="36CA41F2" w14:textId="77777777" w:rsidR="00787570" w:rsidRDefault="000D56E2">
            <w:pPr>
              <w:textAlignment w:val="center"/>
            </w:pPr>
            <w:r>
              <w:rPr>
                <w:rFonts w:ascii="Arial" w:eastAsia="宋体" w:hAnsi="Arial" w:cs="Arial"/>
                <w:color w:val="333333"/>
                <w:sz w:val="16"/>
                <w:szCs w:val="16"/>
              </w:rPr>
              <w:t>  Notes to Financial Statements</w:t>
            </w:r>
          </w:p>
        </w:tc>
        <w:tc>
          <w:tcPr>
            <w:tcW w:w="0" w:type="auto"/>
            <w:gridSpan w:val="3"/>
            <w:tcBorders>
              <w:top w:val="single" w:sz="8" w:space="0" w:color="0071C5"/>
            </w:tcBorders>
            <w:shd w:val="clear" w:color="auto" w:fill="auto"/>
            <w:tcMar>
              <w:top w:w="40" w:type="dxa"/>
              <w:left w:w="20" w:type="dxa"/>
              <w:bottom w:w="40" w:type="dxa"/>
              <w:right w:w="20" w:type="dxa"/>
            </w:tcMar>
            <w:vAlign w:val="center"/>
          </w:tcPr>
          <w:p w14:paraId="36CA41F3" w14:textId="77777777" w:rsidR="00787570" w:rsidRDefault="000D56E2">
            <w:pPr>
              <w:jc w:val="right"/>
              <w:textAlignment w:val="center"/>
            </w:pPr>
            <w:r>
              <w:rPr>
                <w:rFonts w:ascii="Arial" w:eastAsia="宋体" w:hAnsi="Arial" w:cs="Arial"/>
                <w:color w:val="333333"/>
                <w:sz w:val="16"/>
                <w:szCs w:val="16"/>
              </w:rPr>
              <w:t>22</w:t>
            </w:r>
          </w:p>
        </w:tc>
      </w:tr>
    </w:tbl>
    <w:p w14:paraId="36CA41F5" w14:textId="77777777" w:rsidR="00787570" w:rsidRDefault="000D56E2">
      <w:r>
        <w:pict w14:anchorId="36CA5C29">
          <v:rect id="_x0000_i1048" style="width:415.3pt;height:1.5pt" o:hralign="center" o:hrstd="t" o:hr="t" fillcolor="#a0a0a0" stroked="f"/>
        </w:pict>
      </w:r>
    </w:p>
    <w:p w14:paraId="36CA41F6" w14:textId="77777777" w:rsidR="00787570" w:rsidRDefault="000D56E2">
      <w:pPr>
        <w:spacing w:after="180"/>
        <w:jc w:val="right"/>
      </w:pPr>
      <w:hyperlink r:id="rId50" w:anchor="i32771df14e9449d2bec5be911426bf04_7" w:history="1">
        <w:r>
          <w:rPr>
            <w:rStyle w:val="a5"/>
            <w:rFonts w:ascii="Arial" w:eastAsia="宋体" w:hAnsi="Arial" w:cs="Arial"/>
            <w:b/>
            <w:bCs/>
            <w:sz w:val="16"/>
            <w:szCs w:val="16"/>
          </w:rPr>
          <w:t>Table of Contents</w:t>
        </w:r>
      </w:hyperlink>
    </w:p>
    <w:p w14:paraId="36CA41F7" w14:textId="77777777" w:rsidR="00787570" w:rsidRDefault="00787570">
      <w:pPr>
        <w:spacing w:after="180"/>
        <w:jc w:val="right"/>
      </w:pPr>
    </w:p>
    <w:p w14:paraId="36CA41F8" w14:textId="77777777" w:rsidR="00787570" w:rsidRDefault="000D56E2">
      <w:pPr>
        <w:spacing w:after="180"/>
      </w:pPr>
      <w:r>
        <w:rPr>
          <w:rFonts w:ascii="Arial" w:eastAsia="宋体" w:hAnsi="Arial" w:cs="Arial"/>
          <w:b/>
          <w:bCs/>
          <w:color w:val="0071C5"/>
        </w:rPr>
        <w:t>DERIVATIVES IN FAIR VALUE HEDGING RELATIONSHIPS</w:t>
      </w:r>
    </w:p>
    <w:p w14:paraId="36CA41F9" w14:textId="77777777" w:rsidR="00787570" w:rsidRDefault="000D56E2">
      <w:pPr>
        <w:spacing w:after="120"/>
      </w:pPr>
      <w:r>
        <w:rPr>
          <w:rFonts w:ascii="Arial" w:eastAsia="宋体" w:hAnsi="Arial" w:cs="Arial"/>
          <w:color w:val="333333"/>
          <w:sz w:val="18"/>
          <w:szCs w:val="18"/>
        </w:rPr>
        <w:t>The effects of derivative instrument</w:t>
      </w:r>
      <w:r>
        <w:rPr>
          <w:rFonts w:ascii="Arial" w:eastAsia="宋体" w:hAnsi="Arial" w:cs="Arial"/>
          <w:color w:val="333333"/>
          <w:sz w:val="18"/>
          <w:szCs w:val="18"/>
        </w:rPr>
        <w:t>s designated as fair value hedges, recognized in interest and other, net for each period were as follows:</w:t>
      </w:r>
    </w:p>
    <w:tbl>
      <w:tblPr>
        <w:tblW w:w="5000" w:type="pct"/>
        <w:tblCellMar>
          <w:top w:w="15" w:type="dxa"/>
          <w:left w:w="15" w:type="dxa"/>
          <w:bottom w:w="15" w:type="dxa"/>
          <w:right w:w="15" w:type="dxa"/>
        </w:tblCellMar>
        <w:tblLook w:val="04A0" w:firstRow="1" w:lastRow="0" w:firstColumn="1" w:lastColumn="0" w:noHBand="0" w:noVBand="1"/>
      </w:tblPr>
      <w:tblGrid>
        <w:gridCol w:w="38"/>
        <w:gridCol w:w="3653"/>
        <w:gridCol w:w="37"/>
        <w:gridCol w:w="36"/>
        <w:gridCol w:w="36"/>
        <w:gridCol w:w="36"/>
        <w:gridCol w:w="136"/>
        <w:gridCol w:w="704"/>
        <w:gridCol w:w="41"/>
        <w:gridCol w:w="36"/>
        <w:gridCol w:w="36"/>
        <w:gridCol w:w="36"/>
        <w:gridCol w:w="136"/>
        <w:gridCol w:w="704"/>
        <w:gridCol w:w="41"/>
        <w:gridCol w:w="36"/>
        <w:gridCol w:w="36"/>
        <w:gridCol w:w="36"/>
        <w:gridCol w:w="136"/>
        <w:gridCol w:w="706"/>
        <w:gridCol w:w="41"/>
        <w:gridCol w:w="36"/>
        <w:gridCol w:w="36"/>
        <w:gridCol w:w="36"/>
        <w:gridCol w:w="136"/>
        <w:gridCol w:w="706"/>
        <w:gridCol w:w="41"/>
        <w:gridCol w:w="36"/>
        <w:gridCol w:w="36"/>
        <w:gridCol w:w="36"/>
        <w:gridCol w:w="36"/>
        <w:gridCol w:w="36"/>
        <w:gridCol w:w="36"/>
        <w:gridCol w:w="36"/>
        <w:gridCol w:w="36"/>
        <w:gridCol w:w="36"/>
        <w:gridCol w:w="36"/>
        <w:gridCol w:w="36"/>
        <w:gridCol w:w="36"/>
        <w:gridCol w:w="36"/>
        <w:gridCol w:w="36"/>
        <w:gridCol w:w="36"/>
        <w:gridCol w:w="36"/>
        <w:gridCol w:w="36"/>
        <w:gridCol w:w="36"/>
      </w:tblGrid>
      <w:tr w:rsidR="00787570" w14:paraId="36CA4215" w14:textId="77777777">
        <w:trPr>
          <w:gridAfter w:val="18"/>
        </w:trPr>
        <w:tc>
          <w:tcPr>
            <w:tcW w:w="50" w:type="pct"/>
            <w:shd w:val="clear" w:color="auto" w:fill="auto"/>
          </w:tcPr>
          <w:p w14:paraId="36CA41FA" w14:textId="77777777" w:rsidR="00787570" w:rsidRDefault="00787570">
            <w:pPr>
              <w:rPr>
                <w:rFonts w:ascii="宋体"/>
              </w:rPr>
            </w:pPr>
          </w:p>
        </w:tc>
        <w:tc>
          <w:tcPr>
            <w:tcW w:w="2431" w:type="pct"/>
            <w:shd w:val="clear" w:color="auto" w:fill="auto"/>
          </w:tcPr>
          <w:p w14:paraId="36CA41FB" w14:textId="77777777" w:rsidR="00787570" w:rsidRDefault="00787570">
            <w:pPr>
              <w:rPr>
                <w:rFonts w:ascii="宋体"/>
              </w:rPr>
            </w:pPr>
          </w:p>
        </w:tc>
        <w:tc>
          <w:tcPr>
            <w:tcW w:w="5" w:type="pct"/>
            <w:shd w:val="clear" w:color="auto" w:fill="auto"/>
          </w:tcPr>
          <w:p w14:paraId="36CA41FC" w14:textId="77777777" w:rsidR="00787570" w:rsidRDefault="00787570">
            <w:pPr>
              <w:rPr>
                <w:rFonts w:ascii="宋体"/>
              </w:rPr>
            </w:pPr>
          </w:p>
        </w:tc>
        <w:tc>
          <w:tcPr>
            <w:tcW w:w="5" w:type="pct"/>
            <w:shd w:val="clear" w:color="auto" w:fill="auto"/>
          </w:tcPr>
          <w:p w14:paraId="36CA41FD" w14:textId="77777777" w:rsidR="00787570" w:rsidRDefault="00787570">
            <w:pPr>
              <w:rPr>
                <w:rFonts w:ascii="宋体"/>
              </w:rPr>
            </w:pPr>
          </w:p>
        </w:tc>
        <w:tc>
          <w:tcPr>
            <w:tcW w:w="24" w:type="pct"/>
            <w:shd w:val="clear" w:color="auto" w:fill="auto"/>
          </w:tcPr>
          <w:p w14:paraId="36CA41FE" w14:textId="77777777" w:rsidR="00787570" w:rsidRDefault="00787570">
            <w:pPr>
              <w:rPr>
                <w:rFonts w:ascii="宋体"/>
              </w:rPr>
            </w:pPr>
          </w:p>
        </w:tc>
        <w:tc>
          <w:tcPr>
            <w:tcW w:w="5" w:type="pct"/>
            <w:shd w:val="clear" w:color="auto" w:fill="auto"/>
          </w:tcPr>
          <w:p w14:paraId="36CA41FF" w14:textId="77777777" w:rsidR="00787570" w:rsidRDefault="00787570">
            <w:pPr>
              <w:rPr>
                <w:rFonts w:ascii="宋体"/>
              </w:rPr>
            </w:pPr>
          </w:p>
        </w:tc>
        <w:tc>
          <w:tcPr>
            <w:tcW w:w="50" w:type="pct"/>
            <w:shd w:val="clear" w:color="auto" w:fill="auto"/>
          </w:tcPr>
          <w:p w14:paraId="36CA4200" w14:textId="77777777" w:rsidR="00787570" w:rsidRDefault="00787570">
            <w:pPr>
              <w:rPr>
                <w:rFonts w:ascii="宋体"/>
              </w:rPr>
            </w:pPr>
          </w:p>
        </w:tc>
        <w:tc>
          <w:tcPr>
            <w:tcW w:w="539" w:type="pct"/>
            <w:shd w:val="clear" w:color="auto" w:fill="auto"/>
          </w:tcPr>
          <w:p w14:paraId="36CA4201" w14:textId="77777777" w:rsidR="00787570" w:rsidRDefault="00787570">
            <w:pPr>
              <w:rPr>
                <w:rFonts w:ascii="宋体"/>
              </w:rPr>
            </w:pPr>
          </w:p>
        </w:tc>
        <w:tc>
          <w:tcPr>
            <w:tcW w:w="5" w:type="pct"/>
            <w:shd w:val="clear" w:color="auto" w:fill="auto"/>
          </w:tcPr>
          <w:p w14:paraId="36CA4202" w14:textId="77777777" w:rsidR="00787570" w:rsidRDefault="00787570">
            <w:pPr>
              <w:rPr>
                <w:rFonts w:ascii="宋体"/>
              </w:rPr>
            </w:pPr>
          </w:p>
        </w:tc>
        <w:tc>
          <w:tcPr>
            <w:tcW w:w="5" w:type="pct"/>
            <w:shd w:val="clear" w:color="auto" w:fill="auto"/>
          </w:tcPr>
          <w:p w14:paraId="36CA4203" w14:textId="77777777" w:rsidR="00787570" w:rsidRDefault="00787570">
            <w:pPr>
              <w:rPr>
                <w:rFonts w:ascii="宋体"/>
              </w:rPr>
            </w:pPr>
          </w:p>
        </w:tc>
        <w:tc>
          <w:tcPr>
            <w:tcW w:w="24" w:type="pct"/>
            <w:shd w:val="clear" w:color="auto" w:fill="auto"/>
          </w:tcPr>
          <w:p w14:paraId="36CA4204" w14:textId="77777777" w:rsidR="00787570" w:rsidRDefault="00787570">
            <w:pPr>
              <w:rPr>
                <w:rFonts w:ascii="宋体"/>
              </w:rPr>
            </w:pPr>
          </w:p>
        </w:tc>
        <w:tc>
          <w:tcPr>
            <w:tcW w:w="5" w:type="pct"/>
            <w:shd w:val="clear" w:color="auto" w:fill="auto"/>
          </w:tcPr>
          <w:p w14:paraId="36CA4205" w14:textId="77777777" w:rsidR="00787570" w:rsidRDefault="00787570">
            <w:pPr>
              <w:rPr>
                <w:rFonts w:ascii="宋体"/>
              </w:rPr>
            </w:pPr>
          </w:p>
        </w:tc>
        <w:tc>
          <w:tcPr>
            <w:tcW w:w="50" w:type="pct"/>
            <w:shd w:val="clear" w:color="auto" w:fill="auto"/>
          </w:tcPr>
          <w:p w14:paraId="36CA4206" w14:textId="77777777" w:rsidR="00787570" w:rsidRDefault="00787570">
            <w:pPr>
              <w:rPr>
                <w:rFonts w:ascii="宋体"/>
              </w:rPr>
            </w:pPr>
          </w:p>
        </w:tc>
        <w:tc>
          <w:tcPr>
            <w:tcW w:w="539" w:type="pct"/>
            <w:shd w:val="clear" w:color="auto" w:fill="auto"/>
          </w:tcPr>
          <w:p w14:paraId="36CA4207" w14:textId="77777777" w:rsidR="00787570" w:rsidRDefault="00787570">
            <w:pPr>
              <w:rPr>
                <w:rFonts w:ascii="宋体"/>
              </w:rPr>
            </w:pPr>
          </w:p>
        </w:tc>
        <w:tc>
          <w:tcPr>
            <w:tcW w:w="5" w:type="pct"/>
            <w:shd w:val="clear" w:color="auto" w:fill="auto"/>
          </w:tcPr>
          <w:p w14:paraId="36CA4208" w14:textId="77777777" w:rsidR="00787570" w:rsidRDefault="00787570">
            <w:pPr>
              <w:rPr>
                <w:rFonts w:ascii="宋体"/>
              </w:rPr>
            </w:pPr>
          </w:p>
        </w:tc>
        <w:tc>
          <w:tcPr>
            <w:tcW w:w="5" w:type="pct"/>
            <w:shd w:val="clear" w:color="auto" w:fill="auto"/>
          </w:tcPr>
          <w:p w14:paraId="36CA4209" w14:textId="77777777" w:rsidR="00787570" w:rsidRDefault="00787570">
            <w:pPr>
              <w:rPr>
                <w:rFonts w:ascii="宋体"/>
              </w:rPr>
            </w:pPr>
          </w:p>
        </w:tc>
        <w:tc>
          <w:tcPr>
            <w:tcW w:w="24" w:type="pct"/>
            <w:shd w:val="clear" w:color="auto" w:fill="auto"/>
          </w:tcPr>
          <w:p w14:paraId="36CA420A" w14:textId="77777777" w:rsidR="00787570" w:rsidRDefault="00787570">
            <w:pPr>
              <w:rPr>
                <w:rFonts w:ascii="宋体"/>
              </w:rPr>
            </w:pPr>
          </w:p>
        </w:tc>
        <w:tc>
          <w:tcPr>
            <w:tcW w:w="5" w:type="pct"/>
            <w:shd w:val="clear" w:color="auto" w:fill="auto"/>
          </w:tcPr>
          <w:p w14:paraId="36CA420B" w14:textId="77777777" w:rsidR="00787570" w:rsidRDefault="00787570">
            <w:pPr>
              <w:rPr>
                <w:rFonts w:ascii="宋体"/>
              </w:rPr>
            </w:pPr>
          </w:p>
        </w:tc>
        <w:tc>
          <w:tcPr>
            <w:tcW w:w="50" w:type="pct"/>
            <w:shd w:val="clear" w:color="auto" w:fill="auto"/>
          </w:tcPr>
          <w:p w14:paraId="36CA420C" w14:textId="77777777" w:rsidR="00787570" w:rsidRDefault="00787570">
            <w:pPr>
              <w:rPr>
                <w:rFonts w:ascii="宋体"/>
              </w:rPr>
            </w:pPr>
          </w:p>
        </w:tc>
        <w:tc>
          <w:tcPr>
            <w:tcW w:w="539" w:type="pct"/>
            <w:shd w:val="clear" w:color="auto" w:fill="auto"/>
          </w:tcPr>
          <w:p w14:paraId="36CA420D" w14:textId="77777777" w:rsidR="00787570" w:rsidRDefault="00787570">
            <w:pPr>
              <w:rPr>
                <w:rFonts w:ascii="宋体"/>
              </w:rPr>
            </w:pPr>
          </w:p>
        </w:tc>
        <w:tc>
          <w:tcPr>
            <w:tcW w:w="5" w:type="pct"/>
            <w:shd w:val="clear" w:color="auto" w:fill="auto"/>
          </w:tcPr>
          <w:p w14:paraId="36CA420E" w14:textId="77777777" w:rsidR="00787570" w:rsidRDefault="00787570">
            <w:pPr>
              <w:rPr>
                <w:rFonts w:ascii="宋体"/>
              </w:rPr>
            </w:pPr>
          </w:p>
        </w:tc>
        <w:tc>
          <w:tcPr>
            <w:tcW w:w="5" w:type="pct"/>
            <w:shd w:val="clear" w:color="auto" w:fill="auto"/>
          </w:tcPr>
          <w:p w14:paraId="36CA420F" w14:textId="77777777" w:rsidR="00787570" w:rsidRDefault="00787570">
            <w:pPr>
              <w:rPr>
                <w:rFonts w:ascii="宋体"/>
              </w:rPr>
            </w:pPr>
          </w:p>
        </w:tc>
        <w:tc>
          <w:tcPr>
            <w:tcW w:w="24" w:type="pct"/>
            <w:shd w:val="clear" w:color="auto" w:fill="auto"/>
          </w:tcPr>
          <w:p w14:paraId="36CA4210" w14:textId="77777777" w:rsidR="00787570" w:rsidRDefault="00787570">
            <w:pPr>
              <w:rPr>
                <w:rFonts w:ascii="宋体"/>
              </w:rPr>
            </w:pPr>
          </w:p>
        </w:tc>
        <w:tc>
          <w:tcPr>
            <w:tcW w:w="5" w:type="pct"/>
            <w:shd w:val="clear" w:color="auto" w:fill="auto"/>
          </w:tcPr>
          <w:p w14:paraId="36CA4211" w14:textId="77777777" w:rsidR="00787570" w:rsidRDefault="00787570">
            <w:pPr>
              <w:rPr>
                <w:rFonts w:ascii="宋体"/>
              </w:rPr>
            </w:pPr>
          </w:p>
        </w:tc>
        <w:tc>
          <w:tcPr>
            <w:tcW w:w="50" w:type="pct"/>
            <w:shd w:val="clear" w:color="auto" w:fill="auto"/>
          </w:tcPr>
          <w:p w14:paraId="36CA4212" w14:textId="77777777" w:rsidR="00787570" w:rsidRDefault="00787570">
            <w:pPr>
              <w:rPr>
                <w:rFonts w:ascii="宋体"/>
              </w:rPr>
            </w:pPr>
          </w:p>
        </w:tc>
        <w:tc>
          <w:tcPr>
            <w:tcW w:w="539" w:type="pct"/>
            <w:shd w:val="clear" w:color="auto" w:fill="auto"/>
          </w:tcPr>
          <w:p w14:paraId="36CA4213" w14:textId="77777777" w:rsidR="00787570" w:rsidRDefault="00787570">
            <w:pPr>
              <w:rPr>
                <w:rFonts w:ascii="宋体"/>
              </w:rPr>
            </w:pPr>
          </w:p>
        </w:tc>
        <w:tc>
          <w:tcPr>
            <w:tcW w:w="5" w:type="pct"/>
            <w:shd w:val="clear" w:color="auto" w:fill="auto"/>
          </w:tcPr>
          <w:p w14:paraId="36CA4214" w14:textId="77777777" w:rsidR="00787570" w:rsidRDefault="00787570">
            <w:pPr>
              <w:rPr>
                <w:rFonts w:ascii="宋体"/>
              </w:rPr>
            </w:pPr>
          </w:p>
        </w:tc>
      </w:tr>
      <w:tr w:rsidR="00787570" w14:paraId="36CA421F" w14:textId="77777777">
        <w:tc>
          <w:tcPr>
            <w:tcW w:w="0" w:type="auto"/>
            <w:gridSpan w:val="3"/>
            <w:shd w:val="clear" w:color="auto" w:fill="auto"/>
            <w:tcMar>
              <w:left w:w="20" w:type="dxa"/>
              <w:right w:w="20" w:type="dxa"/>
            </w:tcMar>
            <w:vAlign w:val="bottom"/>
          </w:tcPr>
          <w:p w14:paraId="36CA4216"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4217" w14:textId="77777777" w:rsidR="00787570" w:rsidRDefault="00787570">
            <w:pPr>
              <w:rPr>
                <w:rFonts w:ascii="宋体"/>
              </w:rPr>
            </w:pPr>
          </w:p>
        </w:tc>
        <w:tc>
          <w:tcPr>
            <w:tcW w:w="0" w:type="auto"/>
            <w:gridSpan w:val="21"/>
            <w:tcBorders>
              <w:bottom w:val="single" w:sz="8" w:space="0" w:color="0071C5"/>
            </w:tcBorders>
            <w:shd w:val="clear" w:color="auto" w:fill="FFFFFF"/>
            <w:tcMar>
              <w:top w:w="40" w:type="dxa"/>
              <w:left w:w="20" w:type="dxa"/>
              <w:bottom w:w="40" w:type="dxa"/>
              <w:right w:w="20" w:type="dxa"/>
            </w:tcMar>
            <w:vAlign w:val="bottom"/>
          </w:tcPr>
          <w:p w14:paraId="36CA4218" w14:textId="77777777" w:rsidR="00787570" w:rsidRDefault="000D56E2">
            <w:pPr>
              <w:jc w:val="center"/>
              <w:textAlignment w:val="bottom"/>
            </w:pPr>
            <w:r>
              <w:rPr>
                <w:rFonts w:ascii="Arial" w:eastAsia="宋体" w:hAnsi="Arial" w:cs="Arial"/>
                <w:b/>
                <w:bCs/>
                <w:color w:val="333333"/>
                <w:sz w:val="18"/>
                <w:szCs w:val="18"/>
              </w:rPr>
              <w:t xml:space="preserve">Gains (Losses) Recognized in Consolidated Condensed Statements of Income on Derivatives </w:t>
            </w:r>
          </w:p>
        </w:tc>
        <w:tc>
          <w:tcPr>
            <w:tcW w:w="0" w:type="auto"/>
            <w:gridSpan w:val="3"/>
            <w:shd w:val="clear" w:color="auto" w:fill="auto"/>
          </w:tcPr>
          <w:p w14:paraId="36CA4219" w14:textId="77777777" w:rsidR="00787570" w:rsidRDefault="00787570">
            <w:pPr>
              <w:rPr>
                <w:rFonts w:ascii="宋体"/>
                <w:vanish/>
              </w:rPr>
            </w:pPr>
          </w:p>
        </w:tc>
        <w:tc>
          <w:tcPr>
            <w:tcW w:w="0" w:type="auto"/>
            <w:gridSpan w:val="3"/>
            <w:shd w:val="clear" w:color="auto" w:fill="auto"/>
          </w:tcPr>
          <w:p w14:paraId="36CA421A" w14:textId="77777777" w:rsidR="00787570" w:rsidRDefault="00787570">
            <w:pPr>
              <w:rPr>
                <w:rFonts w:ascii="宋体"/>
                <w:vanish/>
              </w:rPr>
            </w:pPr>
          </w:p>
        </w:tc>
        <w:tc>
          <w:tcPr>
            <w:tcW w:w="0" w:type="auto"/>
            <w:gridSpan w:val="3"/>
            <w:shd w:val="clear" w:color="auto" w:fill="auto"/>
          </w:tcPr>
          <w:p w14:paraId="36CA421B" w14:textId="77777777" w:rsidR="00787570" w:rsidRDefault="00787570">
            <w:pPr>
              <w:rPr>
                <w:rFonts w:ascii="宋体"/>
                <w:vanish/>
              </w:rPr>
            </w:pPr>
          </w:p>
        </w:tc>
        <w:tc>
          <w:tcPr>
            <w:tcW w:w="0" w:type="auto"/>
            <w:gridSpan w:val="3"/>
            <w:shd w:val="clear" w:color="auto" w:fill="auto"/>
          </w:tcPr>
          <w:p w14:paraId="36CA421C" w14:textId="77777777" w:rsidR="00787570" w:rsidRDefault="00787570">
            <w:pPr>
              <w:rPr>
                <w:rFonts w:ascii="宋体"/>
                <w:vanish/>
              </w:rPr>
            </w:pPr>
          </w:p>
        </w:tc>
        <w:tc>
          <w:tcPr>
            <w:tcW w:w="0" w:type="auto"/>
            <w:gridSpan w:val="3"/>
            <w:shd w:val="clear" w:color="auto" w:fill="auto"/>
          </w:tcPr>
          <w:p w14:paraId="36CA421D" w14:textId="77777777" w:rsidR="00787570" w:rsidRDefault="00787570">
            <w:pPr>
              <w:rPr>
                <w:rFonts w:ascii="宋体"/>
                <w:vanish/>
              </w:rPr>
            </w:pPr>
          </w:p>
        </w:tc>
        <w:tc>
          <w:tcPr>
            <w:tcW w:w="0" w:type="auto"/>
            <w:gridSpan w:val="3"/>
            <w:shd w:val="clear" w:color="auto" w:fill="auto"/>
          </w:tcPr>
          <w:p w14:paraId="36CA421E" w14:textId="77777777" w:rsidR="00787570" w:rsidRDefault="00787570">
            <w:pPr>
              <w:rPr>
                <w:rFonts w:ascii="宋体"/>
                <w:vanish/>
              </w:rPr>
            </w:pPr>
          </w:p>
        </w:tc>
      </w:tr>
      <w:tr w:rsidR="00787570" w14:paraId="36CA422F" w14:textId="77777777">
        <w:tc>
          <w:tcPr>
            <w:tcW w:w="0" w:type="auto"/>
            <w:gridSpan w:val="3"/>
            <w:shd w:val="clear" w:color="auto" w:fill="auto"/>
            <w:tcMar>
              <w:left w:w="20" w:type="dxa"/>
              <w:right w:w="20" w:type="dxa"/>
            </w:tcMar>
            <w:vAlign w:val="bottom"/>
          </w:tcPr>
          <w:p w14:paraId="36CA4220"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4221" w14:textId="77777777" w:rsidR="00787570" w:rsidRDefault="00787570">
            <w:pPr>
              <w:rPr>
                <w:rFonts w:ascii="宋体"/>
              </w:rPr>
            </w:pPr>
          </w:p>
        </w:tc>
        <w:tc>
          <w:tcPr>
            <w:tcW w:w="0" w:type="auto"/>
            <w:gridSpan w:val="9"/>
            <w:tcBorders>
              <w:top w:val="single" w:sz="8" w:space="0" w:color="0071C5"/>
            </w:tcBorders>
            <w:shd w:val="clear" w:color="auto" w:fill="auto"/>
            <w:tcMar>
              <w:top w:w="40" w:type="dxa"/>
              <w:left w:w="20" w:type="dxa"/>
              <w:bottom w:w="40" w:type="dxa"/>
              <w:right w:w="20" w:type="dxa"/>
            </w:tcMar>
            <w:vAlign w:val="bottom"/>
          </w:tcPr>
          <w:p w14:paraId="36CA4222" w14:textId="77777777" w:rsidR="00787570" w:rsidRDefault="000D56E2">
            <w:pPr>
              <w:jc w:val="center"/>
              <w:textAlignment w:val="bottom"/>
            </w:pPr>
            <w:r>
              <w:rPr>
                <w:rFonts w:ascii="Arial" w:eastAsia="宋体" w:hAnsi="Arial" w:cs="Arial"/>
                <w:b/>
                <w:bCs/>
                <w:color w:val="333333"/>
                <w:sz w:val="18"/>
                <w:szCs w:val="18"/>
              </w:rPr>
              <w:t>Three Months Ended</w:t>
            </w:r>
          </w:p>
        </w:tc>
        <w:tc>
          <w:tcPr>
            <w:tcW w:w="0" w:type="auto"/>
            <w:gridSpan w:val="3"/>
            <w:shd w:val="clear" w:color="auto" w:fill="auto"/>
          </w:tcPr>
          <w:p w14:paraId="36CA4223" w14:textId="77777777" w:rsidR="00787570" w:rsidRDefault="00787570">
            <w:pPr>
              <w:rPr>
                <w:rFonts w:ascii="宋体"/>
                <w:vanish/>
              </w:rPr>
            </w:pPr>
          </w:p>
        </w:tc>
        <w:tc>
          <w:tcPr>
            <w:tcW w:w="0" w:type="auto"/>
            <w:gridSpan w:val="3"/>
            <w:shd w:val="clear" w:color="auto" w:fill="auto"/>
          </w:tcPr>
          <w:p w14:paraId="36CA4224" w14:textId="77777777" w:rsidR="00787570" w:rsidRDefault="00787570">
            <w:pPr>
              <w:rPr>
                <w:rFonts w:ascii="宋体"/>
                <w:vanish/>
              </w:rPr>
            </w:pPr>
          </w:p>
        </w:tc>
        <w:tc>
          <w:tcPr>
            <w:tcW w:w="0" w:type="auto"/>
            <w:gridSpan w:val="3"/>
            <w:tcBorders>
              <w:top w:val="single" w:sz="8" w:space="0" w:color="0071C5"/>
            </w:tcBorders>
            <w:shd w:val="clear" w:color="auto" w:fill="auto"/>
            <w:tcMar>
              <w:left w:w="20" w:type="dxa"/>
              <w:right w:w="20" w:type="dxa"/>
            </w:tcMar>
            <w:vAlign w:val="bottom"/>
          </w:tcPr>
          <w:p w14:paraId="36CA4225" w14:textId="77777777" w:rsidR="00787570" w:rsidRDefault="00787570">
            <w:pPr>
              <w:rPr>
                <w:rFonts w:ascii="宋体"/>
              </w:rPr>
            </w:pPr>
          </w:p>
        </w:tc>
        <w:tc>
          <w:tcPr>
            <w:tcW w:w="0" w:type="auto"/>
            <w:gridSpan w:val="9"/>
            <w:tcBorders>
              <w:top w:val="single" w:sz="8" w:space="0" w:color="0071C5"/>
            </w:tcBorders>
            <w:shd w:val="clear" w:color="auto" w:fill="auto"/>
            <w:tcMar>
              <w:top w:w="40" w:type="dxa"/>
              <w:left w:w="20" w:type="dxa"/>
              <w:bottom w:w="40" w:type="dxa"/>
              <w:right w:w="20" w:type="dxa"/>
            </w:tcMar>
            <w:vAlign w:val="bottom"/>
          </w:tcPr>
          <w:p w14:paraId="36CA4226" w14:textId="77777777" w:rsidR="00787570" w:rsidRDefault="000D56E2">
            <w:pPr>
              <w:jc w:val="center"/>
              <w:textAlignment w:val="bottom"/>
            </w:pPr>
            <w:r>
              <w:rPr>
                <w:rFonts w:ascii="Arial" w:eastAsia="宋体" w:hAnsi="Arial" w:cs="Arial"/>
                <w:b/>
                <w:bCs/>
                <w:color w:val="333333"/>
                <w:sz w:val="18"/>
                <w:szCs w:val="18"/>
              </w:rPr>
              <w:t>Nine Months Ended</w:t>
            </w:r>
          </w:p>
        </w:tc>
        <w:tc>
          <w:tcPr>
            <w:tcW w:w="0" w:type="auto"/>
            <w:gridSpan w:val="3"/>
            <w:shd w:val="clear" w:color="auto" w:fill="auto"/>
          </w:tcPr>
          <w:p w14:paraId="36CA4227" w14:textId="77777777" w:rsidR="00787570" w:rsidRDefault="00787570">
            <w:pPr>
              <w:rPr>
                <w:rFonts w:ascii="宋体"/>
                <w:vanish/>
              </w:rPr>
            </w:pPr>
          </w:p>
        </w:tc>
        <w:tc>
          <w:tcPr>
            <w:tcW w:w="0" w:type="auto"/>
            <w:gridSpan w:val="3"/>
            <w:shd w:val="clear" w:color="auto" w:fill="auto"/>
          </w:tcPr>
          <w:p w14:paraId="36CA4228" w14:textId="77777777" w:rsidR="00787570" w:rsidRDefault="00787570">
            <w:pPr>
              <w:rPr>
                <w:rFonts w:ascii="宋体"/>
                <w:vanish/>
              </w:rPr>
            </w:pPr>
          </w:p>
        </w:tc>
        <w:tc>
          <w:tcPr>
            <w:tcW w:w="0" w:type="auto"/>
            <w:shd w:val="clear" w:color="auto" w:fill="auto"/>
          </w:tcPr>
          <w:p w14:paraId="36CA4229" w14:textId="77777777" w:rsidR="00787570" w:rsidRDefault="00787570">
            <w:pPr>
              <w:rPr>
                <w:rFonts w:ascii="宋体"/>
              </w:rPr>
            </w:pPr>
          </w:p>
        </w:tc>
        <w:tc>
          <w:tcPr>
            <w:tcW w:w="0" w:type="auto"/>
            <w:shd w:val="clear" w:color="auto" w:fill="auto"/>
          </w:tcPr>
          <w:p w14:paraId="36CA422A" w14:textId="77777777" w:rsidR="00787570" w:rsidRDefault="00787570">
            <w:pPr>
              <w:rPr>
                <w:rFonts w:ascii="宋体"/>
              </w:rPr>
            </w:pPr>
          </w:p>
        </w:tc>
        <w:tc>
          <w:tcPr>
            <w:tcW w:w="0" w:type="auto"/>
            <w:shd w:val="clear" w:color="auto" w:fill="auto"/>
          </w:tcPr>
          <w:p w14:paraId="36CA422B" w14:textId="77777777" w:rsidR="00787570" w:rsidRDefault="00787570">
            <w:pPr>
              <w:rPr>
                <w:rFonts w:ascii="宋体"/>
              </w:rPr>
            </w:pPr>
          </w:p>
        </w:tc>
        <w:tc>
          <w:tcPr>
            <w:tcW w:w="0" w:type="auto"/>
            <w:shd w:val="clear" w:color="auto" w:fill="auto"/>
          </w:tcPr>
          <w:p w14:paraId="36CA422C" w14:textId="77777777" w:rsidR="00787570" w:rsidRDefault="00787570">
            <w:pPr>
              <w:rPr>
                <w:rFonts w:ascii="宋体"/>
              </w:rPr>
            </w:pPr>
          </w:p>
        </w:tc>
        <w:tc>
          <w:tcPr>
            <w:tcW w:w="0" w:type="auto"/>
            <w:shd w:val="clear" w:color="auto" w:fill="auto"/>
          </w:tcPr>
          <w:p w14:paraId="36CA422D" w14:textId="77777777" w:rsidR="00787570" w:rsidRDefault="00787570">
            <w:pPr>
              <w:rPr>
                <w:rFonts w:ascii="宋体"/>
              </w:rPr>
            </w:pPr>
          </w:p>
        </w:tc>
        <w:tc>
          <w:tcPr>
            <w:tcW w:w="0" w:type="auto"/>
            <w:shd w:val="clear" w:color="auto" w:fill="auto"/>
          </w:tcPr>
          <w:p w14:paraId="36CA422E" w14:textId="77777777" w:rsidR="00787570" w:rsidRDefault="00787570">
            <w:pPr>
              <w:rPr>
                <w:rFonts w:ascii="宋体"/>
              </w:rPr>
            </w:pPr>
          </w:p>
        </w:tc>
      </w:tr>
      <w:tr w:rsidR="00787570" w14:paraId="36CA424B" w14:textId="77777777">
        <w:tc>
          <w:tcPr>
            <w:tcW w:w="0" w:type="auto"/>
            <w:gridSpan w:val="3"/>
            <w:shd w:val="clear" w:color="auto" w:fill="auto"/>
            <w:tcMar>
              <w:top w:w="40" w:type="dxa"/>
              <w:left w:w="20" w:type="dxa"/>
              <w:bottom w:w="40" w:type="dxa"/>
              <w:right w:w="20" w:type="dxa"/>
            </w:tcMar>
            <w:vAlign w:val="bottom"/>
          </w:tcPr>
          <w:p w14:paraId="36CA4230" w14:textId="77777777" w:rsidR="00787570" w:rsidRDefault="000D56E2">
            <w:pPr>
              <w:ind w:hanging="180"/>
              <w:textAlignment w:val="bottom"/>
            </w:pPr>
            <w:r>
              <w:rPr>
                <w:rFonts w:ascii="Arial" w:eastAsia="宋体" w:hAnsi="Arial" w:cs="Arial"/>
                <w:b/>
                <w:bCs/>
                <w:color w:val="333333"/>
                <w:sz w:val="18"/>
                <w:szCs w:val="18"/>
              </w:rPr>
              <w:t>(In Millions)</w:t>
            </w:r>
          </w:p>
        </w:tc>
        <w:tc>
          <w:tcPr>
            <w:tcW w:w="0" w:type="auto"/>
            <w:gridSpan w:val="3"/>
            <w:shd w:val="clear" w:color="auto" w:fill="auto"/>
            <w:tcMar>
              <w:left w:w="20" w:type="dxa"/>
              <w:right w:w="20" w:type="dxa"/>
            </w:tcMar>
            <w:vAlign w:val="bottom"/>
          </w:tcPr>
          <w:p w14:paraId="36CA4231" w14:textId="77777777" w:rsidR="00787570" w:rsidRDefault="00787570">
            <w:pPr>
              <w:rPr>
                <w:rFonts w:ascii="宋体"/>
              </w:rPr>
            </w:pPr>
          </w:p>
        </w:tc>
        <w:tc>
          <w:tcPr>
            <w:tcW w:w="0" w:type="auto"/>
            <w:gridSpan w:val="3"/>
            <w:tcBorders>
              <w:top w:val="single" w:sz="8" w:space="0" w:color="0071C5"/>
            </w:tcBorders>
            <w:shd w:val="clear" w:color="auto" w:fill="auto"/>
            <w:tcMar>
              <w:top w:w="40" w:type="dxa"/>
              <w:left w:w="20" w:type="dxa"/>
              <w:bottom w:w="40" w:type="dxa"/>
              <w:right w:w="20" w:type="dxa"/>
            </w:tcMar>
            <w:vAlign w:val="bottom"/>
          </w:tcPr>
          <w:p w14:paraId="36CA4232" w14:textId="77777777" w:rsidR="00787570" w:rsidRDefault="000D56E2">
            <w:pPr>
              <w:jc w:val="center"/>
              <w:textAlignment w:val="bottom"/>
            </w:pPr>
            <w:r>
              <w:rPr>
                <w:rFonts w:ascii="Arial" w:eastAsia="宋体" w:hAnsi="Arial" w:cs="Arial"/>
                <w:b/>
                <w:bCs/>
                <w:color w:val="333333"/>
                <w:sz w:val="18"/>
                <w:szCs w:val="18"/>
              </w:rPr>
              <w:t>Sep 26, 2020</w:t>
            </w:r>
          </w:p>
        </w:tc>
        <w:tc>
          <w:tcPr>
            <w:tcW w:w="0" w:type="auto"/>
            <w:gridSpan w:val="3"/>
            <w:tcBorders>
              <w:top w:val="single" w:sz="8" w:space="0" w:color="0071C5"/>
            </w:tcBorders>
            <w:shd w:val="clear" w:color="auto" w:fill="auto"/>
            <w:tcMar>
              <w:left w:w="20" w:type="dxa"/>
              <w:right w:w="20" w:type="dxa"/>
            </w:tcMar>
            <w:vAlign w:val="bottom"/>
          </w:tcPr>
          <w:p w14:paraId="36CA4233" w14:textId="77777777" w:rsidR="00787570" w:rsidRDefault="00787570">
            <w:pPr>
              <w:rPr>
                <w:rFonts w:ascii="宋体"/>
              </w:rPr>
            </w:pPr>
          </w:p>
        </w:tc>
        <w:tc>
          <w:tcPr>
            <w:tcW w:w="0" w:type="auto"/>
            <w:gridSpan w:val="3"/>
            <w:tcBorders>
              <w:top w:val="single" w:sz="8" w:space="0" w:color="0071C5"/>
            </w:tcBorders>
            <w:shd w:val="clear" w:color="auto" w:fill="auto"/>
            <w:tcMar>
              <w:top w:w="40" w:type="dxa"/>
              <w:left w:w="20" w:type="dxa"/>
              <w:bottom w:w="40" w:type="dxa"/>
              <w:right w:w="20" w:type="dxa"/>
            </w:tcMar>
            <w:vAlign w:val="bottom"/>
          </w:tcPr>
          <w:p w14:paraId="36CA4234" w14:textId="77777777" w:rsidR="00787570" w:rsidRDefault="000D56E2">
            <w:pPr>
              <w:jc w:val="center"/>
              <w:textAlignment w:val="bottom"/>
            </w:pPr>
            <w:r>
              <w:rPr>
                <w:rFonts w:ascii="Arial" w:eastAsia="宋体" w:hAnsi="Arial" w:cs="Arial"/>
                <w:b/>
                <w:bCs/>
                <w:color w:val="333333"/>
                <w:sz w:val="18"/>
                <w:szCs w:val="18"/>
              </w:rPr>
              <w:t>Sep 28, 2019</w:t>
            </w:r>
          </w:p>
        </w:tc>
        <w:tc>
          <w:tcPr>
            <w:tcW w:w="0" w:type="auto"/>
            <w:gridSpan w:val="3"/>
            <w:shd w:val="clear" w:color="auto" w:fill="auto"/>
            <w:tcMar>
              <w:left w:w="20" w:type="dxa"/>
              <w:right w:w="20" w:type="dxa"/>
            </w:tcMar>
            <w:vAlign w:val="bottom"/>
          </w:tcPr>
          <w:p w14:paraId="36CA4235" w14:textId="77777777" w:rsidR="00787570" w:rsidRDefault="00787570">
            <w:pPr>
              <w:rPr>
                <w:rFonts w:ascii="宋体"/>
              </w:rPr>
            </w:pPr>
          </w:p>
        </w:tc>
        <w:tc>
          <w:tcPr>
            <w:tcW w:w="0" w:type="auto"/>
            <w:gridSpan w:val="3"/>
            <w:tcBorders>
              <w:top w:val="single" w:sz="8" w:space="0" w:color="0071C5"/>
            </w:tcBorders>
            <w:shd w:val="clear" w:color="auto" w:fill="auto"/>
            <w:tcMar>
              <w:top w:w="40" w:type="dxa"/>
              <w:left w:w="20" w:type="dxa"/>
              <w:bottom w:w="40" w:type="dxa"/>
              <w:right w:w="20" w:type="dxa"/>
            </w:tcMar>
            <w:vAlign w:val="bottom"/>
          </w:tcPr>
          <w:p w14:paraId="36CA4236" w14:textId="77777777" w:rsidR="00787570" w:rsidRDefault="000D56E2">
            <w:pPr>
              <w:jc w:val="center"/>
              <w:textAlignment w:val="bottom"/>
            </w:pPr>
            <w:r>
              <w:rPr>
                <w:rFonts w:ascii="Arial" w:eastAsia="宋体" w:hAnsi="Arial" w:cs="Arial"/>
                <w:b/>
                <w:bCs/>
                <w:color w:val="333333"/>
                <w:sz w:val="18"/>
                <w:szCs w:val="18"/>
              </w:rPr>
              <w:t>Sep 26, 2020</w:t>
            </w:r>
          </w:p>
        </w:tc>
        <w:tc>
          <w:tcPr>
            <w:tcW w:w="0" w:type="auto"/>
            <w:gridSpan w:val="3"/>
            <w:tcBorders>
              <w:top w:val="single" w:sz="8" w:space="0" w:color="0071C5"/>
            </w:tcBorders>
            <w:shd w:val="clear" w:color="auto" w:fill="auto"/>
            <w:tcMar>
              <w:left w:w="20" w:type="dxa"/>
              <w:right w:w="20" w:type="dxa"/>
            </w:tcMar>
            <w:vAlign w:val="bottom"/>
          </w:tcPr>
          <w:p w14:paraId="36CA4237" w14:textId="77777777" w:rsidR="00787570" w:rsidRDefault="00787570">
            <w:pPr>
              <w:rPr>
                <w:rFonts w:ascii="宋体"/>
              </w:rPr>
            </w:pPr>
          </w:p>
        </w:tc>
        <w:tc>
          <w:tcPr>
            <w:tcW w:w="0" w:type="auto"/>
            <w:gridSpan w:val="3"/>
            <w:tcBorders>
              <w:top w:val="single" w:sz="8" w:space="0" w:color="0071C5"/>
            </w:tcBorders>
            <w:shd w:val="clear" w:color="auto" w:fill="auto"/>
            <w:tcMar>
              <w:top w:w="40" w:type="dxa"/>
              <w:left w:w="20" w:type="dxa"/>
              <w:bottom w:w="40" w:type="dxa"/>
              <w:right w:w="20" w:type="dxa"/>
            </w:tcMar>
            <w:vAlign w:val="bottom"/>
          </w:tcPr>
          <w:p w14:paraId="36CA4238" w14:textId="77777777" w:rsidR="00787570" w:rsidRDefault="000D56E2">
            <w:pPr>
              <w:jc w:val="center"/>
              <w:textAlignment w:val="bottom"/>
            </w:pPr>
            <w:r>
              <w:rPr>
                <w:rFonts w:ascii="Arial" w:eastAsia="宋体" w:hAnsi="Arial" w:cs="Arial"/>
                <w:b/>
                <w:bCs/>
                <w:color w:val="333333"/>
                <w:sz w:val="18"/>
                <w:szCs w:val="18"/>
              </w:rPr>
              <w:t>Sep 28, 2019</w:t>
            </w:r>
          </w:p>
        </w:tc>
        <w:tc>
          <w:tcPr>
            <w:tcW w:w="0" w:type="auto"/>
            <w:shd w:val="clear" w:color="auto" w:fill="auto"/>
          </w:tcPr>
          <w:p w14:paraId="36CA4239" w14:textId="77777777" w:rsidR="00787570" w:rsidRDefault="00787570">
            <w:pPr>
              <w:rPr>
                <w:rFonts w:ascii="宋体"/>
              </w:rPr>
            </w:pPr>
          </w:p>
        </w:tc>
        <w:tc>
          <w:tcPr>
            <w:tcW w:w="0" w:type="auto"/>
            <w:shd w:val="clear" w:color="auto" w:fill="auto"/>
          </w:tcPr>
          <w:p w14:paraId="36CA423A" w14:textId="77777777" w:rsidR="00787570" w:rsidRDefault="00787570">
            <w:pPr>
              <w:rPr>
                <w:rFonts w:ascii="宋体"/>
              </w:rPr>
            </w:pPr>
          </w:p>
        </w:tc>
        <w:tc>
          <w:tcPr>
            <w:tcW w:w="0" w:type="auto"/>
            <w:shd w:val="clear" w:color="auto" w:fill="auto"/>
          </w:tcPr>
          <w:p w14:paraId="36CA423B" w14:textId="77777777" w:rsidR="00787570" w:rsidRDefault="00787570">
            <w:pPr>
              <w:rPr>
                <w:rFonts w:ascii="宋体"/>
              </w:rPr>
            </w:pPr>
          </w:p>
        </w:tc>
        <w:tc>
          <w:tcPr>
            <w:tcW w:w="0" w:type="auto"/>
            <w:shd w:val="clear" w:color="auto" w:fill="auto"/>
          </w:tcPr>
          <w:p w14:paraId="36CA423C" w14:textId="77777777" w:rsidR="00787570" w:rsidRDefault="00787570">
            <w:pPr>
              <w:rPr>
                <w:rFonts w:ascii="宋体"/>
              </w:rPr>
            </w:pPr>
          </w:p>
        </w:tc>
        <w:tc>
          <w:tcPr>
            <w:tcW w:w="0" w:type="auto"/>
            <w:shd w:val="clear" w:color="auto" w:fill="auto"/>
          </w:tcPr>
          <w:p w14:paraId="36CA423D" w14:textId="77777777" w:rsidR="00787570" w:rsidRDefault="00787570">
            <w:pPr>
              <w:rPr>
                <w:rFonts w:ascii="宋体"/>
              </w:rPr>
            </w:pPr>
          </w:p>
        </w:tc>
        <w:tc>
          <w:tcPr>
            <w:tcW w:w="0" w:type="auto"/>
            <w:shd w:val="clear" w:color="auto" w:fill="auto"/>
          </w:tcPr>
          <w:p w14:paraId="36CA423E" w14:textId="77777777" w:rsidR="00787570" w:rsidRDefault="00787570">
            <w:pPr>
              <w:rPr>
                <w:rFonts w:ascii="宋体"/>
              </w:rPr>
            </w:pPr>
          </w:p>
        </w:tc>
        <w:tc>
          <w:tcPr>
            <w:tcW w:w="0" w:type="auto"/>
            <w:shd w:val="clear" w:color="auto" w:fill="auto"/>
          </w:tcPr>
          <w:p w14:paraId="36CA423F" w14:textId="77777777" w:rsidR="00787570" w:rsidRDefault="00787570">
            <w:pPr>
              <w:rPr>
                <w:rFonts w:ascii="宋体"/>
              </w:rPr>
            </w:pPr>
          </w:p>
        </w:tc>
        <w:tc>
          <w:tcPr>
            <w:tcW w:w="0" w:type="auto"/>
            <w:shd w:val="clear" w:color="auto" w:fill="auto"/>
          </w:tcPr>
          <w:p w14:paraId="36CA4240" w14:textId="77777777" w:rsidR="00787570" w:rsidRDefault="00787570">
            <w:pPr>
              <w:rPr>
                <w:rFonts w:ascii="宋体"/>
              </w:rPr>
            </w:pPr>
          </w:p>
        </w:tc>
        <w:tc>
          <w:tcPr>
            <w:tcW w:w="0" w:type="auto"/>
            <w:shd w:val="clear" w:color="auto" w:fill="auto"/>
          </w:tcPr>
          <w:p w14:paraId="36CA4241" w14:textId="77777777" w:rsidR="00787570" w:rsidRDefault="00787570">
            <w:pPr>
              <w:rPr>
                <w:rFonts w:ascii="宋体"/>
              </w:rPr>
            </w:pPr>
          </w:p>
        </w:tc>
        <w:tc>
          <w:tcPr>
            <w:tcW w:w="0" w:type="auto"/>
            <w:shd w:val="clear" w:color="auto" w:fill="auto"/>
          </w:tcPr>
          <w:p w14:paraId="36CA4242" w14:textId="77777777" w:rsidR="00787570" w:rsidRDefault="00787570">
            <w:pPr>
              <w:rPr>
                <w:rFonts w:ascii="宋体"/>
              </w:rPr>
            </w:pPr>
          </w:p>
        </w:tc>
        <w:tc>
          <w:tcPr>
            <w:tcW w:w="0" w:type="auto"/>
            <w:shd w:val="clear" w:color="auto" w:fill="auto"/>
          </w:tcPr>
          <w:p w14:paraId="36CA4243" w14:textId="77777777" w:rsidR="00787570" w:rsidRDefault="00787570">
            <w:pPr>
              <w:rPr>
                <w:rFonts w:ascii="宋体"/>
              </w:rPr>
            </w:pPr>
          </w:p>
        </w:tc>
        <w:tc>
          <w:tcPr>
            <w:tcW w:w="0" w:type="auto"/>
            <w:shd w:val="clear" w:color="auto" w:fill="auto"/>
          </w:tcPr>
          <w:p w14:paraId="36CA4244" w14:textId="77777777" w:rsidR="00787570" w:rsidRDefault="00787570">
            <w:pPr>
              <w:rPr>
                <w:rFonts w:ascii="宋体"/>
              </w:rPr>
            </w:pPr>
          </w:p>
        </w:tc>
        <w:tc>
          <w:tcPr>
            <w:tcW w:w="0" w:type="auto"/>
            <w:shd w:val="clear" w:color="auto" w:fill="auto"/>
          </w:tcPr>
          <w:p w14:paraId="36CA4245" w14:textId="77777777" w:rsidR="00787570" w:rsidRDefault="00787570">
            <w:pPr>
              <w:rPr>
                <w:rFonts w:ascii="宋体"/>
              </w:rPr>
            </w:pPr>
          </w:p>
        </w:tc>
        <w:tc>
          <w:tcPr>
            <w:tcW w:w="0" w:type="auto"/>
            <w:shd w:val="clear" w:color="auto" w:fill="auto"/>
          </w:tcPr>
          <w:p w14:paraId="36CA4246" w14:textId="77777777" w:rsidR="00787570" w:rsidRDefault="00787570">
            <w:pPr>
              <w:rPr>
                <w:rFonts w:ascii="宋体"/>
              </w:rPr>
            </w:pPr>
          </w:p>
        </w:tc>
        <w:tc>
          <w:tcPr>
            <w:tcW w:w="0" w:type="auto"/>
            <w:shd w:val="clear" w:color="auto" w:fill="auto"/>
          </w:tcPr>
          <w:p w14:paraId="36CA4247" w14:textId="77777777" w:rsidR="00787570" w:rsidRDefault="00787570">
            <w:pPr>
              <w:rPr>
                <w:rFonts w:ascii="宋体"/>
              </w:rPr>
            </w:pPr>
          </w:p>
        </w:tc>
        <w:tc>
          <w:tcPr>
            <w:tcW w:w="0" w:type="auto"/>
            <w:shd w:val="clear" w:color="auto" w:fill="auto"/>
          </w:tcPr>
          <w:p w14:paraId="36CA4248" w14:textId="77777777" w:rsidR="00787570" w:rsidRDefault="00787570">
            <w:pPr>
              <w:rPr>
                <w:rFonts w:ascii="宋体"/>
              </w:rPr>
            </w:pPr>
          </w:p>
        </w:tc>
        <w:tc>
          <w:tcPr>
            <w:tcW w:w="0" w:type="auto"/>
            <w:shd w:val="clear" w:color="auto" w:fill="auto"/>
          </w:tcPr>
          <w:p w14:paraId="36CA4249" w14:textId="77777777" w:rsidR="00787570" w:rsidRDefault="00787570">
            <w:pPr>
              <w:rPr>
                <w:rFonts w:ascii="宋体"/>
              </w:rPr>
            </w:pPr>
          </w:p>
        </w:tc>
        <w:tc>
          <w:tcPr>
            <w:tcW w:w="0" w:type="auto"/>
            <w:shd w:val="clear" w:color="auto" w:fill="auto"/>
          </w:tcPr>
          <w:p w14:paraId="36CA424A" w14:textId="77777777" w:rsidR="00787570" w:rsidRDefault="00787570">
            <w:pPr>
              <w:rPr>
                <w:rFonts w:ascii="宋体"/>
              </w:rPr>
            </w:pPr>
          </w:p>
        </w:tc>
      </w:tr>
      <w:tr w:rsidR="00787570" w14:paraId="36CA426F" w14:textId="77777777">
        <w:tc>
          <w:tcPr>
            <w:tcW w:w="0" w:type="auto"/>
            <w:gridSpan w:val="3"/>
            <w:tcBorders>
              <w:top w:val="single" w:sz="8" w:space="0" w:color="0071C5"/>
            </w:tcBorders>
            <w:shd w:val="clear" w:color="auto" w:fill="auto"/>
            <w:tcMar>
              <w:top w:w="40" w:type="dxa"/>
              <w:left w:w="20" w:type="dxa"/>
              <w:bottom w:w="40" w:type="dxa"/>
              <w:right w:w="20" w:type="dxa"/>
            </w:tcMar>
          </w:tcPr>
          <w:p w14:paraId="36CA424C" w14:textId="77777777" w:rsidR="00787570" w:rsidRDefault="000D56E2">
            <w:pPr>
              <w:ind w:hanging="180"/>
              <w:textAlignment w:val="top"/>
            </w:pPr>
            <w:r>
              <w:rPr>
                <w:rFonts w:ascii="Arial" w:eastAsia="宋体" w:hAnsi="Arial" w:cs="Arial"/>
                <w:color w:val="333333"/>
                <w:sz w:val="18"/>
                <w:szCs w:val="18"/>
              </w:rPr>
              <w:t>Interest rate contracts</w:t>
            </w:r>
          </w:p>
        </w:tc>
        <w:tc>
          <w:tcPr>
            <w:tcW w:w="0" w:type="auto"/>
            <w:gridSpan w:val="3"/>
            <w:shd w:val="clear" w:color="auto" w:fill="auto"/>
            <w:tcMar>
              <w:left w:w="20" w:type="dxa"/>
              <w:right w:w="20" w:type="dxa"/>
            </w:tcMar>
            <w:vAlign w:val="bottom"/>
          </w:tcPr>
          <w:p w14:paraId="36CA424D" w14:textId="77777777" w:rsidR="00787570" w:rsidRDefault="00787570">
            <w:pPr>
              <w:rPr>
                <w:rFonts w:ascii="宋体"/>
              </w:rPr>
            </w:pPr>
          </w:p>
        </w:tc>
        <w:tc>
          <w:tcPr>
            <w:tcW w:w="0" w:type="auto"/>
            <w:tcBorders>
              <w:top w:val="single" w:sz="8" w:space="0" w:color="0071C5"/>
            </w:tcBorders>
            <w:shd w:val="clear" w:color="auto" w:fill="auto"/>
            <w:tcMar>
              <w:top w:w="40" w:type="dxa"/>
              <w:left w:w="20" w:type="dxa"/>
              <w:bottom w:w="40" w:type="dxa"/>
            </w:tcMar>
            <w:vAlign w:val="bottom"/>
          </w:tcPr>
          <w:p w14:paraId="36CA424E" w14:textId="77777777" w:rsidR="00787570" w:rsidRDefault="000D56E2">
            <w:pPr>
              <w:textAlignment w:val="bottom"/>
            </w:pPr>
            <w:r>
              <w:rPr>
                <w:rFonts w:ascii="Arial" w:eastAsia="宋体" w:hAnsi="Arial" w:cs="Arial"/>
                <w:color w:val="026DCE"/>
                <w:sz w:val="18"/>
                <w:szCs w:val="18"/>
              </w:rPr>
              <w:t>$</w:t>
            </w:r>
          </w:p>
        </w:tc>
        <w:tc>
          <w:tcPr>
            <w:tcW w:w="0" w:type="auto"/>
            <w:tcBorders>
              <w:top w:val="single" w:sz="8" w:space="0" w:color="0071C5"/>
            </w:tcBorders>
            <w:shd w:val="clear" w:color="auto" w:fill="auto"/>
            <w:tcMar>
              <w:top w:w="40" w:type="dxa"/>
              <w:bottom w:w="40" w:type="dxa"/>
              <w:right w:w="0" w:type="dxa"/>
            </w:tcMar>
            <w:vAlign w:val="bottom"/>
          </w:tcPr>
          <w:p w14:paraId="36CA424F" w14:textId="77777777" w:rsidR="00787570" w:rsidRDefault="000D56E2">
            <w:pPr>
              <w:jc w:val="right"/>
              <w:textAlignment w:val="bottom"/>
            </w:pPr>
            <w:r>
              <w:rPr>
                <w:rFonts w:ascii="Arial" w:eastAsia="宋体" w:hAnsi="Arial" w:cs="Arial"/>
                <w:color w:val="026DCE"/>
                <w:sz w:val="18"/>
                <w:szCs w:val="18"/>
              </w:rPr>
              <w:t>(36)</w:t>
            </w:r>
          </w:p>
        </w:tc>
        <w:tc>
          <w:tcPr>
            <w:tcW w:w="0" w:type="auto"/>
            <w:tcBorders>
              <w:top w:val="single" w:sz="8" w:space="0" w:color="0071C5"/>
            </w:tcBorders>
            <w:shd w:val="clear" w:color="auto" w:fill="auto"/>
            <w:tcMar>
              <w:top w:w="40" w:type="dxa"/>
              <w:bottom w:w="40" w:type="dxa"/>
              <w:right w:w="20" w:type="dxa"/>
            </w:tcMar>
            <w:vAlign w:val="bottom"/>
          </w:tcPr>
          <w:p w14:paraId="36CA4250"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4251" w14:textId="77777777" w:rsidR="00787570" w:rsidRDefault="00787570">
            <w:pPr>
              <w:rPr>
                <w:rFonts w:ascii="宋体"/>
              </w:rPr>
            </w:pPr>
          </w:p>
        </w:tc>
        <w:tc>
          <w:tcPr>
            <w:tcW w:w="0" w:type="auto"/>
            <w:tcBorders>
              <w:top w:val="single" w:sz="8" w:space="0" w:color="0071C5"/>
            </w:tcBorders>
            <w:shd w:val="clear" w:color="auto" w:fill="auto"/>
            <w:tcMar>
              <w:top w:w="40" w:type="dxa"/>
              <w:left w:w="20" w:type="dxa"/>
              <w:bottom w:w="40" w:type="dxa"/>
            </w:tcMar>
            <w:vAlign w:val="bottom"/>
          </w:tcPr>
          <w:p w14:paraId="36CA4252" w14:textId="77777777" w:rsidR="00787570" w:rsidRDefault="000D56E2">
            <w:pPr>
              <w:textAlignment w:val="bottom"/>
            </w:pPr>
            <w:r>
              <w:rPr>
                <w:rFonts w:ascii="Arial" w:eastAsia="宋体" w:hAnsi="Arial" w:cs="Arial"/>
                <w:color w:val="333333"/>
                <w:sz w:val="18"/>
                <w:szCs w:val="18"/>
              </w:rPr>
              <w:t>$</w:t>
            </w:r>
          </w:p>
        </w:tc>
        <w:tc>
          <w:tcPr>
            <w:tcW w:w="0" w:type="auto"/>
            <w:tcBorders>
              <w:top w:val="single" w:sz="8" w:space="0" w:color="0071C5"/>
            </w:tcBorders>
            <w:shd w:val="clear" w:color="auto" w:fill="auto"/>
            <w:tcMar>
              <w:top w:w="40" w:type="dxa"/>
              <w:bottom w:w="40" w:type="dxa"/>
              <w:right w:w="0" w:type="dxa"/>
            </w:tcMar>
            <w:vAlign w:val="bottom"/>
          </w:tcPr>
          <w:p w14:paraId="36CA4253" w14:textId="77777777" w:rsidR="00787570" w:rsidRDefault="000D56E2">
            <w:pPr>
              <w:jc w:val="right"/>
              <w:textAlignment w:val="bottom"/>
            </w:pPr>
            <w:r>
              <w:rPr>
                <w:rFonts w:ascii="Arial" w:eastAsia="宋体" w:hAnsi="Arial" w:cs="Arial"/>
                <w:color w:val="333333"/>
                <w:sz w:val="18"/>
                <w:szCs w:val="18"/>
              </w:rPr>
              <w:t>273 </w:t>
            </w:r>
          </w:p>
        </w:tc>
        <w:tc>
          <w:tcPr>
            <w:tcW w:w="0" w:type="auto"/>
            <w:tcBorders>
              <w:top w:val="single" w:sz="8" w:space="0" w:color="0071C5"/>
            </w:tcBorders>
            <w:shd w:val="clear" w:color="auto" w:fill="auto"/>
            <w:tcMar>
              <w:top w:w="40" w:type="dxa"/>
              <w:bottom w:w="40" w:type="dxa"/>
              <w:right w:w="20" w:type="dxa"/>
            </w:tcMar>
            <w:vAlign w:val="bottom"/>
          </w:tcPr>
          <w:p w14:paraId="36CA4254"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4255" w14:textId="77777777" w:rsidR="00787570" w:rsidRDefault="00787570">
            <w:pPr>
              <w:rPr>
                <w:rFonts w:ascii="宋体"/>
              </w:rPr>
            </w:pPr>
          </w:p>
        </w:tc>
        <w:tc>
          <w:tcPr>
            <w:tcW w:w="0" w:type="auto"/>
            <w:tcBorders>
              <w:top w:val="single" w:sz="8" w:space="0" w:color="0071C5"/>
            </w:tcBorders>
            <w:shd w:val="clear" w:color="auto" w:fill="auto"/>
            <w:tcMar>
              <w:top w:w="40" w:type="dxa"/>
              <w:left w:w="20" w:type="dxa"/>
              <w:bottom w:w="40" w:type="dxa"/>
            </w:tcMar>
            <w:vAlign w:val="bottom"/>
          </w:tcPr>
          <w:p w14:paraId="36CA4256" w14:textId="77777777" w:rsidR="00787570" w:rsidRDefault="000D56E2">
            <w:pPr>
              <w:textAlignment w:val="bottom"/>
            </w:pPr>
            <w:r>
              <w:rPr>
                <w:rFonts w:ascii="Arial" w:eastAsia="宋体" w:hAnsi="Arial" w:cs="Arial"/>
                <w:color w:val="026DCE"/>
                <w:sz w:val="18"/>
                <w:szCs w:val="18"/>
              </w:rPr>
              <w:t>$</w:t>
            </w:r>
          </w:p>
        </w:tc>
        <w:tc>
          <w:tcPr>
            <w:tcW w:w="0" w:type="auto"/>
            <w:tcBorders>
              <w:top w:val="single" w:sz="8" w:space="0" w:color="0071C5"/>
            </w:tcBorders>
            <w:shd w:val="clear" w:color="auto" w:fill="auto"/>
            <w:tcMar>
              <w:top w:w="40" w:type="dxa"/>
              <w:bottom w:w="40" w:type="dxa"/>
              <w:right w:w="0" w:type="dxa"/>
            </w:tcMar>
            <w:vAlign w:val="bottom"/>
          </w:tcPr>
          <w:p w14:paraId="36CA4257" w14:textId="77777777" w:rsidR="00787570" w:rsidRDefault="000D56E2">
            <w:pPr>
              <w:jc w:val="right"/>
              <w:textAlignment w:val="bottom"/>
            </w:pPr>
            <w:r>
              <w:rPr>
                <w:rFonts w:ascii="Arial" w:eastAsia="宋体" w:hAnsi="Arial" w:cs="Arial"/>
                <w:color w:val="026DCE"/>
                <w:sz w:val="18"/>
                <w:szCs w:val="18"/>
              </w:rPr>
              <w:t>996 </w:t>
            </w:r>
          </w:p>
        </w:tc>
        <w:tc>
          <w:tcPr>
            <w:tcW w:w="0" w:type="auto"/>
            <w:tcBorders>
              <w:top w:val="single" w:sz="8" w:space="0" w:color="0071C5"/>
            </w:tcBorders>
            <w:shd w:val="clear" w:color="auto" w:fill="auto"/>
            <w:tcMar>
              <w:top w:w="40" w:type="dxa"/>
              <w:bottom w:w="40" w:type="dxa"/>
              <w:right w:w="20" w:type="dxa"/>
            </w:tcMar>
            <w:vAlign w:val="bottom"/>
          </w:tcPr>
          <w:p w14:paraId="36CA4258"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4259" w14:textId="77777777" w:rsidR="00787570" w:rsidRDefault="00787570">
            <w:pPr>
              <w:rPr>
                <w:rFonts w:ascii="宋体"/>
              </w:rPr>
            </w:pPr>
          </w:p>
        </w:tc>
        <w:tc>
          <w:tcPr>
            <w:tcW w:w="0" w:type="auto"/>
            <w:tcBorders>
              <w:top w:val="single" w:sz="8" w:space="0" w:color="0071C5"/>
            </w:tcBorders>
            <w:shd w:val="clear" w:color="auto" w:fill="auto"/>
            <w:tcMar>
              <w:top w:w="40" w:type="dxa"/>
              <w:left w:w="20" w:type="dxa"/>
              <w:bottom w:w="40" w:type="dxa"/>
            </w:tcMar>
            <w:vAlign w:val="bottom"/>
          </w:tcPr>
          <w:p w14:paraId="36CA425A" w14:textId="77777777" w:rsidR="00787570" w:rsidRDefault="000D56E2">
            <w:pPr>
              <w:textAlignment w:val="bottom"/>
            </w:pPr>
            <w:r>
              <w:rPr>
                <w:rFonts w:ascii="Arial" w:eastAsia="宋体" w:hAnsi="Arial" w:cs="Arial"/>
                <w:color w:val="333333"/>
                <w:sz w:val="18"/>
                <w:szCs w:val="18"/>
              </w:rPr>
              <w:t>$</w:t>
            </w:r>
          </w:p>
        </w:tc>
        <w:tc>
          <w:tcPr>
            <w:tcW w:w="0" w:type="auto"/>
            <w:tcBorders>
              <w:top w:val="single" w:sz="8" w:space="0" w:color="0071C5"/>
            </w:tcBorders>
            <w:shd w:val="clear" w:color="auto" w:fill="auto"/>
            <w:tcMar>
              <w:top w:w="40" w:type="dxa"/>
              <w:bottom w:w="40" w:type="dxa"/>
              <w:right w:w="0" w:type="dxa"/>
            </w:tcMar>
            <w:vAlign w:val="bottom"/>
          </w:tcPr>
          <w:p w14:paraId="36CA425B" w14:textId="77777777" w:rsidR="00787570" w:rsidRDefault="000D56E2">
            <w:pPr>
              <w:jc w:val="right"/>
              <w:textAlignment w:val="bottom"/>
            </w:pPr>
            <w:r>
              <w:rPr>
                <w:rFonts w:ascii="Arial" w:eastAsia="宋体" w:hAnsi="Arial" w:cs="Arial"/>
                <w:color w:val="333333"/>
                <w:sz w:val="18"/>
                <w:szCs w:val="18"/>
              </w:rPr>
              <w:t>1,312 </w:t>
            </w:r>
          </w:p>
        </w:tc>
        <w:tc>
          <w:tcPr>
            <w:tcW w:w="0" w:type="auto"/>
            <w:tcBorders>
              <w:top w:val="single" w:sz="8" w:space="0" w:color="0071C5"/>
            </w:tcBorders>
            <w:shd w:val="clear" w:color="auto" w:fill="auto"/>
            <w:tcMar>
              <w:top w:w="40" w:type="dxa"/>
              <w:bottom w:w="40" w:type="dxa"/>
              <w:right w:w="20" w:type="dxa"/>
            </w:tcMar>
            <w:vAlign w:val="bottom"/>
          </w:tcPr>
          <w:p w14:paraId="36CA425C" w14:textId="77777777" w:rsidR="00787570" w:rsidRDefault="00787570">
            <w:pPr>
              <w:jc w:val="right"/>
              <w:rPr>
                <w:rFonts w:ascii="宋体"/>
              </w:rPr>
            </w:pPr>
          </w:p>
        </w:tc>
        <w:tc>
          <w:tcPr>
            <w:tcW w:w="0" w:type="auto"/>
            <w:shd w:val="clear" w:color="auto" w:fill="auto"/>
          </w:tcPr>
          <w:p w14:paraId="36CA425D" w14:textId="77777777" w:rsidR="00787570" w:rsidRDefault="00787570">
            <w:pPr>
              <w:rPr>
                <w:rFonts w:ascii="宋体"/>
              </w:rPr>
            </w:pPr>
          </w:p>
        </w:tc>
        <w:tc>
          <w:tcPr>
            <w:tcW w:w="0" w:type="auto"/>
            <w:shd w:val="clear" w:color="auto" w:fill="auto"/>
          </w:tcPr>
          <w:p w14:paraId="36CA425E" w14:textId="77777777" w:rsidR="00787570" w:rsidRDefault="00787570">
            <w:pPr>
              <w:rPr>
                <w:rFonts w:ascii="宋体"/>
              </w:rPr>
            </w:pPr>
          </w:p>
        </w:tc>
        <w:tc>
          <w:tcPr>
            <w:tcW w:w="0" w:type="auto"/>
            <w:shd w:val="clear" w:color="auto" w:fill="auto"/>
          </w:tcPr>
          <w:p w14:paraId="36CA425F" w14:textId="77777777" w:rsidR="00787570" w:rsidRDefault="00787570">
            <w:pPr>
              <w:rPr>
                <w:rFonts w:ascii="宋体"/>
              </w:rPr>
            </w:pPr>
          </w:p>
        </w:tc>
        <w:tc>
          <w:tcPr>
            <w:tcW w:w="0" w:type="auto"/>
            <w:shd w:val="clear" w:color="auto" w:fill="auto"/>
          </w:tcPr>
          <w:p w14:paraId="36CA4260" w14:textId="77777777" w:rsidR="00787570" w:rsidRDefault="00787570">
            <w:pPr>
              <w:rPr>
                <w:rFonts w:ascii="宋体"/>
              </w:rPr>
            </w:pPr>
          </w:p>
        </w:tc>
        <w:tc>
          <w:tcPr>
            <w:tcW w:w="0" w:type="auto"/>
            <w:shd w:val="clear" w:color="auto" w:fill="auto"/>
          </w:tcPr>
          <w:p w14:paraId="36CA4261" w14:textId="77777777" w:rsidR="00787570" w:rsidRDefault="00787570">
            <w:pPr>
              <w:rPr>
                <w:rFonts w:ascii="宋体"/>
              </w:rPr>
            </w:pPr>
          </w:p>
        </w:tc>
        <w:tc>
          <w:tcPr>
            <w:tcW w:w="0" w:type="auto"/>
            <w:shd w:val="clear" w:color="auto" w:fill="auto"/>
          </w:tcPr>
          <w:p w14:paraId="36CA4262" w14:textId="77777777" w:rsidR="00787570" w:rsidRDefault="00787570">
            <w:pPr>
              <w:rPr>
                <w:rFonts w:ascii="宋体"/>
              </w:rPr>
            </w:pPr>
          </w:p>
        </w:tc>
        <w:tc>
          <w:tcPr>
            <w:tcW w:w="0" w:type="auto"/>
            <w:shd w:val="clear" w:color="auto" w:fill="auto"/>
          </w:tcPr>
          <w:p w14:paraId="36CA4263" w14:textId="77777777" w:rsidR="00787570" w:rsidRDefault="00787570">
            <w:pPr>
              <w:rPr>
                <w:rFonts w:ascii="宋体"/>
              </w:rPr>
            </w:pPr>
          </w:p>
        </w:tc>
        <w:tc>
          <w:tcPr>
            <w:tcW w:w="0" w:type="auto"/>
            <w:shd w:val="clear" w:color="auto" w:fill="auto"/>
          </w:tcPr>
          <w:p w14:paraId="36CA4264" w14:textId="77777777" w:rsidR="00787570" w:rsidRDefault="00787570">
            <w:pPr>
              <w:rPr>
                <w:rFonts w:ascii="宋体"/>
              </w:rPr>
            </w:pPr>
          </w:p>
        </w:tc>
        <w:tc>
          <w:tcPr>
            <w:tcW w:w="0" w:type="auto"/>
            <w:shd w:val="clear" w:color="auto" w:fill="auto"/>
          </w:tcPr>
          <w:p w14:paraId="36CA4265" w14:textId="77777777" w:rsidR="00787570" w:rsidRDefault="00787570">
            <w:pPr>
              <w:rPr>
                <w:rFonts w:ascii="宋体"/>
              </w:rPr>
            </w:pPr>
          </w:p>
        </w:tc>
        <w:tc>
          <w:tcPr>
            <w:tcW w:w="0" w:type="auto"/>
            <w:shd w:val="clear" w:color="auto" w:fill="auto"/>
          </w:tcPr>
          <w:p w14:paraId="36CA4266" w14:textId="77777777" w:rsidR="00787570" w:rsidRDefault="00787570">
            <w:pPr>
              <w:rPr>
                <w:rFonts w:ascii="宋体"/>
              </w:rPr>
            </w:pPr>
          </w:p>
        </w:tc>
        <w:tc>
          <w:tcPr>
            <w:tcW w:w="0" w:type="auto"/>
            <w:shd w:val="clear" w:color="auto" w:fill="auto"/>
          </w:tcPr>
          <w:p w14:paraId="36CA4267" w14:textId="77777777" w:rsidR="00787570" w:rsidRDefault="00787570">
            <w:pPr>
              <w:rPr>
                <w:rFonts w:ascii="宋体"/>
              </w:rPr>
            </w:pPr>
          </w:p>
        </w:tc>
        <w:tc>
          <w:tcPr>
            <w:tcW w:w="0" w:type="auto"/>
            <w:shd w:val="clear" w:color="auto" w:fill="auto"/>
          </w:tcPr>
          <w:p w14:paraId="36CA4268" w14:textId="77777777" w:rsidR="00787570" w:rsidRDefault="00787570">
            <w:pPr>
              <w:rPr>
                <w:rFonts w:ascii="宋体"/>
              </w:rPr>
            </w:pPr>
          </w:p>
        </w:tc>
        <w:tc>
          <w:tcPr>
            <w:tcW w:w="0" w:type="auto"/>
            <w:shd w:val="clear" w:color="auto" w:fill="auto"/>
          </w:tcPr>
          <w:p w14:paraId="36CA4269" w14:textId="77777777" w:rsidR="00787570" w:rsidRDefault="00787570">
            <w:pPr>
              <w:rPr>
                <w:rFonts w:ascii="宋体"/>
              </w:rPr>
            </w:pPr>
          </w:p>
        </w:tc>
        <w:tc>
          <w:tcPr>
            <w:tcW w:w="0" w:type="auto"/>
            <w:shd w:val="clear" w:color="auto" w:fill="auto"/>
          </w:tcPr>
          <w:p w14:paraId="36CA426A" w14:textId="77777777" w:rsidR="00787570" w:rsidRDefault="00787570">
            <w:pPr>
              <w:rPr>
                <w:rFonts w:ascii="宋体"/>
              </w:rPr>
            </w:pPr>
          </w:p>
        </w:tc>
        <w:tc>
          <w:tcPr>
            <w:tcW w:w="0" w:type="auto"/>
            <w:shd w:val="clear" w:color="auto" w:fill="auto"/>
          </w:tcPr>
          <w:p w14:paraId="36CA426B" w14:textId="77777777" w:rsidR="00787570" w:rsidRDefault="00787570">
            <w:pPr>
              <w:rPr>
                <w:rFonts w:ascii="宋体"/>
              </w:rPr>
            </w:pPr>
          </w:p>
        </w:tc>
        <w:tc>
          <w:tcPr>
            <w:tcW w:w="0" w:type="auto"/>
            <w:shd w:val="clear" w:color="auto" w:fill="auto"/>
          </w:tcPr>
          <w:p w14:paraId="36CA426C" w14:textId="77777777" w:rsidR="00787570" w:rsidRDefault="00787570">
            <w:pPr>
              <w:rPr>
                <w:rFonts w:ascii="宋体"/>
              </w:rPr>
            </w:pPr>
          </w:p>
        </w:tc>
        <w:tc>
          <w:tcPr>
            <w:tcW w:w="0" w:type="auto"/>
            <w:shd w:val="clear" w:color="auto" w:fill="auto"/>
          </w:tcPr>
          <w:p w14:paraId="36CA426D" w14:textId="77777777" w:rsidR="00787570" w:rsidRDefault="00787570">
            <w:pPr>
              <w:rPr>
                <w:rFonts w:ascii="宋体"/>
              </w:rPr>
            </w:pPr>
          </w:p>
        </w:tc>
        <w:tc>
          <w:tcPr>
            <w:tcW w:w="0" w:type="auto"/>
            <w:shd w:val="clear" w:color="auto" w:fill="auto"/>
          </w:tcPr>
          <w:p w14:paraId="36CA426E" w14:textId="77777777" w:rsidR="00787570" w:rsidRDefault="00787570">
            <w:pPr>
              <w:rPr>
                <w:rFonts w:ascii="宋体"/>
              </w:rPr>
            </w:pPr>
          </w:p>
        </w:tc>
      </w:tr>
      <w:tr w:rsidR="00787570" w14:paraId="36CA428F" w14:textId="77777777">
        <w:tc>
          <w:tcPr>
            <w:tcW w:w="0" w:type="auto"/>
            <w:gridSpan w:val="3"/>
            <w:shd w:val="clear" w:color="auto" w:fill="auto"/>
            <w:tcMar>
              <w:top w:w="40" w:type="dxa"/>
              <w:left w:w="20" w:type="dxa"/>
              <w:bottom w:w="40" w:type="dxa"/>
              <w:right w:w="20" w:type="dxa"/>
            </w:tcMar>
            <w:vAlign w:val="bottom"/>
          </w:tcPr>
          <w:p w14:paraId="36CA4270" w14:textId="77777777" w:rsidR="00787570" w:rsidRDefault="000D56E2">
            <w:pPr>
              <w:textAlignment w:val="bottom"/>
            </w:pPr>
            <w:r>
              <w:rPr>
                <w:rFonts w:ascii="Arial" w:eastAsia="宋体" w:hAnsi="Arial" w:cs="Arial"/>
                <w:color w:val="333333"/>
                <w:sz w:val="18"/>
                <w:szCs w:val="18"/>
              </w:rPr>
              <w:t>Hedged items</w:t>
            </w:r>
          </w:p>
        </w:tc>
        <w:tc>
          <w:tcPr>
            <w:tcW w:w="0" w:type="auto"/>
            <w:gridSpan w:val="3"/>
            <w:shd w:val="clear" w:color="auto" w:fill="auto"/>
            <w:tcMar>
              <w:left w:w="20" w:type="dxa"/>
              <w:right w:w="20" w:type="dxa"/>
            </w:tcMar>
            <w:vAlign w:val="bottom"/>
          </w:tcPr>
          <w:p w14:paraId="36CA4271"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4272" w14:textId="77777777" w:rsidR="00787570" w:rsidRDefault="000D56E2">
            <w:pPr>
              <w:jc w:val="right"/>
              <w:textAlignment w:val="bottom"/>
            </w:pPr>
            <w:r>
              <w:rPr>
                <w:rFonts w:ascii="Arial" w:eastAsia="宋体" w:hAnsi="Arial" w:cs="Arial"/>
                <w:color w:val="026DCE"/>
                <w:sz w:val="18"/>
                <w:szCs w:val="18"/>
              </w:rPr>
              <w:t>36 </w:t>
            </w:r>
          </w:p>
        </w:tc>
        <w:tc>
          <w:tcPr>
            <w:tcW w:w="0" w:type="auto"/>
            <w:shd w:val="clear" w:color="auto" w:fill="auto"/>
            <w:tcMar>
              <w:top w:w="40" w:type="dxa"/>
              <w:bottom w:w="40" w:type="dxa"/>
              <w:right w:w="20" w:type="dxa"/>
            </w:tcMar>
            <w:vAlign w:val="bottom"/>
          </w:tcPr>
          <w:p w14:paraId="36CA4273"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4274"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4275" w14:textId="77777777" w:rsidR="00787570" w:rsidRDefault="000D56E2">
            <w:pPr>
              <w:jc w:val="right"/>
              <w:textAlignment w:val="bottom"/>
            </w:pPr>
            <w:r>
              <w:rPr>
                <w:rFonts w:ascii="Arial" w:eastAsia="宋体" w:hAnsi="Arial" w:cs="Arial"/>
                <w:color w:val="333333"/>
                <w:sz w:val="18"/>
                <w:szCs w:val="18"/>
              </w:rPr>
              <w:t>(273)</w:t>
            </w:r>
          </w:p>
        </w:tc>
        <w:tc>
          <w:tcPr>
            <w:tcW w:w="0" w:type="auto"/>
            <w:shd w:val="clear" w:color="auto" w:fill="auto"/>
            <w:tcMar>
              <w:top w:w="40" w:type="dxa"/>
              <w:bottom w:w="40" w:type="dxa"/>
              <w:right w:w="20" w:type="dxa"/>
            </w:tcMar>
            <w:vAlign w:val="bottom"/>
          </w:tcPr>
          <w:p w14:paraId="36CA4276"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4277"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4278" w14:textId="77777777" w:rsidR="00787570" w:rsidRDefault="000D56E2">
            <w:pPr>
              <w:jc w:val="right"/>
              <w:textAlignment w:val="bottom"/>
            </w:pPr>
            <w:r>
              <w:rPr>
                <w:rFonts w:ascii="Arial" w:eastAsia="宋体" w:hAnsi="Arial" w:cs="Arial"/>
                <w:color w:val="026DCE"/>
                <w:sz w:val="18"/>
                <w:szCs w:val="18"/>
              </w:rPr>
              <w:t>(996)</w:t>
            </w:r>
          </w:p>
        </w:tc>
        <w:tc>
          <w:tcPr>
            <w:tcW w:w="0" w:type="auto"/>
            <w:shd w:val="clear" w:color="auto" w:fill="auto"/>
            <w:tcMar>
              <w:top w:w="40" w:type="dxa"/>
              <w:bottom w:w="40" w:type="dxa"/>
              <w:right w:w="20" w:type="dxa"/>
            </w:tcMar>
            <w:vAlign w:val="bottom"/>
          </w:tcPr>
          <w:p w14:paraId="36CA4279"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427A"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427B" w14:textId="77777777" w:rsidR="00787570" w:rsidRDefault="000D56E2">
            <w:pPr>
              <w:jc w:val="right"/>
              <w:textAlignment w:val="bottom"/>
            </w:pPr>
            <w:r>
              <w:rPr>
                <w:rFonts w:ascii="Arial" w:eastAsia="宋体" w:hAnsi="Arial" w:cs="Arial"/>
                <w:color w:val="333333"/>
                <w:sz w:val="18"/>
                <w:szCs w:val="18"/>
              </w:rPr>
              <w:t>(1,312)</w:t>
            </w:r>
          </w:p>
        </w:tc>
        <w:tc>
          <w:tcPr>
            <w:tcW w:w="0" w:type="auto"/>
            <w:shd w:val="clear" w:color="auto" w:fill="auto"/>
            <w:tcMar>
              <w:top w:w="40" w:type="dxa"/>
              <w:bottom w:w="40" w:type="dxa"/>
              <w:right w:w="20" w:type="dxa"/>
            </w:tcMar>
            <w:vAlign w:val="bottom"/>
          </w:tcPr>
          <w:p w14:paraId="36CA427C" w14:textId="77777777" w:rsidR="00787570" w:rsidRDefault="00787570">
            <w:pPr>
              <w:jc w:val="right"/>
              <w:rPr>
                <w:rFonts w:ascii="宋体"/>
              </w:rPr>
            </w:pPr>
          </w:p>
        </w:tc>
        <w:tc>
          <w:tcPr>
            <w:tcW w:w="0" w:type="auto"/>
            <w:shd w:val="clear" w:color="auto" w:fill="auto"/>
          </w:tcPr>
          <w:p w14:paraId="36CA427D" w14:textId="77777777" w:rsidR="00787570" w:rsidRDefault="00787570">
            <w:pPr>
              <w:rPr>
                <w:rFonts w:ascii="宋体"/>
              </w:rPr>
            </w:pPr>
          </w:p>
        </w:tc>
        <w:tc>
          <w:tcPr>
            <w:tcW w:w="0" w:type="auto"/>
            <w:shd w:val="clear" w:color="auto" w:fill="auto"/>
          </w:tcPr>
          <w:p w14:paraId="36CA427E" w14:textId="77777777" w:rsidR="00787570" w:rsidRDefault="00787570">
            <w:pPr>
              <w:rPr>
                <w:rFonts w:ascii="宋体"/>
              </w:rPr>
            </w:pPr>
          </w:p>
        </w:tc>
        <w:tc>
          <w:tcPr>
            <w:tcW w:w="0" w:type="auto"/>
            <w:shd w:val="clear" w:color="auto" w:fill="auto"/>
          </w:tcPr>
          <w:p w14:paraId="36CA427F" w14:textId="77777777" w:rsidR="00787570" w:rsidRDefault="00787570">
            <w:pPr>
              <w:rPr>
                <w:rFonts w:ascii="宋体"/>
              </w:rPr>
            </w:pPr>
          </w:p>
        </w:tc>
        <w:tc>
          <w:tcPr>
            <w:tcW w:w="0" w:type="auto"/>
            <w:shd w:val="clear" w:color="auto" w:fill="auto"/>
          </w:tcPr>
          <w:p w14:paraId="36CA4280" w14:textId="77777777" w:rsidR="00787570" w:rsidRDefault="00787570">
            <w:pPr>
              <w:rPr>
                <w:rFonts w:ascii="宋体"/>
              </w:rPr>
            </w:pPr>
          </w:p>
        </w:tc>
        <w:tc>
          <w:tcPr>
            <w:tcW w:w="0" w:type="auto"/>
            <w:shd w:val="clear" w:color="auto" w:fill="auto"/>
          </w:tcPr>
          <w:p w14:paraId="36CA4281" w14:textId="77777777" w:rsidR="00787570" w:rsidRDefault="00787570">
            <w:pPr>
              <w:rPr>
                <w:rFonts w:ascii="宋体"/>
              </w:rPr>
            </w:pPr>
          </w:p>
        </w:tc>
        <w:tc>
          <w:tcPr>
            <w:tcW w:w="0" w:type="auto"/>
            <w:shd w:val="clear" w:color="auto" w:fill="auto"/>
          </w:tcPr>
          <w:p w14:paraId="36CA4282" w14:textId="77777777" w:rsidR="00787570" w:rsidRDefault="00787570">
            <w:pPr>
              <w:rPr>
                <w:rFonts w:ascii="宋体"/>
              </w:rPr>
            </w:pPr>
          </w:p>
        </w:tc>
        <w:tc>
          <w:tcPr>
            <w:tcW w:w="0" w:type="auto"/>
            <w:shd w:val="clear" w:color="auto" w:fill="auto"/>
          </w:tcPr>
          <w:p w14:paraId="36CA4283" w14:textId="77777777" w:rsidR="00787570" w:rsidRDefault="00787570">
            <w:pPr>
              <w:rPr>
                <w:rFonts w:ascii="宋体"/>
              </w:rPr>
            </w:pPr>
          </w:p>
        </w:tc>
        <w:tc>
          <w:tcPr>
            <w:tcW w:w="0" w:type="auto"/>
            <w:shd w:val="clear" w:color="auto" w:fill="auto"/>
          </w:tcPr>
          <w:p w14:paraId="36CA4284" w14:textId="77777777" w:rsidR="00787570" w:rsidRDefault="00787570">
            <w:pPr>
              <w:rPr>
                <w:rFonts w:ascii="宋体"/>
              </w:rPr>
            </w:pPr>
          </w:p>
        </w:tc>
        <w:tc>
          <w:tcPr>
            <w:tcW w:w="0" w:type="auto"/>
            <w:shd w:val="clear" w:color="auto" w:fill="auto"/>
          </w:tcPr>
          <w:p w14:paraId="36CA4285" w14:textId="77777777" w:rsidR="00787570" w:rsidRDefault="00787570">
            <w:pPr>
              <w:rPr>
                <w:rFonts w:ascii="宋体"/>
              </w:rPr>
            </w:pPr>
          </w:p>
        </w:tc>
        <w:tc>
          <w:tcPr>
            <w:tcW w:w="0" w:type="auto"/>
            <w:shd w:val="clear" w:color="auto" w:fill="auto"/>
          </w:tcPr>
          <w:p w14:paraId="36CA4286" w14:textId="77777777" w:rsidR="00787570" w:rsidRDefault="00787570">
            <w:pPr>
              <w:rPr>
                <w:rFonts w:ascii="宋体"/>
              </w:rPr>
            </w:pPr>
          </w:p>
        </w:tc>
        <w:tc>
          <w:tcPr>
            <w:tcW w:w="0" w:type="auto"/>
            <w:shd w:val="clear" w:color="auto" w:fill="auto"/>
          </w:tcPr>
          <w:p w14:paraId="36CA4287" w14:textId="77777777" w:rsidR="00787570" w:rsidRDefault="00787570">
            <w:pPr>
              <w:rPr>
                <w:rFonts w:ascii="宋体"/>
              </w:rPr>
            </w:pPr>
          </w:p>
        </w:tc>
        <w:tc>
          <w:tcPr>
            <w:tcW w:w="0" w:type="auto"/>
            <w:shd w:val="clear" w:color="auto" w:fill="auto"/>
          </w:tcPr>
          <w:p w14:paraId="36CA4288" w14:textId="77777777" w:rsidR="00787570" w:rsidRDefault="00787570">
            <w:pPr>
              <w:rPr>
                <w:rFonts w:ascii="宋体"/>
              </w:rPr>
            </w:pPr>
          </w:p>
        </w:tc>
        <w:tc>
          <w:tcPr>
            <w:tcW w:w="0" w:type="auto"/>
            <w:shd w:val="clear" w:color="auto" w:fill="auto"/>
          </w:tcPr>
          <w:p w14:paraId="36CA4289" w14:textId="77777777" w:rsidR="00787570" w:rsidRDefault="00787570">
            <w:pPr>
              <w:rPr>
                <w:rFonts w:ascii="宋体"/>
              </w:rPr>
            </w:pPr>
          </w:p>
        </w:tc>
        <w:tc>
          <w:tcPr>
            <w:tcW w:w="0" w:type="auto"/>
            <w:shd w:val="clear" w:color="auto" w:fill="auto"/>
          </w:tcPr>
          <w:p w14:paraId="36CA428A" w14:textId="77777777" w:rsidR="00787570" w:rsidRDefault="00787570">
            <w:pPr>
              <w:rPr>
                <w:rFonts w:ascii="宋体"/>
              </w:rPr>
            </w:pPr>
          </w:p>
        </w:tc>
        <w:tc>
          <w:tcPr>
            <w:tcW w:w="0" w:type="auto"/>
            <w:shd w:val="clear" w:color="auto" w:fill="auto"/>
          </w:tcPr>
          <w:p w14:paraId="36CA428B" w14:textId="77777777" w:rsidR="00787570" w:rsidRDefault="00787570">
            <w:pPr>
              <w:rPr>
                <w:rFonts w:ascii="宋体"/>
              </w:rPr>
            </w:pPr>
          </w:p>
        </w:tc>
        <w:tc>
          <w:tcPr>
            <w:tcW w:w="0" w:type="auto"/>
            <w:shd w:val="clear" w:color="auto" w:fill="auto"/>
          </w:tcPr>
          <w:p w14:paraId="36CA428C" w14:textId="77777777" w:rsidR="00787570" w:rsidRDefault="00787570">
            <w:pPr>
              <w:rPr>
                <w:rFonts w:ascii="宋体"/>
              </w:rPr>
            </w:pPr>
          </w:p>
        </w:tc>
        <w:tc>
          <w:tcPr>
            <w:tcW w:w="0" w:type="auto"/>
            <w:shd w:val="clear" w:color="auto" w:fill="auto"/>
          </w:tcPr>
          <w:p w14:paraId="36CA428D" w14:textId="77777777" w:rsidR="00787570" w:rsidRDefault="00787570">
            <w:pPr>
              <w:rPr>
                <w:rFonts w:ascii="宋体"/>
              </w:rPr>
            </w:pPr>
          </w:p>
        </w:tc>
        <w:tc>
          <w:tcPr>
            <w:tcW w:w="0" w:type="auto"/>
            <w:shd w:val="clear" w:color="auto" w:fill="auto"/>
          </w:tcPr>
          <w:p w14:paraId="36CA428E" w14:textId="77777777" w:rsidR="00787570" w:rsidRDefault="00787570">
            <w:pPr>
              <w:rPr>
                <w:rFonts w:ascii="宋体"/>
              </w:rPr>
            </w:pPr>
          </w:p>
        </w:tc>
      </w:tr>
      <w:tr w:rsidR="00787570" w14:paraId="36CA42B3" w14:textId="77777777">
        <w:tc>
          <w:tcPr>
            <w:tcW w:w="0" w:type="auto"/>
            <w:gridSpan w:val="3"/>
            <w:shd w:val="clear" w:color="auto" w:fill="auto"/>
            <w:tcMar>
              <w:top w:w="40" w:type="dxa"/>
              <w:left w:w="20" w:type="dxa"/>
              <w:bottom w:w="40" w:type="dxa"/>
              <w:right w:w="20" w:type="dxa"/>
            </w:tcMar>
          </w:tcPr>
          <w:p w14:paraId="36CA4290" w14:textId="77777777" w:rsidR="00787570" w:rsidRDefault="000D56E2">
            <w:pPr>
              <w:ind w:hanging="180"/>
              <w:textAlignment w:val="top"/>
            </w:pPr>
            <w:r>
              <w:rPr>
                <w:rFonts w:ascii="Arial" w:eastAsia="宋体" w:hAnsi="Arial" w:cs="Arial"/>
                <w:b/>
                <w:bCs/>
                <w:color w:val="333333"/>
                <w:sz w:val="18"/>
                <w:szCs w:val="18"/>
              </w:rPr>
              <w:t>Total</w:t>
            </w:r>
          </w:p>
        </w:tc>
        <w:tc>
          <w:tcPr>
            <w:tcW w:w="0" w:type="auto"/>
            <w:gridSpan w:val="3"/>
            <w:shd w:val="clear" w:color="auto" w:fill="auto"/>
            <w:tcMar>
              <w:left w:w="20" w:type="dxa"/>
              <w:right w:w="20" w:type="dxa"/>
            </w:tcMar>
            <w:vAlign w:val="bottom"/>
          </w:tcPr>
          <w:p w14:paraId="36CA4291" w14:textId="77777777" w:rsidR="00787570" w:rsidRDefault="00787570">
            <w:pPr>
              <w:rPr>
                <w:rFonts w:ascii="宋体"/>
              </w:rPr>
            </w:pPr>
          </w:p>
        </w:tc>
        <w:tc>
          <w:tcPr>
            <w:tcW w:w="0" w:type="auto"/>
            <w:tcBorders>
              <w:top w:val="single" w:sz="8" w:space="0" w:color="333333"/>
              <w:bottom w:val="double" w:sz="6" w:space="0" w:color="333333"/>
            </w:tcBorders>
            <w:shd w:val="clear" w:color="auto" w:fill="auto"/>
            <w:tcMar>
              <w:top w:w="40" w:type="dxa"/>
              <w:left w:w="20" w:type="dxa"/>
              <w:bottom w:w="40" w:type="dxa"/>
            </w:tcMar>
            <w:vAlign w:val="bottom"/>
          </w:tcPr>
          <w:p w14:paraId="36CA4292" w14:textId="77777777" w:rsidR="00787570" w:rsidRDefault="000D56E2">
            <w:pPr>
              <w:textAlignment w:val="bottom"/>
            </w:pPr>
            <w:r>
              <w:rPr>
                <w:rFonts w:ascii="Arial" w:eastAsia="宋体" w:hAnsi="Arial" w:cs="Arial"/>
                <w:b/>
                <w:bCs/>
                <w:color w:val="026DCE"/>
                <w:sz w:val="18"/>
                <w:szCs w:val="18"/>
              </w:rPr>
              <w:t>$</w:t>
            </w:r>
          </w:p>
        </w:tc>
        <w:tc>
          <w:tcPr>
            <w:tcW w:w="0" w:type="auto"/>
            <w:tcBorders>
              <w:top w:val="single" w:sz="8" w:space="0" w:color="333333"/>
              <w:bottom w:val="double" w:sz="6" w:space="0" w:color="333333"/>
            </w:tcBorders>
            <w:shd w:val="clear" w:color="auto" w:fill="auto"/>
            <w:tcMar>
              <w:top w:w="40" w:type="dxa"/>
              <w:bottom w:w="40" w:type="dxa"/>
              <w:right w:w="0" w:type="dxa"/>
            </w:tcMar>
            <w:vAlign w:val="bottom"/>
          </w:tcPr>
          <w:p w14:paraId="36CA4293" w14:textId="77777777" w:rsidR="00787570" w:rsidRDefault="000D56E2">
            <w:pPr>
              <w:jc w:val="right"/>
              <w:textAlignment w:val="bottom"/>
            </w:pPr>
            <w:r>
              <w:rPr>
                <w:rFonts w:ascii="Arial" w:eastAsia="宋体" w:hAnsi="Arial" w:cs="Arial"/>
                <w:b/>
                <w:bCs/>
                <w:color w:val="026DCE"/>
                <w:sz w:val="18"/>
                <w:szCs w:val="18"/>
              </w:rPr>
              <w:t>—</w:t>
            </w:r>
            <w:r>
              <w:rPr>
                <w:rFonts w:ascii="Arial" w:eastAsia="宋体" w:hAnsi="Arial" w:cs="Arial"/>
                <w:color w:val="026DCE"/>
                <w:sz w:val="18"/>
                <w:szCs w:val="18"/>
              </w:rPr>
              <w:t> </w:t>
            </w:r>
          </w:p>
        </w:tc>
        <w:tc>
          <w:tcPr>
            <w:tcW w:w="0" w:type="auto"/>
            <w:tcBorders>
              <w:top w:val="single" w:sz="8" w:space="0" w:color="333333"/>
              <w:bottom w:val="double" w:sz="6" w:space="0" w:color="333333"/>
            </w:tcBorders>
            <w:shd w:val="clear" w:color="auto" w:fill="auto"/>
            <w:tcMar>
              <w:top w:w="40" w:type="dxa"/>
              <w:bottom w:w="40" w:type="dxa"/>
              <w:right w:w="20" w:type="dxa"/>
            </w:tcMar>
            <w:vAlign w:val="bottom"/>
          </w:tcPr>
          <w:p w14:paraId="36CA4294"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4295" w14:textId="77777777" w:rsidR="00787570" w:rsidRDefault="00787570">
            <w:pPr>
              <w:rPr>
                <w:rFonts w:ascii="宋体"/>
              </w:rPr>
            </w:pPr>
          </w:p>
        </w:tc>
        <w:tc>
          <w:tcPr>
            <w:tcW w:w="0" w:type="auto"/>
            <w:tcBorders>
              <w:top w:val="single" w:sz="8" w:space="0" w:color="333333"/>
              <w:bottom w:val="double" w:sz="6" w:space="0" w:color="333333"/>
            </w:tcBorders>
            <w:shd w:val="clear" w:color="auto" w:fill="auto"/>
            <w:tcMar>
              <w:top w:w="40" w:type="dxa"/>
              <w:left w:w="20" w:type="dxa"/>
              <w:bottom w:w="40" w:type="dxa"/>
            </w:tcMar>
            <w:vAlign w:val="bottom"/>
          </w:tcPr>
          <w:p w14:paraId="36CA4296" w14:textId="77777777" w:rsidR="00787570" w:rsidRDefault="000D56E2">
            <w:pPr>
              <w:textAlignment w:val="bottom"/>
            </w:pPr>
            <w:r>
              <w:rPr>
                <w:rFonts w:ascii="Arial" w:eastAsia="宋体" w:hAnsi="Arial" w:cs="Arial"/>
                <w:b/>
                <w:bCs/>
                <w:color w:val="333333"/>
                <w:sz w:val="18"/>
                <w:szCs w:val="18"/>
              </w:rPr>
              <w:t>$</w:t>
            </w:r>
          </w:p>
        </w:tc>
        <w:tc>
          <w:tcPr>
            <w:tcW w:w="0" w:type="auto"/>
            <w:tcBorders>
              <w:top w:val="single" w:sz="8" w:space="0" w:color="333333"/>
              <w:bottom w:val="double" w:sz="6" w:space="0" w:color="333333"/>
            </w:tcBorders>
            <w:shd w:val="clear" w:color="auto" w:fill="auto"/>
            <w:tcMar>
              <w:top w:w="40" w:type="dxa"/>
              <w:bottom w:w="40" w:type="dxa"/>
              <w:right w:w="0" w:type="dxa"/>
            </w:tcMar>
            <w:vAlign w:val="bottom"/>
          </w:tcPr>
          <w:p w14:paraId="36CA4297" w14:textId="77777777" w:rsidR="00787570" w:rsidRDefault="000D56E2">
            <w:pPr>
              <w:jc w:val="right"/>
              <w:textAlignment w:val="bottom"/>
            </w:pPr>
            <w:r>
              <w:rPr>
                <w:rFonts w:ascii="Arial" w:eastAsia="宋体" w:hAnsi="Arial" w:cs="Arial"/>
                <w:b/>
                <w:bCs/>
                <w:color w:val="333333"/>
                <w:sz w:val="18"/>
                <w:szCs w:val="18"/>
              </w:rPr>
              <w:t>—</w:t>
            </w:r>
            <w:r>
              <w:rPr>
                <w:rFonts w:ascii="Arial" w:eastAsia="宋体" w:hAnsi="Arial" w:cs="Arial"/>
                <w:color w:val="333333"/>
                <w:sz w:val="18"/>
                <w:szCs w:val="18"/>
              </w:rPr>
              <w:t> </w:t>
            </w:r>
          </w:p>
        </w:tc>
        <w:tc>
          <w:tcPr>
            <w:tcW w:w="0" w:type="auto"/>
            <w:tcBorders>
              <w:top w:val="single" w:sz="8" w:space="0" w:color="333333"/>
              <w:bottom w:val="double" w:sz="6" w:space="0" w:color="333333"/>
            </w:tcBorders>
            <w:shd w:val="clear" w:color="auto" w:fill="auto"/>
            <w:tcMar>
              <w:top w:w="40" w:type="dxa"/>
              <w:bottom w:w="40" w:type="dxa"/>
              <w:right w:w="20" w:type="dxa"/>
            </w:tcMar>
            <w:vAlign w:val="bottom"/>
          </w:tcPr>
          <w:p w14:paraId="36CA4298"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4299" w14:textId="77777777" w:rsidR="00787570" w:rsidRDefault="00787570">
            <w:pPr>
              <w:rPr>
                <w:rFonts w:ascii="宋体"/>
              </w:rPr>
            </w:pPr>
          </w:p>
        </w:tc>
        <w:tc>
          <w:tcPr>
            <w:tcW w:w="0" w:type="auto"/>
            <w:tcBorders>
              <w:top w:val="single" w:sz="8" w:space="0" w:color="333333"/>
              <w:bottom w:val="double" w:sz="6" w:space="0" w:color="333333"/>
            </w:tcBorders>
            <w:shd w:val="clear" w:color="auto" w:fill="auto"/>
            <w:tcMar>
              <w:top w:w="40" w:type="dxa"/>
              <w:left w:w="20" w:type="dxa"/>
              <w:bottom w:w="40" w:type="dxa"/>
            </w:tcMar>
            <w:vAlign w:val="bottom"/>
          </w:tcPr>
          <w:p w14:paraId="36CA429A" w14:textId="77777777" w:rsidR="00787570" w:rsidRDefault="000D56E2">
            <w:pPr>
              <w:textAlignment w:val="bottom"/>
            </w:pPr>
            <w:r>
              <w:rPr>
                <w:rFonts w:ascii="Arial" w:eastAsia="宋体" w:hAnsi="Arial" w:cs="Arial"/>
                <w:b/>
                <w:bCs/>
                <w:color w:val="026DCE"/>
                <w:sz w:val="18"/>
                <w:szCs w:val="18"/>
              </w:rPr>
              <w:t>$</w:t>
            </w:r>
          </w:p>
        </w:tc>
        <w:tc>
          <w:tcPr>
            <w:tcW w:w="0" w:type="auto"/>
            <w:tcBorders>
              <w:top w:val="single" w:sz="8" w:space="0" w:color="333333"/>
              <w:bottom w:val="double" w:sz="6" w:space="0" w:color="333333"/>
            </w:tcBorders>
            <w:shd w:val="clear" w:color="auto" w:fill="auto"/>
            <w:tcMar>
              <w:top w:w="40" w:type="dxa"/>
              <w:bottom w:w="40" w:type="dxa"/>
              <w:right w:w="0" w:type="dxa"/>
            </w:tcMar>
            <w:vAlign w:val="bottom"/>
          </w:tcPr>
          <w:p w14:paraId="36CA429B" w14:textId="77777777" w:rsidR="00787570" w:rsidRDefault="000D56E2">
            <w:pPr>
              <w:jc w:val="right"/>
              <w:textAlignment w:val="bottom"/>
            </w:pPr>
            <w:r>
              <w:rPr>
                <w:rFonts w:ascii="Arial" w:eastAsia="宋体" w:hAnsi="Arial" w:cs="Arial"/>
                <w:b/>
                <w:bCs/>
                <w:color w:val="026DCE"/>
                <w:sz w:val="18"/>
                <w:szCs w:val="18"/>
              </w:rPr>
              <w:t>—</w:t>
            </w:r>
            <w:r>
              <w:rPr>
                <w:rFonts w:ascii="Arial" w:eastAsia="宋体" w:hAnsi="Arial" w:cs="Arial"/>
                <w:color w:val="026DCE"/>
                <w:sz w:val="18"/>
                <w:szCs w:val="18"/>
              </w:rPr>
              <w:t> </w:t>
            </w:r>
          </w:p>
        </w:tc>
        <w:tc>
          <w:tcPr>
            <w:tcW w:w="0" w:type="auto"/>
            <w:tcBorders>
              <w:top w:val="single" w:sz="8" w:space="0" w:color="333333"/>
              <w:bottom w:val="double" w:sz="6" w:space="0" w:color="333333"/>
            </w:tcBorders>
            <w:shd w:val="clear" w:color="auto" w:fill="auto"/>
            <w:tcMar>
              <w:top w:w="40" w:type="dxa"/>
              <w:bottom w:w="40" w:type="dxa"/>
              <w:right w:w="20" w:type="dxa"/>
            </w:tcMar>
            <w:vAlign w:val="bottom"/>
          </w:tcPr>
          <w:p w14:paraId="36CA429C"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429D" w14:textId="77777777" w:rsidR="00787570" w:rsidRDefault="00787570">
            <w:pPr>
              <w:rPr>
                <w:rFonts w:ascii="宋体"/>
              </w:rPr>
            </w:pPr>
          </w:p>
        </w:tc>
        <w:tc>
          <w:tcPr>
            <w:tcW w:w="0" w:type="auto"/>
            <w:tcBorders>
              <w:top w:val="single" w:sz="8" w:space="0" w:color="333333"/>
              <w:bottom w:val="double" w:sz="6" w:space="0" w:color="333333"/>
            </w:tcBorders>
            <w:shd w:val="clear" w:color="auto" w:fill="auto"/>
            <w:tcMar>
              <w:top w:w="40" w:type="dxa"/>
              <w:left w:w="20" w:type="dxa"/>
              <w:bottom w:w="40" w:type="dxa"/>
            </w:tcMar>
            <w:vAlign w:val="bottom"/>
          </w:tcPr>
          <w:p w14:paraId="36CA429E" w14:textId="77777777" w:rsidR="00787570" w:rsidRDefault="000D56E2">
            <w:pPr>
              <w:textAlignment w:val="bottom"/>
            </w:pPr>
            <w:r>
              <w:rPr>
                <w:rFonts w:ascii="Arial" w:eastAsia="宋体" w:hAnsi="Arial" w:cs="Arial"/>
                <w:b/>
                <w:bCs/>
                <w:color w:val="333333"/>
                <w:sz w:val="18"/>
                <w:szCs w:val="18"/>
              </w:rPr>
              <w:t>$</w:t>
            </w:r>
          </w:p>
        </w:tc>
        <w:tc>
          <w:tcPr>
            <w:tcW w:w="0" w:type="auto"/>
            <w:tcBorders>
              <w:top w:val="single" w:sz="8" w:space="0" w:color="333333"/>
              <w:bottom w:val="double" w:sz="6" w:space="0" w:color="333333"/>
            </w:tcBorders>
            <w:shd w:val="clear" w:color="auto" w:fill="auto"/>
            <w:tcMar>
              <w:top w:w="40" w:type="dxa"/>
              <w:bottom w:w="40" w:type="dxa"/>
              <w:right w:w="0" w:type="dxa"/>
            </w:tcMar>
            <w:vAlign w:val="bottom"/>
          </w:tcPr>
          <w:p w14:paraId="36CA429F" w14:textId="77777777" w:rsidR="00787570" w:rsidRDefault="000D56E2">
            <w:pPr>
              <w:jc w:val="right"/>
              <w:textAlignment w:val="bottom"/>
            </w:pPr>
            <w:r>
              <w:rPr>
                <w:rFonts w:ascii="Arial" w:eastAsia="宋体" w:hAnsi="Arial" w:cs="Arial"/>
                <w:b/>
                <w:bCs/>
                <w:color w:val="333333"/>
                <w:sz w:val="18"/>
                <w:szCs w:val="18"/>
              </w:rPr>
              <w:t>—</w:t>
            </w:r>
            <w:r>
              <w:rPr>
                <w:rFonts w:ascii="Arial" w:eastAsia="宋体" w:hAnsi="Arial" w:cs="Arial"/>
                <w:color w:val="333333"/>
                <w:sz w:val="18"/>
                <w:szCs w:val="18"/>
              </w:rPr>
              <w:t> </w:t>
            </w:r>
          </w:p>
        </w:tc>
        <w:tc>
          <w:tcPr>
            <w:tcW w:w="0" w:type="auto"/>
            <w:tcBorders>
              <w:top w:val="single" w:sz="8" w:space="0" w:color="333333"/>
              <w:bottom w:val="double" w:sz="6" w:space="0" w:color="333333"/>
            </w:tcBorders>
            <w:shd w:val="clear" w:color="auto" w:fill="auto"/>
            <w:tcMar>
              <w:top w:w="40" w:type="dxa"/>
              <w:bottom w:w="40" w:type="dxa"/>
              <w:right w:w="20" w:type="dxa"/>
            </w:tcMar>
            <w:vAlign w:val="bottom"/>
          </w:tcPr>
          <w:p w14:paraId="36CA42A0" w14:textId="77777777" w:rsidR="00787570" w:rsidRDefault="00787570">
            <w:pPr>
              <w:jc w:val="right"/>
              <w:rPr>
                <w:rFonts w:ascii="宋体"/>
              </w:rPr>
            </w:pPr>
          </w:p>
        </w:tc>
        <w:tc>
          <w:tcPr>
            <w:tcW w:w="0" w:type="auto"/>
            <w:shd w:val="clear" w:color="auto" w:fill="auto"/>
          </w:tcPr>
          <w:p w14:paraId="36CA42A1" w14:textId="77777777" w:rsidR="00787570" w:rsidRDefault="00787570">
            <w:pPr>
              <w:rPr>
                <w:rFonts w:ascii="宋体"/>
              </w:rPr>
            </w:pPr>
          </w:p>
        </w:tc>
        <w:tc>
          <w:tcPr>
            <w:tcW w:w="0" w:type="auto"/>
            <w:shd w:val="clear" w:color="auto" w:fill="auto"/>
          </w:tcPr>
          <w:p w14:paraId="36CA42A2" w14:textId="77777777" w:rsidR="00787570" w:rsidRDefault="00787570">
            <w:pPr>
              <w:rPr>
                <w:rFonts w:ascii="宋体"/>
              </w:rPr>
            </w:pPr>
          </w:p>
        </w:tc>
        <w:tc>
          <w:tcPr>
            <w:tcW w:w="0" w:type="auto"/>
            <w:shd w:val="clear" w:color="auto" w:fill="auto"/>
          </w:tcPr>
          <w:p w14:paraId="36CA42A3" w14:textId="77777777" w:rsidR="00787570" w:rsidRDefault="00787570">
            <w:pPr>
              <w:rPr>
                <w:rFonts w:ascii="宋体"/>
              </w:rPr>
            </w:pPr>
          </w:p>
        </w:tc>
        <w:tc>
          <w:tcPr>
            <w:tcW w:w="0" w:type="auto"/>
            <w:shd w:val="clear" w:color="auto" w:fill="auto"/>
          </w:tcPr>
          <w:p w14:paraId="36CA42A4" w14:textId="77777777" w:rsidR="00787570" w:rsidRDefault="00787570">
            <w:pPr>
              <w:rPr>
                <w:rFonts w:ascii="宋体"/>
              </w:rPr>
            </w:pPr>
          </w:p>
        </w:tc>
        <w:tc>
          <w:tcPr>
            <w:tcW w:w="0" w:type="auto"/>
            <w:shd w:val="clear" w:color="auto" w:fill="auto"/>
          </w:tcPr>
          <w:p w14:paraId="36CA42A5" w14:textId="77777777" w:rsidR="00787570" w:rsidRDefault="00787570">
            <w:pPr>
              <w:rPr>
                <w:rFonts w:ascii="宋体"/>
              </w:rPr>
            </w:pPr>
          </w:p>
        </w:tc>
        <w:tc>
          <w:tcPr>
            <w:tcW w:w="0" w:type="auto"/>
            <w:shd w:val="clear" w:color="auto" w:fill="auto"/>
          </w:tcPr>
          <w:p w14:paraId="36CA42A6" w14:textId="77777777" w:rsidR="00787570" w:rsidRDefault="00787570">
            <w:pPr>
              <w:rPr>
                <w:rFonts w:ascii="宋体"/>
              </w:rPr>
            </w:pPr>
          </w:p>
        </w:tc>
        <w:tc>
          <w:tcPr>
            <w:tcW w:w="0" w:type="auto"/>
            <w:shd w:val="clear" w:color="auto" w:fill="auto"/>
          </w:tcPr>
          <w:p w14:paraId="36CA42A7" w14:textId="77777777" w:rsidR="00787570" w:rsidRDefault="00787570">
            <w:pPr>
              <w:rPr>
                <w:rFonts w:ascii="宋体"/>
              </w:rPr>
            </w:pPr>
          </w:p>
        </w:tc>
        <w:tc>
          <w:tcPr>
            <w:tcW w:w="0" w:type="auto"/>
            <w:shd w:val="clear" w:color="auto" w:fill="auto"/>
          </w:tcPr>
          <w:p w14:paraId="36CA42A8" w14:textId="77777777" w:rsidR="00787570" w:rsidRDefault="00787570">
            <w:pPr>
              <w:rPr>
                <w:rFonts w:ascii="宋体"/>
              </w:rPr>
            </w:pPr>
          </w:p>
        </w:tc>
        <w:tc>
          <w:tcPr>
            <w:tcW w:w="0" w:type="auto"/>
            <w:shd w:val="clear" w:color="auto" w:fill="auto"/>
          </w:tcPr>
          <w:p w14:paraId="36CA42A9" w14:textId="77777777" w:rsidR="00787570" w:rsidRDefault="00787570">
            <w:pPr>
              <w:rPr>
                <w:rFonts w:ascii="宋体"/>
              </w:rPr>
            </w:pPr>
          </w:p>
        </w:tc>
        <w:tc>
          <w:tcPr>
            <w:tcW w:w="0" w:type="auto"/>
            <w:shd w:val="clear" w:color="auto" w:fill="auto"/>
          </w:tcPr>
          <w:p w14:paraId="36CA42AA" w14:textId="77777777" w:rsidR="00787570" w:rsidRDefault="00787570">
            <w:pPr>
              <w:rPr>
                <w:rFonts w:ascii="宋体"/>
              </w:rPr>
            </w:pPr>
          </w:p>
        </w:tc>
        <w:tc>
          <w:tcPr>
            <w:tcW w:w="0" w:type="auto"/>
            <w:shd w:val="clear" w:color="auto" w:fill="auto"/>
          </w:tcPr>
          <w:p w14:paraId="36CA42AB" w14:textId="77777777" w:rsidR="00787570" w:rsidRDefault="00787570">
            <w:pPr>
              <w:rPr>
                <w:rFonts w:ascii="宋体"/>
              </w:rPr>
            </w:pPr>
          </w:p>
        </w:tc>
        <w:tc>
          <w:tcPr>
            <w:tcW w:w="0" w:type="auto"/>
            <w:shd w:val="clear" w:color="auto" w:fill="auto"/>
          </w:tcPr>
          <w:p w14:paraId="36CA42AC" w14:textId="77777777" w:rsidR="00787570" w:rsidRDefault="00787570">
            <w:pPr>
              <w:rPr>
                <w:rFonts w:ascii="宋体"/>
              </w:rPr>
            </w:pPr>
          </w:p>
        </w:tc>
        <w:tc>
          <w:tcPr>
            <w:tcW w:w="0" w:type="auto"/>
            <w:shd w:val="clear" w:color="auto" w:fill="auto"/>
          </w:tcPr>
          <w:p w14:paraId="36CA42AD" w14:textId="77777777" w:rsidR="00787570" w:rsidRDefault="00787570">
            <w:pPr>
              <w:rPr>
                <w:rFonts w:ascii="宋体"/>
              </w:rPr>
            </w:pPr>
          </w:p>
        </w:tc>
        <w:tc>
          <w:tcPr>
            <w:tcW w:w="0" w:type="auto"/>
            <w:shd w:val="clear" w:color="auto" w:fill="auto"/>
          </w:tcPr>
          <w:p w14:paraId="36CA42AE" w14:textId="77777777" w:rsidR="00787570" w:rsidRDefault="00787570">
            <w:pPr>
              <w:rPr>
                <w:rFonts w:ascii="宋体"/>
              </w:rPr>
            </w:pPr>
          </w:p>
        </w:tc>
        <w:tc>
          <w:tcPr>
            <w:tcW w:w="0" w:type="auto"/>
            <w:shd w:val="clear" w:color="auto" w:fill="auto"/>
          </w:tcPr>
          <w:p w14:paraId="36CA42AF" w14:textId="77777777" w:rsidR="00787570" w:rsidRDefault="00787570">
            <w:pPr>
              <w:rPr>
                <w:rFonts w:ascii="宋体"/>
              </w:rPr>
            </w:pPr>
          </w:p>
        </w:tc>
        <w:tc>
          <w:tcPr>
            <w:tcW w:w="0" w:type="auto"/>
            <w:shd w:val="clear" w:color="auto" w:fill="auto"/>
          </w:tcPr>
          <w:p w14:paraId="36CA42B0" w14:textId="77777777" w:rsidR="00787570" w:rsidRDefault="00787570">
            <w:pPr>
              <w:rPr>
                <w:rFonts w:ascii="宋体"/>
              </w:rPr>
            </w:pPr>
          </w:p>
        </w:tc>
        <w:tc>
          <w:tcPr>
            <w:tcW w:w="0" w:type="auto"/>
            <w:shd w:val="clear" w:color="auto" w:fill="auto"/>
          </w:tcPr>
          <w:p w14:paraId="36CA42B1" w14:textId="77777777" w:rsidR="00787570" w:rsidRDefault="00787570">
            <w:pPr>
              <w:rPr>
                <w:rFonts w:ascii="宋体"/>
              </w:rPr>
            </w:pPr>
          </w:p>
        </w:tc>
        <w:tc>
          <w:tcPr>
            <w:tcW w:w="0" w:type="auto"/>
            <w:shd w:val="clear" w:color="auto" w:fill="auto"/>
          </w:tcPr>
          <w:p w14:paraId="36CA42B2" w14:textId="77777777" w:rsidR="00787570" w:rsidRDefault="00787570">
            <w:pPr>
              <w:rPr>
                <w:rFonts w:ascii="宋体"/>
              </w:rPr>
            </w:pPr>
          </w:p>
        </w:tc>
      </w:tr>
    </w:tbl>
    <w:p w14:paraId="36CA42B4" w14:textId="77777777" w:rsidR="00787570" w:rsidRDefault="000D56E2">
      <w:pPr>
        <w:spacing w:before="300" w:after="120"/>
      </w:pPr>
      <w:r>
        <w:rPr>
          <w:rFonts w:ascii="Arial" w:eastAsia="宋体" w:hAnsi="Arial" w:cs="Arial"/>
          <w:color w:val="333333"/>
          <w:sz w:val="18"/>
          <w:szCs w:val="18"/>
        </w:rPr>
        <w:t xml:space="preserve">The amounts recorded on the Consolidated </w:t>
      </w:r>
      <w:r>
        <w:rPr>
          <w:rFonts w:ascii="Arial" w:eastAsia="宋体" w:hAnsi="Arial" w:cs="Arial"/>
          <w:color w:val="333333"/>
          <w:sz w:val="18"/>
          <w:szCs w:val="18"/>
        </w:rPr>
        <w:t>Condensed Balance Sheets related to cumulative basis adjustments for fair value hedges for each period were as follows:</w:t>
      </w:r>
    </w:p>
    <w:tbl>
      <w:tblPr>
        <w:tblW w:w="5000" w:type="pct"/>
        <w:tblCellMar>
          <w:top w:w="15" w:type="dxa"/>
          <w:left w:w="15" w:type="dxa"/>
          <w:bottom w:w="15" w:type="dxa"/>
          <w:right w:w="15" w:type="dxa"/>
        </w:tblCellMar>
        <w:tblLook w:val="04A0" w:firstRow="1" w:lastRow="0" w:firstColumn="1" w:lastColumn="0" w:noHBand="0" w:noVBand="1"/>
      </w:tblPr>
      <w:tblGrid>
        <w:gridCol w:w="37"/>
        <w:gridCol w:w="2965"/>
        <w:gridCol w:w="36"/>
        <w:gridCol w:w="36"/>
        <w:gridCol w:w="36"/>
        <w:gridCol w:w="36"/>
        <w:gridCol w:w="136"/>
        <w:gridCol w:w="686"/>
        <w:gridCol w:w="41"/>
        <w:gridCol w:w="36"/>
        <w:gridCol w:w="36"/>
        <w:gridCol w:w="36"/>
        <w:gridCol w:w="136"/>
        <w:gridCol w:w="686"/>
        <w:gridCol w:w="41"/>
        <w:gridCol w:w="36"/>
        <w:gridCol w:w="36"/>
        <w:gridCol w:w="36"/>
        <w:gridCol w:w="136"/>
        <w:gridCol w:w="586"/>
        <w:gridCol w:w="41"/>
        <w:gridCol w:w="36"/>
        <w:gridCol w:w="36"/>
        <w:gridCol w:w="36"/>
        <w:gridCol w:w="136"/>
        <w:gridCol w:w="436"/>
        <w:gridCol w:w="41"/>
        <w:gridCol w:w="360"/>
        <w:gridCol w:w="360"/>
        <w:gridCol w:w="360"/>
        <w:gridCol w:w="360"/>
        <w:gridCol w:w="36"/>
        <w:gridCol w:w="36"/>
        <w:gridCol w:w="36"/>
        <w:gridCol w:w="36"/>
        <w:gridCol w:w="36"/>
        <w:gridCol w:w="36"/>
        <w:gridCol w:w="36"/>
        <w:gridCol w:w="36"/>
        <w:gridCol w:w="36"/>
      </w:tblGrid>
      <w:tr w:rsidR="00787570" w14:paraId="36CA42D1" w14:textId="77777777">
        <w:trPr>
          <w:gridAfter w:val="12"/>
        </w:trPr>
        <w:tc>
          <w:tcPr>
            <w:tcW w:w="50" w:type="pct"/>
            <w:shd w:val="clear" w:color="auto" w:fill="auto"/>
          </w:tcPr>
          <w:p w14:paraId="36CA42B5" w14:textId="77777777" w:rsidR="00787570" w:rsidRDefault="00787570">
            <w:pPr>
              <w:rPr>
                <w:rFonts w:ascii="宋体"/>
              </w:rPr>
            </w:pPr>
          </w:p>
        </w:tc>
        <w:tc>
          <w:tcPr>
            <w:tcW w:w="2431" w:type="pct"/>
            <w:shd w:val="clear" w:color="auto" w:fill="auto"/>
          </w:tcPr>
          <w:p w14:paraId="36CA42B6" w14:textId="77777777" w:rsidR="00787570" w:rsidRDefault="00787570">
            <w:pPr>
              <w:rPr>
                <w:rFonts w:ascii="宋体"/>
              </w:rPr>
            </w:pPr>
          </w:p>
        </w:tc>
        <w:tc>
          <w:tcPr>
            <w:tcW w:w="5" w:type="pct"/>
            <w:shd w:val="clear" w:color="auto" w:fill="auto"/>
          </w:tcPr>
          <w:p w14:paraId="36CA42B7" w14:textId="77777777" w:rsidR="00787570" w:rsidRDefault="00787570">
            <w:pPr>
              <w:rPr>
                <w:rFonts w:ascii="宋体"/>
              </w:rPr>
            </w:pPr>
          </w:p>
        </w:tc>
        <w:tc>
          <w:tcPr>
            <w:tcW w:w="5" w:type="pct"/>
            <w:shd w:val="clear" w:color="auto" w:fill="auto"/>
          </w:tcPr>
          <w:p w14:paraId="36CA42B8" w14:textId="77777777" w:rsidR="00787570" w:rsidRDefault="00787570">
            <w:pPr>
              <w:rPr>
                <w:rFonts w:ascii="宋体"/>
              </w:rPr>
            </w:pPr>
          </w:p>
        </w:tc>
        <w:tc>
          <w:tcPr>
            <w:tcW w:w="24" w:type="pct"/>
            <w:shd w:val="clear" w:color="auto" w:fill="auto"/>
          </w:tcPr>
          <w:p w14:paraId="36CA42B9" w14:textId="77777777" w:rsidR="00787570" w:rsidRDefault="00787570">
            <w:pPr>
              <w:rPr>
                <w:rFonts w:ascii="宋体"/>
              </w:rPr>
            </w:pPr>
          </w:p>
        </w:tc>
        <w:tc>
          <w:tcPr>
            <w:tcW w:w="5" w:type="pct"/>
            <w:shd w:val="clear" w:color="auto" w:fill="auto"/>
          </w:tcPr>
          <w:p w14:paraId="36CA42BA" w14:textId="77777777" w:rsidR="00787570" w:rsidRDefault="00787570">
            <w:pPr>
              <w:rPr>
                <w:rFonts w:ascii="宋体"/>
              </w:rPr>
            </w:pPr>
          </w:p>
        </w:tc>
        <w:tc>
          <w:tcPr>
            <w:tcW w:w="50" w:type="pct"/>
            <w:shd w:val="clear" w:color="auto" w:fill="auto"/>
          </w:tcPr>
          <w:p w14:paraId="36CA42BB" w14:textId="77777777" w:rsidR="00787570" w:rsidRDefault="00787570">
            <w:pPr>
              <w:rPr>
                <w:rFonts w:ascii="宋体"/>
              </w:rPr>
            </w:pPr>
          </w:p>
        </w:tc>
        <w:tc>
          <w:tcPr>
            <w:tcW w:w="539" w:type="pct"/>
            <w:shd w:val="clear" w:color="auto" w:fill="auto"/>
          </w:tcPr>
          <w:p w14:paraId="36CA42BC" w14:textId="77777777" w:rsidR="00787570" w:rsidRDefault="00787570">
            <w:pPr>
              <w:rPr>
                <w:rFonts w:ascii="宋体"/>
              </w:rPr>
            </w:pPr>
          </w:p>
        </w:tc>
        <w:tc>
          <w:tcPr>
            <w:tcW w:w="5" w:type="pct"/>
            <w:shd w:val="clear" w:color="auto" w:fill="auto"/>
          </w:tcPr>
          <w:p w14:paraId="36CA42BD" w14:textId="77777777" w:rsidR="00787570" w:rsidRDefault="00787570">
            <w:pPr>
              <w:rPr>
                <w:rFonts w:ascii="宋体"/>
              </w:rPr>
            </w:pPr>
          </w:p>
        </w:tc>
        <w:tc>
          <w:tcPr>
            <w:tcW w:w="5" w:type="pct"/>
            <w:shd w:val="clear" w:color="auto" w:fill="auto"/>
          </w:tcPr>
          <w:p w14:paraId="36CA42BE" w14:textId="77777777" w:rsidR="00787570" w:rsidRDefault="00787570">
            <w:pPr>
              <w:rPr>
                <w:rFonts w:ascii="宋体"/>
              </w:rPr>
            </w:pPr>
          </w:p>
        </w:tc>
        <w:tc>
          <w:tcPr>
            <w:tcW w:w="24" w:type="pct"/>
            <w:shd w:val="clear" w:color="auto" w:fill="auto"/>
          </w:tcPr>
          <w:p w14:paraId="36CA42BF" w14:textId="77777777" w:rsidR="00787570" w:rsidRDefault="00787570">
            <w:pPr>
              <w:rPr>
                <w:rFonts w:ascii="宋体"/>
              </w:rPr>
            </w:pPr>
          </w:p>
        </w:tc>
        <w:tc>
          <w:tcPr>
            <w:tcW w:w="5" w:type="pct"/>
            <w:shd w:val="clear" w:color="auto" w:fill="auto"/>
          </w:tcPr>
          <w:p w14:paraId="36CA42C0" w14:textId="77777777" w:rsidR="00787570" w:rsidRDefault="00787570">
            <w:pPr>
              <w:rPr>
                <w:rFonts w:ascii="宋体"/>
              </w:rPr>
            </w:pPr>
          </w:p>
        </w:tc>
        <w:tc>
          <w:tcPr>
            <w:tcW w:w="50" w:type="pct"/>
            <w:shd w:val="clear" w:color="auto" w:fill="auto"/>
          </w:tcPr>
          <w:p w14:paraId="36CA42C1" w14:textId="77777777" w:rsidR="00787570" w:rsidRDefault="00787570">
            <w:pPr>
              <w:rPr>
                <w:rFonts w:ascii="宋体"/>
              </w:rPr>
            </w:pPr>
          </w:p>
        </w:tc>
        <w:tc>
          <w:tcPr>
            <w:tcW w:w="539" w:type="pct"/>
            <w:shd w:val="clear" w:color="auto" w:fill="auto"/>
          </w:tcPr>
          <w:p w14:paraId="36CA42C2" w14:textId="77777777" w:rsidR="00787570" w:rsidRDefault="00787570">
            <w:pPr>
              <w:rPr>
                <w:rFonts w:ascii="宋体"/>
              </w:rPr>
            </w:pPr>
          </w:p>
        </w:tc>
        <w:tc>
          <w:tcPr>
            <w:tcW w:w="5" w:type="pct"/>
            <w:shd w:val="clear" w:color="auto" w:fill="auto"/>
          </w:tcPr>
          <w:p w14:paraId="36CA42C3" w14:textId="77777777" w:rsidR="00787570" w:rsidRDefault="00787570">
            <w:pPr>
              <w:rPr>
                <w:rFonts w:ascii="宋体"/>
              </w:rPr>
            </w:pPr>
          </w:p>
        </w:tc>
        <w:tc>
          <w:tcPr>
            <w:tcW w:w="5" w:type="pct"/>
            <w:shd w:val="clear" w:color="auto" w:fill="auto"/>
          </w:tcPr>
          <w:p w14:paraId="36CA42C4" w14:textId="77777777" w:rsidR="00787570" w:rsidRDefault="00787570">
            <w:pPr>
              <w:rPr>
                <w:rFonts w:ascii="宋体"/>
              </w:rPr>
            </w:pPr>
          </w:p>
        </w:tc>
        <w:tc>
          <w:tcPr>
            <w:tcW w:w="24" w:type="pct"/>
            <w:shd w:val="clear" w:color="auto" w:fill="auto"/>
          </w:tcPr>
          <w:p w14:paraId="36CA42C5" w14:textId="77777777" w:rsidR="00787570" w:rsidRDefault="00787570">
            <w:pPr>
              <w:rPr>
                <w:rFonts w:ascii="宋体"/>
              </w:rPr>
            </w:pPr>
          </w:p>
        </w:tc>
        <w:tc>
          <w:tcPr>
            <w:tcW w:w="5" w:type="pct"/>
            <w:shd w:val="clear" w:color="auto" w:fill="auto"/>
          </w:tcPr>
          <w:p w14:paraId="36CA42C6" w14:textId="77777777" w:rsidR="00787570" w:rsidRDefault="00787570">
            <w:pPr>
              <w:rPr>
                <w:rFonts w:ascii="宋体"/>
              </w:rPr>
            </w:pPr>
          </w:p>
        </w:tc>
        <w:tc>
          <w:tcPr>
            <w:tcW w:w="50" w:type="pct"/>
            <w:shd w:val="clear" w:color="auto" w:fill="auto"/>
          </w:tcPr>
          <w:p w14:paraId="36CA42C7" w14:textId="77777777" w:rsidR="00787570" w:rsidRDefault="00787570">
            <w:pPr>
              <w:rPr>
                <w:rFonts w:ascii="宋体"/>
              </w:rPr>
            </w:pPr>
          </w:p>
        </w:tc>
        <w:tc>
          <w:tcPr>
            <w:tcW w:w="539" w:type="pct"/>
            <w:shd w:val="clear" w:color="auto" w:fill="auto"/>
          </w:tcPr>
          <w:p w14:paraId="36CA42C8" w14:textId="77777777" w:rsidR="00787570" w:rsidRDefault="00787570">
            <w:pPr>
              <w:rPr>
                <w:rFonts w:ascii="宋体"/>
              </w:rPr>
            </w:pPr>
          </w:p>
        </w:tc>
        <w:tc>
          <w:tcPr>
            <w:tcW w:w="5" w:type="pct"/>
            <w:shd w:val="clear" w:color="auto" w:fill="auto"/>
          </w:tcPr>
          <w:p w14:paraId="36CA42C9" w14:textId="77777777" w:rsidR="00787570" w:rsidRDefault="00787570">
            <w:pPr>
              <w:rPr>
                <w:rFonts w:ascii="宋体"/>
              </w:rPr>
            </w:pPr>
          </w:p>
        </w:tc>
        <w:tc>
          <w:tcPr>
            <w:tcW w:w="5" w:type="pct"/>
            <w:shd w:val="clear" w:color="auto" w:fill="auto"/>
          </w:tcPr>
          <w:p w14:paraId="36CA42CA" w14:textId="77777777" w:rsidR="00787570" w:rsidRDefault="00787570">
            <w:pPr>
              <w:rPr>
                <w:rFonts w:ascii="宋体"/>
              </w:rPr>
            </w:pPr>
          </w:p>
        </w:tc>
        <w:tc>
          <w:tcPr>
            <w:tcW w:w="24" w:type="pct"/>
            <w:shd w:val="clear" w:color="auto" w:fill="auto"/>
          </w:tcPr>
          <w:p w14:paraId="36CA42CB" w14:textId="77777777" w:rsidR="00787570" w:rsidRDefault="00787570">
            <w:pPr>
              <w:rPr>
                <w:rFonts w:ascii="宋体"/>
              </w:rPr>
            </w:pPr>
          </w:p>
        </w:tc>
        <w:tc>
          <w:tcPr>
            <w:tcW w:w="5" w:type="pct"/>
            <w:shd w:val="clear" w:color="auto" w:fill="auto"/>
          </w:tcPr>
          <w:p w14:paraId="36CA42CC" w14:textId="77777777" w:rsidR="00787570" w:rsidRDefault="00787570">
            <w:pPr>
              <w:rPr>
                <w:rFonts w:ascii="宋体"/>
              </w:rPr>
            </w:pPr>
          </w:p>
        </w:tc>
        <w:tc>
          <w:tcPr>
            <w:tcW w:w="50" w:type="pct"/>
            <w:shd w:val="clear" w:color="auto" w:fill="auto"/>
          </w:tcPr>
          <w:p w14:paraId="36CA42CD" w14:textId="77777777" w:rsidR="00787570" w:rsidRDefault="00787570">
            <w:pPr>
              <w:rPr>
                <w:rFonts w:ascii="宋体"/>
              </w:rPr>
            </w:pPr>
          </w:p>
        </w:tc>
        <w:tc>
          <w:tcPr>
            <w:tcW w:w="539" w:type="pct"/>
            <w:shd w:val="clear" w:color="auto" w:fill="auto"/>
          </w:tcPr>
          <w:p w14:paraId="36CA42CE" w14:textId="77777777" w:rsidR="00787570" w:rsidRDefault="00787570">
            <w:pPr>
              <w:rPr>
                <w:rFonts w:ascii="宋体"/>
              </w:rPr>
            </w:pPr>
          </w:p>
        </w:tc>
        <w:tc>
          <w:tcPr>
            <w:tcW w:w="5" w:type="pct"/>
            <w:shd w:val="clear" w:color="auto" w:fill="auto"/>
          </w:tcPr>
          <w:p w14:paraId="36CA42CF" w14:textId="77777777" w:rsidR="00787570" w:rsidRDefault="00787570">
            <w:pPr>
              <w:rPr>
                <w:rFonts w:ascii="宋体"/>
              </w:rPr>
            </w:pPr>
          </w:p>
        </w:tc>
        <w:tc>
          <w:tcPr>
            <w:tcW w:w="0" w:type="auto"/>
            <w:shd w:val="clear" w:color="auto" w:fill="auto"/>
          </w:tcPr>
          <w:p w14:paraId="36CA42D0" w14:textId="77777777" w:rsidR="00787570" w:rsidRDefault="00787570">
            <w:pPr>
              <w:rPr>
                <w:rFonts w:ascii="宋体"/>
                <w:vanish/>
              </w:rPr>
            </w:pPr>
          </w:p>
        </w:tc>
      </w:tr>
      <w:tr w:rsidR="00787570" w14:paraId="36CA42DC" w14:textId="77777777">
        <w:tc>
          <w:tcPr>
            <w:tcW w:w="0" w:type="auto"/>
            <w:gridSpan w:val="3"/>
            <w:shd w:val="clear" w:color="auto" w:fill="auto"/>
            <w:tcMar>
              <w:top w:w="40" w:type="dxa"/>
              <w:left w:w="20" w:type="dxa"/>
              <w:bottom w:w="40" w:type="dxa"/>
              <w:right w:w="20" w:type="dxa"/>
            </w:tcMar>
            <w:vAlign w:val="bottom"/>
          </w:tcPr>
          <w:p w14:paraId="36CA42D2" w14:textId="77777777" w:rsidR="00787570" w:rsidRDefault="000D56E2">
            <w:pPr>
              <w:textAlignment w:val="bottom"/>
            </w:pPr>
            <w:r>
              <w:rPr>
                <w:rFonts w:ascii="Arial" w:eastAsia="宋体" w:hAnsi="Arial" w:cs="Arial"/>
                <w:b/>
                <w:bCs/>
                <w:color w:val="333333"/>
                <w:sz w:val="18"/>
                <w:szCs w:val="18"/>
              </w:rPr>
              <w:t>Line Item in the Consolidated Condensed Balance Sheet in Which the Hedged Item is Included</w:t>
            </w:r>
          </w:p>
        </w:tc>
        <w:tc>
          <w:tcPr>
            <w:tcW w:w="0" w:type="auto"/>
            <w:gridSpan w:val="3"/>
            <w:shd w:val="clear" w:color="auto" w:fill="auto"/>
            <w:tcMar>
              <w:left w:w="20" w:type="dxa"/>
              <w:right w:w="20" w:type="dxa"/>
            </w:tcMar>
            <w:vAlign w:val="bottom"/>
          </w:tcPr>
          <w:p w14:paraId="36CA42D3" w14:textId="77777777" w:rsidR="00787570" w:rsidRDefault="00787570">
            <w:pPr>
              <w:rPr>
                <w:rFonts w:ascii="宋体"/>
              </w:rPr>
            </w:pPr>
          </w:p>
        </w:tc>
        <w:tc>
          <w:tcPr>
            <w:tcW w:w="0" w:type="auto"/>
            <w:gridSpan w:val="9"/>
            <w:shd w:val="clear" w:color="auto" w:fill="auto"/>
            <w:tcMar>
              <w:top w:w="40" w:type="dxa"/>
              <w:left w:w="20" w:type="dxa"/>
              <w:bottom w:w="40" w:type="dxa"/>
              <w:right w:w="20" w:type="dxa"/>
            </w:tcMar>
            <w:vAlign w:val="bottom"/>
          </w:tcPr>
          <w:p w14:paraId="36CA42D4" w14:textId="77777777" w:rsidR="00787570" w:rsidRDefault="000D56E2">
            <w:pPr>
              <w:jc w:val="center"/>
              <w:textAlignment w:val="bottom"/>
            </w:pPr>
            <w:r>
              <w:rPr>
                <w:rFonts w:ascii="Arial" w:eastAsia="宋体" w:hAnsi="Arial" w:cs="Arial"/>
                <w:b/>
                <w:bCs/>
                <w:color w:val="333333"/>
                <w:sz w:val="18"/>
                <w:szCs w:val="18"/>
              </w:rPr>
              <w:t>Carrying Amount of the Hedged Item Asset/(Liabilities)</w:t>
            </w:r>
          </w:p>
        </w:tc>
        <w:tc>
          <w:tcPr>
            <w:tcW w:w="0" w:type="auto"/>
            <w:gridSpan w:val="3"/>
            <w:shd w:val="clear" w:color="auto" w:fill="auto"/>
          </w:tcPr>
          <w:p w14:paraId="36CA42D5" w14:textId="77777777" w:rsidR="00787570" w:rsidRDefault="00787570">
            <w:pPr>
              <w:rPr>
                <w:rFonts w:ascii="宋体"/>
                <w:vanish/>
              </w:rPr>
            </w:pPr>
          </w:p>
        </w:tc>
        <w:tc>
          <w:tcPr>
            <w:tcW w:w="0" w:type="auto"/>
            <w:gridSpan w:val="3"/>
            <w:shd w:val="clear" w:color="auto" w:fill="auto"/>
          </w:tcPr>
          <w:p w14:paraId="36CA42D6" w14:textId="77777777" w:rsidR="00787570" w:rsidRDefault="00787570">
            <w:pPr>
              <w:rPr>
                <w:rFonts w:ascii="宋体"/>
                <w:vanish/>
              </w:rPr>
            </w:pPr>
          </w:p>
        </w:tc>
        <w:tc>
          <w:tcPr>
            <w:tcW w:w="0" w:type="auto"/>
            <w:gridSpan w:val="3"/>
            <w:shd w:val="clear" w:color="auto" w:fill="auto"/>
            <w:tcMar>
              <w:left w:w="20" w:type="dxa"/>
              <w:right w:w="20" w:type="dxa"/>
            </w:tcMar>
            <w:vAlign w:val="bottom"/>
          </w:tcPr>
          <w:p w14:paraId="36CA42D7" w14:textId="77777777" w:rsidR="00787570" w:rsidRDefault="00787570">
            <w:pPr>
              <w:rPr>
                <w:rFonts w:ascii="宋体"/>
              </w:rPr>
            </w:pPr>
          </w:p>
        </w:tc>
        <w:tc>
          <w:tcPr>
            <w:tcW w:w="0" w:type="auto"/>
            <w:gridSpan w:val="7"/>
            <w:shd w:val="clear" w:color="auto" w:fill="auto"/>
            <w:tcMar>
              <w:top w:w="40" w:type="dxa"/>
              <w:left w:w="20" w:type="dxa"/>
              <w:bottom w:w="40" w:type="dxa"/>
              <w:right w:w="20" w:type="dxa"/>
            </w:tcMar>
            <w:vAlign w:val="bottom"/>
          </w:tcPr>
          <w:p w14:paraId="36CA42D8" w14:textId="77777777" w:rsidR="00787570" w:rsidRDefault="000D56E2">
            <w:pPr>
              <w:jc w:val="center"/>
              <w:textAlignment w:val="bottom"/>
            </w:pPr>
            <w:r>
              <w:rPr>
                <w:rFonts w:ascii="Arial" w:eastAsia="宋体" w:hAnsi="Arial" w:cs="Arial"/>
                <w:b/>
                <w:bCs/>
                <w:color w:val="333333"/>
                <w:sz w:val="18"/>
                <w:szCs w:val="18"/>
              </w:rPr>
              <w:t>Cumulative Amount of Fair Value Hed</w:t>
            </w:r>
            <w:r>
              <w:rPr>
                <w:rFonts w:ascii="Arial" w:eastAsia="宋体" w:hAnsi="Arial" w:cs="Arial"/>
                <w:b/>
                <w:bCs/>
                <w:color w:val="333333"/>
                <w:sz w:val="18"/>
                <w:szCs w:val="18"/>
              </w:rPr>
              <w:t>ging Adjustment Included in the Carrying Amount Assets/(Liabilities)</w:t>
            </w:r>
          </w:p>
        </w:tc>
        <w:tc>
          <w:tcPr>
            <w:tcW w:w="0" w:type="auto"/>
            <w:gridSpan w:val="3"/>
            <w:shd w:val="clear" w:color="auto" w:fill="auto"/>
          </w:tcPr>
          <w:p w14:paraId="36CA42D9" w14:textId="77777777" w:rsidR="00787570" w:rsidRDefault="00787570">
            <w:pPr>
              <w:rPr>
                <w:rFonts w:ascii="宋体"/>
                <w:vanish/>
              </w:rPr>
            </w:pPr>
          </w:p>
        </w:tc>
        <w:tc>
          <w:tcPr>
            <w:tcW w:w="0" w:type="auto"/>
            <w:gridSpan w:val="3"/>
            <w:shd w:val="clear" w:color="auto" w:fill="auto"/>
          </w:tcPr>
          <w:p w14:paraId="36CA42DA" w14:textId="77777777" w:rsidR="00787570" w:rsidRDefault="00787570">
            <w:pPr>
              <w:rPr>
                <w:rFonts w:ascii="宋体"/>
                <w:vanish/>
              </w:rPr>
            </w:pPr>
          </w:p>
        </w:tc>
        <w:tc>
          <w:tcPr>
            <w:tcW w:w="0" w:type="auto"/>
            <w:gridSpan w:val="3"/>
            <w:shd w:val="clear" w:color="auto" w:fill="auto"/>
          </w:tcPr>
          <w:p w14:paraId="36CA42DB" w14:textId="77777777" w:rsidR="00787570" w:rsidRDefault="00787570">
            <w:pPr>
              <w:rPr>
                <w:rFonts w:ascii="宋体"/>
                <w:vanish/>
              </w:rPr>
            </w:pPr>
          </w:p>
        </w:tc>
      </w:tr>
      <w:tr w:rsidR="00787570" w14:paraId="36CA42F3" w14:textId="77777777">
        <w:tc>
          <w:tcPr>
            <w:tcW w:w="0" w:type="auto"/>
            <w:gridSpan w:val="3"/>
            <w:shd w:val="clear" w:color="auto" w:fill="auto"/>
            <w:tcMar>
              <w:top w:w="40" w:type="dxa"/>
              <w:left w:w="20" w:type="dxa"/>
              <w:bottom w:w="40" w:type="dxa"/>
              <w:right w:w="20" w:type="dxa"/>
            </w:tcMar>
            <w:vAlign w:val="bottom"/>
          </w:tcPr>
          <w:p w14:paraId="36CA42DD" w14:textId="77777777" w:rsidR="00787570" w:rsidRDefault="000D56E2">
            <w:pPr>
              <w:textAlignment w:val="bottom"/>
            </w:pPr>
            <w:r>
              <w:rPr>
                <w:rFonts w:ascii="Arial" w:eastAsia="宋体" w:hAnsi="Arial" w:cs="Arial"/>
                <w:b/>
                <w:bCs/>
                <w:color w:val="333333"/>
                <w:sz w:val="18"/>
                <w:szCs w:val="18"/>
              </w:rPr>
              <w:t>(In Millions)</w:t>
            </w:r>
          </w:p>
        </w:tc>
        <w:tc>
          <w:tcPr>
            <w:tcW w:w="0" w:type="auto"/>
            <w:gridSpan w:val="3"/>
            <w:shd w:val="clear" w:color="auto" w:fill="auto"/>
            <w:tcMar>
              <w:left w:w="20" w:type="dxa"/>
              <w:right w:w="20" w:type="dxa"/>
            </w:tcMar>
            <w:vAlign w:val="bottom"/>
          </w:tcPr>
          <w:p w14:paraId="36CA42DE" w14:textId="77777777" w:rsidR="00787570" w:rsidRDefault="00787570">
            <w:pPr>
              <w:rPr>
                <w:rFonts w:ascii="宋体"/>
              </w:rPr>
            </w:pPr>
          </w:p>
        </w:tc>
        <w:tc>
          <w:tcPr>
            <w:tcW w:w="0" w:type="auto"/>
            <w:gridSpan w:val="3"/>
            <w:tcBorders>
              <w:top w:val="single" w:sz="8" w:space="0" w:color="0071C5"/>
            </w:tcBorders>
            <w:shd w:val="clear" w:color="auto" w:fill="auto"/>
            <w:tcMar>
              <w:top w:w="40" w:type="dxa"/>
              <w:left w:w="20" w:type="dxa"/>
              <w:bottom w:w="40" w:type="dxa"/>
              <w:right w:w="20" w:type="dxa"/>
            </w:tcMar>
            <w:vAlign w:val="bottom"/>
          </w:tcPr>
          <w:p w14:paraId="36CA42DF" w14:textId="77777777" w:rsidR="00787570" w:rsidRDefault="000D56E2">
            <w:pPr>
              <w:jc w:val="center"/>
              <w:textAlignment w:val="bottom"/>
            </w:pPr>
            <w:r>
              <w:rPr>
                <w:rFonts w:ascii="Arial" w:eastAsia="宋体" w:hAnsi="Arial" w:cs="Arial"/>
                <w:b/>
                <w:bCs/>
                <w:color w:val="333333"/>
                <w:sz w:val="18"/>
                <w:szCs w:val="18"/>
              </w:rPr>
              <w:t>Sep 26, 2020</w:t>
            </w:r>
          </w:p>
        </w:tc>
        <w:tc>
          <w:tcPr>
            <w:tcW w:w="0" w:type="auto"/>
            <w:gridSpan w:val="3"/>
            <w:tcBorders>
              <w:top w:val="single" w:sz="8" w:space="0" w:color="0071C5"/>
            </w:tcBorders>
            <w:shd w:val="clear" w:color="auto" w:fill="auto"/>
            <w:tcMar>
              <w:left w:w="20" w:type="dxa"/>
              <w:right w:w="20" w:type="dxa"/>
            </w:tcMar>
            <w:vAlign w:val="bottom"/>
          </w:tcPr>
          <w:p w14:paraId="36CA42E0" w14:textId="77777777" w:rsidR="00787570" w:rsidRDefault="00787570">
            <w:pPr>
              <w:rPr>
                <w:rFonts w:ascii="宋体"/>
              </w:rPr>
            </w:pPr>
          </w:p>
        </w:tc>
        <w:tc>
          <w:tcPr>
            <w:tcW w:w="0" w:type="auto"/>
            <w:gridSpan w:val="3"/>
            <w:tcBorders>
              <w:top w:val="single" w:sz="8" w:space="0" w:color="0071C5"/>
            </w:tcBorders>
            <w:shd w:val="clear" w:color="auto" w:fill="auto"/>
            <w:tcMar>
              <w:top w:w="40" w:type="dxa"/>
              <w:left w:w="20" w:type="dxa"/>
              <w:bottom w:w="40" w:type="dxa"/>
              <w:right w:w="20" w:type="dxa"/>
            </w:tcMar>
            <w:vAlign w:val="bottom"/>
          </w:tcPr>
          <w:p w14:paraId="36CA42E1" w14:textId="77777777" w:rsidR="00787570" w:rsidRDefault="000D56E2">
            <w:pPr>
              <w:jc w:val="center"/>
              <w:textAlignment w:val="bottom"/>
            </w:pPr>
            <w:r>
              <w:rPr>
                <w:rFonts w:ascii="Arial" w:eastAsia="宋体" w:hAnsi="Arial" w:cs="Arial"/>
                <w:b/>
                <w:bCs/>
                <w:color w:val="333333"/>
                <w:sz w:val="18"/>
                <w:szCs w:val="18"/>
              </w:rPr>
              <w:t>Dec 28, 2019</w:t>
            </w:r>
          </w:p>
        </w:tc>
        <w:tc>
          <w:tcPr>
            <w:tcW w:w="0" w:type="auto"/>
            <w:gridSpan w:val="3"/>
            <w:shd w:val="clear" w:color="auto" w:fill="auto"/>
            <w:tcMar>
              <w:left w:w="20" w:type="dxa"/>
              <w:right w:w="20" w:type="dxa"/>
            </w:tcMar>
            <w:vAlign w:val="bottom"/>
          </w:tcPr>
          <w:p w14:paraId="36CA42E2" w14:textId="77777777" w:rsidR="00787570" w:rsidRDefault="00787570">
            <w:pPr>
              <w:rPr>
                <w:rFonts w:ascii="宋体"/>
              </w:rPr>
            </w:pPr>
          </w:p>
        </w:tc>
        <w:tc>
          <w:tcPr>
            <w:tcW w:w="0" w:type="auto"/>
            <w:gridSpan w:val="3"/>
            <w:tcBorders>
              <w:top w:val="single" w:sz="8" w:space="0" w:color="0071C5"/>
            </w:tcBorders>
            <w:shd w:val="clear" w:color="auto" w:fill="auto"/>
            <w:tcMar>
              <w:top w:w="40" w:type="dxa"/>
              <w:left w:w="20" w:type="dxa"/>
              <w:bottom w:w="40" w:type="dxa"/>
              <w:right w:w="20" w:type="dxa"/>
            </w:tcMar>
            <w:vAlign w:val="bottom"/>
          </w:tcPr>
          <w:p w14:paraId="36CA42E3" w14:textId="77777777" w:rsidR="00787570" w:rsidRDefault="000D56E2">
            <w:pPr>
              <w:jc w:val="center"/>
              <w:textAlignment w:val="bottom"/>
            </w:pPr>
            <w:r>
              <w:rPr>
                <w:rFonts w:ascii="Arial" w:eastAsia="宋体" w:hAnsi="Arial" w:cs="Arial"/>
                <w:b/>
                <w:bCs/>
                <w:color w:val="333333"/>
                <w:sz w:val="18"/>
                <w:szCs w:val="18"/>
              </w:rPr>
              <w:t>Sep 26, 2020</w:t>
            </w:r>
          </w:p>
        </w:tc>
        <w:tc>
          <w:tcPr>
            <w:tcW w:w="0" w:type="auto"/>
            <w:gridSpan w:val="3"/>
            <w:tcBorders>
              <w:top w:val="single" w:sz="8" w:space="0" w:color="0071C5"/>
            </w:tcBorders>
            <w:shd w:val="clear" w:color="auto" w:fill="auto"/>
            <w:tcMar>
              <w:left w:w="20" w:type="dxa"/>
              <w:right w:w="20" w:type="dxa"/>
            </w:tcMar>
            <w:vAlign w:val="bottom"/>
          </w:tcPr>
          <w:p w14:paraId="36CA42E4" w14:textId="77777777" w:rsidR="00787570" w:rsidRDefault="00787570">
            <w:pPr>
              <w:rPr>
                <w:rFonts w:ascii="宋体"/>
              </w:rPr>
            </w:pPr>
          </w:p>
        </w:tc>
        <w:tc>
          <w:tcPr>
            <w:tcW w:w="0" w:type="auto"/>
            <w:gridSpan w:val="3"/>
            <w:tcBorders>
              <w:top w:val="single" w:sz="8" w:space="0" w:color="0071C5"/>
            </w:tcBorders>
            <w:shd w:val="clear" w:color="auto" w:fill="auto"/>
            <w:tcMar>
              <w:top w:w="40" w:type="dxa"/>
              <w:left w:w="20" w:type="dxa"/>
              <w:bottom w:w="40" w:type="dxa"/>
              <w:right w:w="20" w:type="dxa"/>
            </w:tcMar>
            <w:vAlign w:val="bottom"/>
          </w:tcPr>
          <w:p w14:paraId="36CA42E5" w14:textId="77777777" w:rsidR="00787570" w:rsidRDefault="000D56E2">
            <w:pPr>
              <w:jc w:val="center"/>
              <w:textAlignment w:val="bottom"/>
            </w:pPr>
            <w:r>
              <w:rPr>
                <w:rFonts w:ascii="Arial" w:eastAsia="宋体" w:hAnsi="Arial" w:cs="Arial"/>
                <w:b/>
                <w:bCs/>
                <w:color w:val="333333"/>
                <w:sz w:val="18"/>
                <w:szCs w:val="18"/>
              </w:rPr>
              <w:t>Dec 28, 2019</w:t>
            </w:r>
          </w:p>
        </w:tc>
        <w:tc>
          <w:tcPr>
            <w:tcW w:w="0" w:type="auto"/>
            <w:shd w:val="clear" w:color="auto" w:fill="auto"/>
          </w:tcPr>
          <w:p w14:paraId="36CA42E6" w14:textId="77777777" w:rsidR="00787570" w:rsidRDefault="00787570">
            <w:pPr>
              <w:rPr>
                <w:rFonts w:ascii="宋体"/>
                <w:vanish/>
              </w:rPr>
            </w:pPr>
          </w:p>
        </w:tc>
        <w:tc>
          <w:tcPr>
            <w:tcW w:w="0" w:type="auto"/>
            <w:shd w:val="clear" w:color="auto" w:fill="auto"/>
          </w:tcPr>
          <w:p w14:paraId="36CA42E7" w14:textId="77777777" w:rsidR="00787570" w:rsidRDefault="00787570">
            <w:pPr>
              <w:rPr>
                <w:rFonts w:ascii="宋体"/>
              </w:rPr>
            </w:pPr>
          </w:p>
        </w:tc>
        <w:tc>
          <w:tcPr>
            <w:tcW w:w="0" w:type="auto"/>
            <w:shd w:val="clear" w:color="auto" w:fill="auto"/>
          </w:tcPr>
          <w:p w14:paraId="36CA42E8" w14:textId="77777777" w:rsidR="00787570" w:rsidRDefault="00787570">
            <w:pPr>
              <w:rPr>
                <w:rFonts w:ascii="宋体"/>
              </w:rPr>
            </w:pPr>
          </w:p>
        </w:tc>
        <w:tc>
          <w:tcPr>
            <w:tcW w:w="0" w:type="auto"/>
            <w:shd w:val="clear" w:color="auto" w:fill="auto"/>
          </w:tcPr>
          <w:p w14:paraId="36CA42E9" w14:textId="77777777" w:rsidR="00787570" w:rsidRDefault="00787570">
            <w:pPr>
              <w:rPr>
                <w:rFonts w:ascii="宋体"/>
              </w:rPr>
            </w:pPr>
          </w:p>
        </w:tc>
        <w:tc>
          <w:tcPr>
            <w:tcW w:w="0" w:type="auto"/>
            <w:shd w:val="clear" w:color="auto" w:fill="auto"/>
          </w:tcPr>
          <w:p w14:paraId="36CA42EA" w14:textId="77777777" w:rsidR="00787570" w:rsidRDefault="00787570">
            <w:pPr>
              <w:rPr>
                <w:rFonts w:ascii="宋体"/>
              </w:rPr>
            </w:pPr>
          </w:p>
        </w:tc>
        <w:tc>
          <w:tcPr>
            <w:tcW w:w="0" w:type="auto"/>
            <w:shd w:val="clear" w:color="auto" w:fill="auto"/>
          </w:tcPr>
          <w:p w14:paraId="36CA42EB" w14:textId="77777777" w:rsidR="00787570" w:rsidRDefault="00787570">
            <w:pPr>
              <w:rPr>
                <w:rFonts w:ascii="宋体"/>
              </w:rPr>
            </w:pPr>
          </w:p>
        </w:tc>
        <w:tc>
          <w:tcPr>
            <w:tcW w:w="0" w:type="auto"/>
            <w:shd w:val="clear" w:color="auto" w:fill="auto"/>
          </w:tcPr>
          <w:p w14:paraId="36CA42EC" w14:textId="77777777" w:rsidR="00787570" w:rsidRDefault="00787570">
            <w:pPr>
              <w:rPr>
                <w:rFonts w:ascii="宋体"/>
              </w:rPr>
            </w:pPr>
          </w:p>
        </w:tc>
        <w:tc>
          <w:tcPr>
            <w:tcW w:w="0" w:type="auto"/>
            <w:shd w:val="clear" w:color="auto" w:fill="auto"/>
          </w:tcPr>
          <w:p w14:paraId="36CA42ED" w14:textId="77777777" w:rsidR="00787570" w:rsidRDefault="00787570">
            <w:pPr>
              <w:rPr>
                <w:rFonts w:ascii="宋体"/>
              </w:rPr>
            </w:pPr>
          </w:p>
        </w:tc>
        <w:tc>
          <w:tcPr>
            <w:tcW w:w="0" w:type="auto"/>
            <w:shd w:val="clear" w:color="auto" w:fill="auto"/>
          </w:tcPr>
          <w:p w14:paraId="36CA42EE" w14:textId="77777777" w:rsidR="00787570" w:rsidRDefault="00787570">
            <w:pPr>
              <w:rPr>
                <w:rFonts w:ascii="宋体"/>
              </w:rPr>
            </w:pPr>
          </w:p>
        </w:tc>
        <w:tc>
          <w:tcPr>
            <w:tcW w:w="0" w:type="auto"/>
            <w:shd w:val="clear" w:color="auto" w:fill="auto"/>
          </w:tcPr>
          <w:p w14:paraId="36CA42EF" w14:textId="77777777" w:rsidR="00787570" w:rsidRDefault="00787570">
            <w:pPr>
              <w:rPr>
                <w:rFonts w:ascii="宋体"/>
              </w:rPr>
            </w:pPr>
          </w:p>
        </w:tc>
        <w:tc>
          <w:tcPr>
            <w:tcW w:w="0" w:type="auto"/>
            <w:shd w:val="clear" w:color="auto" w:fill="auto"/>
          </w:tcPr>
          <w:p w14:paraId="36CA42F0" w14:textId="77777777" w:rsidR="00787570" w:rsidRDefault="00787570">
            <w:pPr>
              <w:rPr>
                <w:rFonts w:ascii="宋体"/>
              </w:rPr>
            </w:pPr>
          </w:p>
        </w:tc>
        <w:tc>
          <w:tcPr>
            <w:tcW w:w="0" w:type="auto"/>
            <w:shd w:val="clear" w:color="auto" w:fill="auto"/>
          </w:tcPr>
          <w:p w14:paraId="36CA42F1" w14:textId="77777777" w:rsidR="00787570" w:rsidRDefault="00787570">
            <w:pPr>
              <w:rPr>
                <w:rFonts w:ascii="宋体"/>
              </w:rPr>
            </w:pPr>
          </w:p>
        </w:tc>
        <w:tc>
          <w:tcPr>
            <w:tcW w:w="0" w:type="auto"/>
            <w:shd w:val="clear" w:color="auto" w:fill="auto"/>
          </w:tcPr>
          <w:p w14:paraId="36CA42F2" w14:textId="77777777" w:rsidR="00787570" w:rsidRDefault="00787570">
            <w:pPr>
              <w:rPr>
                <w:rFonts w:ascii="宋体"/>
              </w:rPr>
            </w:pPr>
          </w:p>
        </w:tc>
      </w:tr>
      <w:tr w:rsidR="00787570" w14:paraId="36CA4312" w14:textId="77777777">
        <w:tc>
          <w:tcPr>
            <w:tcW w:w="0" w:type="auto"/>
            <w:gridSpan w:val="3"/>
            <w:tcBorders>
              <w:top w:val="single" w:sz="8" w:space="0" w:color="0071C5"/>
            </w:tcBorders>
            <w:shd w:val="clear" w:color="auto" w:fill="auto"/>
            <w:tcMar>
              <w:top w:w="40" w:type="dxa"/>
              <w:left w:w="20" w:type="dxa"/>
              <w:bottom w:w="40" w:type="dxa"/>
              <w:right w:w="20" w:type="dxa"/>
            </w:tcMar>
          </w:tcPr>
          <w:p w14:paraId="36CA42F4" w14:textId="77777777" w:rsidR="00787570" w:rsidRDefault="000D56E2">
            <w:pPr>
              <w:textAlignment w:val="top"/>
            </w:pPr>
            <w:r>
              <w:rPr>
                <w:rFonts w:ascii="Arial" w:eastAsia="宋体" w:hAnsi="Arial" w:cs="Arial"/>
                <w:color w:val="333333"/>
                <w:sz w:val="18"/>
                <w:szCs w:val="18"/>
              </w:rPr>
              <w:t>Long-term debt</w:t>
            </w:r>
          </w:p>
        </w:tc>
        <w:tc>
          <w:tcPr>
            <w:tcW w:w="0" w:type="auto"/>
            <w:gridSpan w:val="3"/>
            <w:shd w:val="clear" w:color="auto" w:fill="auto"/>
            <w:tcMar>
              <w:left w:w="20" w:type="dxa"/>
              <w:right w:w="20" w:type="dxa"/>
            </w:tcMar>
            <w:vAlign w:val="bottom"/>
          </w:tcPr>
          <w:p w14:paraId="36CA42F5" w14:textId="77777777" w:rsidR="00787570" w:rsidRDefault="00787570">
            <w:pPr>
              <w:rPr>
                <w:rFonts w:ascii="宋体"/>
              </w:rPr>
            </w:pPr>
          </w:p>
        </w:tc>
        <w:tc>
          <w:tcPr>
            <w:tcW w:w="0" w:type="auto"/>
            <w:tcBorders>
              <w:top w:val="single" w:sz="8" w:space="0" w:color="0071C5"/>
            </w:tcBorders>
            <w:shd w:val="clear" w:color="auto" w:fill="auto"/>
            <w:tcMar>
              <w:top w:w="40" w:type="dxa"/>
              <w:left w:w="20" w:type="dxa"/>
              <w:bottom w:w="40" w:type="dxa"/>
            </w:tcMar>
            <w:vAlign w:val="bottom"/>
          </w:tcPr>
          <w:p w14:paraId="36CA42F6" w14:textId="77777777" w:rsidR="00787570" w:rsidRDefault="000D56E2">
            <w:pPr>
              <w:textAlignment w:val="bottom"/>
            </w:pPr>
            <w:r>
              <w:rPr>
                <w:rFonts w:ascii="Arial" w:eastAsia="宋体" w:hAnsi="Arial" w:cs="Arial"/>
                <w:color w:val="026DCE"/>
                <w:sz w:val="18"/>
                <w:szCs w:val="18"/>
              </w:rPr>
              <w:t>$</w:t>
            </w:r>
          </w:p>
        </w:tc>
        <w:tc>
          <w:tcPr>
            <w:tcW w:w="0" w:type="auto"/>
            <w:tcBorders>
              <w:top w:val="single" w:sz="8" w:space="0" w:color="0071C5"/>
            </w:tcBorders>
            <w:shd w:val="clear" w:color="auto" w:fill="auto"/>
            <w:tcMar>
              <w:top w:w="40" w:type="dxa"/>
              <w:bottom w:w="40" w:type="dxa"/>
              <w:right w:w="0" w:type="dxa"/>
            </w:tcMar>
            <w:vAlign w:val="bottom"/>
          </w:tcPr>
          <w:p w14:paraId="36CA42F7" w14:textId="77777777" w:rsidR="00787570" w:rsidRDefault="000D56E2">
            <w:pPr>
              <w:jc w:val="right"/>
              <w:textAlignment w:val="bottom"/>
            </w:pPr>
            <w:r>
              <w:rPr>
                <w:rFonts w:ascii="Arial" w:eastAsia="宋体" w:hAnsi="Arial" w:cs="Arial"/>
                <w:color w:val="026DCE"/>
                <w:sz w:val="18"/>
                <w:szCs w:val="18"/>
              </w:rPr>
              <w:t>(13,674)</w:t>
            </w:r>
          </w:p>
        </w:tc>
        <w:tc>
          <w:tcPr>
            <w:tcW w:w="0" w:type="auto"/>
            <w:tcBorders>
              <w:top w:val="single" w:sz="8" w:space="0" w:color="0071C5"/>
            </w:tcBorders>
            <w:shd w:val="clear" w:color="auto" w:fill="auto"/>
            <w:tcMar>
              <w:top w:w="40" w:type="dxa"/>
              <w:bottom w:w="40" w:type="dxa"/>
              <w:right w:w="20" w:type="dxa"/>
            </w:tcMar>
            <w:vAlign w:val="bottom"/>
          </w:tcPr>
          <w:p w14:paraId="36CA42F8"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42F9" w14:textId="77777777" w:rsidR="00787570" w:rsidRDefault="00787570">
            <w:pPr>
              <w:rPr>
                <w:rFonts w:ascii="宋体"/>
              </w:rPr>
            </w:pPr>
          </w:p>
        </w:tc>
        <w:tc>
          <w:tcPr>
            <w:tcW w:w="0" w:type="auto"/>
            <w:tcBorders>
              <w:top w:val="single" w:sz="8" w:space="0" w:color="0071C5"/>
            </w:tcBorders>
            <w:shd w:val="clear" w:color="auto" w:fill="auto"/>
            <w:tcMar>
              <w:top w:w="40" w:type="dxa"/>
              <w:left w:w="20" w:type="dxa"/>
              <w:bottom w:w="40" w:type="dxa"/>
            </w:tcMar>
            <w:vAlign w:val="bottom"/>
          </w:tcPr>
          <w:p w14:paraId="36CA42FA" w14:textId="77777777" w:rsidR="00787570" w:rsidRDefault="000D56E2">
            <w:pPr>
              <w:textAlignment w:val="bottom"/>
            </w:pPr>
            <w:r>
              <w:rPr>
                <w:rFonts w:ascii="Arial" w:eastAsia="宋体" w:hAnsi="Arial" w:cs="Arial"/>
                <w:color w:val="333333"/>
                <w:sz w:val="18"/>
                <w:szCs w:val="18"/>
              </w:rPr>
              <w:t>$</w:t>
            </w:r>
          </w:p>
        </w:tc>
        <w:tc>
          <w:tcPr>
            <w:tcW w:w="0" w:type="auto"/>
            <w:tcBorders>
              <w:top w:val="single" w:sz="8" w:space="0" w:color="0071C5"/>
            </w:tcBorders>
            <w:shd w:val="clear" w:color="auto" w:fill="auto"/>
            <w:tcMar>
              <w:top w:w="40" w:type="dxa"/>
              <w:bottom w:w="40" w:type="dxa"/>
              <w:right w:w="0" w:type="dxa"/>
            </w:tcMar>
            <w:vAlign w:val="bottom"/>
          </w:tcPr>
          <w:p w14:paraId="36CA42FB" w14:textId="77777777" w:rsidR="00787570" w:rsidRDefault="000D56E2">
            <w:pPr>
              <w:jc w:val="right"/>
              <w:textAlignment w:val="bottom"/>
            </w:pPr>
            <w:r>
              <w:rPr>
                <w:rFonts w:ascii="Arial" w:eastAsia="宋体" w:hAnsi="Arial" w:cs="Arial"/>
                <w:color w:val="333333"/>
                <w:sz w:val="18"/>
                <w:szCs w:val="18"/>
              </w:rPr>
              <w:t>(12,678)</w:t>
            </w:r>
          </w:p>
        </w:tc>
        <w:tc>
          <w:tcPr>
            <w:tcW w:w="0" w:type="auto"/>
            <w:tcBorders>
              <w:top w:val="single" w:sz="8" w:space="0" w:color="0071C5"/>
            </w:tcBorders>
            <w:shd w:val="clear" w:color="auto" w:fill="auto"/>
            <w:tcMar>
              <w:top w:w="40" w:type="dxa"/>
              <w:bottom w:w="40" w:type="dxa"/>
              <w:right w:w="20" w:type="dxa"/>
            </w:tcMar>
            <w:vAlign w:val="bottom"/>
          </w:tcPr>
          <w:p w14:paraId="36CA42FC"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42FD" w14:textId="77777777" w:rsidR="00787570" w:rsidRDefault="00787570">
            <w:pPr>
              <w:rPr>
                <w:rFonts w:ascii="宋体"/>
              </w:rPr>
            </w:pPr>
          </w:p>
        </w:tc>
        <w:tc>
          <w:tcPr>
            <w:tcW w:w="0" w:type="auto"/>
            <w:tcBorders>
              <w:top w:val="single" w:sz="8" w:space="0" w:color="0071C5"/>
            </w:tcBorders>
            <w:shd w:val="clear" w:color="auto" w:fill="auto"/>
            <w:tcMar>
              <w:top w:w="40" w:type="dxa"/>
              <w:left w:w="20" w:type="dxa"/>
              <w:bottom w:w="40" w:type="dxa"/>
            </w:tcMar>
            <w:vAlign w:val="bottom"/>
          </w:tcPr>
          <w:p w14:paraId="36CA42FE" w14:textId="77777777" w:rsidR="00787570" w:rsidRDefault="000D56E2">
            <w:pPr>
              <w:textAlignment w:val="bottom"/>
            </w:pPr>
            <w:r>
              <w:rPr>
                <w:rFonts w:ascii="Arial" w:eastAsia="宋体" w:hAnsi="Arial" w:cs="Arial"/>
                <w:color w:val="026DCE"/>
                <w:sz w:val="18"/>
                <w:szCs w:val="18"/>
              </w:rPr>
              <w:t>$</w:t>
            </w:r>
          </w:p>
        </w:tc>
        <w:tc>
          <w:tcPr>
            <w:tcW w:w="0" w:type="auto"/>
            <w:tcBorders>
              <w:top w:val="single" w:sz="8" w:space="0" w:color="0071C5"/>
            </w:tcBorders>
            <w:shd w:val="clear" w:color="auto" w:fill="auto"/>
            <w:tcMar>
              <w:top w:w="40" w:type="dxa"/>
              <w:bottom w:w="40" w:type="dxa"/>
              <w:right w:w="0" w:type="dxa"/>
            </w:tcMar>
            <w:vAlign w:val="bottom"/>
          </w:tcPr>
          <w:p w14:paraId="36CA42FF" w14:textId="77777777" w:rsidR="00787570" w:rsidRDefault="000D56E2">
            <w:pPr>
              <w:jc w:val="right"/>
              <w:textAlignment w:val="bottom"/>
            </w:pPr>
            <w:r>
              <w:rPr>
                <w:rFonts w:ascii="Arial" w:eastAsia="宋体" w:hAnsi="Arial" w:cs="Arial"/>
                <w:color w:val="026DCE"/>
                <w:sz w:val="18"/>
                <w:szCs w:val="18"/>
              </w:rPr>
              <w:t>(1,677)</w:t>
            </w:r>
          </w:p>
        </w:tc>
        <w:tc>
          <w:tcPr>
            <w:tcW w:w="0" w:type="auto"/>
            <w:tcBorders>
              <w:top w:val="single" w:sz="8" w:space="0" w:color="0071C5"/>
            </w:tcBorders>
            <w:shd w:val="clear" w:color="auto" w:fill="auto"/>
            <w:tcMar>
              <w:top w:w="40" w:type="dxa"/>
              <w:bottom w:w="40" w:type="dxa"/>
              <w:right w:w="20" w:type="dxa"/>
            </w:tcMar>
            <w:vAlign w:val="bottom"/>
          </w:tcPr>
          <w:p w14:paraId="36CA4300"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4301" w14:textId="77777777" w:rsidR="00787570" w:rsidRDefault="00787570">
            <w:pPr>
              <w:rPr>
                <w:rFonts w:ascii="宋体"/>
              </w:rPr>
            </w:pPr>
          </w:p>
        </w:tc>
        <w:tc>
          <w:tcPr>
            <w:tcW w:w="0" w:type="auto"/>
            <w:tcBorders>
              <w:top w:val="single" w:sz="8" w:space="0" w:color="0071C5"/>
            </w:tcBorders>
            <w:shd w:val="clear" w:color="auto" w:fill="auto"/>
            <w:tcMar>
              <w:top w:w="40" w:type="dxa"/>
              <w:left w:w="20" w:type="dxa"/>
              <w:bottom w:w="40" w:type="dxa"/>
            </w:tcMar>
            <w:vAlign w:val="bottom"/>
          </w:tcPr>
          <w:p w14:paraId="36CA4302" w14:textId="77777777" w:rsidR="00787570" w:rsidRDefault="000D56E2">
            <w:pPr>
              <w:textAlignment w:val="bottom"/>
            </w:pPr>
            <w:r>
              <w:rPr>
                <w:rFonts w:ascii="Arial" w:eastAsia="宋体" w:hAnsi="Arial" w:cs="Arial"/>
                <w:color w:val="333333"/>
                <w:sz w:val="18"/>
                <w:szCs w:val="18"/>
              </w:rPr>
              <w:t>$</w:t>
            </w:r>
          </w:p>
        </w:tc>
        <w:tc>
          <w:tcPr>
            <w:tcW w:w="0" w:type="auto"/>
            <w:tcBorders>
              <w:top w:val="single" w:sz="8" w:space="0" w:color="0071C5"/>
            </w:tcBorders>
            <w:shd w:val="clear" w:color="auto" w:fill="auto"/>
            <w:tcMar>
              <w:top w:w="40" w:type="dxa"/>
              <w:bottom w:w="40" w:type="dxa"/>
              <w:right w:w="0" w:type="dxa"/>
            </w:tcMar>
            <w:vAlign w:val="bottom"/>
          </w:tcPr>
          <w:p w14:paraId="36CA4303" w14:textId="77777777" w:rsidR="00787570" w:rsidRDefault="000D56E2">
            <w:pPr>
              <w:jc w:val="right"/>
              <w:textAlignment w:val="bottom"/>
            </w:pPr>
            <w:r>
              <w:rPr>
                <w:rFonts w:ascii="Arial" w:eastAsia="宋体" w:hAnsi="Arial" w:cs="Arial"/>
                <w:color w:val="333333"/>
                <w:sz w:val="18"/>
                <w:szCs w:val="18"/>
              </w:rPr>
              <w:t>(681)</w:t>
            </w:r>
          </w:p>
        </w:tc>
        <w:tc>
          <w:tcPr>
            <w:tcW w:w="0" w:type="auto"/>
            <w:tcBorders>
              <w:top w:val="single" w:sz="8" w:space="0" w:color="0071C5"/>
            </w:tcBorders>
            <w:shd w:val="clear" w:color="auto" w:fill="auto"/>
            <w:tcMar>
              <w:top w:w="40" w:type="dxa"/>
              <w:bottom w:w="40" w:type="dxa"/>
              <w:right w:w="20" w:type="dxa"/>
            </w:tcMar>
            <w:vAlign w:val="bottom"/>
          </w:tcPr>
          <w:p w14:paraId="36CA4304" w14:textId="77777777" w:rsidR="00787570" w:rsidRDefault="00787570">
            <w:pPr>
              <w:jc w:val="right"/>
              <w:rPr>
                <w:rFonts w:ascii="宋体"/>
              </w:rPr>
            </w:pPr>
          </w:p>
        </w:tc>
        <w:tc>
          <w:tcPr>
            <w:tcW w:w="0" w:type="auto"/>
            <w:shd w:val="clear" w:color="auto" w:fill="auto"/>
          </w:tcPr>
          <w:p w14:paraId="36CA4305" w14:textId="77777777" w:rsidR="00787570" w:rsidRDefault="00787570">
            <w:pPr>
              <w:rPr>
                <w:rFonts w:ascii="宋体"/>
                <w:vanish/>
              </w:rPr>
            </w:pPr>
          </w:p>
        </w:tc>
        <w:tc>
          <w:tcPr>
            <w:tcW w:w="0" w:type="auto"/>
            <w:shd w:val="clear" w:color="auto" w:fill="auto"/>
          </w:tcPr>
          <w:p w14:paraId="36CA4306" w14:textId="77777777" w:rsidR="00787570" w:rsidRDefault="00787570">
            <w:pPr>
              <w:rPr>
                <w:rFonts w:ascii="宋体"/>
              </w:rPr>
            </w:pPr>
          </w:p>
        </w:tc>
        <w:tc>
          <w:tcPr>
            <w:tcW w:w="0" w:type="auto"/>
            <w:shd w:val="clear" w:color="auto" w:fill="auto"/>
          </w:tcPr>
          <w:p w14:paraId="36CA4307" w14:textId="77777777" w:rsidR="00787570" w:rsidRDefault="00787570">
            <w:pPr>
              <w:rPr>
                <w:rFonts w:ascii="宋体"/>
              </w:rPr>
            </w:pPr>
          </w:p>
        </w:tc>
        <w:tc>
          <w:tcPr>
            <w:tcW w:w="0" w:type="auto"/>
            <w:shd w:val="clear" w:color="auto" w:fill="auto"/>
          </w:tcPr>
          <w:p w14:paraId="36CA4308" w14:textId="77777777" w:rsidR="00787570" w:rsidRDefault="00787570">
            <w:pPr>
              <w:rPr>
                <w:rFonts w:ascii="宋体"/>
              </w:rPr>
            </w:pPr>
          </w:p>
        </w:tc>
        <w:tc>
          <w:tcPr>
            <w:tcW w:w="0" w:type="auto"/>
            <w:shd w:val="clear" w:color="auto" w:fill="auto"/>
          </w:tcPr>
          <w:p w14:paraId="36CA4309" w14:textId="77777777" w:rsidR="00787570" w:rsidRDefault="00787570">
            <w:pPr>
              <w:rPr>
                <w:rFonts w:ascii="宋体"/>
              </w:rPr>
            </w:pPr>
          </w:p>
        </w:tc>
        <w:tc>
          <w:tcPr>
            <w:tcW w:w="0" w:type="auto"/>
            <w:shd w:val="clear" w:color="auto" w:fill="auto"/>
          </w:tcPr>
          <w:p w14:paraId="36CA430A" w14:textId="77777777" w:rsidR="00787570" w:rsidRDefault="00787570">
            <w:pPr>
              <w:rPr>
                <w:rFonts w:ascii="宋体"/>
              </w:rPr>
            </w:pPr>
          </w:p>
        </w:tc>
        <w:tc>
          <w:tcPr>
            <w:tcW w:w="0" w:type="auto"/>
            <w:shd w:val="clear" w:color="auto" w:fill="auto"/>
          </w:tcPr>
          <w:p w14:paraId="36CA430B" w14:textId="77777777" w:rsidR="00787570" w:rsidRDefault="00787570">
            <w:pPr>
              <w:rPr>
                <w:rFonts w:ascii="宋体"/>
              </w:rPr>
            </w:pPr>
          </w:p>
        </w:tc>
        <w:tc>
          <w:tcPr>
            <w:tcW w:w="0" w:type="auto"/>
            <w:shd w:val="clear" w:color="auto" w:fill="auto"/>
          </w:tcPr>
          <w:p w14:paraId="36CA430C" w14:textId="77777777" w:rsidR="00787570" w:rsidRDefault="00787570">
            <w:pPr>
              <w:rPr>
                <w:rFonts w:ascii="宋体"/>
              </w:rPr>
            </w:pPr>
          </w:p>
        </w:tc>
        <w:tc>
          <w:tcPr>
            <w:tcW w:w="0" w:type="auto"/>
            <w:shd w:val="clear" w:color="auto" w:fill="auto"/>
          </w:tcPr>
          <w:p w14:paraId="36CA430D" w14:textId="77777777" w:rsidR="00787570" w:rsidRDefault="00787570">
            <w:pPr>
              <w:rPr>
                <w:rFonts w:ascii="宋体"/>
              </w:rPr>
            </w:pPr>
          </w:p>
        </w:tc>
        <w:tc>
          <w:tcPr>
            <w:tcW w:w="0" w:type="auto"/>
            <w:shd w:val="clear" w:color="auto" w:fill="auto"/>
          </w:tcPr>
          <w:p w14:paraId="36CA430E" w14:textId="77777777" w:rsidR="00787570" w:rsidRDefault="00787570">
            <w:pPr>
              <w:rPr>
                <w:rFonts w:ascii="宋体"/>
              </w:rPr>
            </w:pPr>
          </w:p>
        </w:tc>
        <w:tc>
          <w:tcPr>
            <w:tcW w:w="0" w:type="auto"/>
            <w:shd w:val="clear" w:color="auto" w:fill="auto"/>
          </w:tcPr>
          <w:p w14:paraId="36CA430F" w14:textId="77777777" w:rsidR="00787570" w:rsidRDefault="00787570">
            <w:pPr>
              <w:rPr>
                <w:rFonts w:ascii="宋体"/>
              </w:rPr>
            </w:pPr>
          </w:p>
        </w:tc>
        <w:tc>
          <w:tcPr>
            <w:tcW w:w="0" w:type="auto"/>
            <w:shd w:val="clear" w:color="auto" w:fill="auto"/>
          </w:tcPr>
          <w:p w14:paraId="36CA4310" w14:textId="77777777" w:rsidR="00787570" w:rsidRDefault="00787570">
            <w:pPr>
              <w:rPr>
                <w:rFonts w:ascii="宋体"/>
              </w:rPr>
            </w:pPr>
          </w:p>
        </w:tc>
        <w:tc>
          <w:tcPr>
            <w:tcW w:w="0" w:type="auto"/>
            <w:shd w:val="clear" w:color="auto" w:fill="auto"/>
          </w:tcPr>
          <w:p w14:paraId="36CA4311" w14:textId="77777777" w:rsidR="00787570" w:rsidRDefault="00787570">
            <w:pPr>
              <w:rPr>
                <w:rFonts w:ascii="宋体"/>
              </w:rPr>
            </w:pPr>
          </w:p>
        </w:tc>
      </w:tr>
    </w:tbl>
    <w:p w14:paraId="36CA4313" w14:textId="77777777" w:rsidR="00787570" w:rsidRDefault="000D56E2">
      <w:pPr>
        <w:spacing w:before="300" w:after="180"/>
      </w:pPr>
      <w:r>
        <w:rPr>
          <w:rFonts w:ascii="Arial" w:eastAsia="宋体" w:hAnsi="Arial" w:cs="Arial"/>
          <w:color w:val="333333"/>
          <w:sz w:val="18"/>
          <w:szCs w:val="18"/>
        </w:rPr>
        <w:t xml:space="preserve">The total notional amount of pay-variable and receive-fixed interest rate swaps was $12.0 </w:t>
      </w:r>
      <w:r>
        <w:rPr>
          <w:rFonts w:ascii="Arial" w:eastAsia="宋体" w:hAnsi="Arial" w:cs="Arial"/>
          <w:color w:val="333333"/>
          <w:sz w:val="18"/>
          <w:szCs w:val="18"/>
        </w:rPr>
        <w:t>billion as of September 26, 2020 and as of December 28, 2019.</w:t>
      </w:r>
    </w:p>
    <w:p w14:paraId="36CA4314" w14:textId="77777777" w:rsidR="00787570" w:rsidRDefault="000D56E2">
      <w:pPr>
        <w:spacing w:after="180"/>
      </w:pPr>
      <w:r>
        <w:rPr>
          <w:rFonts w:ascii="Arial" w:eastAsia="宋体" w:hAnsi="Arial" w:cs="Arial"/>
          <w:b/>
          <w:bCs/>
          <w:color w:val="0071C5"/>
        </w:rPr>
        <w:t>DERIVATIVES NOT DESIGNATED AS HEDGING INSTRUMENTS</w:t>
      </w:r>
    </w:p>
    <w:p w14:paraId="36CA4315" w14:textId="77777777" w:rsidR="00787570" w:rsidRDefault="000D56E2">
      <w:pPr>
        <w:spacing w:after="120"/>
      </w:pPr>
      <w:r>
        <w:rPr>
          <w:rFonts w:ascii="Arial" w:eastAsia="宋体" w:hAnsi="Arial" w:cs="Arial"/>
          <w:color w:val="333333"/>
          <w:sz w:val="18"/>
          <w:szCs w:val="18"/>
        </w:rPr>
        <w:t>The effects of derivative instruments not designated as hedging instruments on the Consolidated Condensed Statements of Income for each period w</w:t>
      </w:r>
      <w:r>
        <w:rPr>
          <w:rFonts w:ascii="Arial" w:eastAsia="宋体" w:hAnsi="Arial" w:cs="Arial"/>
          <w:color w:val="333333"/>
          <w:sz w:val="18"/>
          <w:szCs w:val="18"/>
        </w:rPr>
        <w:t>ere as follows:</w:t>
      </w:r>
    </w:p>
    <w:tbl>
      <w:tblPr>
        <w:tblW w:w="5000" w:type="pct"/>
        <w:tblCellMar>
          <w:top w:w="15" w:type="dxa"/>
          <w:left w:w="15" w:type="dxa"/>
          <w:bottom w:w="15" w:type="dxa"/>
          <w:right w:w="15" w:type="dxa"/>
        </w:tblCellMar>
        <w:tblLook w:val="04A0" w:firstRow="1" w:lastRow="0" w:firstColumn="1" w:lastColumn="0" w:noHBand="0" w:noVBand="1"/>
      </w:tblPr>
      <w:tblGrid>
        <w:gridCol w:w="37"/>
        <w:gridCol w:w="1737"/>
        <w:gridCol w:w="36"/>
        <w:gridCol w:w="36"/>
        <w:gridCol w:w="36"/>
        <w:gridCol w:w="36"/>
        <w:gridCol w:w="37"/>
        <w:gridCol w:w="1781"/>
        <w:gridCol w:w="36"/>
        <w:gridCol w:w="36"/>
        <w:gridCol w:w="36"/>
        <w:gridCol w:w="36"/>
        <w:gridCol w:w="136"/>
        <w:gridCol w:w="748"/>
        <w:gridCol w:w="41"/>
        <w:gridCol w:w="36"/>
        <w:gridCol w:w="36"/>
        <w:gridCol w:w="36"/>
        <w:gridCol w:w="136"/>
        <w:gridCol w:w="748"/>
        <w:gridCol w:w="41"/>
        <w:gridCol w:w="36"/>
        <w:gridCol w:w="36"/>
        <w:gridCol w:w="36"/>
        <w:gridCol w:w="136"/>
        <w:gridCol w:w="748"/>
        <w:gridCol w:w="41"/>
        <w:gridCol w:w="36"/>
        <w:gridCol w:w="36"/>
        <w:gridCol w:w="36"/>
        <w:gridCol w:w="136"/>
        <w:gridCol w:w="748"/>
        <w:gridCol w:w="41"/>
        <w:gridCol w:w="36"/>
        <w:gridCol w:w="36"/>
        <w:gridCol w:w="36"/>
        <w:gridCol w:w="36"/>
        <w:gridCol w:w="36"/>
        <w:gridCol w:w="36"/>
        <w:gridCol w:w="36"/>
        <w:gridCol w:w="36"/>
        <w:gridCol w:w="36"/>
        <w:gridCol w:w="36"/>
        <w:gridCol w:w="36"/>
        <w:gridCol w:w="36"/>
      </w:tblGrid>
      <w:tr w:rsidR="00787570" w14:paraId="36CA4337" w14:textId="77777777">
        <w:trPr>
          <w:gridAfter w:val="12"/>
        </w:trPr>
        <w:tc>
          <w:tcPr>
            <w:tcW w:w="50" w:type="pct"/>
            <w:shd w:val="clear" w:color="auto" w:fill="auto"/>
          </w:tcPr>
          <w:p w14:paraId="36CA4316" w14:textId="77777777" w:rsidR="00787570" w:rsidRDefault="00787570">
            <w:pPr>
              <w:rPr>
                <w:rFonts w:ascii="宋体"/>
              </w:rPr>
            </w:pPr>
          </w:p>
        </w:tc>
        <w:tc>
          <w:tcPr>
            <w:tcW w:w="1140" w:type="pct"/>
            <w:shd w:val="clear" w:color="auto" w:fill="auto"/>
          </w:tcPr>
          <w:p w14:paraId="36CA4317" w14:textId="77777777" w:rsidR="00787570" w:rsidRDefault="00787570">
            <w:pPr>
              <w:rPr>
                <w:rFonts w:ascii="宋体"/>
              </w:rPr>
            </w:pPr>
          </w:p>
        </w:tc>
        <w:tc>
          <w:tcPr>
            <w:tcW w:w="5" w:type="pct"/>
            <w:shd w:val="clear" w:color="auto" w:fill="auto"/>
          </w:tcPr>
          <w:p w14:paraId="36CA4318" w14:textId="77777777" w:rsidR="00787570" w:rsidRDefault="00787570">
            <w:pPr>
              <w:rPr>
                <w:rFonts w:ascii="宋体"/>
              </w:rPr>
            </w:pPr>
          </w:p>
        </w:tc>
        <w:tc>
          <w:tcPr>
            <w:tcW w:w="5" w:type="pct"/>
            <w:shd w:val="clear" w:color="auto" w:fill="auto"/>
          </w:tcPr>
          <w:p w14:paraId="36CA4319" w14:textId="77777777" w:rsidR="00787570" w:rsidRDefault="00787570">
            <w:pPr>
              <w:rPr>
                <w:rFonts w:ascii="宋体"/>
              </w:rPr>
            </w:pPr>
          </w:p>
        </w:tc>
        <w:tc>
          <w:tcPr>
            <w:tcW w:w="24" w:type="pct"/>
            <w:shd w:val="clear" w:color="auto" w:fill="auto"/>
          </w:tcPr>
          <w:p w14:paraId="36CA431A" w14:textId="77777777" w:rsidR="00787570" w:rsidRDefault="00787570">
            <w:pPr>
              <w:rPr>
                <w:rFonts w:ascii="宋体"/>
              </w:rPr>
            </w:pPr>
          </w:p>
        </w:tc>
        <w:tc>
          <w:tcPr>
            <w:tcW w:w="5" w:type="pct"/>
            <w:shd w:val="clear" w:color="auto" w:fill="auto"/>
          </w:tcPr>
          <w:p w14:paraId="36CA431B" w14:textId="77777777" w:rsidR="00787570" w:rsidRDefault="00787570">
            <w:pPr>
              <w:rPr>
                <w:rFonts w:ascii="宋体"/>
              </w:rPr>
            </w:pPr>
          </w:p>
        </w:tc>
        <w:tc>
          <w:tcPr>
            <w:tcW w:w="50" w:type="pct"/>
            <w:shd w:val="clear" w:color="auto" w:fill="auto"/>
          </w:tcPr>
          <w:p w14:paraId="36CA431C" w14:textId="77777777" w:rsidR="00787570" w:rsidRDefault="00787570">
            <w:pPr>
              <w:rPr>
                <w:rFonts w:ascii="宋体"/>
              </w:rPr>
            </w:pPr>
          </w:p>
        </w:tc>
        <w:tc>
          <w:tcPr>
            <w:tcW w:w="1201" w:type="pct"/>
            <w:shd w:val="clear" w:color="auto" w:fill="auto"/>
          </w:tcPr>
          <w:p w14:paraId="36CA431D" w14:textId="77777777" w:rsidR="00787570" w:rsidRDefault="00787570">
            <w:pPr>
              <w:rPr>
                <w:rFonts w:ascii="宋体"/>
              </w:rPr>
            </w:pPr>
          </w:p>
        </w:tc>
        <w:tc>
          <w:tcPr>
            <w:tcW w:w="5" w:type="pct"/>
            <w:shd w:val="clear" w:color="auto" w:fill="auto"/>
          </w:tcPr>
          <w:p w14:paraId="36CA431E" w14:textId="77777777" w:rsidR="00787570" w:rsidRDefault="00787570">
            <w:pPr>
              <w:rPr>
                <w:rFonts w:ascii="宋体"/>
              </w:rPr>
            </w:pPr>
          </w:p>
        </w:tc>
        <w:tc>
          <w:tcPr>
            <w:tcW w:w="5" w:type="pct"/>
            <w:shd w:val="clear" w:color="auto" w:fill="auto"/>
          </w:tcPr>
          <w:p w14:paraId="36CA431F" w14:textId="77777777" w:rsidR="00787570" w:rsidRDefault="00787570">
            <w:pPr>
              <w:rPr>
                <w:rFonts w:ascii="宋体"/>
              </w:rPr>
            </w:pPr>
          </w:p>
        </w:tc>
        <w:tc>
          <w:tcPr>
            <w:tcW w:w="24" w:type="pct"/>
            <w:shd w:val="clear" w:color="auto" w:fill="auto"/>
          </w:tcPr>
          <w:p w14:paraId="36CA4320" w14:textId="77777777" w:rsidR="00787570" w:rsidRDefault="00787570">
            <w:pPr>
              <w:rPr>
                <w:rFonts w:ascii="宋体"/>
              </w:rPr>
            </w:pPr>
          </w:p>
        </w:tc>
        <w:tc>
          <w:tcPr>
            <w:tcW w:w="5" w:type="pct"/>
            <w:shd w:val="clear" w:color="auto" w:fill="auto"/>
          </w:tcPr>
          <w:p w14:paraId="36CA4321" w14:textId="77777777" w:rsidR="00787570" w:rsidRDefault="00787570">
            <w:pPr>
              <w:rPr>
                <w:rFonts w:ascii="宋体"/>
              </w:rPr>
            </w:pPr>
          </w:p>
        </w:tc>
        <w:tc>
          <w:tcPr>
            <w:tcW w:w="50" w:type="pct"/>
            <w:shd w:val="clear" w:color="auto" w:fill="auto"/>
          </w:tcPr>
          <w:p w14:paraId="36CA4322" w14:textId="77777777" w:rsidR="00787570" w:rsidRDefault="00787570">
            <w:pPr>
              <w:rPr>
                <w:rFonts w:ascii="宋体"/>
              </w:rPr>
            </w:pPr>
          </w:p>
        </w:tc>
        <w:tc>
          <w:tcPr>
            <w:tcW w:w="539" w:type="pct"/>
            <w:shd w:val="clear" w:color="auto" w:fill="auto"/>
          </w:tcPr>
          <w:p w14:paraId="36CA4323" w14:textId="77777777" w:rsidR="00787570" w:rsidRDefault="00787570">
            <w:pPr>
              <w:rPr>
                <w:rFonts w:ascii="宋体"/>
              </w:rPr>
            </w:pPr>
          </w:p>
        </w:tc>
        <w:tc>
          <w:tcPr>
            <w:tcW w:w="5" w:type="pct"/>
            <w:shd w:val="clear" w:color="auto" w:fill="auto"/>
          </w:tcPr>
          <w:p w14:paraId="36CA4324" w14:textId="77777777" w:rsidR="00787570" w:rsidRDefault="00787570">
            <w:pPr>
              <w:rPr>
                <w:rFonts w:ascii="宋体"/>
              </w:rPr>
            </w:pPr>
          </w:p>
        </w:tc>
        <w:tc>
          <w:tcPr>
            <w:tcW w:w="5" w:type="pct"/>
            <w:shd w:val="clear" w:color="auto" w:fill="auto"/>
          </w:tcPr>
          <w:p w14:paraId="36CA4325" w14:textId="77777777" w:rsidR="00787570" w:rsidRDefault="00787570">
            <w:pPr>
              <w:rPr>
                <w:rFonts w:ascii="宋体"/>
              </w:rPr>
            </w:pPr>
          </w:p>
        </w:tc>
        <w:tc>
          <w:tcPr>
            <w:tcW w:w="24" w:type="pct"/>
            <w:shd w:val="clear" w:color="auto" w:fill="auto"/>
          </w:tcPr>
          <w:p w14:paraId="36CA4326" w14:textId="77777777" w:rsidR="00787570" w:rsidRDefault="00787570">
            <w:pPr>
              <w:rPr>
                <w:rFonts w:ascii="宋体"/>
              </w:rPr>
            </w:pPr>
          </w:p>
        </w:tc>
        <w:tc>
          <w:tcPr>
            <w:tcW w:w="5" w:type="pct"/>
            <w:shd w:val="clear" w:color="auto" w:fill="auto"/>
          </w:tcPr>
          <w:p w14:paraId="36CA4327" w14:textId="77777777" w:rsidR="00787570" w:rsidRDefault="00787570">
            <w:pPr>
              <w:rPr>
                <w:rFonts w:ascii="宋体"/>
              </w:rPr>
            </w:pPr>
          </w:p>
        </w:tc>
        <w:tc>
          <w:tcPr>
            <w:tcW w:w="50" w:type="pct"/>
            <w:shd w:val="clear" w:color="auto" w:fill="auto"/>
          </w:tcPr>
          <w:p w14:paraId="36CA4328" w14:textId="77777777" w:rsidR="00787570" w:rsidRDefault="00787570">
            <w:pPr>
              <w:rPr>
                <w:rFonts w:ascii="宋体"/>
              </w:rPr>
            </w:pPr>
          </w:p>
        </w:tc>
        <w:tc>
          <w:tcPr>
            <w:tcW w:w="539" w:type="pct"/>
            <w:shd w:val="clear" w:color="auto" w:fill="auto"/>
          </w:tcPr>
          <w:p w14:paraId="36CA4329" w14:textId="77777777" w:rsidR="00787570" w:rsidRDefault="00787570">
            <w:pPr>
              <w:rPr>
                <w:rFonts w:ascii="宋体"/>
              </w:rPr>
            </w:pPr>
          </w:p>
        </w:tc>
        <w:tc>
          <w:tcPr>
            <w:tcW w:w="5" w:type="pct"/>
            <w:shd w:val="clear" w:color="auto" w:fill="auto"/>
          </w:tcPr>
          <w:p w14:paraId="36CA432A" w14:textId="77777777" w:rsidR="00787570" w:rsidRDefault="00787570">
            <w:pPr>
              <w:rPr>
                <w:rFonts w:ascii="宋体"/>
              </w:rPr>
            </w:pPr>
          </w:p>
        </w:tc>
        <w:tc>
          <w:tcPr>
            <w:tcW w:w="5" w:type="pct"/>
            <w:shd w:val="clear" w:color="auto" w:fill="auto"/>
          </w:tcPr>
          <w:p w14:paraId="36CA432B" w14:textId="77777777" w:rsidR="00787570" w:rsidRDefault="00787570">
            <w:pPr>
              <w:rPr>
                <w:rFonts w:ascii="宋体"/>
              </w:rPr>
            </w:pPr>
          </w:p>
        </w:tc>
        <w:tc>
          <w:tcPr>
            <w:tcW w:w="24" w:type="pct"/>
            <w:shd w:val="clear" w:color="auto" w:fill="auto"/>
          </w:tcPr>
          <w:p w14:paraId="36CA432C" w14:textId="77777777" w:rsidR="00787570" w:rsidRDefault="00787570">
            <w:pPr>
              <w:rPr>
                <w:rFonts w:ascii="宋体"/>
              </w:rPr>
            </w:pPr>
          </w:p>
        </w:tc>
        <w:tc>
          <w:tcPr>
            <w:tcW w:w="5" w:type="pct"/>
            <w:shd w:val="clear" w:color="auto" w:fill="auto"/>
          </w:tcPr>
          <w:p w14:paraId="36CA432D" w14:textId="77777777" w:rsidR="00787570" w:rsidRDefault="00787570">
            <w:pPr>
              <w:rPr>
                <w:rFonts w:ascii="宋体"/>
              </w:rPr>
            </w:pPr>
          </w:p>
        </w:tc>
        <w:tc>
          <w:tcPr>
            <w:tcW w:w="50" w:type="pct"/>
            <w:shd w:val="clear" w:color="auto" w:fill="auto"/>
          </w:tcPr>
          <w:p w14:paraId="36CA432E" w14:textId="77777777" w:rsidR="00787570" w:rsidRDefault="00787570">
            <w:pPr>
              <w:rPr>
                <w:rFonts w:ascii="宋体"/>
              </w:rPr>
            </w:pPr>
          </w:p>
        </w:tc>
        <w:tc>
          <w:tcPr>
            <w:tcW w:w="539" w:type="pct"/>
            <w:shd w:val="clear" w:color="auto" w:fill="auto"/>
          </w:tcPr>
          <w:p w14:paraId="36CA432F" w14:textId="77777777" w:rsidR="00787570" w:rsidRDefault="00787570">
            <w:pPr>
              <w:rPr>
                <w:rFonts w:ascii="宋体"/>
              </w:rPr>
            </w:pPr>
          </w:p>
        </w:tc>
        <w:tc>
          <w:tcPr>
            <w:tcW w:w="5" w:type="pct"/>
            <w:shd w:val="clear" w:color="auto" w:fill="auto"/>
          </w:tcPr>
          <w:p w14:paraId="36CA4330" w14:textId="77777777" w:rsidR="00787570" w:rsidRDefault="00787570">
            <w:pPr>
              <w:rPr>
                <w:rFonts w:ascii="宋体"/>
              </w:rPr>
            </w:pPr>
          </w:p>
        </w:tc>
        <w:tc>
          <w:tcPr>
            <w:tcW w:w="5" w:type="pct"/>
            <w:shd w:val="clear" w:color="auto" w:fill="auto"/>
          </w:tcPr>
          <w:p w14:paraId="36CA4331" w14:textId="77777777" w:rsidR="00787570" w:rsidRDefault="00787570">
            <w:pPr>
              <w:rPr>
                <w:rFonts w:ascii="宋体"/>
              </w:rPr>
            </w:pPr>
          </w:p>
        </w:tc>
        <w:tc>
          <w:tcPr>
            <w:tcW w:w="24" w:type="pct"/>
            <w:shd w:val="clear" w:color="auto" w:fill="auto"/>
          </w:tcPr>
          <w:p w14:paraId="36CA4332" w14:textId="77777777" w:rsidR="00787570" w:rsidRDefault="00787570">
            <w:pPr>
              <w:rPr>
                <w:rFonts w:ascii="宋体"/>
              </w:rPr>
            </w:pPr>
          </w:p>
        </w:tc>
        <w:tc>
          <w:tcPr>
            <w:tcW w:w="5" w:type="pct"/>
            <w:shd w:val="clear" w:color="auto" w:fill="auto"/>
          </w:tcPr>
          <w:p w14:paraId="36CA4333" w14:textId="77777777" w:rsidR="00787570" w:rsidRDefault="00787570">
            <w:pPr>
              <w:rPr>
                <w:rFonts w:ascii="宋体"/>
              </w:rPr>
            </w:pPr>
          </w:p>
        </w:tc>
        <w:tc>
          <w:tcPr>
            <w:tcW w:w="50" w:type="pct"/>
            <w:shd w:val="clear" w:color="auto" w:fill="auto"/>
          </w:tcPr>
          <w:p w14:paraId="36CA4334" w14:textId="77777777" w:rsidR="00787570" w:rsidRDefault="00787570">
            <w:pPr>
              <w:rPr>
                <w:rFonts w:ascii="宋体"/>
              </w:rPr>
            </w:pPr>
          </w:p>
        </w:tc>
        <w:tc>
          <w:tcPr>
            <w:tcW w:w="539" w:type="pct"/>
            <w:shd w:val="clear" w:color="auto" w:fill="auto"/>
          </w:tcPr>
          <w:p w14:paraId="36CA4335" w14:textId="77777777" w:rsidR="00787570" w:rsidRDefault="00787570">
            <w:pPr>
              <w:rPr>
                <w:rFonts w:ascii="宋体"/>
              </w:rPr>
            </w:pPr>
          </w:p>
        </w:tc>
        <w:tc>
          <w:tcPr>
            <w:tcW w:w="5" w:type="pct"/>
            <w:shd w:val="clear" w:color="auto" w:fill="auto"/>
          </w:tcPr>
          <w:p w14:paraId="36CA4336" w14:textId="77777777" w:rsidR="00787570" w:rsidRDefault="00787570">
            <w:pPr>
              <w:rPr>
                <w:rFonts w:ascii="宋体"/>
              </w:rPr>
            </w:pPr>
          </w:p>
        </w:tc>
      </w:tr>
      <w:tr w:rsidR="00787570" w14:paraId="36CA4343" w14:textId="77777777">
        <w:tc>
          <w:tcPr>
            <w:tcW w:w="0" w:type="auto"/>
            <w:gridSpan w:val="3"/>
            <w:shd w:val="clear" w:color="auto" w:fill="auto"/>
            <w:tcMar>
              <w:top w:w="40" w:type="dxa"/>
              <w:left w:w="20" w:type="dxa"/>
              <w:bottom w:w="40" w:type="dxa"/>
              <w:right w:w="20" w:type="dxa"/>
            </w:tcMar>
            <w:vAlign w:val="bottom"/>
          </w:tcPr>
          <w:p w14:paraId="36CA4338" w14:textId="77777777" w:rsidR="00787570" w:rsidRDefault="000D56E2">
            <w:pPr>
              <w:ind w:hanging="180"/>
              <w:textAlignment w:val="bottom"/>
            </w:pPr>
            <w:r>
              <w:rPr>
                <w:rFonts w:ascii="Arial" w:eastAsia="宋体" w:hAnsi="Arial" w:cs="Arial"/>
                <w:b/>
                <w:bCs/>
                <w:color w:val="333333"/>
                <w:sz w:val="18"/>
                <w:szCs w:val="18"/>
              </w:rPr>
              <w:t> </w:t>
            </w:r>
          </w:p>
        </w:tc>
        <w:tc>
          <w:tcPr>
            <w:tcW w:w="0" w:type="auto"/>
            <w:gridSpan w:val="3"/>
            <w:shd w:val="clear" w:color="auto" w:fill="auto"/>
            <w:tcMar>
              <w:left w:w="20" w:type="dxa"/>
              <w:right w:w="20" w:type="dxa"/>
            </w:tcMar>
            <w:vAlign w:val="bottom"/>
          </w:tcPr>
          <w:p w14:paraId="36CA4339" w14:textId="77777777" w:rsidR="00787570" w:rsidRDefault="00787570">
            <w:pPr>
              <w:rPr>
                <w:rFonts w:ascii="宋体"/>
              </w:rPr>
            </w:pPr>
          </w:p>
        </w:tc>
        <w:tc>
          <w:tcPr>
            <w:tcW w:w="0" w:type="auto"/>
            <w:gridSpan w:val="3"/>
            <w:shd w:val="clear" w:color="auto" w:fill="auto"/>
            <w:tcMar>
              <w:top w:w="40" w:type="dxa"/>
              <w:left w:w="20" w:type="dxa"/>
              <w:bottom w:w="40" w:type="dxa"/>
              <w:right w:w="20" w:type="dxa"/>
            </w:tcMar>
            <w:vAlign w:val="bottom"/>
          </w:tcPr>
          <w:p w14:paraId="36CA433A" w14:textId="77777777" w:rsidR="00787570" w:rsidRDefault="000D56E2">
            <w:pPr>
              <w:ind w:hanging="180"/>
              <w:textAlignment w:val="bottom"/>
            </w:pPr>
            <w:r>
              <w:rPr>
                <w:rFonts w:ascii="Arial" w:eastAsia="宋体" w:hAnsi="Arial" w:cs="Arial"/>
                <w:b/>
                <w:bCs/>
                <w:color w:val="333333"/>
                <w:sz w:val="18"/>
                <w:szCs w:val="18"/>
              </w:rPr>
              <w:t> </w:t>
            </w:r>
          </w:p>
        </w:tc>
        <w:tc>
          <w:tcPr>
            <w:tcW w:w="0" w:type="auto"/>
            <w:gridSpan w:val="3"/>
            <w:shd w:val="clear" w:color="auto" w:fill="auto"/>
            <w:tcMar>
              <w:left w:w="20" w:type="dxa"/>
              <w:right w:w="20" w:type="dxa"/>
            </w:tcMar>
            <w:vAlign w:val="bottom"/>
          </w:tcPr>
          <w:p w14:paraId="36CA433B" w14:textId="77777777" w:rsidR="00787570" w:rsidRDefault="00787570">
            <w:pPr>
              <w:rPr>
                <w:rFonts w:ascii="宋体"/>
              </w:rPr>
            </w:pPr>
          </w:p>
        </w:tc>
        <w:tc>
          <w:tcPr>
            <w:tcW w:w="0" w:type="auto"/>
            <w:gridSpan w:val="9"/>
            <w:shd w:val="clear" w:color="auto" w:fill="auto"/>
            <w:tcMar>
              <w:top w:w="40" w:type="dxa"/>
              <w:left w:w="20" w:type="dxa"/>
              <w:bottom w:w="40" w:type="dxa"/>
              <w:right w:w="20" w:type="dxa"/>
            </w:tcMar>
            <w:vAlign w:val="bottom"/>
          </w:tcPr>
          <w:p w14:paraId="36CA433C" w14:textId="77777777" w:rsidR="00787570" w:rsidRDefault="000D56E2">
            <w:pPr>
              <w:jc w:val="center"/>
              <w:textAlignment w:val="bottom"/>
            </w:pPr>
            <w:r>
              <w:rPr>
                <w:rFonts w:ascii="Arial" w:eastAsia="宋体" w:hAnsi="Arial" w:cs="Arial"/>
                <w:b/>
                <w:bCs/>
                <w:color w:val="333333"/>
                <w:sz w:val="18"/>
                <w:szCs w:val="18"/>
              </w:rPr>
              <w:t>Three Months Ended</w:t>
            </w:r>
          </w:p>
        </w:tc>
        <w:tc>
          <w:tcPr>
            <w:tcW w:w="0" w:type="auto"/>
            <w:gridSpan w:val="3"/>
            <w:shd w:val="clear" w:color="auto" w:fill="auto"/>
          </w:tcPr>
          <w:p w14:paraId="36CA433D" w14:textId="77777777" w:rsidR="00787570" w:rsidRDefault="00787570">
            <w:pPr>
              <w:rPr>
                <w:rFonts w:ascii="宋体"/>
                <w:vanish/>
              </w:rPr>
            </w:pPr>
          </w:p>
        </w:tc>
        <w:tc>
          <w:tcPr>
            <w:tcW w:w="0" w:type="auto"/>
            <w:gridSpan w:val="3"/>
            <w:shd w:val="clear" w:color="auto" w:fill="auto"/>
          </w:tcPr>
          <w:p w14:paraId="36CA433E" w14:textId="77777777" w:rsidR="00787570" w:rsidRDefault="00787570">
            <w:pPr>
              <w:rPr>
                <w:rFonts w:ascii="宋体"/>
                <w:vanish/>
              </w:rPr>
            </w:pPr>
          </w:p>
        </w:tc>
        <w:tc>
          <w:tcPr>
            <w:tcW w:w="0" w:type="auto"/>
            <w:gridSpan w:val="3"/>
            <w:shd w:val="clear" w:color="auto" w:fill="auto"/>
            <w:tcMar>
              <w:left w:w="20" w:type="dxa"/>
              <w:right w:w="20" w:type="dxa"/>
            </w:tcMar>
            <w:vAlign w:val="bottom"/>
          </w:tcPr>
          <w:p w14:paraId="36CA433F" w14:textId="77777777" w:rsidR="00787570" w:rsidRDefault="00787570">
            <w:pPr>
              <w:rPr>
                <w:rFonts w:ascii="宋体"/>
              </w:rPr>
            </w:pPr>
          </w:p>
        </w:tc>
        <w:tc>
          <w:tcPr>
            <w:tcW w:w="0" w:type="auto"/>
            <w:gridSpan w:val="9"/>
            <w:shd w:val="clear" w:color="auto" w:fill="auto"/>
            <w:tcMar>
              <w:top w:w="40" w:type="dxa"/>
              <w:left w:w="20" w:type="dxa"/>
              <w:bottom w:w="40" w:type="dxa"/>
              <w:right w:w="20" w:type="dxa"/>
            </w:tcMar>
            <w:vAlign w:val="bottom"/>
          </w:tcPr>
          <w:p w14:paraId="36CA4340" w14:textId="77777777" w:rsidR="00787570" w:rsidRDefault="000D56E2">
            <w:pPr>
              <w:jc w:val="center"/>
              <w:textAlignment w:val="bottom"/>
            </w:pPr>
            <w:r>
              <w:rPr>
                <w:rFonts w:ascii="Arial" w:eastAsia="宋体" w:hAnsi="Arial" w:cs="Arial"/>
                <w:b/>
                <w:bCs/>
                <w:color w:val="333333"/>
                <w:sz w:val="18"/>
                <w:szCs w:val="18"/>
              </w:rPr>
              <w:t>Nine Months Ended</w:t>
            </w:r>
          </w:p>
        </w:tc>
        <w:tc>
          <w:tcPr>
            <w:tcW w:w="0" w:type="auto"/>
            <w:gridSpan w:val="3"/>
            <w:shd w:val="clear" w:color="auto" w:fill="auto"/>
          </w:tcPr>
          <w:p w14:paraId="36CA4341" w14:textId="77777777" w:rsidR="00787570" w:rsidRDefault="00787570">
            <w:pPr>
              <w:rPr>
                <w:rFonts w:ascii="宋体"/>
                <w:vanish/>
              </w:rPr>
            </w:pPr>
          </w:p>
        </w:tc>
        <w:tc>
          <w:tcPr>
            <w:tcW w:w="0" w:type="auto"/>
            <w:gridSpan w:val="3"/>
            <w:shd w:val="clear" w:color="auto" w:fill="auto"/>
          </w:tcPr>
          <w:p w14:paraId="36CA4342" w14:textId="77777777" w:rsidR="00787570" w:rsidRDefault="00787570">
            <w:pPr>
              <w:rPr>
                <w:rFonts w:ascii="宋体"/>
                <w:vanish/>
              </w:rPr>
            </w:pPr>
          </w:p>
        </w:tc>
      </w:tr>
      <w:tr w:rsidR="00787570" w14:paraId="36CA435C" w14:textId="77777777">
        <w:tc>
          <w:tcPr>
            <w:tcW w:w="0" w:type="auto"/>
            <w:gridSpan w:val="3"/>
            <w:shd w:val="clear" w:color="auto" w:fill="auto"/>
            <w:tcMar>
              <w:top w:w="40" w:type="dxa"/>
              <w:left w:w="20" w:type="dxa"/>
              <w:bottom w:w="40" w:type="dxa"/>
              <w:right w:w="20" w:type="dxa"/>
            </w:tcMar>
            <w:vAlign w:val="bottom"/>
          </w:tcPr>
          <w:p w14:paraId="36CA4344" w14:textId="77777777" w:rsidR="00787570" w:rsidRDefault="000D56E2">
            <w:pPr>
              <w:ind w:hanging="180"/>
              <w:textAlignment w:val="bottom"/>
            </w:pPr>
            <w:r>
              <w:rPr>
                <w:rFonts w:ascii="Arial" w:eastAsia="宋体" w:hAnsi="Arial" w:cs="Arial"/>
                <w:b/>
                <w:bCs/>
                <w:color w:val="333333"/>
                <w:sz w:val="18"/>
                <w:szCs w:val="18"/>
              </w:rPr>
              <w:t>(In Millions)</w:t>
            </w:r>
          </w:p>
        </w:tc>
        <w:tc>
          <w:tcPr>
            <w:tcW w:w="0" w:type="auto"/>
            <w:gridSpan w:val="3"/>
            <w:shd w:val="clear" w:color="auto" w:fill="auto"/>
            <w:tcMar>
              <w:left w:w="20" w:type="dxa"/>
              <w:right w:w="20" w:type="dxa"/>
            </w:tcMar>
            <w:vAlign w:val="bottom"/>
          </w:tcPr>
          <w:p w14:paraId="36CA4345" w14:textId="77777777" w:rsidR="00787570" w:rsidRDefault="00787570">
            <w:pPr>
              <w:rPr>
                <w:rFonts w:ascii="宋体"/>
              </w:rPr>
            </w:pPr>
          </w:p>
        </w:tc>
        <w:tc>
          <w:tcPr>
            <w:tcW w:w="0" w:type="auto"/>
            <w:gridSpan w:val="3"/>
            <w:shd w:val="clear" w:color="auto" w:fill="auto"/>
            <w:tcMar>
              <w:top w:w="40" w:type="dxa"/>
              <w:left w:w="20" w:type="dxa"/>
              <w:bottom w:w="40" w:type="dxa"/>
              <w:right w:w="20" w:type="dxa"/>
            </w:tcMar>
            <w:vAlign w:val="bottom"/>
          </w:tcPr>
          <w:p w14:paraId="36CA4346" w14:textId="77777777" w:rsidR="00787570" w:rsidRDefault="000D56E2">
            <w:pPr>
              <w:ind w:hanging="180"/>
              <w:jc w:val="center"/>
              <w:textAlignment w:val="bottom"/>
            </w:pPr>
            <w:r>
              <w:rPr>
                <w:rFonts w:ascii="Arial" w:eastAsia="宋体" w:hAnsi="Arial" w:cs="Arial"/>
                <w:b/>
                <w:bCs/>
                <w:color w:val="333333"/>
                <w:sz w:val="18"/>
                <w:szCs w:val="18"/>
              </w:rPr>
              <w:t>Location of Gains (Losses)</w:t>
            </w:r>
          </w:p>
          <w:p w14:paraId="36CA4347" w14:textId="77777777" w:rsidR="00787570" w:rsidRDefault="000D56E2">
            <w:pPr>
              <w:ind w:hanging="180"/>
              <w:jc w:val="center"/>
              <w:textAlignment w:val="bottom"/>
            </w:pPr>
            <w:r>
              <w:rPr>
                <w:rFonts w:ascii="Arial" w:eastAsia="宋体" w:hAnsi="Arial" w:cs="Arial"/>
                <w:b/>
                <w:bCs/>
                <w:color w:val="333333"/>
                <w:sz w:val="18"/>
                <w:szCs w:val="18"/>
              </w:rPr>
              <w:t>Recognized in Income on Derivatives</w:t>
            </w:r>
          </w:p>
        </w:tc>
        <w:tc>
          <w:tcPr>
            <w:tcW w:w="0" w:type="auto"/>
            <w:gridSpan w:val="3"/>
            <w:shd w:val="clear" w:color="auto" w:fill="auto"/>
            <w:tcMar>
              <w:left w:w="20" w:type="dxa"/>
              <w:right w:w="20" w:type="dxa"/>
            </w:tcMar>
            <w:vAlign w:val="bottom"/>
          </w:tcPr>
          <w:p w14:paraId="36CA4348" w14:textId="77777777" w:rsidR="00787570" w:rsidRDefault="00787570">
            <w:pPr>
              <w:rPr>
                <w:rFonts w:ascii="宋体"/>
              </w:rPr>
            </w:pPr>
          </w:p>
        </w:tc>
        <w:tc>
          <w:tcPr>
            <w:tcW w:w="0" w:type="auto"/>
            <w:gridSpan w:val="3"/>
            <w:tcBorders>
              <w:top w:val="single" w:sz="8" w:space="0" w:color="0071C5"/>
            </w:tcBorders>
            <w:shd w:val="clear" w:color="auto" w:fill="auto"/>
            <w:tcMar>
              <w:top w:w="40" w:type="dxa"/>
              <w:left w:w="20" w:type="dxa"/>
              <w:bottom w:w="40" w:type="dxa"/>
              <w:right w:w="20" w:type="dxa"/>
            </w:tcMar>
            <w:vAlign w:val="bottom"/>
          </w:tcPr>
          <w:p w14:paraId="36CA4349" w14:textId="77777777" w:rsidR="00787570" w:rsidRDefault="000D56E2">
            <w:pPr>
              <w:jc w:val="center"/>
              <w:textAlignment w:val="bottom"/>
            </w:pPr>
            <w:r>
              <w:rPr>
                <w:rFonts w:ascii="Arial" w:eastAsia="宋体" w:hAnsi="Arial" w:cs="Arial"/>
                <w:b/>
                <w:bCs/>
                <w:color w:val="333333"/>
                <w:sz w:val="18"/>
                <w:szCs w:val="18"/>
              </w:rPr>
              <w:t xml:space="preserve">Sep 26, </w:t>
            </w:r>
            <w:r>
              <w:rPr>
                <w:rFonts w:ascii="Arial" w:eastAsia="宋体" w:hAnsi="Arial" w:cs="Arial"/>
                <w:b/>
                <w:bCs/>
                <w:color w:val="333333"/>
                <w:sz w:val="18"/>
                <w:szCs w:val="18"/>
              </w:rPr>
              <w:t>2020</w:t>
            </w:r>
          </w:p>
        </w:tc>
        <w:tc>
          <w:tcPr>
            <w:tcW w:w="0" w:type="auto"/>
            <w:gridSpan w:val="3"/>
            <w:tcBorders>
              <w:top w:val="single" w:sz="8" w:space="0" w:color="0071C5"/>
            </w:tcBorders>
            <w:shd w:val="clear" w:color="auto" w:fill="auto"/>
            <w:tcMar>
              <w:left w:w="20" w:type="dxa"/>
              <w:right w:w="20" w:type="dxa"/>
            </w:tcMar>
            <w:vAlign w:val="bottom"/>
          </w:tcPr>
          <w:p w14:paraId="36CA434A" w14:textId="77777777" w:rsidR="00787570" w:rsidRDefault="00787570">
            <w:pPr>
              <w:rPr>
                <w:rFonts w:ascii="宋体"/>
              </w:rPr>
            </w:pPr>
          </w:p>
        </w:tc>
        <w:tc>
          <w:tcPr>
            <w:tcW w:w="0" w:type="auto"/>
            <w:gridSpan w:val="3"/>
            <w:tcBorders>
              <w:top w:val="single" w:sz="8" w:space="0" w:color="0071C5"/>
            </w:tcBorders>
            <w:shd w:val="clear" w:color="auto" w:fill="auto"/>
            <w:tcMar>
              <w:top w:w="40" w:type="dxa"/>
              <w:left w:w="20" w:type="dxa"/>
              <w:bottom w:w="40" w:type="dxa"/>
              <w:right w:w="20" w:type="dxa"/>
            </w:tcMar>
            <w:vAlign w:val="bottom"/>
          </w:tcPr>
          <w:p w14:paraId="36CA434B" w14:textId="77777777" w:rsidR="00787570" w:rsidRDefault="000D56E2">
            <w:pPr>
              <w:jc w:val="center"/>
              <w:textAlignment w:val="bottom"/>
            </w:pPr>
            <w:r>
              <w:rPr>
                <w:rFonts w:ascii="Arial" w:eastAsia="宋体" w:hAnsi="Arial" w:cs="Arial"/>
                <w:b/>
                <w:bCs/>
                <w:color w:val="333333"/>
                <w:sz w:val="18"/>
                <w:szCs w:val="18"/>
              </w:rPr>
              <w:t>Sep 28, 2019</w:t>
            </w:r>
          </w:p>
        </w:tc>
        <w:tc>
          <w:tcPr>
            <w:tcW w:w="0" w:type="auto"/>
            <w:gridSpan w:val="3"/>
            <w:shd w:val="clear" w:color="auto" w:fill="auto"/>
            <w:tcMar>
              <w:left w:w="20" w:type="dxa"/>
              <w:right w:w="20" w:type="dxa"/>
            </w:tcMar>
            <w:vAlign w:val="bottom"/>
          </w:tcPr>
          <w:p w14:paraId="36CA434C" w14:textId="77777777" w:rsidR="00787570" w:rsidRDefault="00787570">
            <w:pPr>
              <w:rPr>
                <w:rFonts w:ascii="宋体"/>
              </w:rPr>
            </w:pPr>
          </w:p>
        </w:tc>
        <w:tc>
          <w:tcPr>
            <w:tcW w:w="0" w:type="auto"/>
            <w:gridSpan w:val="3"/>
            <w:tcBorders>
              <w:top w:val="single" w:sz="8" w:space="0" w:color="0071C5"/>
            </w:tcBorders>
            <w:shd w:val="clear" w:color="auto" w:fill="auto"/>
            <w:tcMar>
              <w:top w:w="40" w:type="dxa"/>
              <w:left w:w="20" w:type="dxa"/>
              <w:bottom w:w="40" w:type="dxa"/>
              <w:right w:w="20" w:type="dxa"/>
            </w:tcMar>
            <w:vAlign w:val="bottom"/>
          </w:tcPr>
          <w:p w14:paraId="36CA434D" w14:textId="77777777" w:rsidR="00787570" w:rsidRDefault="000D56E2">
            <w:pPr>
              <w:jc w:val="center"/>
              <w:textAlignment w:val="bottom"/>
            </w:pPr>
            <w:r>
              <w:rPr>
                <w:rFonts w:ascii="Arial" w:eastAsia="宋体" w:hAnsi="Arial" w:cs="Arial"/>
                <w:b/>
                <w:bCs/>
                <w:color w:val="333333"/>
                <w:sz w:val="18"/>
                <w:szCs w:val="18"/>
              </w:rPr>
              <w:t>Sep 26, 2020</w:t>
            </w:r>
          </w:p>
        </w:tc>
        <w:tc>
          <w:tcPr>
            <w:tcW w:w="0" w:type="auto"/>
            <w:gridSpan w:val="3"/>
            <w:tcBorders>
              <w:top w:val="single" w:sz="8" w:space="0" w:color="0071C5"/>
            </w:tcBorders>
            <w:shd w:val="clear" w:color="auto" w:fill="auto"/>
            <w:tcMar>
              <w:left w:w="20" w:type="dxa"/>
              <w:right w:w="20" w:type="dxa"/>
            </w:tcMar>
            <w:vAlign w:val="bottom"/>
          </w:tcPr>
          <w:p w14:paraId="36CA434E" w14:textId="77777777" w:rsidR="00787570" w:rsidRDefault="00787570">
            <w:pPr>
              <w:rPr>
                <w:rFonts w:ascii="宋体"/>
              </w:rPr>
            </w:pPr>
          </w:p>
        </w:tc>
        <w:tc>
          <w:tcPr>
            <w:tcW w:w="0" w:type="auto"/>
            <w:gridSpan w:val="3"/>
            <w:tcBorders>
              <w:top w:val="single" w:sz="8" w:space="0" w:color="0071C5"/>
            </w:tcBorders>
            <w:shd w:val="clear" w:color="auto" w:fill="auto"/>
            <w:tcMar>
              <w:top w:w="40" w:type="dxa"/>
              <w:left w:w="20" w:type="dxa"/>
              <w:bottom w:w="40" w:type="dxa"/>
              <w:right w:w="20" w:type="dxa"/>
            </w:tcMar>
            <w:vAlign w:val="bottom"/>
          </w:tcPr>
          <w:p w14:paraId="36CA434F" w14:textId="77777777" w:rsidR="00787570" w:rsidRDefault="000D56E2">
            <w:pPr>
              <w:jc w:val="center"/>
              <w:textAlignment w:val="bottom"/>
            </w:pPr>
            <w:r>
              <w:rPr>
                <w:rFonts w:ascii="Arial" w:eastAsia="宋体" w:hAnsi="Arial" w:cs="Arial"/>
                <w:b/>
                <w:bCs/>
                <w:color w:val="333333"/>
                <w:sz w:val="18"/>
                <w:szCs w:val="18"/>
              </w:rPr>
              <w:t>Sep 28, 2019</w:t>
            </w:r>
          </w:p>
        </w:tc>
        <w:tc>
          <w:tcPr>
            <w:tcW w:w="0" w:type="auto"/>
            <w:shd w:val="clear" w:color="auto" w:fill="auto"/>
          </w:tcPr>
          <w:p w14:paraId="36CA4350" w14:textId="77777777" w:rsidR="00787570" w:rsidRDefault="00787570">
            <w:pPr>
              <w:rPr>
                <w:rFonts w:ascii="宋体"/>
              </w:rPr>
            </w:pPr>
          </w:p>
        </w:tc>
        <w:tc>
          <w:tcPr>
            <w:tcW w:w="0" w:type="auto"/>
            <w:shd w:val="clear" w:color="auto" w:fill="auto"/>
          </w:tcPr>
          <w:p w14:paraId="36CA4351" w14:textId="77777777" w:rsidR="00787570" w:rsidRDefault="00787570">
            <w:pPr>
              <w:rPr>
                <w:rFonts w:ascii="宋体"/>
              </w:rPr>
            </w:pPr>
          </w:p>
        </w:tc>
        <w:tc>
          <w:tcPr>
            <w:tcW w:w="0" w:type="auto"/>
            <w:shd w:val="clear" w:color="auto" w:fill="auto"/>
          </w:tcPr>
          <w:p w14:paraId="36CA4352" w14:textId="77777777" w:rsidR="00787570" w:rsidRDefault="00787570">
            <w:pPr>
              <w:rPr>
                <w:rFonts w:ascii="宋体"/>
              </w:rPr>
            </w:pPr>
          </w:p>
        </w:tc>
        <w:tc>
          <w:tcPr>
            <w:tcW w:w="0" w:type="auto"/>
            <w:shd w:val="clear" w:color="auto" w:fill="auto"/>
          </w:tcPr>
          <w:p w14:paraId="36CA4353" w14:textId="77777777" w:rsidR="00787570" w:rsidRDefault="00787570">
            <w:pPr>
              <w:rPr>
                <w:rFonts w:ascii="宋体"/>
              </w:rPr>
            </w:pPr>
          </w:p>
        </w:tc>
        <w:tc>
          <w:tcPr>
            <w:tcW w:w="0" w:type="auto"/>
            <w:shd w:val="clear" w:color="auto" w:fill="auto"/>
          </w:tcPr>
          <w:p w14:paraId="36CA4354" w14:textId="77777777" w:rsidR="00787570" w:rsidRDefault="00787570">
            <w:pPr>
              <w:rPr>
                <w:rFonts w:ascii="宋体"/>
              </w:rPr>
            </w:pPr>
          </w:p>
        </w:tc>
        <w:tc>
          <w:tcPr>
            <w:tcW w:w="0" w:type="auto"/>
            <w:shd w:val="clear" w:color="auto" w:fill="auto"/>
          </w:tcPr>
          <w:p w14:paraId="36CA4355" w14:textId="77777777" w:rsidR="00787570" w:rsidRDefault="00787570">
            <w:pPr>
              <w:rPr>
                <w:rFonts w:ascii="宋体"/>
              </w:rPr>
            </w:pPr>
          </w:p>
        </w:tc>
        <w:tc>
          <w:tcPr>
            <w:tcW w:w="0" w:type="auto"/>
            <w:shd w:val="clear" w:color="auto" w:fill="auto"/>
          </w:tcPr>
          <w:p w14:paraId="36CA4356" w14:textId="77777777" w:rsidR="00787570" w:rsidRDefault="00787570">
            <w:pPr>
              <w:rPr>
                <w:rFonts w:ascii="宋体"/>
              </w:rPr>
            </w:pPr>
          </w:p>
        </w:tc>
        <w:tc>
          <w:tcPr>
            <w:tcW w:w="0" w:type="auto"/>
            <w:shd w:val="clear" w:color="auto" w:fill="auto"/>
          </w:tcPr>
          <w:p w14:paraId="36CA4357" w14:textId="77777777" w:rsidR="00787570" w:rsidRDefault="00787570">
            <w:pPr>
              <w:rPr>
                <w:rFonts w:ascii="宋体"/>
              </w:rPr>
            </w:pPr>
          </w:p>
        </w:tc>
        <w:tc>
          <w:tcPr>
            <w:tcW w:w="0" w:type="auto"/>
            <w:shd w:val="clear" w:color="auto" w:fill="auto"/>
          </w:tcPr>
          <w:p w14:paraId="36CA4358" w14:textId="77777777" w:rsidR="00787570" w:rsidRDefault="00787570">
            <w:pPr>
              <w:rPr>
                <w:rFonts w:ascii="宋体"/>
              </w:rPr>
            </w:pPr>
          </w:p>
        </w:tc>
        <w:tc>
          <w:tcPr>
            <w:tcW w:w="0" w:type="auto"/>
            <w:shd w:val="clear" w:color="auto" w:fill="auto"/>
          </w:tcPr>
          <w:p w14:paraId="36CA4359" w14:textId="77777777" w:rsidR="00787570" w:rsidRDefault="00787570">
            <w:pPr>
              <w:rPr>
                <w:rFonts w:ascii="宋体"/>
              </w:rPr>
            </w:pPr>
          </w:p>
        </w:tc>
        <w:tc>
          <w:tcPr>
            <w:tcW w:w="0" w:type="auto"/>
            <w:shd w:val="clear" w:color="auto" w:fill="auto"/>
          </w:tcPr>
          <w:p w14:paraId="36CA435A" w14:textId="77777777" w:rsidR="00787570" w:rsidRDefault="00787570">
            <w:pPr>
              <w:rPr>
                <w:rFonts w:ascii="宋体"/>
              </w:rPr>
            </w:pPr>
          </w:p>
        </w:tc>
        <w:tc>
          <w:tcPr>
            <w:tcW w:w="0" w:type="auto"/>
            <w:shd w:val="clear" w:color="auto" w:fill="auto"/>
          </w:tcPr>
          <w:p w14:paraId="36CA435B" w14:textId="77777777" w:rsidR="00787570" w:rsidRDefault="00787570">
            <w:pPr>
              <w:rPr>
                <w:rFonts w:ascii="宋体"/>
              </w:rPr>
            </w:pPr>
          </w:p>
        </w:tc>
      </w:tr>
      <w:tr w:rsidR="00787570" w14:paraId="36CA437C" w14:textId="77777777">
        <w:tc>
          <w:tcPr>
            <w:tcW w:w="0" w:type="auto"/>
            <w:gridSpan w:val="3"/>
            <w:tcBorders>
              <w:top w:val="single" w:sz="8" w:space="0" w:color="0071C5"/>
            </w:tcBorders>
            <w:shd w:val="clear" w:color="auto" w:fill="auto"/>
            <w:tcMar>
              <w:top w:w="40" w:type="dxa"/>
              <w:left w:w="20" w:type="dxa"/>
              <w:bottom w:w="40" w:type="dxa"/>
              <w:right w:w="20" w:type="dxa"/>
            </w:tcMar>
          </w:tcPr>
          <w:p w14:paraId="36CA435D" w14:textId="77777777" w:rsidR="00787570" w:rsidRDefault="000D56E2">
            <w:pPr>
              <w:ind w:hanging="180"/>
              <w:textAlignment w:val="top"/>
            </w:pPr>
            <w:r>
              <w:rPr>
                <w:rFonts w:ascii="Arial" w:eastAsia="宋体" w:hAnsi="Arial" w:cs="Arial"/>
                <w:color w:val="333333"/>
                <w:sz w:val="18"/>
                <w:szCs w:val="18"/>
              </w:rPr>
              <w:t>Foreign currency contracts</w:t>
            </w:r>
          </w:p>
        </w:tc>
        <w:tc>
          <w:tcPr>
            <w:tcW w:w="0" w:type="auto"/>
            <w:gridSpan w:val="3"/>
            <w:shd w:val="clear" w:color="auto" w:fill="auto"/>
            <w:tcMar>
              <w:left w:w="20" w:type="dxa"/>
              <w:right w:w="20" w:type="dxa"/>
            </w:tcMar>
            <w:vAlign w:val="bottom"/>
          </w:tcPr>
          <w:p w14:paraId="36CA435E" w14:textId="77777777" w:rsidR="00787570" w:rsidRDefault="00787570">
            <w:pPr>
              <w:rPr>
                <w:rFonts w:ascii="宋体"/>
              </w:rPr>
            </w:pPr>
          </w:p>
        </w:tc>
        <w:tc>
          <w:tcPr>
            <w:tcW w:w="0" w:type="auto"/>
            <w:gridSpan w:val="3"/>
            <w:tcBorders>
              <w:top w:val="single" w:sz="8" w:space="0" w:color="0071C5"/>
            </w:tcBorders>
            <w:shd w:val="clear" w:color="auto" w:fill="auto"/>
            <w:tcMar>
              <w:top w:w="40" w:type="dxa"/>
              <w:left w:w="20" w:type="dxa"/>
              <w:bottom w:w="40" w:type="dxa"/>
              <w:right w:w="20" w:type="dxa"/>
            </w:tcMar>
          </w:tcPr>
          <w:p w14:paraId="36CA435F" w14:textId="77777777" w:rsidR="00787570" w:rsidRDefault="000D56E2">
            <w:pPr>
              <w:ind w:hanging="180"/>
              <w:textAlignment w:val="top"/>
            </w:pPr>
            <w:r>
              <w:rPr>
                <w:rFonts w:ascii="Arial" w:eastAsia="宋体" w:hAnsi="Arial" w:cs="Arial"/>
                <w:color w:val="333333"/>
                <w:sz w:val="18"/>
                <w:szCs w:val="18"/>
              </w:rPr>
              <w:t>Interest and other, net</w:t>
            </w:r>
          </w:p>
        </w:tc>
        <w:tc>
          <w:tcPr>
            <w:tcW w:w="0" w:type="auto"/>
            <w:gridSpan w:val="3"/>
            <w:shd w:val="clear" w:color="auto" w:fill="auto"/>
            <w:tcMar>
              <w:left w:w="20" w:type="dxa"/>
              <w:right w:w="20" w:type="dxa"/>
            </w:tcMar>
            <w:vAlign w:val="bottom"/>
          </w:tcPr>
          <w:p w14:paraId="36CA4360" w14:textId="77777777" w:rsidR="00787570" w:rsidRDefault="00787570">
            <w:pPr>
              <w:rPr>
                <w:rFonts w:ascii="宋体"/>
              </w:rPr>
            </w:pPr>
          </w:p>
        </w:tc>
        <w:tc>
          <w:tcPr>
            <w:tcW w:w="0" w:type="auto"/>
            <w:tcBorders>
              <w:top w:val="single" w:sz="8" w:space="0" w:color="0071C5"/>
            </w:tcBorders>
            <w:shd w:val="clear" w:color="auto" w:fill="auto"/>
            <w:tcMar>
              <w:top w:w="40" w:type="dxa"/>
              <w:left w:w="20" w:type="dxa"/>
              <w:bottom w:w="40" w:type="dxa"/>
            </w:tcMar>
            <w:vAlign w:val="bottom"/>
          </w:tcPr>
          <w:p w14:paraId="36CA4361" w14:textId="77777777" w:rsidR="00787570" w:rsidRDefault="000D56E2">
            <w:pPr>
              <w:textAlignment w:val="bottom"/>
            </w:pPr>
            <w:r>
              <w:rPr>
                <w:rFonts w:ascii="Arial" w:eastAsia="宋体" w:hAnsi="Arial" w:cs="Arial"/>
                <w:color w:val="026DCE"/>
                <w:sz w:val="18"/>
                <w:szCs w:val="18"/>
              </w:rPr>
              <w:t>$</w:t>
            </w:r>
          </w:p>
        </w:tc>
        <w:tc>
          <w:tcPr>
            <w:tcW w:w="0" w:type="auto"/>
            <w:tcBorders>
              <w:top w:val="single" w:sz="8" w:space="0" w:color="0071C5"/>
            </w:tcBorders>
            <w:shd w:val="clear" w:color="auto" w:fill="auto"/>
            <w:tcMar>
              <w:top w:w="40" w:type="dxa"/>
              <w:bottom w:w="40" w:type="dxa"/>
              <w:right w:w="0" w:type="dxa"/>
            </w:tcMar>
            <w:vAlign w:val="bottom"/>
          </w:tcPr>
          <w:p w14:paraId="36CA4362" w14:textId="77777777" w:rsidR="00787570" w:rsidRDefault="000D56E2">
            <w:pPr>
              <w:jc w:val="right"/>
              <w:textAlignment w:val="bottom"/>
            </w:pPr>
            <w:r>
              <w:rPr>
                <w:rFonts w:ascii="Arial" w:eastAsia="宋体" w:hAnsi="Arial" w:cs="Arial"/>
                <w:color w:val="026DCE"/>
                <w:sz w:val="18"/>
                <w:szCs w:val="18"/>
              </w:rPr>
              <w:t>(166)</w:t>
            </w:r>
          </w:p>
        </w:tc>
        <w:tc>
          <w:tcPr>
            <w:tcW w:w="0" w:type="auto"/>
            <w:tcBorders>
              <w:top w:val="single" w:sz="8" w:space="0" w:color="0071C5"/>
            </w:tcBorders>
            <w:shd w:val="clear" w:color="auto" w:fill="auto"/>
            <w:tcMar>
              <w:top w:w="40" w:type="dxa"/>
              <w:bottom w:w="40" w:type="dxa"/>
              <w:right w:w="20" w:type="dxa"/>
            </w:tcMar>
            <w:vAlign w:val="bottom"/>
          </w:tcPr>
          <w:p w14:paraId="36CA4363"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4364" w14:textId="77777777" w:rsidR="00787570" w:rsidRDefault="00787570">
            <w:pPr>
              <w:rPr>
                <w:rFonts w:ascii="宋体"/>
              </w:rPr>
            </w:pPr>
          </w:p>
        </w:tc>
        <w:tc>
          <w:tcPr>
            <w:tcW w:w="0" w:type="auto"/>
            <w:tcBorders>
              <w:top w:val="single" w:sz="8" w:space="0" w:color="0071C5"/>
            </w:tcBorders>
            <w:shd w:val="clear" w:color="auto" w:fill="auto"/>
            <w:tcMar>
              <w:top w:w="40" w:type="dxa"/>
              <w:left w:w="20" w:type="dxa"/>
              <w:bottom w:w="40" w:type="dxa"/>
            </w:tcMar>
            <w:vAlign w:val="bottom"/>
          </w:tcPr>
          <w:p w14:paraId="36CA4365" w14:textId="77777777" w:rsidR="00787570" w:rsidRDefault="000D56E2">
            <w:pPr>
              <w:textAlignment w:val="bottom"/>
            </w:pPr>
            <w:r>
              <w:rPr>
                <w:rFonts w:ascii="Arial" w:eastAsia="宋体" w:hAnsi="Arial" w:cs="Arial"/>
                <w:color w:val="000000"/>
                <w:sz w:val="18"/>
                <w:szCs w:val="18"/>
              </w:rPr>
              <w:t>$</w:t>
            </w:r>
          </w:p>
        </w:tc>
        <w:tc>
          <w:tcPr>
            <w:tcW w:w="0" w:type="auto"/>
            <w:tcBorders>
              <w:top w:val="single" w:sz="8" w:space="0" w:color="0071C5"/>
            </w:tcBorders>
            <w:shd w:val="clear" w:color="auto" w:fill="auto"/>
            <w:tcMar>
              <w:top w:w="40" w:type="dxa"/>
              <w:bottom w:w="40" w:type="dxa"/>
              <w:right w:w="0" w:type="dxa"/>
            </w:tcMar>
            <w:vAlign w:val="bottom"/>
          </w:tcPr>
          <w:p w14:paraId="36CA4366" w14:textId="77777777" w:rsidR="00787570" w:rsidRDefault="000D56E2">
            <w:pPr>
              <w:jc w:val="right"/>
              <w:textAlignment w:val="bottom"/>
            </w:pPr>
            <w:r>
              <w:rPr>
                <w:rFonts w:ascii="Arial" w:eastAsia="宋体" w:hAnsi="Arial" w:cs="Arial"/>
                <w:color w:val="000000"/>
                <w:sz w:val="18"/>
                <w:szCs w:val="18"/>
              </w:rPr>
              <w:t>150 </w:t>
            </w:r>
          </w:p>
        </w:tc>
        <w:tc>
          <w:tcPr>
            <w:tcW w:w="0" w:type="auto"/>
            <w:tcBorders>
              <w:top w:val="single" w:sz="8" w:space="0" w:color="0071C5"/>
            </w:tcBorders>
            <w:shd w:val="clear" w:color="auto" w:fill="auto"/>
            <w:tcMar>
              <w:top w:w="40" w:type="dxa"/>
              <w:bottom w:w="40" w:type="dxa"/>
              <w:right w:w="20" w:type="dxa"/>
            </w:tcMar>
            <w:vAlign w:val="bottom"/>
          </w:tcPr>
          <w:p w14:paraId="36CA4367"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4368" w14:textId="77777777" w:rsidR="00787570" w:rsidRDefault="00787570">
            <w:pPr>
              <w:rPr>
                <w:rFonts w:ascii="宋体"/>
              </w:rPr>
            </w:pPr>
          </w:p>
        </w:tc>
        <w:tc>
          <w:tcPr>
            <w:tcW w:w="0" w:type="auto"/>
            <w:tcBorders>
              <w:top w:val="single" w:sz="8" w:space="0" w:color="0071C5"/>
            </w:tcBorders>
            <w:shd w:val="clear" w:color="auto" w:fill="auto"/>
            <w:tcMar>
              <w:top w:w="40" w:type="dxa"/>
              <w:left w:w="20" w:type="dxa"/>
              <w:bottom w:w="40" w:type="dxa"/>
            </w:tcMar>
            <w:vAlign w:val="bottom"/>
          </w:tcPr>
          <w:p w14:paraId="36CA4369" w14:textId="77777777" w:rsidR="00787570" w:rsidRDefault="000D56E2">
            <w:pPr>
              <w:textAlignment w:val="bottom"/>
            </w:pPr>
            <w:r>
              <w:rPr>
                <w:rFonts w:ascii="Arial" w:eastAsia="宋体" w:hAnsi="Arial" w:cs="Arial"/>
                <w:color w:val="026DCE"/>
                <w:sz w:val="18"/>
                <w:szCs w:val="18"/>
              </w:rPr>
              <w:t>$</w:t>
            </w:r>
          </w:p>
        </w:tc>
        <w:tc>
          <w:tcPr>
            <w:tcW w:w="0" w:type="auto"/>
            <w:tcBorders>
              <w:top w:val="single" w:sz="8" w:space="0" w:color="0071C5"/>
            </w:tcBorders>
            <w:shd w:val="clear" w:color="auto" w:fill="auto"/>
            <w:tcMar>
              <w:top w:w="40" w:type="dxa"/>
              <w:bottom w:w="40" w:type="dxa"/>
              <w:right w:w="0" w:type="dxa"/>
            </w:tcMar>
            <w:vAlign w:val="bottom"/>
          </w:tcPr>
          <w:p w14:paraId="36CA436A" w14:textId="77777777" w:rsidR="00787570" w:rsidRDefault="000D56E2">
            <w:pPr>
              <w:jc w:val="right"/>
              <w:textAlignment w:val="bottom"/>
            </w:pPr>
            <w:r>
              <w:rPr>
                <w:rFonts w:ascii="Arial" w:eastAsia="宋体" w:hAnsi="Arial" w:cs="Arial"/>
                <w:color w:val="026DCE"/>
                <w:sz w:val="18"/>
                <w:szCs w:val="18"/>
              </w:rPr>
              <w:t>(228)</w:t>
            </w:r>
          </w:p>
        </w:tc>
        <w:tc>
          <w:tcPr>
            <w:tcW w:w="0" w:type="auto"/>
            <w:tcBorders>
              <w:top w:val="single" w:sz="8" w:space="0" w:color="0071C5"/>
            </w:tcBorders>
            <w:shd w:val="clear" w:color="auto" w:fill="auto"/>
            <w:tcMar>
              <w:top w:w="40" w:type="dxa"/>
              <w:bottom w:w="40" w:type="dxa"/>
              <w:right w:w="20" w:type="dxa"/>
            </w:tcMar>
            <w:vAlign w:val="bottom"/>
          </w:tcPr>
          <w:p w14:paraId="36CA436B"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436C" w14:textId="77777777" w:rsidR="00787570" w:rsidRDefault="00787570">
            <w:pPr>
              <w:rPr>
                <w:rFonts w:ascii="宋体"/>
              </w:rPr>
            </w:pPr>
          </w:p>
        </w:tc>
        <w:tc>
          <w:tcPr>
            <w:tcW w:w="0" w:type="auto"/>
            <w:tcBorders>
              <w:top w:val="single" w:sz="8" w:space="0" w:color="0071C5"/>
            </w:tcBorders>
            <w:shd w:val="clear" w:color="auto" w:fill="auto"/>
            <w:tcMar>
              <w:top w:w="40" w:type="dxa"/>
              <w:left w:w="20" w:type="dxa"/>
              <w:bottom w:w="40" w:type="dxa"/>
            </w:tcMar>
            <w:vAlign w:val="bottom"/>
          </w:tcPr>
          <w:p w14:paraId="36CA436D" w14:textId="77777777" w:rsidR="00787570" w:rsidRDefault="000D56E2">
            <w:pPr>
              <w:textAlignment w:val="bottom"/>
            </w:pPr>
            <w:r>
              <w:rPr>
                <w:rFonts w:ascii="Arial" w:eastAsia="宋体" w:hAnsi="Arial" w:cs="Arial"/>
                <w:color w:val="333333"/>
                <w:sz w:val="18"/>
                <w:szCs w:val="18"/>
              </w:rPr>
              <w:t>$</w:t>
            </w:r>
          </w:p>
        </w:tc>
        <w:tc>
          <w:tcPr>
            <w:tcW w:w="0" w:type="auto"/>
            <w:tcBorders>
              <w:top w:val="single" w:sz="8" w:space="0" w:color="0071C5"/>
            </w:tcBorders>
            <w:shd w:val="clear" w:color="auto" w:fill="auto"/>
            <w:tcMar>
              <w:top w:w="40" w:type="dxa"/>
              <w:bottom w:w="40" w:type="dxa"/>
              <w:right w:w="0" w:type="dxa"/>
            </w:tcMar>
            <w:vAlign w:val="bottom"/>
          </w:tcPr>
          <w:p w14:paraId="36CA436E" w14:textId="77777777" w:rsidR="00787570" w:rsidRDefault="000D56E2">
            <w:pPr>
              <w:jc w:val="right"/>
              <w:textAlignment w:val="bottom"/>
            </w:pPr>
            <w:r>
              <w:rPr>
                <w:rFonts w:ascii="Arial" w:eastAsia="宋体" w:hAnsi="Arial" w:cs="Arial"/>
                <w:color w:val="333333"/>
                <w:sz w:val="18"/>
                <w:szCs w:val="18"/>
              </w:rPr>
              <w:t>187 </w:t>
            </w:r>
          </w:p>
        </w:tc>
        <w:tc>
          <w:tcPr>
            <w:tcW w:w="0" w:type="auto"/>
            <w:tcBorders>
              <w:top w:val="single" w:sz="8" w:space="0" w:color="0071C5"/>
            </w:tcBorders>
            <w:shd w:val="clear" w:color="auto" w:fill="auto"/>
            <w:tcMar>
              <w:top w:w="40" w:type="dxa"/>
              <w:bottom w:w="40" w:type="dxa"/>
              <w:right w:w="20" w:type="dxa"/>
            </w:tcMar>
            <w:vAlign w:val="bottom"/>
          </w:tcPr>
          <w:p w14:paraId="36CA436F" w14:textId="77777777" w:rsidR="00787570" w:rsidRDefault="00787570">
            <w:pPr>
              <w:jc w:val="right"/>
              <w:rPr>
                <w:rFonts w:ascii="宋体"/>
              </w:rPr>
            </w:pPr>
          </w:p>
        </w:tc>
        <w:tc>
          <w:tcPr>
            <w:tcW w:w="0" w:type="auto"/>
            <w:shd w:val="clear" w:color="auto" w:fill="auto"/>
          </w:tcPr>
          <w:p w14:paraId="36CA4370" w14:textId="77777777" w:rsidR="00787570" w:rsidRDefault="00787570">
            <w:pPr>
              <w:rPr>
                <w:rFonts w:ascii="宋体"/>
              </w:rPr>
            </w:pPr>
          </w:p>
        </w:tc>
        <w:tc>
          <w:tcPr>
            <w:tcW w:w="0" w:type="auto"/>
            <w:shd w:val="clear" w:color="auto" w:fill="auto"/>
          </w:tcPr>
          <w:p w14:paraId="36CA4371" w14:textId="77777777" w:rsidR="00787570" w:rsidRDefault="00787570">
            <w:pPr>
              <w:rPr>
                <w:rFonts w:ascii="宋体"/>
              </w:rPr>
            </w:pPr>
          </w:p>
        </w:tc>
        <w:tc>
          <w:tcPr>
            <w:tcW w:w="0" w:type="auto"/>
            <w:shd w:val="clear" w:color="auto" w:fill="auto"/>
          </w:tcPr>
          <w:p w14:paraId="36CA4372" w14:textId="77777777" w:rsidR="00787570" w:rsidRDefault="00787570">
            <w:pPr>
              <w:rPr>
                <w:rFonts w:ascii="宋体"/>
              </w:rPr>
            </w:pPr>
          </w:p>
        </w:tc>
        <w:tc>
          <w:tcPr>
            <w:tcW w:w="0" w:type="auto"/>
            <w:shd w:val="clear" w:color="auto" w:fill="auto"/>
          </w:tcPr>
          <w:p w14:paraId="36CA4373" w14:textId="77777777" w:rsidR="00787570" w:rsidRDefault="00787570">
            <w:pPr>
              <w:rPr>
                <w:rFonts w:ascii="宋体"/>
              </w:rPr>
            </w:pPr>
          </w:p>
        </w:tc>
        <w:tc>
          <w:tcPr>
            <w:tcW w:w="0" w:type="auto"/>
            <w:shd w:val="clear" w:color="auto" w:fill="auto"/>
          </w:tcPr>
          <w:p w14:paraId="36CA4374" w14:textId="77777777" w:rsidR="00787570" w:rsidRDefault="00787570">
            <w:pPr>
              <w:rPr>
                <w:rFonts w:ascii="宋体"/>
              </w:rPr>
            </w:pPr>
          </w:p>
        </w:tc>
        <w:tc>
          <w:tcPr>
            <w:tcW w:w="0" w:type="auto"/>
            <w:shd w:val="clear" w:color="auto" w:fill="auto"/>
          </w:tcPr>
          <w:p w14:paraId="36CA4375" w14:textId="77777777" w:rsidR="00787570" w:rsidRDefault="00787570">
            <w:pPr>
              <w:rPr>
                <w:rFonts w:ascii="宋体"/>
              </w:rPr>
            </w:pPr>
          </w:p>
        </w:tc>
        <w:tc>
          <w:tcPr>
            <w:tcW w:w="0" w:type="auto"/>
            <w:shd w:val="clear" w:color="auto" w:fill="auto"/>
          </w:tcPr>
          <w:p w14:paraId="36CA4376" w14:textId="77777777" w:rsidR="00787570" w:rsidRDefault="00787570">
            <w:pPr>
              <w:rPr>
                <w:rFonts w:ascii="宋体"/>
              </w:rPr>
            </w:pPr>
          </w:p>
        </w:tc>
        <w:tc>
          <w:tcPr>
            <w:tcW w:w="0" w:type="auto"/>
            <w:shd w:val="clear" w:color="auto" w:fill="auto"/>
          </w:tcPr>
          <w:p w14:paraId="36CA4377" w14:textId="77777777" w:rsidR="00787570" w:rsidRDefault="00787570">
            <w:pPr>
              <w:rPr>
                <w:rFonts w:ascii="宋体"/>
              </w:rPr>
            </w:pPr>
          </w:p>
        </w:tc>
        <w:tc>
          <w:tcPr>
            <w:tcW w:w="0" w:type="auto"/>
            <w:shd w:val="clear" w:color="auto" w:fill="auto"/>
          </w:tcPr>
          <w:p w14:paraId="36CA4378" w14:textId="77777777" w:rsidR="00787570" w:rsidRDefault="00787570">
            <w:pPr>
              <w:rPr>
                <w:rFonts w:ascii="宋体"/>
              </w:rPr>
            </w:pPr>
          </w:p>
        </w:tc>
        <w:tc>
          <w:tcPr>
            <w:tcW w:w="0" w:type="auto"/>
            <w:shd w:val="clear" w:color="auto" w:fill="auto"/>
          </w:tcPr>
          <w:p w14:paraId="36CA4379" w14:textId="77777777" w:rsidR="00787570" w:rsidRDefault="00787570">
            <w:pPr>
              <w:rPr>
                <w:rFonts w:ascii="宋体"/>
              </w:rPr>
            </w:pPr>
          </w:p>
        </w:tc>
        <w:tc>
          <w:tcPr>
            <w:tcW w:w="0" w:type="auto"/>
            <w:shd w:val="clear" w:color="auto" w:fill="auto"/>
          </w:tcPr>
          <w:p w14:paraId="36CA437A" w14:textId="77777777" w:rsidR="00787570" w:rsidRDefault="00787570">
            <w:pPr>
              <w:rPr>
                <w:rFonts w:ascii="宋体"/>
              </w:rPr>
            </w:pPr>
          </w:p>
        </w:tc>
        <w:tc>
          <w:tcPr>
            <w:tcW w:w="0" w:type="auto"/>
            <w:shd w:val="clear" w:color="auto" w:fill="auto"/>
          </w:tcPr>
          <w:p w14:paraId="36CA437B" w14:textId="77777777" w:rsidR="00787570" w:rsidRDefault="00787570">
            <w:pPr>
              <w:rPr>
                <w:rFonts w:ascii="宋体"/>
              </w:rPr>
            </w:pPr>
          </w:p>
        </w:tc>
      </w:tr>
      <w:tr w:rsidR="00787570" w14:paraId="36CA4398" w14:textId="77777777">
        <w:tc>
          <w:tcPr>
            <w:tcW w:w="0" w:type="auto"/>
            <w:gridSpan w:val="3"/>
            <w:shd w:val="clear" w:color="auto" w:fill="auto"/>
            <w:tcMar>
              <w:top w:w="40" w:type="dxa"/>
              <w:left w:w="20" w:type="dxa"/>
              <w:bottom w:w="40" w:type="dxa"/>
              <w:right w:w="20" w:type="dxa"/>
            </w:tcMar>
          </w:tcPr>
          <w:p w14:paraId="36CA437D" w14:textId="77777777" w:rsidR="00787570" w:rsidRDefault="000D56E2">
            <w:pPr>
              <w:ind w:hanging="180"/>
              <w:textAlignment w:val="top"/>
            </w:pPr>
            <w:r>
              <w:rPr>
                <w:rFonts w:ascii="Arial" w:eastAsia="宋体" w:hAnsi="Arial" w:cs="Arial"/>
                <w:color w:val="333333"/>
                <w:sz w:val="18"/>
                <w:szCs w:val="18"/>
              </w:rPr>
              <w:t>Interest rate contracts</w:t>
            </w:r>
          </w:p>
        </w:tc>
        <w:tc>
          <w:tcPr>
            <w:tcW w:w="0" w:type="auto"/>
            <w:gridSpan w:val="3"/>
            <w:shd w:val="clear" w:color="auto" w:fill="auto"/>
            <w:tcMar>
              <w:left w:w="20" w:type="dxa"/>
              <w:right w:w="20" w:type="dxa"/>
            </w:tcMar>
            <w:vAlign w:val="bottom"/>
          </w:tcPr>
          <w:p w14:paraId="36CA437E" w14:textId="77777777" w:rsidR="00787570" w:rsidRDefault="00787570">
            <w:pPr>
              <w:rPr>
                <w:rFonts w:ascii="宋体"/>
              </w:rPr>
            </w:pPr>
          </w:p>
        </w:tc>
        <w:tc>
          <w:tcPr>
            <w:tcW w:w="0" w:type="auto"/>
            <w:gridSpan w:val="3"/>
            <w:shd w:val="clear" w:color="auto" w:fill="auto"/>
            <w:tcMar>
              <w:top w:w="40" w:type="dxa"/>
              <w:left w:w="20" w:type="dxa"/>
              <w:bottom w:w="40" w:type="dxa"/>
              <w:right w:w="20" w:type="dxa"/>
            </w:tcMar>
          </w:tcPr>
          <w:p w14:paraId="36CA437F" w14:textId="77777777" w:rsidR="00787570" w:rsidRDefault="000D56E2">
            <w:pPr>
              <w:ind w:hanging="180"/>
              <w:textAlignment w:val="top"/>
            </w:pPr>
            <w:r>
              <w:rPr>
                <w:rFonts w:ascii="Arial" w:eastAsia="宋体" w:hAnsi="Arial" w:cs="Arial"/>
                <w:color w:val="333333"/>
                <w:sz w:val="18"/>
                <w:szCs w:val="18"/>
              </w:rPr>
              <w:t>Interest and other, net</w:t>
            </w:r>
          </w:p>
        </w:tc>
        <w:tc>
          <w:tcPr>
            <w:tcW w:w="0" w:type="auto"/>
            <w:gridSpan w:val="3"/>
            <w:shd w:val="clear" w:color="auto" w:fill="auto"/>
            <w:tcMar>
              <w:left w:w="20" w:type="dxa"/>
              <w:right w:w="20" w:type="dxa"/>
            </w:tcMar>
            <w:vAlign w:val="bottom"/>
          </w:tcPr>
          <w:p w14:paraId="36CA4380"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4381" w14:textId="77777777" w:rsidR="00787570" w:rsidRDefault="000D56E2">
            <w:pPr>
              <w:jc w:val="right"/>
              <w:textAlignment w:val="bottom"/>
            </w:pPr>
            <w:r>
              <w:rPr>
                <w:rFonts w:ascii="Arial" w:eastAsia="宋体" w:hAnsi="Arial" w:cs="Arial"/>
                <w:color w:val="026DCE"/>
                <w:sz w:val="18"/>
                <w:szCs w:val="18"/>
              </w:rPr>
              <w:t>(3)</w:t>
            </w:r>
          </w:p>
        </w:tc>
        <w:tc>
          <w:tcPr>
            <w:tcW w:w="0" w:type="auto"/>
            <w:shd w:val="clear" w:color="auto" w:fill="auto"/>
            <w:tcMar>
              <w:top w:w="40" w:type="dxa"/>
              <w:bottom w:w="40" w:type="dxa"/>
              <w:right w:w="20" w:type="dxa"/>
            </w:tcMar>
            <w:vAlign w:val="bottom"/>
          </w:tcPr>
          <w:p w14:paraId="36CA4382"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4383"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4384" w14:textId="77777777" w:rsidR="00787570" w:rsidRDefault="000D56E2">
            <w:pPr>
              <w:jc w:val="right"/>
              <w:textAlignment w:val="bottom"/>
            </w:pPr>
            <w:r>
              <w:rPr>
                <w:rFonts w:ascii="Arial" w:eastAsia="宋体" w:hAnsi="Arial" w:cs="Arial"/>
                <w:color w:val="000000"/>
                <w:sz w:val="18"/>
                <w:szCs w:val="18"/>
              </w:rPr>
              <w:t>(12)</w:t>
            </w:r>
          </w:p>
        </w:tc>
        <w:tc>
          <w:tcPr>
            <w:tcW w:w="0" w:type="auto"/>
            <w:shd w:val="clear" w:color="auto" w:fill="auto"/>
            <w:tcMar>
              <w:top w:w="40" w:type="dxa"/>
              <w:bottom w:w="40" w:type="dxa"/>
              <w:right w:w="20" w:type="dxa"/>
            </w:tcMar>
            <w:vAlign w:val="bottom"/>
          </w:tcPr>
          <w:p w14:paraId="36CA4385"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4386"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4387" w14:textId="77777777" w:rsidR="00787570" w:rsidRDefault="000D56E2">
            <w:pPr>
              <w:jc w:val="right"/>
              <w:textAlignment w:val="bottom"/>
            </w:pPr>
            <w:r>
              <w:rPr>
                <w:rFonts w:ascii="Arial" w:eastAsia="宋体" w:hAnsi="Arial" w:cs="Arial"/>
                <w:color w:val="026DCE"/>
                <w:sz w:val="18"/>
                <w:szCs w:val="18"/>
              </w:rPr>
              <w:t>(94)</w:t>
            </w:r>
          </w:p>
        </w:tc>
        <w:tc>
          <w:tcPr>
            <w:tcW w:w="0" w:type="auto"/>
            <w:shd w:val="clear" w:color="auto" w:fill="auto"/>
            <w:tcMar>
              <w:top w:w="40" w:type="dxa"/>
              <w:bottom w:w="40" w:type="dxa"/>
              <w:right w:w="20" w:type="dxa"/>
            </w:tcMar>
            <w:vAlign w:val="bottom"/>
          </w:tcPr>
          <w:p w14:paraId="36CA4388"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4389"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438A" w14:textId="77777777" w:rsidR="00787570" w:rsidRDefault="000D56E2">
            <w:pPr>
              <w:jc w:val="right"/>
              <w:textAlignment w:val="bottom"/>
            </w:pPr>
            <w:r>
              <w:rPr>
                <w:rFonts w:ascii="Arial" w:eastAsia="宋体" w:hAnsi="Arial" w:cs="Arial"/>
                <w:color w:val="333333"/>
                <w:sz w:val="18"/>
                <w:szCs w:val="18"/>
              </w:rPr>
              <w:t>(51)</w:t>
            </w:r>
          </w:p>
        </w:tc>
        <w:tc>
          <w:tcPr>
            <w:tcW w:w="0" w:type="auto"/>
            <w:shd w:val="clear" w:color="auto" w:fill="auto"/>
            <w:tcMar>
              <w:top w:w="40" w:type="dxa"/>
              <w:bottom w:w="40" w:type="dxa"/>
              <w:right w:w="20" w:type="dxa"/>
            </w:tcMar>
            <w:vAlign w:val="bottom"/>
          </w:tcPr>
          <w:p w14:paraId="36CA438B" w14:textId="77777777" w:rsidR="00787570" w:rsidRDefault="00787570">
            <w:pPr>
              <w:jc w:val="right"/>
              <w:rPr>
                <w:rFonts w:ascii="宋体"/>
              </w:rPr>
            </w:pPr>
          </w:p>
        </w:tc>
        <w:tc>
          <w:tcPr>
            <w:tcW w:w="0" w:type="auto"/>
            <w:shd w:val="clear" w:color="auto" w:fill="auto"/>
          </w:tcPr>
          <w:p w14:paraId="36CA438C" w14:textId="77777777" w:rsidR="00787570" w:rsidRDefault="00787570">
            <w:pPr>
              <w:rPr>
                <w:rFonts w:ascii="宋体"/>
              </w:rPr>
            </w:pPr>
          </w:p>
        </w:tc>
        <w:tc>
          <w:tcPr>
            <w:tcW w:w="0" w:type="auto"/>
            <w:shd w:val="clear" w:color="auto" w:fill="auto"/>
          </w:tcPr>
          <w:p w14:paraId="36CA438D" w14:textId="77777777" w:rsidR="00787570" w:rsidRDefault="00787570">
            <w:pPr>
              <w:rPr>
                <w:rFonts w:ascii="宋体"/>
              </w:rPr>
            </w:pPr>
          </w:p>
        </w:tc>
        <w:tc>
          <w:tcPr>
            <w:tcW w:w="0" w:type="auto"/>
            <w:shd w:val="clear" w:color="auto" w:fill="auto"/>
          </w:tcPr>
          <w:p w14:paraId="36CA438E" w14:textId="77777777" w:rsidR="00787570" w:rsidRDefault="00787570">
            <w:pPr>
              <w:rPr>
                <w:rFonts w:ascii="宋体"/>
              </w:rPr>
            </w:pPr>
          </w:p>
        </w:tc>
        <w:tc>
          <w:tcPr>
            <w:tcW w:w="0" w:type="auto"/>
            <w:shd w:val="clear" w:color="auto" w:fill="auto"/>
          </w:tcPr>
          <w:p w14:paraId="36CA438F" w14:textId="77777777" w:rsidR="00787570" w:rsidRDefault="00787570">
            <w:pPr>
              <w:rPr>
                <w:rFonts w:ascii="宋体"/>
              </w:rPr>
            </w:pPr>
          </w:p>
        </w:tc>
        <w:tc>
          <w:tcPr>
            <w:tcW w:w="0" w:type="auto"/>
            <w:shd w:val="clear" w:color="auto" w:fill="auto"/>
          </w:tcPr>
          <w:p w14:paraId="36CA4390" w14:textId="77777777" w:rsidR="00787570" w:rsidRDefault="00787570">
            <w:pPr>
              <w:rPr>
                <w:rFonts w:ascii="宋体"/>
              </w:rPr>
            </w:pPr>
          </w:p>
        </w:tc>
        <w:tc>
          <w:tcPr>
            <w:tcW w:w="0" w:type="auto"/>
            <w:shd w:val="clear" w:color="auto" w:fill="auto"/>
          </w:tcPr>
          <w:p w14:paraId="36CA4391" w14:textId="77777777" w:rsidR="00787570" w:rsidRDefault="00787570">
            <w:pPr>
              <w:rPr>
                <w:rFonts w:ascii="宋体"/>
              </w:rPr>
            </w:pPr>
          </w:p>
        </w:tc>
        <w:tc>
          <w:tcPr>
            <w:tcW w:w="0" w:type="auto"/>
            <w:shd w:val="clear" w:color="auto" w:fill="auto"/>
          </w:tcPr>
          <w:p w14:paraId="36CA4392" w14:textId="77777777" w:rsidR="00787570" w:rsidRDefault="00787570">
            <w:pPr>
              <w:rPr>
                <w:rFonts w:ascii="宋体"/>
              </w:rPr>
            </w:pPr>
          </w:p>
        </w:tc>
        <w:tc>
          <w:tcPr>
            <w:tcW w:w="0" w:type="auto"/>
            <w:shd w:val="clear" w:color="auto" w:fill="auto"/>
          </w:tcPr>
          <w:p w14:paraId="36CA4393" w14:textId="77777777" w:rsidR="00787570" w:rsidRDefault="00787570">
            <w:pPr>
              <w:rPr>
                <w:rFonts w:ascii="宋体"/>
              </w:rPr>
            </w:pPr>
          </w:p>
        </w:tc>
        <w:tc>
          <w:tcPr>
            <w:tcW w:w="0" w:type="auto"/>
            <w:shd w:val="clear" w:color="auto" w:fill="auto"/>
          </w:tcPr>
          <w:p w14:paraId="36CA4394" w14:textId="77777777" w:rsidR="00787570" w:rsidRDefault="00787570">
            <w:pPr>
              <w:rPr>
                <w:rFonts w:ascii="宋体"/>
              </w:rPr>
            </w:pPr>
          </w:p>
        </w:tc>
        <w:tc>
          <w:tcPr>
            <w:tcW w:w="0" w:type="auto"/>
            <w:shd w:val="clear" w:color="auto" w:fill="auto"/>
          </w:tcPr>
          <w:p w14:paraId="36CA4395" w14:textId="77777777" w:rsidR="00787570" w:rsidRDefault="00787570">
            <w:pPr>
              <w:rPr>
                <w:rFonts w:ascii="宋体"/>
              </w:rPr>
            </w:pPr>
          </w:p>
        </w:tc>
        <w:tc>
          <w:tcPr>
            <w:tcW w:w="0" w:type="auto"/>
            <w:shd w:val="clear" w:color="auto" w:fill="auto"/>
          </w:tcPr>
          <w:p w14:paraId="36CA4396" w14:textId="77777777" w:rsidR="00787570" w:rsidRDefault="00787570">
            <w:pPr>
              <w:rPr>
                <w:rFonts w:ascii="宋体"/>
              </w:rPr>
            </w:pPr>
          </w:p>
        </w:tc>
        <w:tc>
          <w:tcPr>
            <w:tcW w:w="0" w:type="auto"/>
            <w:shd w:val="clear" w:color="auto" w:fill="auto"/>
          </w:tcPr>
          <w:p w14:paraId="36CA4397" w14:textId="77777777" w:rsidR="00787570" w:rsidRDefault="00787570">
            <w:pPr>
              <w:rPr>
                <w:rFonts w:ascii="宋体"/>
              </w:rPr>
            </w:pPr>
          </w:p>
        </w:tc>
      </w:tr>
      <w:tr w:rsidR="00787570" w14:paraId="36CA43B4" w14:textId="77777777">
        <w:tc>
          <w:tcPr>
            <w:tcW w:w="0" w:type="auto"/>
            <w:gridSpan w:val="3"/>
            <w:shd w:val="clear" w:color="auto" w:fill="auto"/>
            <w:tcMar>
              <w:top w:w="40" w:type="dxa"/>
              <w:left w:w="20" w:type="dxa"/>
              <w:bottom w:w="40" w:type="dxa"/>
              <w:right w:w="20" w:type="dxa"/>
            </w:tcMar>
          </w:tcPr>
          <w:p w14:paraId="36CA4399" w14:textId="77777777" w:rsidR="00787570" w:rsidRDefault="000D56E2">
            <w:pPr>
              <w:ind w:hanging="180"/>
              <w:textAlignment w:val="top"/>
            </w:pPr>
            <w:r>
              <w:rPr>
                <w:rFonts w:ascii="Arial" w:eastAsia="宋体" w:hAnsi="Arial" w:cs="Arial"/>
                <w:color w:val="333333"/>
                <w:sz w:val="18"/>
                <w:szCs w:val="18"/>
              </w:rPr>
              <w:t>Other</w:t>
            </w:r>
          </w:p>
        </w:tc>
        <w:tc>
          <w:tcPr>
            <w:tcW w:w="0" w:type="auto"/>
            <w:gridSpan w:val="3"/>
            <w:shd w:val="clear" w:color="auto" w:fill="auto"/>
            <w:tcMar>
              <w:left w:w="20" w:type="dxa"/>
              <w:right w:w="20" w:type="dxa"/>
            </w:tcMar>
            <w:vAlign w:val="bottom"/>
          </w:tcPr>
          <w:p w14:paraId="36CA439A" w14:textId="77777777" w:rsidR="00787570" w:rsidRDefault="00787570">
            <w:pPr>
              <w:rPr>
                <w:rFonts w:ascii="宋体"/>
              </w:rPr>
            </w:pPr>
          </w:p>
        </w:tc>
        <w:tc>
          <w:tcPr>
            <w:tcW w:w="0" w:type="auto"/>
            <w:gridSpan w:val="3"/>
            <w:shd w:val="clear" w:color="auto" w:fill="auto"/>
            <w:tcMar>
              <w:top w:w="40" w:type="dxa"/>
              <w:left w:w="20" w:type="dxa"/>
              <w:bottom w:w="40" w:type="dxa"/>
              <w:right w:w="20" w:type="dxa"/>
            </w:tcMar>
          </w:tcPr>
          <w:p w14:paraId="36CA439B" w14:textId="77777777" w:rsidR="00787570" w:rsidRDefault="000D56E2">
            <w:pPr>
              <w:ind w:hanging="180"/>
              <w:textAlignment w:val="top"/>
            </w:pPr>
            <w:r>
              <w:rPr>
                <w:rFonts w:ascii="Arial" w:eastAsia="宋体" w:hAnsi="Arial" w:cs="Arial"/>
                <w:color w:val="333333"/>
                <w:sz w:val="18"/>
                <w:szCs w:val="18"/>
              </w:rPr>
              <w:t>Various</w:t>
            </w:r>
          </w:p>
        </w:tc>
        <w:tc>
          <w:tcPr>
            <w:tcW w:w="0" w:type="auto"/>
            <w:gridSpan w:val="3"/>
            <w:shd w:val="clear" w:color="auto" w:fill="auto"/>
            <w:tcMar>
              <w:left w:w="20" w:type="dxa"/>
              <w:right w:w="20" w:type="dxa"/>
            </w:tcMar>
            <w:vAlign w:val="bottom"/>
          </w:tcPr>
          <w:p w14:paraId="36CA439C"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439D" w14:textId="77777777" w:rsidR="00787570" w:rsidRDefault="000D56E2">
            <w:pPr>
              <w:jc w:val="right"/>
              <w:textAlignment w:val="bottom"/>
            </w:pPr>
            <w:r>
              <w:rPr>
                <w:rFonts w:ascii="Arial" w:eastAsia="宋体" w:hAnsi="Arial" w:cs="Arial"/>
                <w:color w:val="026DCE"/>
                <w:sz w:val="18"/>
                <w:szCs w:val="18"/>
              </w:rPr>
              <w:t>138 </w:t>
            </w:r>
          </w:p>
        </w:tc>
        <w:tc>
          <w:tcPr>
            <w:tcW w:w="0" w:type="auto"/>
            <w:shd w:val="clear" w:color="auto" w:fill="auto"/>
            <w:tcMar>
              <w:top w:w="40" w:type="dxa"/>
              <w:bottom w:w="40" w:type="dxa"/>
              <w:right w:w="20" w:type="dxa"/>
            </w:tcMar>
            <w:vAlign w:val="bottom"/>
          </w:tcPr>
          <w:p w14:paraId="36CA439E"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439F"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43A0" w14:textId="77777777" w:rsidR="00787570" w:rsidRDefault="000D56E2">
            <w:pPr>
              <w:jc w:val="right"/>
              <w:textAlignment w:val="bottom"/>
            </w:pPr>
            <w:r>
              <w:rPr>
                <w:rFonts w:ascii="Arial" w:eastAsia="宋体" w:hAnsi="Arial" w:cs="Arial"/>
                <w:color w:val="000000"/>
                <w:sz w:val="18"/>
                <w:szCs w:val="18"/>
              </w:rPr>
              <w:t>17 </w:t>
            </w:r>
          </w:p>
        </w:tc>
        <w:tc>
          <w:tcPr>
            <w:tcW w:w="0" w:type="auto"/>
            <w:shd w:val="clear" w:color="auto" w:fill="auto"/>
            <w:tcMar>
              <w:top w:w="40" w:type="dxa"/>
              <w:bottom w:w="40" w:type="dxa"/>
              <w:right w:w="20" w:type="dxa"/>
            </w:tcMar>
            <w:vAlign w:val="bottom"/>
          </w:tcPr>
          <w:p w14:paraId="36CA43A1"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43A2"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43A3" w14:textId="77777777" w:rsidR="00787570" w:rsidRDefault="000D56E2">
            <w:pPr>
              <w:jc w:val="right"/>
              <w:textAlignment w:val="bottom"/>
            </w:pPr>
            <w:r>
              <w:rPr>
                <w:rFonts w:ascii="Arial" w:eastAsia="宋体" w:hAnsi="Arial" w:cs="Arial"/>
                <w:color w:val="026DCE"/>
                <w:sz w:val="18"/>
                <w:szCs w:val="18"/>
              </w:rPr>
              <w:t>95 </w:t>
            </w:r>
          </w:p>
        </w:tc>
        <w:tc>
          <w:tcPr>
            <w:tcW w:w="0" w:type="auto"/>
            <w:shd w:val="clear" w:color="auto" w:fill="auto"/>
            <w:tcMar>
              <w:top w:w="40" w:type="dxa"/>
              <w:bottom w:w="40" w:type="dxa"/>
              <w:right w:w="20" w:type="dxa"/>
            </w:tcMar>
            <w:vAlign w:val="bottom"/>
          </w:tcPr>
          <w:p w14:paraId="36CA43A4"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43A5"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43A6" w14:textId="77777777" w:rsidR="00787570" w:rsidRDefault="000D56E2">
            <w:pPr>
              <w:jc w:val="right"/>
              <w:textAlignment w:val="bottom"/>
            </w:pPr>
            <w:r>
              <w:rPr>
                <w:rFonts w:ascii="Arial" w:eastAsia="宋体" w:hAnsi="Arial" w:cs="Arial"/>
                <w:color w:val="333333"/>
                <w:sz w:val="18"/>
                <w:szCs w:val="18"/>
              </w:rPr>
              <w:t>198 </w:t>
            </w:r>
          </w:p>
        </w:tc>
        <w:tc>
          <w:tcPr>
            <w:tcW w:w="0" w:type="auto"/>
            <w:shd w:val="clear" w:color="auto" w:fill="auto"/>
            <w:tcMar>
              <w:top w:w="40" w:type="dxa"/>
              <w:bottom w:w="40" w:type="dxa"/>
              <w:right w:w="20" w:type="dxa"/>
            </w:tcMar>
            <w:vAlign w:val="bottom"/>
          </w:tcPr>
          <w:p w14:paraId="36CA43A7" w14:textId="77777777" w:rsidR="00787570" w:rsidRDefault="00787570">
            <w:pPr>
              <w:jc w:val="right"/>
              <w:rPr>
                <w:rFonts w:ascii="宋体"/>
              </w:rPr>
            </w:pPr>
          </w:p>
        </w:tc>
        <w:tc>
          <w:tcPr>
            <w:tcW w:w="0" w:type="auto"/>
            <w:shd w:val="clear" w:color="auto" w:fill="auto"/>
          </w:tcPr>
          <w:p w14:paraId="36CA43A8" w14:textId="77777777" w:rsidR="00787570" w:rsidRDefault="00787570">
            <w:pPr>
              <w:rPr>
                <w:rFonts w:ascii="宋体"/>
              </w:rPr>
            </w:pPr>
          </w:p>
        </w:tc>
        <w:tc>
          <w:tcPr>
            <w:tcW w:w="0" w:type="auto"/>
            <w:shd w:val="clear" w:color="auto" w:fill="auto"/>
          </w:tcPr>
          <w:p w14:paraId="36CA43A9" w14:textId="77777777" w:rsidR="00787570" w:rsidRDefault="00787570">
            <w:pPr>
              <w:rPr>
                <w:rFonts w:ascii="宋体"/>
              </w:rPr>
            </w:pPr>
          </w:p>
        </w:tc>
        <w:tc>
          <w:tcPr>
            <w:tcW w:w="0" w:type="auto"/>
            <w:shd w:val="clear" w:color="auto" w:fill="auto"/>
          </w:tcPr>
          <w:p w14:paraId="36CA43AA" w14:textId="77777777" w:rsidR="00787570" w:rsidRDefault="00787570">
            <w:pPr>
              <w:rPr>
                <w:rFonts w:ascii="宋体"/>
              </w:rPr>
            </w:pPr>
          </w:p>
        </w:tc>
        <w:tc>
          <w:tcPr>
            <w:tcW w:w="0" w:type="auto"/>
            <w:shd w:val="clear" w:color="auto" w:fill="auto"/>
          </w:tcPr>
          <w:p w14:paraId="36CA43AB" w14:textId="77777777" w:rsidR="00787570" w:rsidRDefault="00787570">
            <w:pPr>
              <w:rPr>
                <w:rFonts w:ascii="宋体"/>
              </w:rPr>
            </w:pPr>
          </w:p>
        </w:tc>
        <w:tc>
          <w:tcPr>
            <w:tcW w:w="0" w:type="auto"/>
            <w:shd w:val="clear" w:color="auto" w:fill="auto"/>
          </w:tcPr>
          <w:p w14:paraId="36CA43AC" w14:textId="77777777" w:rsidR="00787570" w:rsidRDefault="00787570">
            <w:pPr>
              <w:rPr>
                <w:rFonts w:ascii="宋体"/>
              </w:rPr>
            </w:pPr>
          </w:p>
        </w:tc>
        <w:tc>
          <w:tcPr>
            <w:tcW w:w="0" w:type="auto"/>
            <w:shd w:val="clear" w:color="auto" w:fill="auto"/>
          </w:tcPr>
          <w:p w14:paraId="36CA43AD" w14:textId="77777777" w:rsidR="00787570" w:rsidRDefault="00787570">
            <w:pPr>
              <w:rPr>
                <w:rFonts w:ascii="宋体"/>
              </w:rPr>
            </w:pPr>
          </w:p>
        </w:tc>
        <w:tc>
          <w:tcPr>
            <w:tcW w:w="0" w:type="auto"/>
            <w:shd w:val="clear" w:color="auto" w:fill="auto"/>
          </w:tcPr>
          <w:p w14:paraId="36CA43AE" w14:textId="77777777" w:rsidR="00787570" w:rsidRDefault="00787570">
            <w:pPr>
              <w:rPr>
                <w:rFonts w:ascii="宋体"/>
              </w:rPr>
            </w:pPr>
          </w:p>
        </w:tc>
        <w:tc>
          <w:tcPr>
            <w:tcW w:w="0" w:type="auto"/>
            <w:shd w:val="clear" w:color="auto" w:fill="auto"/>
          </w:tcPr>
          <w:p w14:paraId="36CA43AF" w14:textId="77777777" w:rsidR="00787570" w:rsidRDefault="00787570">
            <w:pPr>
              <w:rPr>
                <w:rFonts w:ascii="宋体"/>
              </w:rPr>
            </w:pPr>
          </w:p>
        </w:tc>
        <w:tc>
          <w:tcPr>
            <w:tcW w:w="0" w:type="auto"/>
            <w:shd w:val="clear" w:color="auto" w:fill="auto"/>
          </w:tcPr>
          <w:p w14:paraId="36CA43B0" w14:textId="77777777" w:rsidR="00787570" w:rsidRDefault="00787570">
            <w:pPr>
              <w:rPr>
                <w:rFonts w:ascii="宋体"/>
              </w:rPr>
            </w:pPr>
          </w:p>
        </w:tc>
        <w:tc>
          <w:tcPr>
            <w:tcW w:w="0" w:type="auto"/>
            <w:shd w:val="clear" w:color="auto" w:fill="auto"/>
          </w:tcPr>
          <w:p w14:paraId="36CA43B1" w14:textId="77777777" w:rsidR="00787570" w:rsidRDefault="00787570">
            <w:pPr>
              <w:rPr>
                <w:rFonts w:ascii="宋体"/>
              </w:rPr>
            </w:pPr>
          </w:p>
        </w:tc>
        <w:tc>
          <w:tcPr>
            <w:tcW w:w="0" w:type="auto"/>
            <w:shd w:val="clear" w:color="auto" w:fill="auto"/>
          </w:tcPr>
          <w:p w14:paraId="36CA43B2" w14:textId="77777777" w:rsidR="00787570" w:rsidRDefault="00787570">
            <w:pPr>
              <w:rPr>
                <w:rFonts w:ascii="宋体"/>
              </w:rPr>
            </w:pPr>
          </w:p>
        </w:tc>
        <w:tc>
          <w:tcPr>
            <w:tcW w:w="0" w:type="auto"/>
            <w:shd w:val="clear" w:color="auto" w:fill="auto"/>
          </w:tcPr>
          <w:p w14:paraId="36CA43B3" w14:textId="77777777" w:rsidR="00787570" w:rsidRDefault="00787570">
            <w:pPr>
              <w:rPr>
                <w:rFonts w:ascii="宋体"/>
              </w:rPr>
            </w:pPr>
          </w:p>
        </w:tc>
      </w:tr>
      <w:tr w:rsidR="00787570" w14:paraId="36CA43D4" w14:textId="77777777">
        <w:tc>
          <w:tcPr>
            <w:tcW w:w="0" w:type="auto"/>
            <w:gridSpan w:val="3"/>
            <w:shd w:val="clear" w:color="auto" w:fill="auto"/>
            <w:tcMar>
              <w:top w:w="40" w:type="dxa"/>
              <w:left w:w="20" w:type="dxa"/>
              <w:bottom w:w="40" w:type="dxa"/>
              <w:right w:w="20" w:type="dxa"/>
            </w:tcMar>
          </w:tcPr>
          <w:p w14:paraId="36CA43B5" w14:textId="77777777" w:rsidR="00787570" w:rsidRDefault="000D56E2">
            <w:pPr>
              <w:ind w:hanging="180"/>
              <w:textAlignment w:val="top"/>
            </w:pPr>
            <w:r>
              <w:rPr>
                <w:rFonts w:ascii="Arial" w:eastAsia="宋体" w:hAnsi="Arial" w:cs="Arial"/>
                <w:b/>
                <w:bCs/>
                <w:color w:val="333333"/>
                <w:sz w:val="18"/>
                <w:szCs w:val="18"/>
              </w:rPr>
              <w:t>Total</w:t>
            </w:r>
          </w:p>
        </w:tc>
        <w:tc>
          <w:tcPr>
            <w:tcW w:w="0" w:type="auto"/>
            <w:gridSpan w:val="3"/>
            <w:shd w:val="clear" w:color="auto" w:fill="auto"/>
            <w:tcMar>
              <w:left w:w="20" w:type="dxa"/>
              <w:right w:w="20" w:type="dxa"/>
            </w:tcMar>
            <w:vAlign w:val="bottom"/>
          </w:tcPr>
          <w:p w14:paraId="36CA43B6"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43B7"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43B8" w14:textId="77777777" w:rsidR="00787570" w:rsidRDefault="00787570">
            <w:pPr>
              <w:rPr>
                <w:rFonts w:ascii="宋体"/>
              </w:rPr>
            </w:pPr>
          </w:p>
        </w:tc>
        <w:tc>
          <w:tcPr>
            <w:tcW w:w="0" w:type="auto"/>
            <w:tcBorders>
              <w:top w:val="single" w:sz="8" w:space="0" w:color="333333"/>
              <w:bottom w:val="double" w:sz="6" w:space="0" w:color="333333"/>
            </w:tcBorders>
            <w:shd w:val="clear" w:color="auto" w:fill="auto"/>
            <w:tcMar>
              <w:top w:w="40" w:type="dxa"/>
              <w:left w:w="20" w:type="dxa"/>
              <w:bottom w:w="40" w:type="dxa"/>
            </w:tcMar>
            <w:vAlign w:val="bottom"/>
          </w:tcPr>
          <w:p w14:paraId="36CA43B9" w14:textId="77777777" w:rsidR="00787570" w:rsidRDefault="000D56E2">
            <w:pPr>
              <w:textAlignment w:val="bottom"/>
            </w:pPr>
            <w:r>
              <w:rPr>
                <w:rFonts w:ascii="Arial" w:eastAsia="宋体" w:hAnsi="Arial" w:cs="Arial"/>
                <w:b/>
                <w:bCs/>
                <w:color w:val="026DCE"/>
                <w:sz w:val="18"/>
                <w:szCs w:val="18"/>
              </w:rPr>
              <w:t>$</w:t>
            </w:r>
          </w:p>
        </w:tc>
        <w:tc>
          <w:tcPr>
            <w:tcW w:w="0" w:type="auto"/>
            <w:tcBorders>
              <w:top w:val="single" w:sz="8" w:space="0" w:color="333333"/>
              <w:bottom w:val="double" w:sz="6" w:space="0" w:color="333333"/>
            </w:tcBorders>
            <w:shd w:val="clear" w:color="auto" w:fill="auto"/>
            <w:tcMar>
              <w:top w:w="40" w:type="dxa"/>
              <w:bottom w:w="40" w:type="dxa"/>
              <w:right w:w="0" w:type="dxa"/>
            </w:tcMar>
            <w:vAlign w:val="bottom"/>
          </w:tcPr>
          <w:p w14:paraId="36CA43BA" w14:textId="77777777" w:rsidR="00787570" w:rsidRDefault="000D56E2">
            <w:pPr>
              <w:jc w:val="right"/>
              <w:textAlignment w:val="bottom"/>
            </w:pPr>
            <w:r>
              <w:rPr>
                <w:rFonts w:ascii="Arial" w:eastAsia="宋体" w:hAnsi="Arial" w:cs="Arial"/>
                <w:b/>
                <w:bCs/>
                <w:color w:val="026DCE"/>
                <w:sz w:val="18"/>
                <w:szCs w:val="18"/>
              </w:rPr>
              <w:t>(31)</w:t>
            </w:r>
          </w:p>
        </w:tc>
        <w:tc>
          <w:tcPr>
            <w:tcW w:w="0" w:type="auto"/>
            <w:tcBorders>
              <w:top w:val="single" w:sz="8" w:space="0" w:color="333333"/>
              <w:bottom w:val="double" w:sz="6" w:space="0" w:color="333333"/>
            </w:tcBorders>
            <w:shd w:val="clear" w:color="auto" w:fill="auto"/>
            <w:tcMar>
              <w:top w:w="40" w:type="dxa"/>
              <w:bottom w:w="40" w:type="dxa"/>
              <w:right w:w="20" w:type="dxa"/>
            </w:tcMar>
            <w:vAlign w:val="bottom"/>
          </w:tcPr>
          <w:p w14:paraId="36CA43BB"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43BC" w14:textId="77777777" w:rsidR="00787570" w:rsidRDefault="00787570">
            <w:pPr>
              <w:rPr>
                <w:rFonts w:ascii="宋体"/>
              </w:rPr>
            </w:pPr>
          </w:p>
        </w:tc>
        <w:tc>
          <w:tcPr>
            <w:tcW w:w="0" w:type="auto"/>
            <w:tcBorders>
              <w:top w:val="single" w:sz="8" w:space="0" w:color="333333"/>
              <w:bottom w:val="double" w:sz="6" w:space="0" w:color="333333"/>
            </w:tcBorders>
            <w:shd w:val="clear" w:color="auto" w:fill="auto"/>
            <w:tcMar>
              <w:top w:w="40" w:type="dxa"/>
              <w:left w:w="20" w:type="dxa"/>
              <w:bottom w:w="40" w:type="dxa"/>
            </w:tcMar>
            <w:vAlign w:val="bottom"/>
          </w:tcPr>
          <w:p w14:paraId="36CA43BD" w14:textId="77777777" w:rsidR="00787570" w:rsidRDefault="000D56E2">
            <w:pPr>
              <w:textAlignment w:val="bottom"/>
            </w:pPr>
            <w:r>
              <w:rPr>
                <w:rFonts w:ascii="Arial" w:eastAsia="宋体" w:hAnsi="Arial" w:cs="Arial"/>
                <w:b/>
                <w:bCs/>
                <w:color w:val="333333"/>
                <w:sz w:val="18"/>
                <w:szCs w:val="18"/>
              </w:rPr>
              <w:t>$</w:t>
            </w:r>
          </w:p>
        </w:tc>
        <w:tc>
          <w:tcPr>
            <w:tcW w:w="0" w:type="auto"/>
            <w:tcBorders>
              <w:top w:val="single" w:sz="8" w:space="0" w:color="333333"/>
              <w:bottom w:val="double" w:sz="6" w:space="0" w:color="333333"/>
            </w:tcBorders>
            <w:shd w:val="clear" w:color="auto" w:fill="auto"/>
            <w:tcMar>
              <w:top w:w="40" w:type="dxa"/>
              <w:bottom w:w="40" w:type="dxa"/>
              <w:right w:w="0" w:type="dxa"/>
            </w:tcMar>
            <w:vAlign w:val="bottom"/>
          </w:tcPr>
          <w:p w14:paraId="36CA43BE" w14:textId="77777777" w:rsidR="00787570" w:rsidRDefault="000D56E2">
            <w:pPr>
              <w:jc w:val="right"/>
              <w:textAlignment w:val="bottom"/>
            </w:pPr>
            <w:r>
              <w:rPr>
                <w:rFonts w:ascii="Arial" w:eastAsia="宋体" w:hAnsi="Arial" w:cs="Arial"/>
                <w:b/>
                <w:bCs/>
                <w:color w:val="333333"/>
                <w:sz w:val="18"/>
                <w:szCs w:val="18"/>
              </w:rPr>
              <w:t>155</w:t>
            </w:r>
            <w:r>
              <w:rPr>
                <w:rFonts w:ascii="Arial" w:eastAsia="宋体" w:hAnsi="Arial" w:cs="Arial"/>
                <w:color w:val="333333"/>
                <w:sz w:val="18"/>
                <w:szCs w:val="18"/>
              </w:rPr>
              <w:t> </w:t>
            </w:r>
          </w:p>
        </w:tc>
        <w:tc>
          <w:tcPr>
            <w:tcW w:w="0" w:type="auto"/>
            <w:tcBorders>
              <w:top w:val="single" w:sz="8" w:space="0" w:color="333333"/>
              <w:bottom w:val="double" w:sz="6" w:space="0" w:color="333333"/>
            </w:tcBorders>
            <w:shd w:val="clear" w:color="auto" w:fill="auto"/>
            <w:tcMar>
              <w:top w:w="40" w:type="dxa"/>
              <w:bottom w:w="40" w:type="dxa"/>
              <w:right w:w="20" w:type="dxa"/>
            </w:tcMar>
            <w:vAlign w:val="bottom"/>
          </w:tcPr>
          <w:p w14:paraId="36CA43BF"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43C0" w14:textId="77777777" w:rsidR="00787570" w:rsidRDefault="00787570">
            <w:pPr>
              <w:rPr>
                <w:rFonts w:ascii="宋体"/>
              </w:rPr>
            </w:pPr>
          </w:p>
        </w:tc>
        <w:tc>
          <w:tcPr>
            <w:tcW w:w="0" w:type="auto"/>
            <w:tcBorders>
              <w:top w:val="single" w:sz="8" w:space="0" w:color="333333"/>
              <w:bottom w:val="double" w:sz="6" w:space="0" w:color="333333"/>
            </w:tcBorders>
            <w:shd w:val="clear" w:color="auto" w:fill="auto"/>
            <w:tcMar>
              <w:top w:w="40" w:type="dxa"/>
              <w:left w:w="20" w:type="dxa"/>
              <w:bottom w:w="40" w:type="dxa"/>
            </w:tcMar>
            <w:vAlign w:val="bottom"/>
          </w:tcPr>
          <w:p w14:paraId="36CA43C1" w14:textId="77777777" w:rsidR="00787570" w:rsidRDefault="000D56E2">
            <w:pPr>
              <w:textAlignment w:val="bottom"/>
            </w:pPr>
            <w:r>
              <w:rPr>
                <w:rFonts w:ascii="Arial" w:eastAsia="宋体" w:hAnsi="Arial" w:cs="Arial"/>
                <w:b/>
                <w:bCs/>
                <w:color w:val="026DCE"/>
                <w:sz w:val="18"/>
                <w:szCs w:val="18"/>
              </w:rPr>
              <w:t>$</w:t>
            </w:r>
          </w:p>
        </w:tc>
        <w:tc>
          <w:tcPr>
            <w:tcW w:w="0" w:type="auto"/>
            <w:tcBorders>
              <w:top w:val="single" w:sz="8" w:space="0" w:color="333333"/>
              <w:bottom w:val="double" w:sz="6" w:space="0" w:color="333333"/>
            </w:tcBorders>
            <w:shd w:val="clear" w:color="auto" w:fill="auto"/>
            <w:tcMar>
              <w:top w:w="40" w:type="dxa"/>
              <w:bottom w:w="40" w:type="dxa"/>
              <w:right w:w="0" w:type="dxa"/>
            </w:tcMar>
            <w:vAlign w:val="bottom"/>
          </w:tcPr>
          <w:p w14:paraId="36CA43C2" w14:textId="77777777" w:rsidR="00787570" w:rsidRDefault="000D56E2">
            <w:pPr>
              <w:jc w:val="right"/>
              <w:textAlignment w:val="bottom"/>
            </w:pPr>
            <w:r>
              <w:rPr>
                <w:rFonts w:ascii="Arial" w:eastAsia="宋体" w:hAnsi="Arial" w:cs="Arial"/>
                <w:b/>
                <w:bCs/>
                <w:color w:val="026DCE"/>
                <w:sz w:val="18"/>
                <w:szCs w:val="18"/>
              </w:rPr>
              <w:t>(227)</w:t>
            </w:r>
          </w:p>
        </w:tc>
        <w:tc>
          <w:tcPr>
            <w:tcW w:w="0" w:type="auto"/>
            <w:tcBorders>
              <w:top w:val="single" w:sz="8" w:space="0" w:color="333333"/>
              <w:bottom w:val="double" w:sz="6" w:space="0" w:color="333333"/>
            </w:tcBorders>
            <w:shd w:val="clear" w:color="auto" w:fill="auto"/>
            <w:tcMar>
              <w:top w:w="40" w:type="dxa"/>
              <w:bottom w:w="40" w:type="dxa"/>
              <w:right w:w="20" w:type="dxa"/>
            </w:tcMar>
            <w:vAlign w:val="bottom"/>
          </w:tcPr>
          <w:p w14:paraId="36CA43C3"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43C4" w14:textId="77777777" w:rsidR="00787570" w:rsidRDefault="00787570">
            <w:pPr>
              <w:rPr>
                <w:rFonts w:ascii="宋体"/>
              </w:rPr>
            </w:pPr>
          </w:p>
        </w:tc>
        <w:tc>
          <w:tcPr>
            <w:tcW w:w="0" w:type="auto"/>
            <w:tcBorders>
              <w:top w:val="single" w:sz="8" w:space="0" w:color="333333"/>
              <w:bottom w:val="double" w:sz="6" w:space="0" w:color="333333"/>
            </w:tcBorders>
            <w:shd w:val="clear" w:color="auto" w:fill="auto"/>
            <w:tcMar>
              <w:top w:w="40" w:type="dxa"/>
              <w:left w:w="20" w:type="dxa"/>
              <w:bottom w:w="40" w:type="dxa"/>
            </w:tcMar>
            <w:vAlign w:val="bottom"/>
          </w:tcPr>
          <w:p w14:paraId="36CA43C5" w14:textId="77777777" w:rsidR="00787570" w:rsidRDefault="000D56E2">
            <w:pPr>
              <w:textAlignment w:val="bottom"/>
            </w:pPr>
            <w:r>
              <w:rPr>
                <w:rFonts w:ascii="Arial" w:eastAsia="宋体" w:hAnsi="Arial" w:cs="Arial"/>
                <w:b/>
                <w:bCs/>
                <w:color w:val="333333"/>
                <w:sz w:val="18"/>
                <w:szCs w:val="18"/>
              </w:rPr>
              <w:t>$</w:t>
            </w:r>
          </w:p>
        </w:tc>
        <w:tc>
          <w:tcPr>
            <w:tcW w:w="0" w:type="auto"/>
            <w:tcBorders>
              <w:top w:val="single" w:sz="8" w:space="0" w:color="333333"/>
              <w:bottom w:val="double" w:sz="6" w:space="0" w:color="333333"/>
            </w:tcBorders>
            <w:shd w:val="clear" w:color="auto" w:fill="auto"/>
            <w:tcMar>
              <w:top w:w="40" w:type="dxa"/>
              <w:bottom w:w="40" w:type="dxa"/>
              <w:right w:w="0" w:type="dxa"/>
            </w:tcMar>
            <w:vAlign w:val="bottom"/>
          </w:tcPr>
          <w:p w14:paraId="36CA43C6" w14:textId="77777777" w:rsidR="00787570" w:rsidRDefault="000D56E2">
            <w:pPr>
              <w:jc w:val="right"/>
              <w:textAlignment w:val="bottom"/>
            </w:pPr>
            <w:r>
              <w:rPr>
                <w:rFonts w:ascii="Arial" w:eastAsia="宋体" w:hAnsi="Arial" w:cs="Arial"/>
                <w:b/>
                <w:bCs/>
                <w:color w:val="333333"/>
                <w:sz w:val="18"/>
                <w:szCs w:val="18"/>
              </w:rPr>
              <w:t>334</w:t>
            </w:r>
            <w:r>
              <w:rPr>
                <w:rFonts w:ascii="Arial" w:eastAsia="宋体" w:hAnsi="Arial" w:cs="Arial"/>
                <w:color w:val="333333"/>
                <w:sz w:val="18"/>
                <w:szCs w:val="18"/>
              </w:rPr>
              <w:t> </w:t>
            </w:r>
          </w:p>
        </w:tc>
        <w:tc>
          <w:tcPr>
            <w:tcW w:w="0" w:type="auto"/>
            <w:tcBorders>
              <w:top w:val="single" w:sz="8" w:space="0" w:color="333333"/>
              <w:bottom w:val="double" w:sz="6" w:space="0" w:color="333333"/>
            </w:tcBorders>
            <w:shd w:val="clear" w:color="auto" w:fill="auto"/>
            <w:tcMar>
              <w:top w:w="40" w:type="dxa"/>
              <w:bottom w:w="40" w:type="dxa"/>
              <w:right w:w="20" w:type="dxa"/>
            </w:tcMar>
            <w:vAlign w:val="bottom"/>
          </w:tcPr>
          <w:p w14:paraId="36CA43C7" w14:textId="77777777" w:rsidR="00787570" w:rsidRDefault="00787570">
            <w:pPr>
              <w:jc w:val="right"/>
              <w:rPr>
                <w:rFonts w:ascii="宋体"/>
              </w:rPr>
            </w:pPr>
          </w:p>
        </w:tc>
        <w:tc>
          <w:tcPr>
            <w:tcW w:w="0" w:type="auto"/>
            <w:shd w:val="clear" w:color="auto" w:fill="auto"/>
          </w:tcPr>
          <w:p w14:paraId="36CA43C8" w14:textId="77777777" w:rsidR="00787570" w:rsidRDefault="00787570">
            <w:pPr>
              <w:rPr>
                <w:rFonts w:ascii="宋体"/>
              </w:rPr>
            </w:pPr>
          </w:p>
        </w:tc>
        <w:tc>
          <w:tcPr>
            <w:tcW w:w="0" w:type="auto"/>
            <w:shd w:val="clear" w:color="auto" w:fill="auto"/>
          </w:tcPr>
          <w:p w14:paraId="36CA43C9" w14:textId="77777777" w:rsidR="00787570" w:rsidRDefault="00787570">
            <w:pPr>
              <w:rPr>
                <w:rFonts w:ascii="宋体"/>
              </w:rPr>
            </w:pPr>
          </w:p>
        </w:tc>
        <w:tc>
          <w:tcPr>
            <w:tcW w:w="0" w:type="auto"/>
            <w:shd w:val="clear" w:color="auto" w:fill="auto"/>
          </w:tcPr>
          <w:p w14:paraId="36CA43CA" w14:textId="77777777" w:rsidR="00787570" w:rsidRDefault="00787570">
            <w:pPr>
              <w:rPr>
                <w:rFonts w:ascii="宋体"/>
              </w:rPr>
            </w:pPr>
          </w:p>
        </w:tc>
        <w:tc>
          <w:tcPr>
            <w:tcW w:w="0" w:type="auto"/>
            <w:shd w:val="clear" w:color="auto" w:fill="auto"/>
          </w:tcPr>
          <w:p w14:paraId="36CA43CB" w14:textId="77777777" w:rsidR="00787570" w:rsidRDefault="00787570">
            <w:pPr>
              <w:rPr>
                <w:rFonts w:ascii="宋体"/>
              </w:rPr>
            </w:pPr>
          </w:p>
        </w:tc>
        <w:tc>
          <w:tcPr>
            <w:tcW w:w="0" w:type="auto"/>
            <w:shd w:val="clear" w:color="auto" w:fill="auto"/>
          </w:tcPr>
          <w:p w14:paraId="36CA43CC" w14:textId="77777777" w:rsidR="00787570" w:rsidRDefault="00787570">
            <w:pPr>
              <w:rPr>
                <w:rFonts w:ascii="宋体"/>
              </w:rPr>
            </w:pPr>
          </w:p>
        </w:tc>
        <w:tc>
          <w:tcPr>
            <w:tcW w:w="0" w:type="auto"/>
            <w:shd w:val="clear" w:color="auto" w:fill="auto"/>
          </w:tcPr>
          <w:p w14:paraId="36CA43CD" w14:textId="77777777" w:rsidR="00787570" w:rsidRDefault="00787570">
            <w:pPr>
              <w:rPr>
                <w:rFonts w:ascii="宋体"/>
              </w:rPr>
            </w:pPr>
          </w:p>
        </w:tc>
        <w:tc>
          <w:tcPr>
            <w:tcW w:w="0" w:type="auto"/>
            <w:shd w:val="clear" w:color="auto" w:fill="auto"/>
          </w:tcPr>
          <w:p w14:paraId="36CA43CE" w14:textId="77777777" w:rsidR="00787570" w:rsidRDefault="00787570">
            <w:pPr>
              <w:rPr>
                <w:rFonts w:ascii="宋体"/>
              </w:rPr>
            </w:pPr>
          </w:p>
        </w:tc>
        <w:tc>
          <w:tcPr>
            <w:tcW w:w="0" w:type="auto"/>
            <w:shd w:val="clear" w:color="auto" w:fill="auto"/>
          </w:tcPr>
          <w:p w14:paraId="36CA43CF" w14:textId="77777777" w:rsidR="00787570" w:rsidRDefault="00787570">
            <w:pPr>
              <w:rPr>
                <w:rFonts w:ascii="宋体"/>
              </w:rPr>
            </w:pPr>
          </w:p>
        </w:tc>
        <w:tc>
          <w:tcPr>
            <w:tcW w:w="0" w:type="auto"/>
            <w:shd w:val="clear" w:color="auto" w:fill="auto"/>
          </w:tcPr>
          <w:p w14:paraId="36CA43D0" w14:textId="77777777" w:rsidR="00787570" w:rsidRDefault="00787570">
            <w:pPr>
              <w:rPr>
                <w:rFonts w:ascii="宋体"/>
              </w:rPr>
            </w:pPr>
          </w:p>
        </w:tc>
        <w:tc>
          <w:tcPr>
            <w:tcW w:w="0" w:type="auto"/>
            <w:shd w:val="clear" w:color="auto" w:fill="auto"/>
          </w:tcPr>
          <w:p w14:paraId="36CA43D1" w14:textId="77777777" w:rsidR="00787570" w:rsidRDefault="00787570">
            <w:pPr>
              <w:rPr>
                <w:rFonts w:ascii="宋体"/>
              </w:rPr>
            </w:pPr>
          </w:p>
        </w:tc>
        <w:tc>
          <w:tcPr>
            <w:tcW w:w="0" w:type="auto"/>
            <w:shd w:val="clear" w:color="auto" w:fill="auto"/>
          </w:tcPr>
          <w:p w14:paraId="36CA43D2" w14:textId="77777777" w:rsidR="00787570" w:rsidRDefault="00787570">
            <w:pPr>
              <w:rPr>
                <w:rFonts w:ascii="宋体"/>
              </w:rPr>
            </w:pPr>
          </w:p>
        </w:tc>
        <w:tc>
          <w:tcPr>
            <w:tcW w:w="0" w:type="auto"/>
            <w:shd w:val="clear" w:color="auto" w:fill="auto"/>
          </w:tcPr>
          <w:p w14:paraId="36CA43D3" w14:textId="77777777" w:rsidR="00787570" w:rsidRDefault="00787570">
            <w:pPr>
              <w:rPr>
                <w:rFonts w:ascii="宋体"/>
              </w:rPr>
            </w:pPr>
          </w:p>
        </w:tc>
      </w:tr>
    </w:tbl>
    <w:p w14:paraId="36CA43D5" w14:textId="77777777" w:rsidR="00787570" w:rsidRDefault="00787570">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998"/>
        <w:gridCol w:w="36"/>
        <w:gridCol w:w="69"/>
        <w:gridCol w:w="7128"/>
        <w:gridCol w:w="36"/>
      </w:tblGrid>
      <w:tr w:rsidR="00787570" w14:paraId="36CA43DC" w14:textId="77777777">
        <w:tc>
          <w:tcPr>
            <w:tcW w:w="50" w:type="pct"/>
            <w:shd w:val="clear" w:color="auto" w:fill="auto"/>
          </w:tcPr>
          <w:p w14:paraId="36CA43D6" w14:textId="77777777" w:rsidR="00787570" w:rsidRDefault="00787570">
            <w:pPr>
              <w:rPr>
                <w:rFonts w:ascii="宋体"/>
              </w:rPr>
            </w:pPr>
          </w:p>
        </w:tc>
        <w:tc>
          <w:tcPr>
            <w:tcW w:w="607" w:type="pct"/>
            <w:shd w:val="clear" w:color="auto" w:fill="auto"/>
          </w:tcPr>
          <w:p w14:paraId="36CA43D7" w14:textId="77777777" w:rsidR="00787570" w:rsidRDefault="00787570">
            <w:pPr>
              <w:rPr>
                <w:rFonts w:ascii="宋体"/>
              </w:rPr>
            </w:pPr>
          </w:p>
        </w:tc>
        <w:tc>
          <w:tcPr>
            <w:tcW w:w="5" w:type="pct"/>
            <w:shd w:val="clear" w:color="auto" w:fill="auto"/>
          </w:tcPr>
          <w:p w14:paraId="36CA43D8" w14:textId="77777777" w:rsidR="00787570" w:rsidRDefault="00787570">
            <w:pPr>
              <w:rPr>
                <w:rFonts w:ascii="宋体"/>
              </w:rPr>
            </w:pPr>
          </w:p>
        </w:tc>
        <w:tc>
          <w:tcPr>
            <w:tcW w:w="50" w:type="pct"/>
            <w:shd w:val="clear" w:color="auto" w:fill="auto"/>
          </w:tcPr>
          <w:p w14:paraId="36CA43D9" w14:textId="77777777" w:rsidR="00787570" w:rsidRDefault="00787570">
            <w:pPr>
              <w:rPr>
                <w:rFonts w:ascii="宋体"/>
              </w:rPr>
            </w:pPr>
          </w:p>
        </w:tc>
        <w:tc>
          <w:tcPr>
            <w:tcW w:w="4282" w:type="pct"/>
            <w:shd w:val="clear" w:color="auto" w:fill="auto"/>
          </w:tcPr>
          <w:p w14:paraId="36CA43DA" w14:textId="77777777" w:rsidR="00787570" w:rsidRDefault="00787570">
            <w:pPr>
              <w:rPr>
                <w:rFonts w:ascii="宋体"/>
              </w:rPr>
            </w:pPr>
          </w:p>
        </w:tc>
        <w:tc>
          <w:tcPr>
            <w:tcW w:w="5" w:type="pct"/>
            <w:shd w:val="clear" w:color="auto" w:fill="auto"/>
          </w:tcPr>
          <w:p w14:paraId="36CA43DB" w14:textId="77777777" w:rsidR="00787570" w:rsidRDefault="00787570">
            <w:pPr>
              <w:rPr>
                <w:rFonts w:ascii="宋体"/>
              </w:rPr>
            </w:pPr>
          </w:p>
        </w:tc>
      </w:tr>
      <w:tr w:rsidR="00787570" w14:paraId="36CA43DF" w14:textId="77777777">
        <w:tc>
          <w:tcPr>
            <w:tcW w:w="0" w:type="auto"/>
            <w:gridSpan w:val="3"/>
            <w:tcBorders>
              <w:bottom w:val="single" w:sz="8" w:space="0" w:color="0071C5"/>
            </w:tcBorders>
            <w:shd w:val="clear" w:color="auto" w:fill="0071C5"/>
            <w:tcMar>
              <w:top w:w="40" w:type="dxa"/>
              <w:left w:w="20" w:type="dxa"/>
              <w:bottom w:w="40" w:type="dxa"/>
              <w:right w:w="20" w:type="dxa"/>
            </w:tcMar>
            <w:vAlign w:val="bottom"/>
          </w:tcPr>
          <w:p w14:paraId="36CA43DD" w14:textId="77777777" w:rsidR="00787570" w:rsidRDefault="000D56E2">
            <w:pPr>
              <w:textAlignment w:val="bottom"/>
            </w:pPr>
            <w:r>
              <w:rPr>
                <w:rFonts w:ascii="Arial" w:eastAsia="宋体" w:hAnsi="Arial" w:cs="Arial"/>
                <w:b/>
                <w:bCs/>
                <w:color w:val="FFFFFF"/>
                <w:sz w:val="28"/>
                <w:szCs w:val="28"/>
              </w:rPr>
              <w:t xml:space="preserve">NOTE 13 : </w:t>
            </w:r>
          </w:p>
        </w:tc>
        <w:tc>
          <w:tcPr>
            <w:tcW w:w="0" w:type="auto"/>
            <w:gridSpan w:val="3"/>
            <w:tcBorders>
              <w:bottom w:val="single" w:sz="8" w:space="0" w:color="0071C5"/>
            </w:tcBorders>
            <w:shd w:val="clear" w:color="auto" w:fill="auto"/>
            <w:tcMar>
              <w:top w:w="40" w:type="dxa"/>
              <w:left w:w="20" w:type="dxa"/>
              <w:bottom w:w="40" w:type="dxa"/>
              <w:right w:w="20" w:type="dxa"/>
            </w:tcMar>
            <w:vAlign w:val="bottom"/>
          </w:tcPr>
          <w:p w14:paraId="36CA43DE" w14:textId="77777777" w:rsidR="00787570" w:rsidRDefault="000D56E2">
            <w:pPr>
              <w:textAlignment w:val="bottom"/>
            </w:pPr>
            <w:r>
              <w:rPr>
                <w:rFonts w:ascii="Arial" w:eastAsia="宋体" w:hAnsi="Arial" w:cs="Arial"/>
                <w:b/>
                <w:bCs/>
                <w:color w:val="0071C5"/>
                <w:sz w:val="28"/>
                <w:szCs w:val="28"/>
              </w:rPr>
              <w:t>CONTINGENCIES</w:t>
            </w:r>
          </w:p>
        </w:tc>
      </w:tr>
    </w:tbl>
    <w:p w14:paraId="36CA43E0" w14:textId="77777777" w:rsidR="00787570" w:rsidRDefault="000D56E2">
      <w:pPr>
        <w:spacing w:before="180" w:after="180"/>
      </w:pPr>
      <w:r>
        <w:rPr>
          <w:rFonts w:ascii="Arial" w:eastAsia="宋体" w:hAnsi="Arial" w:cs="Arial"/>
          <w:b/>
          <w:bCs/>
          <w:color w:val="0071C5"/>
        </w:rPr>
        <w:t>LEGAL PROCEEDINGS</w:t>
      </w:r>
    </w:p>
    <w:p w14:paraId="36CA43E1" w14:textId="77777777" w:rsidR="00787570" w:rsidRDefault="000D56E2">
      <w:pPr>
        <w:spacing w:after="180"/>
      </w:pPr>
      <w:r>
        <w:rPr>
          <w:rFonts w:ascii="Arial" w:eastAsia="宋体" w:hAnsi="Arial" w:cs="Arial"/>
          <w:color w:val="333333"/>
          <w:sz w:val="18"/>
          <w:szCs w:val="18"/>
        </w:rPr>
        <w:t xml:space="preserve">We are a </w:t>
      </w:r>
      <w:r>
        <w:rPr>
          <w:rFonts w:ascii="Arial" w:eastAsia="宋体" w:hAnsi="Arial" w:cs="Arial"/>
          <w:color w:val="333333"/>
          <w:sz w:val="18"/>
          <w:szCs w:val="18"/>
        </w:rPr>
        <w:t>party to various legal proceedings, including those noted in this section. Although management at present believes that the ultimate outcome of these proceedings, individually and in the aggregate, will not materially harm our financial position, results o</w:t>
      </w:r>
      <w:r>
        <w:rPr>
          <w:rFonts w:ascii="Arial" w:eastAsia="宋体" w:hAnsi="Arial" w:cs="Arial"/>
          <w:color w:val="333333"/>
          <w:sz w:val="18"/>
          <w:szCs w:val="18"/>
        </w:rPr>
        <w:t>f operations, cash flows, or overall trends, legal proceedings and related government investigations are subject to inherent uncertainties, and unfavorable rulings or other events could occur. Unfavorable resolutions could include substantial monetary dama</w:t>
      </w:r>
      <w:r>
        <w:rPr>
          <w:rFonts w:ascii="Arial" w:eastAsia="宋体" w:hAnsi="Arial" w:cs="Arial"/>
          <w:color w:val="333333"/>
          <w:sz w:val="18"/>
          <w:szCs w:val="18"/>
        </w:rPr>
        <w:t>ges. In addition, in matters for which injunctive relief or other conduct remedies are sought, unfavorable resolutions could include an injunction or other order prohibiting us from selling one or more products at all or in particular ways, precluding part</w:t>
      </w:r>
      <w:r>
        <w:rPr>
          <w:rFonts w:ascii="Arial" w:eastAsia="宋体" w:hAnsi="Arial" w:cs="Arial"/>
          <w:color w:val="333333"/>
          <w:sz w:val="18"/>
          <w:szCs w:val="18"/>
        </w:rPr>
        <w:t>icular business practices, or requiring other remedies. An unfavorable outcome may result in a material adverse impact on our business, results of operations, financial position, and overall trends. We might also conclude that settling one or more such mat</w:t>
      </w:r>
      <w:r>
        <w:rPr>
          <w:rFonts w:ascii="Arial" w:eastAsia="宋体" w:hAnsi="Arial" w:cs="Arial"/>
          <w:color w:val="333333"/>
          <w:sz w:val="18"/>
          <w:szCs w:val="18"/>
        </w:rPr>
        <w:t xml:space="preserve">ters is in the best interests of our stockholders, employees, and customers, and any such settlement could include substantial payments. Except as specifically described below, we have not concluded that settlement of any of the legal proceedings noted in </w:t>
      </w:r>
      <w:r>
        <w:rPr>
          <w:rFonts w:ascii="Arial" w:eastAsia="宋体" w:hAnsi="Arial" w:cs="Arial"/>
          <w:color w:val="333333"/>
          <w:sz w:val="18"/>
          <w:szCs w:val="18"/>
        </w:rPr>
        <w:t>this section is appropriate at this time.</w:t>
      </w:r>
    </w:p>
    <w:p w14:paraId="36CA43E2" w14:textId="77777777" w:rsidR="00787570" w:rsidRDefault="00787570">
      <w:pPr>
        <w:spacing w:after="180"/>
      </w:pPr>
    </w:p>
    <w:p w14:paraId="36CA43E3" w14:textId="77777777" w:rsidR="00787570" w:rsidRDefault="00787570">
      <w:pPr>
        <w:spacing w:after="180"/>
      </w:pPr>
    </w:p>
    <w:p w14:paraId="36CA43E4" w14:textId="77777777" w:rsidR="00787570" w:rsidRDefault="00787570">
      <w:pPr>
        <w:spacing w:after="180"/>
      </w:pPr>
    </w:p>
    <w:p w14:paraId="36CA43E5" w14:textId="77777777" w:rsidR="00787570" w:rsidRDefault="00787570">
      <w:pPr>
        <w:spacing w:after="180"/>
      </w:pPr>
    </w:p>
    <w:p w14:paraId="36CA43E6" w14:textId="77777777" w:rsidR="00787570" w:rsidRDefault="00787570">
      <w:pPr>
        <w:spacing w:after="180"/>
      </w:pPr>
    </w:p>
    <w:p w14:paraId="36CA43E7" w14:textId="77777777" w:rsidR="00787570" w:rsidRDefault="00787570">
      <w:pPr>
        <w:spacing w:after="180"/>
      </w:pPr>
    </w:p>
    <w:p w14:paraId="36CA43E8" w14:textId="77777777" w:rsidR="00787570" w:rsidRDefault="00787570">
      <w:pPr>
        <w:spacing w:after="180"/>
      </w:pPr>
    </w:p>
    <w:tbl>
      <w:tblPr>
        <w:tblW w:w="5000" w:type="pct"/>
        <w:tblCellMar>
          <w:top w:w="15" w:type="dxa"/>
          <w:left w:w="15" w:type="dxa"/>
          <w:bottom w:w="15" w:type="dxa"/>
          <w:right w:w="15" w:type="dxa"/>
        </w:tblCellMar>
        <w:tblLook w:val="04A0" w:firstRow="1" w:lastRow="0" w:firstColumn="1" w:lastColumn="0" w:noHBand="0" w:noVBand="1"/>
      </w:tblPr>
      <w:tblGrid>
        <w:gridCol w:w="86"/>
        <w:gridCol w:w="426"/>
        <w:gridCol w:w="36"/>
        <w:gridCol w:w="62"/>
        <w:gridCol w:w="1676"/>
        <w:gridCol w:w="36"/>
        <w:gridCol w:w="62"/>
        <w:gridCol w:w="3655"/>
        <w:gridCol w:w="36"/>
        <w:gridCol w:w="63"/>
        <w:gridCol w:w="2162"/>
        <w:gridCol w:w="36"/>
      </w:tblGrid>
      <w:tr w:rsidR="00787570" w14:paraId="36CA43F5" w14:textId="77777777">
        <w:tc>
          <w:tcPr>
            <w:tcW w:w="50" w:type="pct"/>
            <w:shd w:val="clear" w:color="auto" w:fill="auto"/>
            <w:vAlign w:val="bottom"/>
          </w:tcPr>
          <w:p w14:paraId="36CA43E9" w14:textId="77777777" w:rsidR="00787570" w:rsidRDefault="00787570">
            <w:pPr>
              <w:rPr>
                <w:rFonts w:ascii="宋体"/>
              </w:rPr>
            </w:pPr>
          </w:p>
        </w:tc>
        <w:tc>
          <w:tcPr>
            <w:tcW w:w="248" w:type="pct"/>
            <w:shd w:val="clear" w:color="auto" w:fill="auto"/>
            <w:vAlign w:val="bottom"/>
          </w:tcPr>
          <w:p w14:paraId="36CA43EA" w14:textId="77777777" w:rsidR="00787570" w:rsidRDefault="00787570">
            <w:pPr>
              <w:rPr>
                <w:rFonts w:ascii="宋体"/>
              </w:rPr>
            </w:pPr>
          </w:p>
        </w:tc>
        <w:tc>
          <w:tcPr>
            <w:tcW w:w="5" w:type="pct"/>
            <w:shd w:val="clear" w:color="auto" w:fill="auto"/>
            <w:vAlign w:val="bottom"/>
          </w:tcPr>
          <w:p w14:paraId="36CA43EB" w14:textId="77777777" w:rsidR="00787570" w:rsidRDefault="00787570">
            <w:pPr>
              <w:rPr>
                <w:rFonts w:ascii="宋体"/>
              </w:rPr>
            </w:pPr>
          </w:p>
        </w:tc>
        <w:tc>
          <w:tcPr>
            <w:tcW w:w="50" w:type="pct"/>
            <w:shd w:val="clear" w:color="auto" w:fill="auto"/>
            <w:vAlign w:val="bottom"/>
          </w:tcPr>
          <w:p w14:paraId="36CA43EC" w14:textId="77777777" w:rsidR="00787570" w:rsidRDefault="00787570">
            <w:pPr>
              <w:rPr>
                <w:rFonts w:ascii="宋体"/>
              </w:rPr>
            </w:pPr>
          </w:p>
        </w:tc>
        <w:tc>
          <w:tcPr>
            <w:tcW w:w="1018" w:type="pct"/>
            <w:shd w:val="clear" w:color="auto" w:fill="auto"/>
            <w:vAlign w:val="bottom"/>
          </w:tcPr>
          <w:p w14:paraId="36CA43ED" w14:textId="77777777" w:rsidR="00787570" w:rsidRDefault="00787570">
            <w:pPr>
              <w:rPr>
                <w:rFonts w:ascii="宋体"/>
              </w:rPr>
            </w:pPr>
          </w:p>
        </w:tc>
        <w:tc>
          <w:tcPr>
            <w:tcW w:w="5" w:type="pct"/>
            <w:shd w:val="clear" w:color="auto" w:fill="auto"/>
            <w:vAlign w:val="bottom"/>
          </w:tcPr>
          <w:p w14:paraId="36CA43EE" w14:textId="77777777" w:rsidR="00787570" w:rsidRDefault="00787570">
            <w:pPr>
              <w:rPr>
                <w:rFonts w:ascii="宋体"/>
              </w:rPr>
            </w:pPr>
          </w:p>
        </w:tc>
        <w:tc>
          <w:tcPr>
            <w:tcW w:w="50" w:type="pct"/>
            <w:shd w:val="clear" w:color="auto" w:fill="auto"/>
            <w:vAlign w:val="bottom"/>
          </w:tcPr>
          <w:p w14:paraId="36CA43EF" w14:textId="77777777" w:rsidR="00787570" w:rsidRDefault="00787570">
            <w:pPr>
              <w:rPr>
                <w:rFonts w:ascii="宋体"/>
              </w:rPr>
            </w:pPr>
          </w:p>
        </w:tc>
        <w:tc>
          <w:tcPr>
            <w:tcW w:w="2204" w:type="pct"/>
            <w:shd w:val="clear" w:color="auto" w:fill="auto"/>
            <w:vAlign w:val="bottom"/>
          </w:tcPr>
          <w:p w14:paraId="36CA43F0" w14:textId="77777777" w:rsidR="00787570" w:rsidRDefault="00787570">
            <w:pPr>
              <w:rPr>
                <w:rFonts w:ascii="宋体"/>
              </w:rPr>
            </w:pPr>
          </w:p>
        </w:tc>
        <w:tc>
          <w:tcPr>
            <w:tcW w:w="5" w:type="pct"/>
            <w:shd w:val="clear" w:color="auto" w:fill="auto"/>
            <w:vAlign w:val="bottom"/>
          </w:tcPr>
          <w:p w14:paraId="36CA43F1" w14:textId="77777777" w:rsidR="00787570" w:rsidRDefault="00787570">
            <w:pPr>
              <w:rPr>
                <w:rFonts w:ascii="宋体"/>
              </w:rPr>
            </w:pPr>
          </w:p>
        </w:tc>
        <w:tc>
          <w:tcPr>
            <w:tcW w:w="50" w:type="pct"/>
            <w:shd w:val="clear" w:color="auto" w:fill="auto"/>
            <w:vAlign w:val="bottom"/>
          </w:tcPr>
          <w:p w14:paraId="36CA43F2" w14:textId="77777777" w:rsidR="00787570" w:rsidRDefault="00787570">
            <w:pPr>
              <w:rPr>
                <w:rFonts w:ascii="宋体"/>
              </w:rPr>
            </w:pPr>
          </w:p>
        </w:tc>
        <w:tc>
          <w:tcPr>
            <w:tcW w:w="1308" w:type="pct"/>
            <w:shd w:val="clear" w:color="auto" w:fill="auto"/>
            <w:vAlign w:val="bottom"/>
          </w:tcPr>
          <w:p w14:paraId="36CA43F3" w14:textId="77777777" w:rsidR="00787570" w:rsidRDefault="00787570">
            <w:pPr>
              <w:rPr>
                <w:rFonts w:ascii="宋体"/>
              </w:rPr>
            </w:pPr>
          </w:p>
        </w:tc>
        <w:tc>
          <w:tcPr>
            <w:tcW w:w="5" w:type="pct"/>
            <w:shd w:val="clear" w:color="auto" w:fill="auto"/>
            <w:vAlign w:val="bottom"/>
          </w:tcPr>
          <w:p w14:paraId="36CA43F4" w14:textId="77777777" w:rsidR="00787570" w:rsidRDefault="00787570">
            <w:pPr>
              <w:rPr>
                <w:rFonts w:ascii="宋体"/>
              </w:rPr>
            </w:pPr>
          </w:p>
        </w:tc>
      </w:tr>
      <w:tr w:rsidR="00787570" w14:paraId="36CA43FA" w14:textId="77777777">
        <w:tc>
          <w:tcPr>
            <w:tcW w:w="0" w:type="auto"/>
            <w:gridSpan w:val="3"/>
            <w:tcBorders>
              <w:top w:val="single" w:sz="8" w:space="0" w:color="0071C5"/>
            </w:tcBorders>
            <w:shd w:val="clear" w:color="auto" w:fill="auto"/>
            <w:tcMar>
              <w:left w:w="20" w:type="dxa"/>
              <w:right w:w="20" w:type="dxa"/>
            </w:tcMar>
            <w:vAlign w:val="center"/>
          </w:tcPr>
          <w:p w14:paraId="36CA43F6" w14:textId="77777777" w:rsidR="00787570" w:rsidRDefault="000D56E2">
            <w:pPr>
              <w:textAlignment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Viewer9_files/intc-20200926_g2.jpg"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36CA5C2A" wp14:editId="36CA5C2B">
                  <wp:extent cx="304800" cy="304800"/>
                  <wp:effectExtent l="0" t="0" r="0" b="0"/>
                  <wp:docPr id="87" name="图片 85" descr="IMG_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图片 85" descr="IMG_329"/>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8" w:space="0" w:color="0071C5"/>
            </w:tcBorders>
            <w:shd w:val="clear" w:color="auto" w:fill="auto"/>
            <w:tcMar>
              <w:top w:w="40" w:type="dxa"/>
              <w:left w:w="20" w:type="dxa"/>
              <w:bottom w:w="40" w:type="dxa"/>
              <w:right w:w="20" w:type="dxa"/>
            </w:tcMar>
            <w:vAlign w:val="center"/>
          </w:tcPr>
          <w:p w14:paraId="36CA43F7" w14:textId="77777777" w:rsidR="00787570" w:rsidRDefault="000D56E2">
            <w:pPr>
              <w:textAlignment w:val="center"/>
            </w:pPr>
            <w:r>
              <w:rPr>
                <w:rFonts w:ascii="Arial" w:eastAsia="宋体" w:hAnsi="Arial" w:cs="Arial"/>
                <w:color w:val="333333"/>
                <w:sz w:val="16"/>
                <w:szCs w:val="16"/>
              </w:rPr>
              <w:t> FINANCIAL STATEMENTS</w:t>
            </w:r>
          </w:p>
        </w:tc>
        <w:tc>
          <w:tcPr>
            <w:tcW w:w="0" w:type="auto"/>
            <w:gridSpan w:val="3"/>
            <w:tcBorders>
              <w:top w:val="single" w:sz="8" w:space="0" w:color="0071C5"/>
              <w:left w:val="single" w:sz="24" w:space="0" w:color="0071C5"/>
            </w:tcBorders>
            <w:shd w:val="clear" w:color="auto" w:fill="auto"/>
            <w:tcMar>
              <w:top w:w="40" w:type="dxa"/>
              <w:left w:w="20" w:type="dxa"/>
              <w:bottom w:w="40" w:type="dxa"/>
              <w:right w:w="20" w:type="dxa"/>
            </w:tcMar>
            <w:vAlign w:val="center"/>
          </w:tcPr>
          <w:p w14:paraId="36CA43F8" w14:textId="77777777" w:rsidR="00787570" w:rsidRDefault="000D56E2">
            <w:pPr>
              <w:textAlignment w:val="center"/>
            </w:pPr>
            <w:r>
              <w:rPr>
                <w:rFonts w:ascii="Arial" w:eastAsia="宋体" w:hAnsi="Arial" w:cs="Arial"/>
                <w:color w:val="333333"/>
                <w:sz w:val="16"/>
                <w:szCs w:val="16"/>
              </w:rPr>
              <w:t>  Notes to Financial Statements</w:t>
            </w:r>
          </w:p>
        </w:tc>
        <w:tc>
          <w:tcPr>
            <w:tcW w:w="0" w:type="auto"/>
            <w:gridSpan w:val="3"/>
            <w:tcBorders>
              <w:top w:val="single" w:sz="8" w:space="0" w:color="0071C5"/>
            </w:tcBorders>
            <w:shd w:val="clear" w:color="auto" w:fill="auto"/>
            <w:tcMar>
              <w:top w:w="40" w:type="dxa"/>
              <w:left w:w="20" w:type="dxa"/>
              <w:bottom w:w="40" w:type="dxa"/>
              <w:right w:w="20" w:type="dxa"/>
            </w:tcMar>
            <w:vAlign w:val="center"/>
          </w:tcPr>
          <w:p w14:paraId="36CA43F9" w14:textId="77777777" w:rsidR="00787570" w:rsidRDefault="000D56E2">
            <w:pPr>
              <w:jc w:val="right"/>
              <w:textAlignment w:val="center"/>
            </w:pPr>
            <w:r>
              <w:rPr>
                <w:rFonts w:ascii="Arial" w:eastAsia="宋体" w:hAnsi="Arial" w:cs="Arial"/>
                <w:color w:val="333333"/>
                <w:sz w:val="16"/>
                <w:szCs w:val="16"/>
              </w:rPr>
              <w:t>23</w:t>
            </w:r>
          </w:p>
        </w:tc>
      </w:tr>
    </w:tbl>
    <w:p w14:paraId="36CA43FB" w14:textId="77777777" w:rsidR="00787570" w:rsidRDefault="000D56E2">
      <w:r>
        <w:pict w14:anchorId="36CA5C2C">
          <v:rect id="_x0000_i1049" style="width:415.3pt;height:1.5pt" o:hralign="center" o:hrstd="t" o:hr="t" fillcolor="#a0a0a0" stroked="f"/>
        </w:pict>
      </w:r>
    </w:p>
    <w:p w14:paraId="36CA43FC" w14:textId="77777777" w:rsidR="00787570" w:rsidRDefault="000D56E2">
      <w:pPr>
        <w:spacing w:after="180"/>
        <w:jc w:val="right"/>
      </w:pPr>
      <w:hyperlink r:id="rId51" w:anchor="i32771df14e9449d2bec5be911426bf04_7" w:history="1">
        <w:r>
          <w:rPr>
            <w:rStyle w:val="a5"/>
            <w:rFonts w:ascii="Arial" w:eastAsia="宋体" w:hAnsi="Arial" w:cs="Arial"/>
            <w:b/>
            <w:bCs/>
            <w:sz w:val="16"/>
            <w:szCs w:val="16"/>
          </w:rPr>
          <w:t>Table of Contents</w:t>
        </w:r>
      </w:hyperlink>
    </w:p>
    <w:p w14:paraId="36CA43FD" w14:textId="77777777" w:rsidR="00787570" w:rsidRDefault="00787570">
      <w:pPr>
        <w:spacing w:after="180"/>
        <w:jc w:val="right"/>
      </w:pPr>
    </w:p>
    <w:p w14:paraId="36CA43FE" w14:textId="77777777" w:rsidR="00787570" w:rsidRDefault="000D56E2">
      <w:pPr>
        <w:spacing w:after="120"/>
      </w:pPr>
      <w:r>
        <w:rPr>
          <w:rFonts w:ascii="Arial" w:eastAsia="宋体" w:hAnsi="Arial" w:cs="Arial"/>
          <w:b/>
          <w:bCs/>
          <w:color w:val="333333"/>
          <w:sz w:val="20"/>
          <w:szCs w:val="20"/>
        </w:rPr>
        <w:t>European Commission Competition Matter</w:t>
      </w:r>
    </w:p>
    <w:p w14:paraId="36CA43FF" w14:textId="77777777" w:rsidR="00787570" w:rsidRDefault="000D56E2">
      <w:pPr>
        <w:spacing w:after="180"/>
      </w:pPr>
      <w:r>
        <w:rPr>
          <w:rFonts w:ascii="Arial" w:eastAsia="宋体" w:hAnsi="Arial" w:cs="Arial"/>
          <w:color w:val="333333"/>
          <w:sz w:val="18"/>
          <w:szCs w:val="18"/>
        </w:rPr>
        <w:t>In 2001, the EC commenced an investigation re</w:t>
      </w:r>
      <w:r>
        <w:rPr>
          <w:rFonts w:ascii="Arial" w:eastAsia="宋体" w:hAnsi="Arial" w:cs="Arial"/>
          <w:color w:val="333333"/>
          <w:sz w:val="18"/>
          <w:szCs w:val="18"/>
        </w:rPr>
        <w:t>garding claims by Advanced Micro Devices, Inc. (AMD) that we used unfair business practices to persuade customers to buy our microprocessors. We received numerous requests for information and documents from the EC and we responded to each of those requests</w:t>
      </w:r>
      <w:r>
        <w:rPr>
          <w:rFonts w:ascii="Arial" w:eastAsia="宋体" w:hAnsi="Arial" w:cs="Arial"/>
          <w:color w:val="333333"/>
          <w:sz w:val="18"/>
          <w:szCs w:val="18"/>
        </w:rPr>
        <w:t>. The EC issued a Statement of Objections in July 2007 and held a hearing on that Statement in March 2008. The EC issued a Supplemental Statement of Objections in July 2008. In May 2009, the EC issued a decision finding that we had violated Article 82 of t</w:t>
      </w:r>
      <w:r>
        <w:rPr>
          <w:rFonts w:ascii="Arial" w:eastAsia="宋体" w:hAnsi="Arial" w:cs="Arial"/>
          <w:color w:val="333333"/>
          <w:sz w:val="18"/>
          <w:szCs w:val="18"/>
        </w:rPr>
        <w:t>he EC Treaty and Article 54 of the European Economic Area Agreement. In general, the EC found that we violated Article 82 (later renumbered as Article 102 by a new treaty) by offering alleged "conditional rebates and payments" that required our customers t</w:t>
      </w:r>
      <w:r>
        <w:rPr>
          <w:rFonts w:ascii="Arial" w:eastAsia="宋体" w:hAnsi="Arial" w:cs="Arial"/>
          <w:color w:val="333333"/>
          <w:sz w:val="18"/>
          <w:szCs w:val="18"/>
        </w:rPr>
        <w:t>o purchase all or most of their x86 microprocessors from us. The EC also found that we violated Article 82 by making alleged "payments to prevent sales of specific rival products." The EC imposed a fine in the amount of €1.1 billion ($1.4 billion as of May</w:t>
      </w:r>
      <w:r>
        <w:rPr>
          <w:rFonts w:ascii="Arial" w:eastAsia="宋体" w:hAnsi="Arial" w:cs="Arial"/>
          <w:color w:val="333333"/>
          <w:sz w:val="18"/>
          <w:szCs w:val="18"/>
        </w:rPr>
        <w:t xml:space="preserve"> 2009), which we subsequently paid during the third quarter of 2009, and ordered us to "immediately bring to an end the infringement referred to in" the EC decision.</w:t>
      </w:r>
    </w:p>
    <w:p w14:paraId="36CA4400" w14:textId="77777777" w:rsidR="00787570" w:rsidRDefault="000D56E2">
      <w:pPr>
        <w:spacing w:after="180"/>
      </w:pPr>
      <w:r>
        <w:rPr>
          <w:rFonts w:ascii="Arial" w:eastAsia="宋体" w:hAnsi="Arial" w:cs="Arial"/>
          <w:color w:val="333333"/>
          <w:sz w:val="18"/>
          <w:szCs w:val="18"/>
        </w:rPr>
        <w:t>The EC decision contained no specific direction on whether or how we should modify our bus</w:t>
      </w:r>
      <w:r>
        <w:rPr>
          <w:rFonts w:ascii="Arial" w:eastAsia="宋体" w:hAnsi="Arial" w:cs="Arial"/>
          <w:color w:val="333333"/>
          <w:sz w:val="18"/>
          <w:szCs w:val="18"/>
        </w:rPr>
        <w:t xml:space="preserve">iness practices. Instead, the decision stated that we should "cease and desist" from further conduct that, in the EC's opinion, would violate applicable law. We took steps, which are subject to the EC's ongoing review, to comply with that decision pending </w:t>
      </w:r>
      <w:r>
        <w:rPr>
          <w:rFonts w:ascii="Arial" w:eastAsia="宋体" w:hAnsi="Arial" w:cs="Arial"/>
          <w:color w:val="333333"/>
          <w:sz w:val="18"/>
          <w:szCs w:val="18"/>
        </w:rPr>
        <w:t>appeal. We had discussions with the EC to better understand the decision and to explain changes to our business practices.</w:t>
      </w:r>
    </w:p>
    <w:p w14:paraId="36CA4401" w14:textId="77777777" w:rsidR="00787570" w:rsidRDefault="000D56E2">
      <w:pPr>
        <w:spacing w:after="180"/>
      </w:pPr>
      <w:r>
        <w:rPr>
          <w:rFonts w:ascii="Arial" w:eastAsia="宋体" w:hAnsi="Arial" w:cs="Arial"/>
          <w:color w:val="333333"/>
          <w:sz w:val="18"/>
          <w:szCs w:val="18"/>
        </w:rPr>
        <w:t>We appealed the EC decision to the Court of First Instance (which has been renamed the General Court) in July 2009. The hearing of ou</w:t>
      </w:r>
      <w:r>
        <w:rPr>
          <w:rFonts w:ascii="Arial" w:eastAsia="宋体" w:hAnsi="Arial" w:cs="Arial"/>
          <w:color w:val="333333"/>
          <w:sz w:val="18"/>
          <w:szCs w:val="18"/>
        </w:rPr>
        <w:t>r appeal took place in July 2012. In June 2014, the General Court rejected our appeal in its entirety. In August 2014, we filed an appeal with the European Court of Justice. In November 2014, Intervener Association for Competitive Technologies filed commen</w:t>
      </w:r>
      <w:r>
        <w:rPr>
          <w:rFonts w:ascii="Arial" w:eastAsia="宋体" w:hAnsi="Arial" w:cs="Arial"/>
          <w:color w:val="333333"/>
          <w:sz w:val="18"/>
          <w:szCs w:val="18"/>
        </w:rPr>
        <w:t>ts in support of Intel’s grounds of appeal. The EC and interveners filed briefs in November 2014, we filed a reply in February 2015, and the EC filed a rejoinder in April 2015. The Court of Justice held oral argument in June 2016. In October 2016, Advocate</w:t>
      </w:r>
      <w:r>
        <w:rPr>
          <w:rFonts w:ascii="Arial" w:eastAsia="宋体" w:hAnsi="Arial" w:cs="Arial"/>
          <w:color w:val="333333"/>
          <w:sz w:val="18"/>
          <w:szCs w:val="18"/>
        </w:rPr>
        <w:t xml:space="preserve"> General Wahl, an advisor to the Court of Justice, issued a non-binding advisory opinion that favored Intel on a number of grounds. The Court of Justice issued its decision in September 2017, setting aside the judgment of the General Court and sending the </w:t>
      </w:r>
      <w:r>
        <w:rPr>
          <w:rFonts w:ascii="Arial" w:eastAsia="宋体" w:hAnsi="Arial" w:cs="Arial"/>
          <w:color w:val="333333"/>
          <w:sz w:val="18"/>
          <w:szCs w:val="18"/>
        </w:rPr>
        <w:t>case back to the General Court to examine whether the rebates at issue were capable of restricting competition. The General Court has appointed a panel of five judges to consider our appeal of the EC’s 2009 decision in light of the Court of Justice’s clari</w:t>
      </w:r>
      <w:r>
        <w:rPr>
          <w:rFonts w:ascii="Arial" w:eastAsia="宋体" w:hAnsi="Arial" w:cs="Arial"/>
          <w:color w:val="333333"/>
          <w:sz w:val="18"/>
          <w:szCs w:val="18"/>
        </w:rPr>
        <w:t>fications of the law. In November 2017, the parties filed initial “Observations” about the Court of Justice’s decision and the appeal and were invited by the General Court to offer supplemental comments to each other’s “Observations,” which the parties sub</w:t>
      </w:r>
      <w:r>
        <w:rPr>
          <w:rFonts w:ascii="Arial" w:eastAsia="宋体" w:hAnsi="Arial" w:cs="Arial"/>
          <w:color w:val="333333"/>
          <w:sz w:val="18"/>
          <w:szCs w:val="18"/>
        </w:rPr>
        <w:t xml:space="preserve">mitted in March 2018. Responses to other questions posed by the General Court were filed in May and June 2018. The General Court heard oral argument in March 2020. Pending the final decision in this matter, the fine paid by Intel has been placed by the EC </w:t>
      </w:r>
      <w:r>
        <w:rPr>
          <w:rFonts w:ascii="Arial" w:eastAsia="宋体" w:hAnsi="Arial" w:cs="Arial"/>
          <w:color w:val="333333"/>
          <w:sz w:val="18"/>
          <w:szCs w:val="18"/>
        </w:rPr>
        <w:t>in commercial bank accounts where it accrues interest.</w:t>
      </w:r>
    </w:p>
    <w:p w14:paraId="36CA4402" w14:textId="77777777" w:rsidR="00787570" w:rsidRDefault="000D56E2">
      <w:pPr>
        <w:spacing w:after="120"/>
      </w:pPr>
      <w:r>
        <w:rPr>
          <w:rFonts w:ascii="Arial" w:eastAsia="宋体" w:hAnsi="Arial" w:cs="Arial"/>
          <w:b/>
          <w:bCs/>
          <w:color w:val="333333"/>
          <w:sz w:val="20"/>
          <w:szCs w:val="20"/>
        </w:rPr>
        <w:t>Litigation Related to Security Vulnerabilities</w:t>
      </w:r>
    </w:p>
    <w:p w14:paraId="36CA4403" w14:textId="77777777" w:rsidR="00787570" w:rsidRDefault="000D56E2">
      <w:pPr>
        <w:spacing w:after="180"/>
      </w:pPr>
      <w:r>
        <w:rPr>
          <w:rFonts w:ascii="Arial" w:eastAsia="宋体" w:hAnsi="Arial" w:cs="Arial"/>
          <w:color w:val="333333"/>
          <w:sz w:val="18"/>
          <w:szCs w:val="18"/>
        </w:rPr>
        <w:t>In June 2017, a Google research team notified us and other companies that it had identified security vulnerabilities (now commonly referred to as “Spectre</w:t>
      </w:r>
      <w:r>
        <w:rPr>
          <w:rFonts w:ascii="Arial" w:eastAsia="宋体" w:hAnsi="Arial" w:cs="Arial"/>
          <w:color w:val="333333"/>
          <w:sz w:val="18"/>
          <w:szCs w:val="18"/>
        </w:rPr>
        <w:t>” and “Meltdown”) that affect many types of microprocessors, including our products. As is standard when findings like these are presented, we worked together with other companies in the industry to verify the research and develop and validate software and</w:t>
      </w:r>
      <w:r>
        <w:rPr>
          <w:rFonts w:ascii="Arial" w:eastAsia="宋体" w:hAnsi="Arial" w:cs="Arial"/>
          <w:color w:val="333333"/>
          <w:sz w:val="18"/>
          <w:szCs w:val="18"/>
        </w:rPr>
        <w:t xml:space="preserve"> firmware updates for impacted technologies. On January 3, 2018, information on the security vulnerabilities was publicly reported, before software and firmware updates to address the vulnerabilities were made widely available. </w:t>
      </w:r>
    </w:p>
    <w:p w14:paraId="36CA4404" w14:textId="77777777" w:rsidR="00787570" w:rsidRDefault="000D56E2">
      <w:pPr>
        <w:spacing w:after="180"/>
      </w:pPr>
      <w:r>
        <w:rPr>
          <w:rFonts w:ascii="Arial" w:eastAsia="宋体" w:hAnsi="Arial" w:cs="Arial"/>
          <w:color w:val="333333"/>
          <w:sz w:val="18"/>
          <w:szCs w:val="18"/>
        </w:rPr>
        <w:t>Numerous lawsuits have been</w:t>
      </w:r>
      <w:r>
        <w:rPr>
          <w:rFonts w:ascii="Arial" w:eastAsia="宋体" w:hAnsi="Arial" w:cs="Arial"/>
          <w:color w:val="333333"/>
          <w:sz w:val="18"/>
          <w:szCs w:val="18"/>
        </w:rPr>
        <w:t xml:space="preserve"> filed against Intel and, in certain cases, our current and former executives and directors, in U.S. federal and state courts and in certain courts in other countries relating to the Spectre and Meltdown security vulnerabilities, as well as other variants </w:t>
      </w:r>
      <w:r>
        <w:rPr>
          <w:rFonts w:ascii="Arial" w:eastAsia="宋体" w:hAnsi="Arial" w:cs="Arial"/>
          <w:color w:val="333333"/>
          <w:sz w:val="18"/>
          <w:szCs w:val="18"/>
        </w:rPr>
        <w:t>of these vulnerabilities that have since been identified.</w:t>
      </w:r>
    </w:p>
    <w:p w14:paraId="36CA4405" w14:textId="77777777" w:rsidR="00787570" w:rsidRDefault="000D56E2">
      <w:r>
        <w:rPr>
          <w:rFonts w:ascii="Arial" w:eastAsia="宋体" w:hAnsi="Arial" w:cs="Arial"/>
          <w:color w:val="333333"/>
          <w:sz w:val="18"/>
          <w:szCs w:val="18"/>
        </w:rPr>
        <w:t>As of October 21, 2020, consumer class action lawsuits relating to the above class of security vulnerabilities publicly disclosed since 2018 were pending in the U.S., Canada, and Israel. The plainti</w:t>
      </w:r>
      <w:r>
        <w:rPr>
          <w:rFonts w:ascii="Arial" w:eastAsia="宋体" w:hAnsi="Arial" w:cs="Arial"/>
          <w:color w:val="333333"/>
          <w:sz w:val="18"/>
          <w:szCs w:val="18"/>
        </w:rPr>
        <w:t>ffs, who purport to represent various classes of purchasers of our products, generally claim to have been harmed by Intel's actions and/or omissions in connection with the security vulnerabilities and assert a variety of common law and statutory claims see</w:t>
      </w:r>
      <w:r>
        <w:rPr>
          <w:rFonts w:ascii="Arial" w:eastAsia="宋体" w:hAnsi="Arial" w:cs="Arial"/>
          <w:color w:val="333333"/>
          <w:sz w:val="18"/>
          <w:szCs w:val="18"/>
        </w:rPr>
        <w:t>king monetary damages and equitable relief. In the U.S., numerous individual class action suits filed in various jurisdictions were consolidated in April 2018 for all pretrial proceedings in the U.S. District Court for the District of Oregon. In March 2020</w:t>
      </w:r>
      <w:r>
        <w:rPr>
          <w:rFonts w:ascii="Arial" w:eastAsia="宋体" w:hAnsi="Arial" w:cs="Arial"/>
          <w:color w:val="333333"/>
          <w:sz w:val="18"/>
          <w:szCs w:val="18"/>
        </w:rPr>
        <w:t>, the court granted Intel's motion to dismiss the complaint in that consolidated action but granted plaintiffs leave to amend. Plaintiffs filed an amended complaint in May 2020, which Intel moved to dismiss in July 2020; argument on the motion is scheduled</w:t>
      </w:r>
      <w:r>
        <w:rPr>
          <w:rFonts w:ascii="Arial" w:eastAsia="宋体" w:hAnsi="Arial" w:cs="Arial"/>
          <w:color w:val="333333"/>
          <w:sz w:val="18"/>
          <w:szCs w:val="18"/>
        </w:rPr>
        <w:t xml:space="preserve"> for December 2020. In Canada, in one case pending in the Superior Court of Justice of Ontario, an initial status conference has not yet been scheduled. In a second case pending in the Superior Court of Justice of Quebec, the court has stayed the case unti</w:t>
      </w:r>
      <w:r>
        <w:rPr>
          <w:rFonts w:ascii="Arial" w:eastAsia="宋体" w:hAnsi="Arial" w:cs="Arial"/>
          <w:color w:val="333333"/>
          <w:sz w:val="18"/>
          <w:szCs w:val="18"/>
        </w:rPr>
        <w:t>l January 2021. In Israel, both consumer class action lawsuits were filed in the District Court of Haifa. In the first case, the District Court denied the parties' joint motion to stay filed in January 2019, but to date has deferred Intel's deadline to res</w:t>
      </w:r>
      <w:r>
        <w:rPr>
          <w:rFonts w:ascii="Arial" w:eastAsia="宋体" w:hAnsi="Arial" w:cs="Arial"/>
          <w:color w:val="333333"/>
          <w:sz w:val="18"/>
          <w:szCs w:val="18"/>
        </w:rPr>
        <w:t>pond to the complaint. Intel filed a motion to stay the second case pending resolution of the consolidated proceeding in the U.S., and a hearing on that motion has been scheduled for November 2020. Additional lawsuits and claims may be asserted seeking mon</w:t>
      </w:r>
      <w:r>
        <w:rPr>
          <w:rFonts w:ascii="Arial" w:eastAsia="宋体" w:hAnsi="Arial" w:cs="Arial"/>
          <w:color w:val="333333"/>
          <w:sz w:val="18"/>
          <w:szCs w:val="18"/>
        </w:rPr>
        <w:t>etary damages or other related relief. We dispute the pending claims described above and intend to defend those lawsuits vigorously. Given the procedural posture and the nature of those cases, including that the pending proceedings are in the early stages,</w:t>
      </w:r>
      <w:r>
        <w:rPr>
          <w:rFonts w:ascii="Arial" w:eastAsia="宋体" w:hAnsi="Arial" w:cs="Arial"/>
          <w:color w:val="333333"/>
          <w:sz w:val="18"/>
          <w:szCs w:val="18"/>
        </w:rPr>
        <w:t xml:space="preserve"> that alleged damages have not been specified, that uncertainty exists as to the likelihood of a class or classes being certified or the ultimate size of any class or classes if certified, and that there are significant factual and legal issues to be resol</w:t>
      </w:r>
      <w:r>
        <w:rPr>
          <w:rFonts w:ascii="Arial" w:eastAsia="宋体" w:hAnsi="Arial" w:cs="Arial"/>
          <w:color w:val="333333"/>
          <w:sz w:val="18"/>
          <w:szCs w:val="18"/>
        </w:rPr>
        <w:t>ved, we are unable to make a reasonable estimate of the potential loss or range of losses, if any, that might arise from those matters.</w:t>
      </w:r>
    </w:p>
    <w:p w14:paraId="36CA4406" w14:textId="77777777" w:rsidR="00787570" w:rsidRDefault="00787570">
      <w:pPr>
        <w:spacing w:after="180"/>
      </w:pPr>
    </w:p>
    <w:p w14:paraId="36CA4407" w14:textId="77777777" w:rsidR="00787570" w:rsidRDefault="00787570">
      <w:pPr>
        <w:spacing w:after="180"/>
      </w:pPr>
    </w:p>
    <w:p w14:paraId="36CA4408" w14:textId="77777777" w:rsidR="00787570" w:rsidRDefault="00787570">
      <w:pPr>
        <w:spacing w:after="180"/>
      </w:pPr>
    </w:p>
    <w:p w14:paraId="36CA4409" w14:textId="77777777" w:rsidR="00787570" w:rsidRDefault="00787570">
      <w:pPr>
        <w:spacing w:after="180"/>
      </w:pPr>
    </w:p>
    <w:p w14:paraId="36CA440A" w14:textId="77777777" w:rsidR="00787570" w:rsidRDefault="00787570">
      <w:pPr>
        <w:spacing w:after="180"/>
      </w:pPr>
    </w:p>
    <w:p w14:paraId="36CA440B" w14:textId="77777777" w:rsidR="00787570" w:rsidRDefault="00787570">
      <w:pPr>
        <w:spacing w:after="180"/>
      </w:pPr>
    </w:p>
    <w:p w14:paraId="36CA440C" w14:textId="77777777" w:rsidR="00787570" w:rsidRDefault="00787570">
      <w:pPr>
        <w:spacing w:after="180"/>
      </w:pPr>
    </w:p>
    <w:tbl>
      <w:tblPr>
        <w:tblW w:w="5000" w:type="pct"/>
        <w:tblCellMar>
          <w:top w:w="15" w:type="dxa"/>
          <w:left w:w="15" w:type="dxa"/>
          <w:bottom w:w="15" w:type="dxa"/>
          <w:right w:w="15" w:type="dxa"/>
        </w:tblCellMar>
        <w:tblLook w:val="04A0" w:firstRow="1" w:lastRow="0" w:firstColumn="1" w:lastColumn="0" w:noHBand="0" w:noVBand="1"/>
      </w:tblPr>
      <w:tblGrid>
        <w:gridCol w:w="86"/>
        <w:gridCol w:w="426"/>
        <w:gridCol w:w="36"/>
        <w:gridCol w:w="62"/>
        <w:gridCol w:w="1676"/>
        <w:gridCol w:w="36"/>
        <w:gridCol w:w="62"/>
        <w:gridCol w:w="3655"/>
        <w:gridCol w:w="36"/>
        <w:gridCol w:w="63"/>
        <w:gridCol w:w="2162"/>
        <w:gridCol w:w="36"/>
      </w:tblGrid>
      <w:tr w:rsidR="00787570" w14:paraId="36CA4419" w14:textId="77777777">
        <w:tc>
          <w:tcPr>
            <w:tcW w:w="50" w:type="pct"/>
            <w:shd w:val="clear" w:color="auto" w:fill="auto"/>
            <w:vAlign w:val="bottom"/>
          </w:tcPr>
          <w:p w14:paraId="36CA440D" w14:textId="77777777" w:rsidR="00787570" w:rsidRDefault="00787570">
            <w:pPr>
              <w:rPr>
                <w:rFonts w:ascii="宋体"/>
              </w:rPr>
            </w:pPr>
          </w:p>
        </w:tc>
        <w:tc>
          <w:tcPr>
            <w:tcW w:w="248" w:type="pct"/>
            <w:shd w:val="clear" w:color="auto" w:fill="auto"/>
            <w:vAlign w:val="bottom"/>
          </w:tcPr>
          <w:p w14:paraId="36CA440E" w14:textId="77777777" w:rsidR="00787570" w:rsidRDefault="00787570">
            <w:pPr>
              <w:rPr>
                <w:rFonts w:ascii="宋体"/>
              </w:rPr>
            </w:pPr>
          </w:p>
        </w:tc>
        <w:tc>
          <w:tcPr>
            <w:tcW w:w="5" w:type="pct"/>
            <w:shd w:val="clear" w:color="auto" w:fill="auto"/>
            <w:vAlign w:val="bottom"/>
          </w:tcPr>
          <w:p w14:paraId="36CA440F" w14:textId="77777777" w:rsidR="00787570" w:rsidRDefault="00787570">
            <w:pPr>
              <w:rPr>
                <w:rFonts w:ascii="宋体"/>
              </w:rPr>
            </w:pPr>
          </w:p>
        </w:tc>
        <w:tc>
          <w:tcPr>
            <w:tcW w:w="50" w:type="pct"/>
            <w:shd w:val="clear" w:color="auto" w:fill="auto"/>
            <w:vAlign w:val="bottom"/>
          </w:tcPr>
          <w:p w14:paraId="36CA4410" w14:textId="77777777" w:rsidR="00787570" w:rsidRDefault="00787570">
            <w:pPr>
              <w:rPr>
                <w:rFonts w:ascii="宋体"/>
              </w:rPr>
            </w:pPr>
          </w:p>
        </w:tc>
        <w:tc>
          <w:tcPr>
            <w:tcW w:w="1018" w:type="pct"/>
            <w:shd w:val="clear" w:color="auto" w:fill="auto"/>
            <w:vAlign w:val="bottom"/>
          </w:tcPr>
          <w:p w14:paraId="36CA4411" w14:textId="77777777" w:rsidR="00787570" w:rsidRDefault="00787570">
            <w:pPr>
              <w:rPr>
                <w:rFonts w:ascii="宋体"/>
              </w:rPr>
            </w:pPr>
          </w:p>
        </w:tc>
        <w:tc>
          <w:tcPr>
            <w:tcW w:w="5" w:type="pct"/>
            <w:shd w:val="clear" w:color="auto" w:fill="auto"/>
            <w:vAlign w:val="bottom"/>
          </w:tcPr>
          <w:p w14:paraId="36CA4412" w14:textId="77777777" w:rsidR="00787570" w:rsidRDefault="00787570">
            <w:pPr>
              <w:rPr>
                <w:rFonts w:ascii="宋体"/>
              </w:rPr>
            </w:pPr>
          </w:p>
        </w:tc>
        <w:tc>
          <w:tcPr>
            <w:tcW w:w="50" w:type="pct"/>
            <w:shd w:val="clear" w:color="auto" w:fill="auto"/>
            <w:vAlign w:val="bottom"/>
          </w:tcPr>
          <w:p w14:paraId="36CA4413" w14:textId="77777777" w:rsidR="00787570" w:rsidRDefault="00787570">
            <w:pPr>
              <w:rPr>
                <w:rFonts w:ascii="宋体"/>
              </w:rPr>
            </w:pPr>
          </w:p>
        </w:tc>
        <w:tc>
          <w:tcPr>
            <w:tcW w:w="2204" w:type="pct"/>
            <w:shd w:val="clear" w:color="auto" w:fill="auto"/>
            <w:vAlign w:val="bottom"/>
          </w:tcPr>
          <w:p w14:paraId="36CA4414" w14:textId="77777777" w:rsidR="00787570" w:rsidRDefault="00787570">
            <w:pPr>
              <w:rPr>
                <w:rFonts w:ascii="宋体"/>
              </w:rPr>
            </w:pPr>
          </w:p>
        </w:tc>
        <w:tc>
          <w:tcPr>
            <w:tcW w:w="5" w:type="pct"/>
            <w:shd w:val="clear" w:color="auto" w:fill="auto"/>
            <w:vAlign w:val="bottom"/>
          </w:tcPr>
          <w:p w14:paraId="36CA4415" w14:textId="77777777" w:rsidR="00787570" w:rsidRDefault="00787570">
            <w:pPr>
              <w:rPr>
                <w:rFonts w:ascii="宋体"/>
              </w:rPr>
            </w:pPr>
          </w:p>
        </w:tc>
        <w:tc>
          <w:tcPr>
            <w:tcW w:w="50" w:type="pct"/>
            <w:shd w:val="clear" w:color="auto" w:fill="auto"/>
            <w:vAlign w:val="bottom"/>
          </w:tcPr>
          <w:p w14:paraId="36CA4416" w14:textId="77777777" w:rsidR="00787570" w:rsidRDefault="00787570">
            <w:pPr>
              <w:rPr>
                <w:rFonts w:ascii="宋体"/>
              </w:rPr>
            </w:pPr>
          </w:p>
        </w:tc>
        <w:tc>
          <w:tcPr>
            <w:tcW w:w="1308" w:type="pct"/>
            <w:shd w:val="clear" w:color="auto" w:fill="auto"/>
            <w:vAlign w:val="bottom"/>
          </w:tcPr>
          <w:p w14:paraId="36CA4417" w14:textId="77777777" w:rsidR="00787570" w:rsidRDefault="00787570">
            <w:pPr>
              <w:rPr>
                <w:rFonts w:ascii="宋体"/>
              </w:rPr>
            </w:pPr>
          </w:p>
        </w:tc>
        <w:tc>
          <w:tcPr>
            <w:tcW w:w="5" w:type="pct"/>
            <w:shd w:val="clear" w:color="auto" w:fill="auto"/>
            <w:vAlign w:val="bottom"/>
          </w:tcPr>
          <w:p w14:paraId="36CA4418" w14:textId="77777777" w:rsidR="00787570" w:rsidRDefault="00787570">
            <w:pPr>
              <w:rPr>
                <w:rFonts w:ascii="宋体"/>
              </w:rPr>
            </w:pPr>
          </w:p>
        </w:tc>
      </w:tr>
      <w:tr w:rsidR="00787570" w14:paraId="36CA441E" w14:textId="77777777">
        <w:tc>
          <w:tcPr>
            <w:tcW w:w="0" w:type="auto"/>
            <w:gridSpan w:val="3"/>
            <w:tcBorders>
              <w:top w:val="single" w:sz="8" w:space="0" w:color="0071C5"/>
            </w:tcBorders>
            <w:shd w:val="clear" w:color="auto" w:fill="auto"/>
            <w:tcMar>
              <w:left w:w="20" w:type="dxa"/>
              <w:right w:w="20" w:type="dxa"/>
            </w:tcMar>
            <w:vAlign w:val="center"/>
          </w:tcPr>
          <w:p w14:paraId="36CA441A" w14:textId="77777777" w:rsidR="00787570" w:rsidRDefault="000D56E2">
            <w:pPr>
              <w:textAlignment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Viewer9_files/intc-20200926_g2.jpg"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36CA5C2D" wp14:editId="36CA5C2E">
                  <wp:extent cx="304800" cy="304800"/>
                  <wp:effectExtent l="0" t="0" r="0" b="0"/>
                  <wp:docPr id="21" name="图片 87" descr="IMG_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87" descr="IMG_329"/>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8" w:space="0" w:color="0071C5"/>
            </w:tcBorders>
            <w:shd w:val="clear" w:color="auto" w:fill="auto"/>
            <w:tcMar>
              <w:top w:w="40" w:type="dxa"/>
              <w:left w:w="20" w:type="dxa"/>
              <w:bottom w:w="40" w:type="dxa"/>
              <w:right w:w="20" w:type="dxa"/>
            </w:tcMar>
            <w:vAlign w:val="center"/>
          </w:tcPr>
          <w:p w14:paraId="36CA441B" w14:textId="77777777" w:rsidR="00787570" w:rsidRDefault="000D56E2">
            <w:pPr>
              <w:textAlignment w:val="center"/>
            </w:pPr>
            <w:r>
              <w:rPr>
                <w:rFonts w:ascii="Arial" w:eastAsia="宋体" w:hAnsi="Arial" w:cs="Arial"/>
                <w:color w:val="333333"/>
                <w:sz w:val="16"/>
                <w:szCs w:val="16"/>
              </w:rPr>
              <w:t> FINANCIAL STATEMENTS</w:t>
            </w:r>
          </w:p>
        </w:tc>
        <w:tc>
          <w:tcPr>
            <w:tcW w:w="0" w:type="auto"/>
            <w:gridSpan w:val="3"/>
            <w:tcBorders>
              <w:top w:val="single" w:sz="8" w:space="0" w:color="0071C5"/>
              <w:left w:val="single" w:sz="24" w:space="0" w:color="0071C5"/>
            </w:tcBorders>
            <w:shd w:val="clear" w:color="auto" w:fill="auto"/>
            <w:tcMar>
              <w:top w:w="40" w:type="dxa"/>
              <w:left w:w="20" w:type="dxa"/>
              <w:bottom w:w="40" w:type="dxa"/>
              <w:right w:w="20" w:type="dxa"/>
            </w:tcMar>
            <w:vAlign w:val="center"/>
          </w:tcPr>
          <w:p w14:paraId="36CA441C" w14:textId="77777777" w:rsidR="00787570" w:rsidRDefault="000D56E2">
            <w:pPr>
              <w:textAlignment w:val="center"/>
            </w:pPr>
            <w:r>
              <w:rPr>
                <w:rFonts w:ascii="Arial" w:eastAsia="宋体" w:hAnsi="Arial" w:cs="Arial"/>
                <w:color w:val="333333"/>
                <w:sz w:val="16"/>
                <w:szCs w:val="16"/>
              </w:rPr>
              <w:t>  Notes to Financial Statements</w:t>
            </w:r>
          </w:p>
        </w:tc>
        <w:tc>
          <w:tcPr>
            <w:tcW w:w="0" w:type="auto"/>
            <w:gridSpan w:val="3"/>
            <w:tcBorders>
              <w:top w:val="single" w:sz="8" w:space="0" w:color="0071C5"/>
            </w:tcBorders>
            <w:shd w:val="clear" w:color="auto" w:fill="auto"/>
            <w:tcMar>
              <w:top w:w="40" w:type="dxa"/>
              <w:left w:w="20" w:type="dxa"/>
              <w:bottom w:w="40" w:type="dxa"/>
              <w:right w:w="20" w:type="dxa"/>
            </w:tcMar>
            <w:vAlign w:val="center"/>
          </w:tcPr>
          <w:p w14:paraId="36CA441D" w14:textId="77777777" w:rsidR="00787570" w:rsidRDefault="000D56E2">
            <w:pPr>
              <w:jc w:val="right"/>
              <w:textAlignment w:val="center"/>
            </w:pPr>
            <w:r>
              <w:rPr>
                <w:rFonts w:ascii="Arial" w:eastAsia="宋体" w:hAnsi="Arial" w:cs="Arial"/>
                <w:color w:val="333333"/>
                <w:sz w:val="16"/>
                <w:szCs w:val="16"/>
              </w:rPr>
              <w:t>24</w:t>
            </w:r>
          </w:p>
        </w:tc>
      </w:tr>
    </w:tbl>
    <w:p w14:paraId="36CA441F" w14:textId="77777777" w:rsidR="00787570" w:rsidRDefault="000D56E2">
      <w:r>
        <w:pict w14:anchorId="36CA5C2F">
          <v:rect id="_x0000_i1050" style="width:415.3pt;height:1.5pt" o:hralign="center" o:hrstd="t" o:hr="t" fillcolor="#a0a0a0" stroked="f"/>
        </w:pict>
      </w:r>
    </w:p>
    <w:p w14:paraId="36CA4420" w14:textId="77777777" w:rsidR="00787570" w:rsidRDefault="000D56E2">
      <w:pPr>
        <w:spacing w:after="180"/>
        <w:jc w:val="right"/>
      </w:pPr>
      <w:hyperlink r:id="rId52" w:anchor="i32771df14e9449d2bec5be911426bf04_7" w:history="1">
        <w:r>
          <w:rPr>
            <w:rStyle w:val="a5"/>
            <w:rFonts w:ascii="Arial" w:eastAsia="宋体" w:hAnsi="Arial" w:cs="Arial"/>
            <w:b/>
            <w:bCs/>
            <w:sz w:val="16"/>
            <w:szCs w:val="16"/>
          </w:rPr>
          <w:t>Table of Contents</w:t>
        </w:r>
      </w:hyperlink>
    </w:p>
    <w:p w14:paraId="36CA4421" w14:textId="77777777" w:rsidR="00787570" w:rsidRDefault="00787570">
      <w:pPr>
        <w:spacing w:after="180"/>
        <w:jc w:val="right"/>
      </w:pPr>
    </w:p>
    <w:p w14:paraId="36CA4422" w14:textId="77777777" w:rsidR="00787570" w:rsidRDefault="000D56E2">
      <w:pPr>
        <w:spacing w:after="180"/>
      </w:pPr>
      <w:r>
        <w:rPr>
          <w:rFonts w:ascii="Arial" w:eastAsia="宋体" w:hAnsi="Arial" w:cs="Arial"/>
          <w:color w:val="333333"/>
          <w:sz w:val="18"/>
          <w:szCs w:val="18"/>
        </w:rPr>
        <w:t>In addition to these lawsuits, Intel stockholders filed multiple shareholder derivat</w:t>
      </w:r>
      <w:r>
        <w:rPr>
          <w:rFonts w:ascii="Arial" w:eastAsia="宋体" w:hAnsi="Arial" w:cs="Arial"/>
          <w:color w:val="333333"/>
          <w:sz w:val="18"/>
          <w:szCs w:val="18"/>
        </w:rPr>
        <w:t>ive lawsuits since January 2018 against certain current and former members of our Board of Directors and certain current and former officers, alleging that the defendants breached their duties to Intel in connection with the disclosure of the security vuln</w:t>
      </w:r>
      <w:r>
        <w:rPr>
          <w:rFonts w:ascii="Arial" w:eastAsia="宋体" w:hAnsi="Arial" w:cs="Arial"/>
          <w:color w:val="333333"/>
          <w:sz w:val="18"/>
          <w:szCs w:val="18"/>
        </w:rPr>
        <w:t>erabilities and the failure to take action in relation to alleged insider trading. The complaints sought to recover damages from the defendants on behalf of Intel. Some of the derivative actions were filed in the U.S. District Court for the Northern Distri</w:t>
      </w:r>
      <w:r>
        <w:rPr>
          <w:rFonts w:ascii="Arial" w:eastAsia="宋体" w:hAnsi="Arial" w:cs="Arial"/>
          <w:color w:val="333333"/>
          <w:sz w:val="18"/>
          <w:szCs w:val="18"/>
        </w:rPr>
        <w:t>ct of California and were consolidated, and the others were filed in the Superior Court of the State of California in San Mateo County and were consolidated. The federal court granted defendants' motion to dismiss in August 2018 on the ground that plaintif</w:t>
      </w:r>
      <w:r>
        <w:rPr>
          <w:rFonts w:ascii="Arial" w:eastAsia="宋体" w:hAnsi="Arial" w:cs="Arial"/>
          <w:color w:val="333333"/>
          <w:sz w:val="18"/>
          <w:szCs w:val="18"/>
        </w:rPr>
        <w:t>fs failed to plead facts sufficient to show they were excused from making a pre-lawsuit demand on the Board. The federal court granted plaintiffs leave to amend their complaint, but subsequently dismissed the cases in January 2019 at plaintiffs' request. T</w:t>
      </w:r>
      <w:r>
        <w:rPr>
          <w:rFonts w:ascii="Arial" w:eastAsia="宋体" w:hAnsi="Arial" w:cs="Arial"/>
          <w:color w:val="333333"/>
          <w:sz w:val="18"/>
          <w:szCs w:val="18"/>
        </w:rPr>
        <w:t>he California Superior Court entered judgment in defendants' favor in August 2020 after granting defendants' motions to dismiss plaintiffs' consolidated complaint and three successive amended complaints, all for failure to plead facts sufficient to show pl</w:t>
      </w:r>
      <w:r>
        <w:rPr>
          <w:rFonts w:ascii="Arial" w:eastAsia="宋体" w:hAnsi="Arial" w:cs="Arial"/>
          <w:color w:val="333333"/>
          <w:sz w:val="18"/>
          <w:szCs w:val="18"/>
        </w:rPr>
        <w:t>aintiffs were excused from making pre-lawsuit demand on the Board. Plaintiffs filed a notice of appeal of the California court's judgment in October 2020.</w:t>
      </w:r>
    </w:p>
    <w:p w14:paraId="36CA4423" w14:textId="77777777" w:rsidR="00787570" w:rsidRDefault="000D56E2">
      <w:pPr>
        <w:spacing w:after="120"/>
      </w:pPr>
      <w:r>
        <w:rPr>
          <w:rFonts w:ascii="Arial" w:eastAsia="宋体" w:hAnsi="Arial" w:cs="Arial"/>
          <w:b/>
          <w:bCs/>
          <w:color w:val="333333"/>
          <w:sz w:val="20"/>
          <w:szCs w:val="20"/>
        </w:rPr>
        <w:t>Institute of Microelectronics, Chinese Academy of Sciences v. Intel China, Ltd., et al.</w:t>
      </w:r>
    </w:p>
    <w:p w14:paraId="36CA4424" w14:textId="77777777" w:rsidR="00787570" w:rsidRDefault="000D56E2">
      <w:pPr>
        <w:spacing w:after="180"/>
      </w:pPr>
      <w:r>
        <w:rPr>
          <w:rFonts w:ascii="Arial" w:eastAsia="宋体" w:hAnsi="Arial" w:cs="Arial"/>
          <w:color w:val="333333"/>
          <w:sz w:val="18"/>
          <w:szCs w:val="18"/>
        </w:rPr>
        <w:t>In February 2018, the Institute of Microelectronics of the Chinese Academy of Sciences (IMECAS) sued Intel China, Ltd., Dell China, Ltd. (Dell) and Beijing JingDong Century Information Technology, Ltd. (JD) for patent infringement in the Beijing High Court</w:t>
      </w:r>
      <w:r>
        <w:rPr>
          <w:rFonts w:ascii="Arial" w:eastAsia="宋体" w:hAnsi="Arial" w:cs="Arial"/>
          <w:color w:val="333333"/>
          <w:sz w:val="18"/>
          <w:szCs w:val="18"/>
        </w:rPr>
        <w:t>. IMECAS alleges that Intel’s Core series processors infringe Chinese patent CN 102956457 (’457 Patent). The complaint demands an injunction and damages of at least RMB 200,000,000 plus the cost of litigation. A trial date is not yet set. In March 2018, De</w:t>
      </w:r>
      <w:r>
        <w:rPr>
          <w:rFonts w:ascii="Arial" w:eastAsia="宋体" w:hAnsi="Arial" w:cs="Arial"/>
          <w:color w:val="333333"/>
          <w:sz w:val="18"/>
          <w:szCs w:val="18"/>
        </w:rPr>
        <w:t>ll tendered indemnity to Intel, which Intel granted in April 2018. JD also tendered indemnity to Intel, which Intel granted in October 2018. In March 2018, Intel filed an invalidation request on the ‘457 patent with the Chinese Patent Reexamination Board (</w:t>
      </w:r>
      <w:r>
        <w:rPr>
          <w:rFonts w:ascii="Arial" w:eastAsia="宋体" w:hAnsi="Arial" w:cs="Arial"/>
          <w:color w:val="333333"/>
          <w:sz w:val="18"/>
          <w:szCs w:val="18"/>
        </w:rPr>
        <w:t>PRB). The PRB held an oral hearing in September 2018 and in February 2019 upheld the validity of the challenged claims. In January 2020, Intel filed a second invalidation request on the ‘457 patent with the PRB, for which the PRB heard oral argument in Jul</w:t>
      </w:r>
      <w:r>
        <w:rPr>
          <w:rFonts w:ascii="Arial" w:eastAsia="宋体" w:hAnsi="Arial" w:cs="Arial"/>
          <w:color w:val="333333"/>
          <w:sz w:val="18"/>
          <w:szCs w:val="18"/>
        </w:rPr>
        <w:t xml:space="preserve">y 2020. In September 2018 and March 2019, Intel filed petitions with the United States Patent &amp; Trademark Office (USPTO) requesting institution of </w:t>
      </w:r>
      <w:r>
        <w:rPr>
          <w:rFonts w:ascii="Arial" w:eastAsia="宋体" w:hAnsi="Arial" w:cs="Arial"/>
          <w:i/>
          <w:iCs/>
          <w:color w:val="333333"/>
          <w:sz w:val="18"/>
          <w:szCs w:val="18"/>
        </w:rPr>
        <w:t>inter partes</w:t>
      </w:r>
      <w:r>
        <w:rPr>
          <w:rFonts w:ascii="Arial" w:eastAsia="宋体" w:hAnsi="Arial" w:cs="Arial"/>
          <w:color w:val="333333"/>
          <w:sz w:val="18"/>
          <w:szCs w:val="18"/>
        </w:rPr>
        <w:t xml:space="preserve"> review (IPR) of U.S. Patent No. 9,070,719, the U.S. counterpart to the ‘457 patent. The USPTO de</w:t>
      </w:r>
      <w:r>
        <w:rPr>
          <w:rFonts w:ascii="Arial" w:eastAsia="宋体" w:hAnsi="Arial" w:cs="Arial"/>
          <w:color w:val="333333"/>
          <w:sz w:val="18"/>
          <w:szCs w:val="18"/>
        </w:rPr>
        <w:t>nied institution of Intel’s petitions in March and October 2019, respectively. In April 2019, Intel filed a request for rehearing and a petition for Precedential Opinion Panel (POP) in the USPTO to challenge the denial of its first IPR petition, and in Nov</w:t>
      </w:r>
      <w:r>
        <w:rPr>
          <w:rFonts w:ascii="Arial" w:eastAsia="宋体" w:hAnsi="Arial" w:cs="Arial"/>
          <w:color w:val="333333"/>
          <w:sz w:val="18"/>
          <w:szCs w:val="18"/>
        </w:rPr>
        <w:t>ember 2019 Intel filed a request for rehearing on the second IPR petition. In January 2020, the USPTO denied the POP petition on the first IPR petition. In June 2020, the Patent Trial and Appeal Board denied Intel's rehearing requests on both petitions.</w:t>
      </w:r>
    </w:p>
    <w:p w14:paraId="36CA4425" w14:textId="77777777" w:rsidR="00787570" w:rsidRDefault="000D56E2">
      <w:pPr>
        <w:spacing w:after="180"/>
      </w:pPr>
      <w:r>
        <w:rPr>
          <w:rFonts w:ascii="Arial" w:eastAsia="宋体" w:hAnsi="Arial" w:cs="Arial"/>
          <w:color w:val="333333"/>
          <w:sz w:val="18"/>
          <w:szCs w:val="18"/>
        </w:rPr>
        <w:t>In</w:t>
      </w:r>
      <w:r>
        <w:rPr>
          <w:rFonts w:ascii="Arial" w:eastAsia="宋体" w:hAnsi="Arial" w:cs="Arial"/>
          <w:color w:val="333333"/>
          <w:sz w:val="18"/>
          <w:szCs w:val="18"/>
        </w:rPr>
        <w:t xml:space="preserve"> October 2019, IMECAS filed second and third lawsuits, in the Beijing IP Court, alleging infringement of Chinese Patent No. CN 102386226 (‘226 Patent) based on the manufacturing and sale of Intel’s Core i3 microprocessors. Defendants in the second case are</w:t>
      </w:r>
      <w:r>
        <w:rPr>
          <w:rFonts w:ascii="Arial" w:eastAsia="宋体" w:hAnsi="Arial" w:cs="Arial"/>
          <w:color w:val="333333"/>
          <w:sz w:val="18"/>
          <w:szCs w:val="18"/>
        </w:rPr>
        <w:t xml:space="preserve"> Lenovo (Beijing) Co., Ltd. (Lenovo) and Beijing Jiayun Huitong Technology Development Co. Ltd. (BJHT). Defendants in the third case are Intel Corp., Intel China Co., Ltd., the Intel China Beijing Branch, Beijing Digital China Co., Ltd. (Digital China), an</w:t>
      </w:r>
      <w:r>
        <w:rPr>
          <w:rFonts w:ascii="Arial" w:eastAsia="宋体" w:hAnsi="Arial" w:cs="Arial"/>
          <w:color w:val="333333"/>
          <w:sz w:val="18"/>
          <w:szCs w:val="18"/>
        </w:rPr>
        <w:t>d JD. Both complaints demand injunctions plus litigation costs and reserve the right to claim damages in unspecified amounts. No proceedings have occurred or are yet scheduled in these lawsuits. In December 2019, Lenovo tendered indemnity to Intel, which I</w:t>
      </w:r>
      <w:r>
        <w:rPr>
          <w:rFonts w:ascii="Arial" w:eastAsia="宋体" w:hAnsi="Arial" w:cs="Arial"/>
          <w:color w:val="333333"/>
          <w:sz w:val="18"/>
          <w:szCs w:val="18"/>
        </w:rPr>
        <w:t>ntel granted in March 2020. In July 2020, Intel filed two invalidation requests on the '226 patent with the Chinese PRB. Given the procedural posture and the nature of these cases, the unspecified nature and extent of damages claimed by IMECAS, and uncerta</w:t>
      </w:r>
      <w:r>
        <w:rPr>
          <w:rFonts w:ascii="Arial" w:eastAsia="宋体" w:hAnsi="Arial" w:cs="Arial"/>
          <w:color w:val="333333"/>
          <w:sz w:val="18"/>
          <w:szCs w:val="18"/>
        </w:rPr>
        <w:t xml:space="preserve">inty regarding the availability of injunctive relief under applicable law, we are unable to make a reasonable estimate of the potential loss or range of losses, if any, arising from these matters. We dispute IMECAS’s claims and intend to vigorously defend </w:t>
      </w:r>
      <w:r>
        <w:rPr>
          <w:rFonts w:ascii="Arial" w:eastAsia="宋体" w:hAnsi="Arial" w:cs="Arial"/>
          <w:color w:val="333333"/>
          <w:sz w:val="18"/>
          <w:szCs w:val="18"/>
        </w:rPr>
        <w:t>against them.</w:t>
      </w:r>
    </w:p>
    <w:p w14:paraId="36CA4426" w14:textId="77777777" w:rsidR="00787570" w:rsidRDefault="000D56E2">
      <w:pPr>
        <w:spacing w:after="120"/>
      </w:pPr>
      <w:r>
        <w:rPr>
          <w:rFonts w:ascii="Arial" w:eastAsia="宋体" w:hAnsi="Arial" w:cs="Arial"/>
          <w:b/>
          <w:bCs/>
          <w:color w:val="333333"/>
          <w:sz w:val="20"/>
          <w:szCs w:val="20"/>
        </w:rPr>
        <w:t>VLSI Technology LLC v. Intel</w:t>
      </w:r>
      <w:r>
        <w:rPr>
          <w:rFonts w:ascii="Arial" w:eastAsia="宋体" w:hAnsi="Arial" w:cs="Arial"/>
          <w:b/>
          <w:bCs/>
          <w:i/>
          <w:iCs/>
          <w:color w:val="333333"/>
          <w:sz w:val="18"/>
          <w:szCs w:val="18"/>
        </w:rPr>
        <w:t xml:space="preserve"> </w:t>
      </w:r>
    </w:p>
    <w:p w14:paraId="36CA4427" w14:textId="77777777" w:rsidR="00787570" w:rsidRDefault="000D56E2">
      <w:pPr>
        <w:spacing w:after="180"/>
      </w:pPr>
      <w:r>
        <w:rPr>
          <w:rFonts w:ascii="Arial" w:eastAsia="宋体" w:hAnsi="Arial" w:cs="Arial"/>
          <w:color w:val="333333"/>
          <w:sz w:val="18"/>
          <w:szCs w:val="18"/>
        </w:rPr>
        <w:t>In October 2017, VLSI Technology LLC (VLSI) filed a complaint against Intel in the U.S. District Court for the Northern District of California alleging infringement of eight patents acquired from NXP Semiconducto</w:t>
      </w:r>
      <w:r>
        <w:rPr>
          <w:rFonts w:ascii="Arial" w:eastAsia="宋体" w:hAnsi="Arial" w:cs="Arial"/>
          <w:color w:val="333333"/>
          <w:sz w:val="18"/>
          <w:szCs w:val="18"/>
        </w:rPr>
        <w:t>rs, N.V. (NXP). The patents, which originated at Freescale Semiconductor, Inc. and NXP B.V., are U.S. Patent Nos. 7,268,588; 7,675,806; 7,706,207; 7,709,303; 8,004,922; 8,020,014; 8,268,672; and 8,566,836. VLSI accuses various FPGA and processor products o</w:t>
      </w:r>
      <w:r>
        <w:rPr>
          <w:rFonts w:ascii="Arial" w:eastAsia="宋体" w:hAnsi="Arial" w:cs="Arial"/>
          <w:color w:val="333333"/>
          <w:sz w:val="18"/>
          <w:szCs w:val="18"/>
        </w:rPr>
        <w:t>f infringement. VLSI estimated its damages to be as high as $7.1 billion, and its complaint further sought enhanced damages, future royalties, attorneys’ fees, costs, and interest. In May, June, September, and October 2018, Intel filed requests with the Pa</w:t>
      </w:r>
      <w:r>
        <w:rPr>
          <w:rFonts w:ascii="Arial" w:eastAsia="宋体" w:hAnsi="Arial" w:cs="Arial"/>
          <w:color w:val="333333"/>
          <w:sz w:val="18"/>
          <w:szCs w:val="18"/>
        </w:rPr>
        <w:t>tent Trial and Appeals Board (PTAB) to institute</w:t>
      </w:r>
      <w:r>
        <w:rPr>
          <w:rFonts w:ascii="Arial" w:eastAsia="宋体" w:hAnsi="Arial" w:cs="Arial"/>
          <w:i/>
          <w:iCs/>
          <w:color w:val="333333"/>
          <w:sz w:val="18"/>
          <w:szCs w:val="18"/>
        </w:rPr>
        <w:t xml:space="preserve"> inter partes</w:t>
      </w:r>
      <w:r>
        <w:rPr>
          <w:rFonts w:ascii="Arial" w:eastAsia="宋体" w:hAnsi="Arial" w:cs="Arial"/>
          <w:color w:val="333333"/>
          <w:sz w:val="18"/>
          <w:szCs w:val="18"/>
        </w:rPr>
        <w:t xml:space="preserve"> review of the patentability of claims in all eight of the patents in-suit. The PTAB instituted review of six patents and denied institution on two patents. As a result of the institution decisio</w:t>
      </w:r>
      <w:r>
        <w:rPr>
          <w:rFonts w:ascii="Arial" w:eastAsia="宋体" w:hAnsi="Arial" w:cs="Arial"/>
          <w:color w:val="333333"/>
          <w:sz w:val="18"/>
          <w:szCs w:val="18"/>
        </w:rPr>
        <w:t>ns, the parties stipulated to stay the District Court action in March 2019. In December 2019 and February 2020, the PTAB found all claims of the '588 and '303 patents, and some claims of the '922 patent, to be unpatentable. The PTAB found the challenged cl</w:t>
      </w:r>
      <w:r>
        <w:rPr>
          <w:rFonts w:ascii="Arial" w:eastAsia="宋体" w:hAnsi="Arial" w:cs="Arial"/>
          <w:color w:val="333333"/>
          <w:sz w:val="18"/>
          <w:szCs w:val="18"/>
        </w:rPr>
        <w:t>aims of the '014, '672 and '207 patents to be patentable. Intel moved for a continuation of the stay in March 2020 as it appealed certain rulings by the PTAB. In June 2020, the District Court issued an order continuing the stay through August 2021 and sett</w:t>
      </w:r>
      <w:r>
        <w:rPr>
          <w:rFonts w:ascii="Arial" w:eastAsia="宋体" w:hAnsi="Arial" w:cs="Arial"/>
          <w:color w:val="333333"/>
          <w:sz w:val="18"/>
          <w:szCs w:val="18"/>
        </w:rPr>
        <w:t>ing trial for December 2022.</w:t>
      </w:r>
    </w:p>
    <w:p w14:paraId="36CA4428" w14:textId="77777777" w:rsidR="00787570" w:rsidRDefault="000D56E2">
      <w:pPr>
        <w:spacing w:after="180"/>
      </w:pPr>
      <w:r>
        <w:rPr>
          <w:rFonts w:ascii="Arial" w:eastAsia="宋体" w:hAnsi="Arial" w:cs="Arial"/>
          <w:color w:val="333333"/>
          <w:sz w:val="18"/>
          <w:szCs w:val="18"/>
        </w:rPr>
        <w:t>In June 2018, VLSI filed a second suit against Intel, in U.S. District Court for the District of Delaware, alleging infringement by various Intel processors of five additional patents acquired from NXP: U.S. Patent Nos. 6,212,6</w:t>
      </w:r>
      <w:r>
        <w:rPr>
          <w:rFonts w:ascii="Arial" w:eastAsia="宋体" w:hAnsi="Arial" w:cs="Arial"/>
          <w:color w:val="333333"/>
          <w:sz w:val="18"/>
          <w:szCs w:val="18"/>
        </w:rPr>
        <w:t>63; 7,246,027; 7,247,552; 7,523,331; and 8,081,026. VLSI accused Intel of willful infringement and seeks an injunction or, in the alternative, ongoing royalties, enhanced damages, attorneys’ fees and costs, and interest. In March 2019, the District Court d</w:t>
      </w:r>
      <w:r>
        <w:rPr>
          <w:rFonts w:ascii="Arial" w:eastAsia="宋体" w:hAnsi="Arial" w:cs="Arial"/>
          <w:color w:val="333333"/>
          <w:sz w:val="18"/>
          <w:szCs w:val="18"/>
        </w:rPr>
        <w:t xml:space="preserve">ismissed VLSI’s claims for willful infringement as to all the patents-in-suit except the ‘027 patent, and also dismissed VLSI’s allegations of indirect infringement as to the ‘633, ‘331, and ‘026 patents. In June 2019, Intel filed requests for </w:t>
      </w:r>
      <w:r>
        <w:rPr>
          <w:rFonts w:ascii="Arial" w:eastAsia="宋体" w:hAnsi="Arial" w:cs="Arial"/>
          <w:i/>
          <w:iCs/>
          <w:color w:val="333333"/>
          <w:sz w:val="18"/>
          <w:szCs w:val="18"/>
        </w:rPr>
        <w:t>inter partes</w:t>
      </w:r>
      <w:r>
        <w:rPr>
          <w:rFonts w:ascii="Arial" w:eastAsia="宋体" w:hAnsi="Arial" w:cs="Arial"/>
          <w:color w:val="333333"/>
          <w:sz w:val="18"/>
          <w:szCs w:val="18"/>
        </w:rPr>
        <w:t xml:space="preserve"> review of the patentability of claims in all five patents-in-suit. In January 2020, the District Court vacated the November 2020 trial date based on agreement of the parties; no trial date is currently set. In January and February 2020, the PTAB institute</w:t>
      </w:r>
      <w:r>
        <w:rPr>
          <w:rFonts w:ascii="Arial" w:eastAsia="宋体" w:hAnsi="Arial" w:cs="Arial"/>
          <w:color w:val="333333"/>
          <w:sz w:val="18"/>
          <w:szCs w:val="18"/>
        </w:rPr>
        <w:t>d review of the '552, '633, '331 and '026 patents and as a result Intel moved for stay of the District Court proceedings. In May 2020, the District Court stayed the case as to the '026 and '552 patents but allowed the case to proceed on the '027 and '331 p</w:t>
      </w:r>
      <w:r>
        <w:rPr>
          <w:rFonts w:ascii="Arial" w:eastAsia="宋体" w:hAnsi="Arial" w:cs="Arial"/>
          <w:color w:val="333333"/>
          <w:sz w:val="18"/>
          <w:szCs w:val="18"/>
        </w:rPr>
        <w:t xml:space="preserve">atents. For these two patents, VLSI is seeking damages of approximately $4.13 billion. VLSI also alleges willful infringement and seeks enhanced damages as to the '027 patent. VLSI is no longer asserting claims from the '633 patent. </w:t>
      </w:r>
    </w:p>
    <w:p w14:paraId="36CA4429" w14:textId="77777777" w:rsidR="00787570" w:rsidRDefault="00787570">
      <w:pPr>
        <w:spacing w:after="180"/>
      </w:pPr>
    </w:p>
    <w:p w14:paraId="36CA442A" w14:textId="77777777" w:rsidR="00787570" w:rsidRDefault="00787570">
      <w:pPr>
        <w:spacing w:after="180"/>
      </w:pPr>
    </w:p>
    <w:p w14:paraId="36CA442B" w14:textId="77777777" w:rsidR="00787570" w:rsidRDefault="00787570">
      <w:pPr>
        <w:spacing w:after="180"/>
      </w:pPr>
    </w:p>
    <w:p w14:paraId="36CA442C" w14:textId="77777777" w:rsidR="00787570" w:rsidRDefault="00787570">
      <w:pPr>
        <w:spacing w:after="180"/>
      </w:pPr>
    </w:p>
    <w:p w14:paraId="36CA442D" w14:textId="77777777" w:rsidR="00787570" w:rsidRDefault="00787570">
      <w:pPr>
        <w:spacing w:after="180"/>
      </w:pPr>
    </w:p>
    <w:p w14:paraId="36CA442E" w14:textId="77777777" w:rsidR="00787570" w:rsidRDefault="00787570">
      <w:pPr>
        <w:spacing w:after="180"/>
      </w:pPr>
    </w:p>
    <w:p w14:paraId="36CA442F" w14:textId="77777777" w:rsidR="00787570" w:rsidRDefault="00787570">
      <w:pPr>
        <w:spacing w:after="180"/>
      </w:pPr>
    </w:p>
    <w:tbl>
      <w:tblPr>
        <w:tblW w:w="5000" w:type="pct"/>
        <w:tblCellMar>
          <w:top w:w="15" w:type="dxa"/>
          <w:left w:w="15" w:type="dxa"/>
          <w:bottom w:w="15" w:type="dxa"/>
          <w:right w:w="15" w:type="dxa"/>
        </w:tblCellMar>
        <w:tblLook w:val="04A0" w:firstRow="1" w:lastRow="0" w:firstColumn="1" w:lastColumn="0" w:noHBand="0" w:noVBand="1"/>
      </w:tblPr>
      <w:tblGrid>
        <w:gridCol w:w="86"/>
        <w:gridCol w:w="426"/>
        <w:gridCol w:w="36"/>
        <w:gridCol w:w="62"/>
        <w:gridCol w:w="1676"/>
        <w:gridCol w:w="36"/>
        <w:gridCol w:w="62"/>
        <w:gridCol w:w="3655"/>
        <w:gridCol w:w="36"/>
        <w:gridCol w:w="63"/>
        <w:gridCol w:w="2162"/>
        <w:gridCol w:w="36"/>
      </w:tblGrid>
      <w:tr w:rsidR="00787570" w14:paraId="36CA443C" w14:textId="77777777">
        <w:tc>
          <w:tcPr>
            <w:tcW w:w="50" w:type="pct"/>
            <w:shd w:val="clear" w:color="auto" w:fill="auto"/>
            <w:vAlign w:val="bottom"/>
          </w:tcPr>
          <w:p w14:paraId="36CA4430" w14:textId="77777777" w:rsidR="00787570" w:rsidRDefault="00787570">
            <w:pPr>
              <w:rPr>
                <w:rFonts w:ascii="宋体"/>
              </w:rPr>
            </w:pPr>
          </w:p>
        </w:tc>
        <w:tc>
          <w:tcPr>
            <w:tcW w:w="248" w:type="pct"/>
            <w:shd w:val="clear" w:color="auto" w:fill="auto"/>
            <w:vAlign w:val="bottom"/>
          </w:tcPr>
          <w:p w14:paraId="36CA4431" w14:textId="77777777" w:rsidR="00787570" w:rsidRDefault="00787570">
            <w:pPr>
              <w:rPr>
                <w:rFonts w:ascii="宋体"/>
              </w:rPr>
            </w:pPr>
          </w:p>
        </w:tc>
        <w:tc>
          <w:tcPr>
            <w:tcW w:w="5" w:type="pct"/>
            <w:shd w:val="clear" w:color="auto" w:fill="auto"/>
            <w:vAlign w:val="bottom"/>
          </w:tcPr>
          <w:p w14:paraId="36CA4432" w14:textId="77777777" w:rsidR="00787570" w:rsidRDefault="00787570">
            <w:pPr>
              <w:rPr>
                <w:rFonts w:ascii="宋体"/>
              </w:rPr>
            </w:pPr>
          </w:p>
        </w:tc>
        <w:tc>
          <w:tcPr>
            <w:tcW w:w="50" w:type="pct"/>
            <w:shd w:val="clear" w:color="auto" w:fill="auto"/>
            <w:vAlign w:val="bottom"/>
          </w:tcPr>
          <w:p w14:paraId="36CA4433" w14:textId="77777777" w:rsidR="00787570" w:rsidRDefault="00787570">
            <w:pPr>
              <w:rPr>
                <w:rFonts w:ascii="宋体"/>
              </w:rPr>
            </w:pPr>
          </w:p>
        </w:tc>
        <w:tc>
          <w:tcPr>
            <w:tcW w:w="1018" w:type="pct"/>
            <w:shd w:val="clear" w:color="auto" w:fill="auto"/>
            <w:vAlign w:val="bottom"/>
          </w:tcPr>
          <w:p w14:paraId="36CA4434" w14:textId="77777777" w:rsidR="00787570" w:rsidRDefault="00787570">
            <w:pPr>
              <w:rPr>
                <w:rFonts w:ascii="宋体"/>
              </w:rPr>
            </w:pPr>
          </w:p>
        </w:tc>
        <w:tc>
          <w:tcPr>
            <w:tcW w:w="5" w:type="pct"/>
            <w:shd w:val="clear" w:color="auto" w:fill="auto"/>
            <w:vAlign w:val="bottom"/>
          </w:tcPr>
          <w:p w14:paraId="36CA4435" w14:textId="77777777" w:rsidR="00787570" w:rsidRDefault="00787570">
            <w:pPr>
              <w:rPr>
                <w:rFonts w:ascii="宋体"/>
              </w:rPr>
            </w:pPr>
          </w:p>
        </w:tc>
        <w:tc>
          <w:tcPr>
            <w:tcW w:w="50" w:type="pct"/>
            <w:shd w:val="clear" w:color="auto" w:fill="auto"/>
            <w:vAlign w:val="bottom"/>
          </w:tcPr>
          <w:p w14:paraId="36CA4436" w14:textId="77777777" w:rsidR="00787570" w:rsidRDefault="00787570">
            <w:pPr>
              <w:rPr>
                <w:rFonts w:ascii="宋体"/>
              </w:rPr>
            </w:pPr>
          </w:p>
        </w:tc>
        <w:tc>
          <w:tcPr>
            <w:tcW w:w="2204" w:type="pct"/>
            <w:shd w:val="clear" w:color="auto" w:fill="auto"/>
            <w:vAlign w:val="bottom"/>
          </w:tcPr>
          <w:p w14:paraId="36CA4437" w14:textId="77777777" w:rsidR="00787570" w:rsidRDefault="00787570">
            <w:pPr>
              <w:rPr>
                <w:rFonts w:ascii="宋体"/>
              </w:rPr>
            </w:pPr>
          </w:p>
        </w:tc>
        <w:tc>
          <w:tcPr>
            <w:tcW w:w="5" w:type="pct"/>
            <w:shd w:val="clear" w:color="auto" w:fill="auto"/>
            <w:vAlign w:val="bottom"/>
          </w:tcPr>
          <w:p w14:paraId="36CA4438" w14:textId="77777777" w:rsidR="00787570" w:rsidRDefault="00787570">
            <w:pPr>
              <w:rPr>
                <w:rFonts w:ascii="宋体"/>
              </w:rPr>
            </w:pPr>
          </w:p>
        </w:tc>
        <w:tc>
          <w:tcPr>
            <w:tcW w:w="50" w:type="pct"/>
            <w:shd w:val="clear" w:color="auto" w:fill="auto"/>
            <w:vAlign w:val="bottom"/>
          </w:tcPr>
          <w:p w14:paraId="36CA4439" w14:textId="77777777" w:rsidR="00787570" w:rsidRDefault="00787570">
            <w:pPr>
              <w:rPr>
                <w:rFonts w:ascii="宋体"/>
              </w:rPr>
            </w:pPr>
          </w:p>
        </w:tc>
        <w:tc>
          <w:tcPr>
            <w:tcW w:w="1308" w:type="pct"/>
            <w:shd w:val="clear" w:color="auto" w:fill="auto"/>
            <w:vAlign w:val="bottom"/>
          </w:tcPr>
          <w:p w14:paraId="36CA443A" w14:textId="77777777" w:rsidR="00787570" w:rsidRDefault="00787570">
            <w:pPr>
              <w:rPr>
                <w:rFonts w:ascii="宋体"/>
              </w:rPr>
            </w:pPr>
          </w:p>
        </w:tc>
        <w:tc>
          <w:tcPr>
            <w:tcW w:w="5" w:type="pct"/>
            <w:shd w:val="clear" w:color="auto" w:fill="auto"/>
            <w:vAlign w:val="bottom"/>
          </w:tcPr>
          <w:p w14:paraId="36CA443B" w14:textId="77777777" w:rsidR="00787570" w:rsidRDefault="00787570">
            <w:pPr>
              <w:rPr>
                <w:rFonts w:ascii="宋体"/>
              </w:rPr>
            </w:pPr>
          </w:p>
        </w:tc>
      </w:tr>
      <w:tr w:rsidR="00787570" w14:paraId="36CA4441" w14:textId="77777777">
        <w:tc>
          <w:tcPr>
            <w:tcW w:w="0" w:type="auto"/>
            <w:gridSpan w:val="3"/>
            <w:tcBorders>
              <w:top w:val="single" w:sz="8" w:space="0" w:color="0071C5"/>
            </w:tcBorders>
            <w:shd w:val="clear" w:color="auto" w:fill="auto"/>
            <w:tcMar>
              <w:left w:w="20" w:type="dxa"/>
              <w:right w:w="20" w:type="dxa"/>
            </w:tcMar>
            <w:vAlign w:val="center"/>
          </w:tcPr>
          <w:p w14:paraId="36CA443D" w14:textId="77777777" w:rsidR="00787570" w:rsidRDefault="000D56E2">
            <w:pPr>
              <w:textAlignment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Viewer9_files/intc-20200926_g2.jpg"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36CA5C30" wp14:editId="36CA5C31">
                  <wp:extent cx="304800" cy="304800"/>
                  <wp:effectExtent l="0" t="0" r="0" b="0"/>
                  <wp:docPr id="62" name="图片 89" descr="IMG_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89" descr="IMG_329"/>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8" w:space="0" w:color="0071C5"/>
            </w:tcBorders>
            <w:shd w:val="clear" w:color="auto" w:fill="auto"/>
            <w:tcMar>
              <w:top w:w="40" w:type="dxa"/>
              <w:left w:w="20" w:type="dxa"/>
              <w:bottom w:w="40" w:type="dxa"/>
              <w:right w:w="20" w:type="dxa"/>
            </w:tcMar>
            <w:vAlign w:val="center"/>
          </w:tcPr>
          <w:p w14:paraId="36CA443E" w14:textId="77777777" w:rsidR="00787570" w:rsidRDefault="000D56E2">
            <w:pPr>
              <w:textAlignment w:val="center"/>
            </w:pPr>
            <w:r>
              <w:rPr>
                <w:rFonts w:ascii="Arial" w:eastAsia="宋体" w:hAnsi="Arial" w:cs="Arial"/>
                <w:color w:val="333333"/>
                <w:sz w:val="16"/>
                <w:szCs w:val="16"/>
              </w:rPr>
              <w:t> FINANCIAL STATEMENTS</w:t>
            </w:r>
          </w:p>
        </w:tc>
        <w:tc>
          <w:tcPr>
            <w:tcW w:w="0" w:type="auto"/>
            <w:gridSpan w:val="3"/>
            <w:tcBorders>
              <w:top w:val="single" w:sz="8" w:space="0" w:color="0071C5"/>
              <w:left w:val="single" w:sz="24" w:space="0" w:color="0071C5"/>
            </w:tcBorders>
            <w:shd w:val="clear" w:color="auto" w:fill="auto"/>
            <w:tcMar>
              <w:top w:w="40" w:type="dxa"/>
              <w:left w:w="20" w:type="dxa"/>
              <w:bottom w:w="40" w:type="dxa"/>
              <w:right w:w="20" w:type="dxa"/>
            </w:tcMar>
            <w:vAlign w:val="center"/>
          </w:tcPr>
          <w:p w14:paraId="36CA443F" w14:textId="77777777" w:rsidR="00787570" w:rsidRDefault="000D56E2">
            <w:pPr>
              <w:textAlignment w:val="center"/>
            </w:pPr>
            <w:r>
              <w:rPr>
                <w:rFonts w:ascii="Arial" w:eastAsia="宋体" w:hAnsi="Arial" w:cs="Arial"/>
                <w:color w:val="333333"/>
                <w:sz w:val="16"/>
                <w:szCs w:val="16"/>
              </w:rPr>
              <w:t>  Notes to Financial Statements</w:t>
            </w:r>
          </w:p>
        </w:tc>
        <w:tc>
          <w:tcPr>
            <w:tcW w:w="0" w:type="auto"/>
            <w:gridSpan w:val="3"/>
            <w:tcBorders>
              <w:top w:val="single" w:sz="8" w:space="0" w:color="0071C5"/>
            </w:tcBorders>
            <w:shd w:val="clear" w:color="auto" w:fill="auto"/>
            <w:tcMar>
              <w:top w:w="40" w:type="dxa"/>
              <w:left w:w="20" w:type="dxa"/>
              <w:bottom w:w="40" w:type="dxa"/>
              <w:right w:w="20" w:type="dxa"/>
            </w:tcMar>
            <w:vAlign w:val="center"/>
          </w:tcPr>
          <w:p w14:paraId="36CA4440" w14:textId="77777777" w:rsidR="00787570" w:rsidRDefault="000D56E2">
            <w:pPr>
              <w:jc w:val="right"/>
              <w:textAlignment w:val="center"/>
            </w:pPr>
            <w:r>
              <w:rPr>
                <w:rFonts w:ascii="Arial" w:eastAsia="宋体" w:hAnsi="Arial" w:cs="Arial"/>
                <w:color w:val="333333"/>
                <w:sz w:val="16"/>
                <w:szCs w:val="16"/>
              </w:rPr>
              <w:t>25</w:t>
            </w:r>
          </w:p>
        </w:tc>
      </w:tr>
    </w:tbl>
    <w:p w14:paraId="36CA4442" w14:textId="77777777" w:rsidR="00787570" w:rsidRDefault="000D56E2">
      <w:r>
        <w:pict w14:anchorId="36CA5C32">
          <v:rect id="_x0000_i1051" style="width:415.3pt;height:1.5pt" o:hralign="center" o:hrstd="t" o:hr="t" fillcolor="#a0a0a0" stroked="f"/>
        </w:pict>
      </w:r>
    </w:p>
    <w:p w14:paraId="36CA4443" w14:textId="77777777" w:rsidR="00787570" w:rsidRDefault="000D56E2">
      <w:pPr>
        <w:spacing w:after="180"/>
        <w:jc w:val="right"/>
      </w:pPr>
      <w:hyperlink r:id="rId53" w:anchor="i32771df14e9449d2bec5be911426bf04_7" w:history="1">
        <w:r>
          <w:rPr>
            <w:rStyle w:val="a5"/>
            <w:rFonts w:ascii="Arial" w:eastAsia="宋体" w:hAnsi="Arial" w:cs="Arial"/>
            <w:b/>
            <w:bCs/>
            <w:sz w:val="16"/>
            <w:szCs w:val="16"/>
          </w:rPr>
          <w:t>Table of Contents</w:t>
        </w:r>
      </w:hyperlink>
    </w:p>
    <w:p w14:paraId="36CA4444" w14:textId="77777777" w:rsidR="00787570" w:rsidRDefault="00787570">
      <w:pPr>
        <w:spacing w:after="180"/>
        <w:jc w:val="right"/>
      </w:pPr>
    </w:p>
    <w:p w14:paraId="36CA4445" w14:textId="77777777" w:rsidR="00787570" w:rsidRDefault="000D56E2">
      <w:pPr>
        <w:spacing w:after="180"/>
      </w:pPr>
      <w:r>
        <w:rPr>
          <w:rFonts w:ascii="Arial" w:eastAsia="宋体" w:hAnsi="Arial" w:cs="Arial"/>
          <w:color w:val="333333"/>
          <w:sz w:val="18"/>
          <w:szCs w:val="18"/>
        </w:rPr>
        <w:t>In March 2019, VLSI filed a third suit against Intel, also in U.S. District Court fo</w:t>
      </w:r>
      <w:r>
        <w:rPr>
          <w:rFonts w:ascii="Arial" w:eastAsia="宋体" w:hAnsi="Arial" w:cs="Arial"/>
          <w:color w:val="333333"/>
          <w:sz w:val="18"/>
          <w:szCs w:val="18"/>
        </w:rPr>
        <w:t xml:space="preserve">r the District of Delaware, alleging infringement of six more patents acquired from NXP: U.S. Patent Nos. 6,366,522; 6,663,187; 7,292,485; 7,606,983; 7,725,759; and 7,793,025. In April 2019, VLSI voluntarily dismissed this Delaware case without prejudice. </w:t>
      </w:r>
      <w:r>
        <w:rPr>
          <w:rFonts w:ascii="Arial" w:eastAsia="宋体" w:hAnsi="Arial" w:cs="Arial"/>
          <w:color w:val="333333"/>
          <w:sz w:val="18"/>
          <w:szCs w:val="18"/>
        </w:rPr>
        <w:t>In April 2019, VLSI filed three new infringement suits against Intel in the U.S. District Court for the Western District of Texas (WDTX) accusing various Intel processors of infringement. The three suits collectively assert the same six patents from the vo</w:t>
      </w:r>
      <w:r>
        <w:rPr>
          <w:rFonts w:ascii="Arial" w:eastAsia="宋体" w:hAnsi="Arial" w:cs="Arial"/>
          <w:color w:val="333333"/>
          <w:sz w:val="18"/>
          <w:szCs w:val="18"/>
        </w:rPr>
        <w:t>luntarily dismissed Delaware case plus two additional patents acquired from NXP, U.S. Patent Nos. 7,523,373 and 8,156,357. VLSI accuses Intel of willful infringement and seeks an injunction or, in the alternative, ongoing royalties, enhanced damages, attor</w:t>
      </w:r>
      <w:r>
        <w:rPr>
          <w:rFonts w:ascii="Arial" w:eastAsia="宋体" w:hAnsi="Arial" w:cs="Arial"/>
          <w:color w:val="333333"/>
          <w:sz w:val="18"/>
          <w:szCs w:val="18"/>
        </w:rPr>
        <w:t>neys’ fees and costs, and interest. Specifically, VLSI is seeking damages of approximately $11.01 billion collectively in the Texas cases, plus enhanced damages for alleged willful infringement. VLSI seeks approximately $2.5 billion plus enhanced damages f</w:t>
      </w:r>
      <w:r>
        <w:rPr>
          <w:rFonts w:ascii="Arial" w:eastAsia="宋体" w:hAnsi="Arial" w:cs="Arial"/>
          <w:color w:val="333333"/>
          <w:sz w:val="18"/>
          <w:szCs w:val="18"/>
        </w:rPr>
        <w:t xml:space="preserve">or alleged willful infringement in the first Texas case. That case was originally scheduled for trial in November 2020, but the court has now moved trial to January 2021. In October and November 2019, and in February 2020, Intel filed </w:t>
      </w:r>
      <w:r>
        <w:rPr>
          <w:rFonts w:ascii="Arial" w:eastAsia="宋体" w:hAnsi="Arial" w:cs="Arial"/>
          <w:i/>
          <w:iCs/>
          <w:color w:val="333333"/>
          <w:sz w:val="18"/>
          <w:szCs w:val="18"/>
        </w:rPr>
        <w:t>inter partes</w:t>
      </w:r>
      <w:r>
        <w:rPr>
          <w:rFonts w:ascii="Arial" w:eastAsia="宋体" w:hAnsi="Arial" w:cs="Arial"/>
          <w:color w:val="333333"/>
          <w:sz w:val="18"/>
          <w:szCs w:val="18"/>
        </w:rPr>
        <w:t xml:space="preserve"> review r</w:t>
      </w:r>
      <w:r>
        <w:rPr>
          <w:rFonts w:ascii="Arial" w:eastAsia="宋体" w:hAnsi="Arial" w:cs="Arial"/>
          <w:color w:val="333333"/>
          <w:sz w:val="18"/>
          <w:szCs w:val="18"/>
        </w:rPr>
        <w:t>equests on certain asserted claims across six of the patents-in-suit in WDTX. Between May and October 2020, the PTAB denied all of these requests, and Intel is asking for a rehearing on these denials.</w:t>
      </w:r>
    </w:p>
    <w:p w14:paraId="36CA4446" w14:textId="77777777" w:rsidR="00787570" w:rsidRDefault="000D56E2">
      <w:pPr>
        <w:spacing w:after="180"/>
      </w:pPr>
      <w:r>
        <w:rPr>
          <w:rFonts w:ascii="Arial" w:eastAsia="宋体" w:hAnsi="Arial" w:cs="Arial"/>
          <w:color w:val="333333"/>
          <w:sz w:val="18"/>
          <w:szCs w:val="18"/>
        </w:rPr>
        <w:t>In May 2019, VLSI filed a case in Shenzhen Intermediate</w:t>
      </w:r>
      <w:r>
        <w:rPr>
          <w:rFonts w:ascii="Arial" w:eastAsia="宋体" w:hAnsi="Arial" w:cs="Arial"/>
          <w:color w:val="333333"/>
          <w:sz w:val="18"/>
          <w:szCs w:val="18"/>
        </w:rPr>
        <w:t xml:space="preserve"> People’s Court against Intel, Intel (China) Co., Ltd., Intel Trading (Shanghai) Co., Ltd., and Intel Products (Chengdu) Co., Ltd. VLSI asserts Chinese Patent 201410094015.9 accusing Intel Core processors of infringement. VLSI requests an injunction as wel</w:t>
      </w:r>
      <w:r>
        <w:rPr>
          <w:rFonts w:ascii="Arial" w:eastAsia="宋体" w:hAnsi="Arial" w:cs="Arial"/>
          <w:color w:val="333333"/>
          <w:sz w:val="18"/>
          <w:szCs w:val="18"/>
        </w:rPr>
        <w:t>l as RMB 1.3 million in damages. Defendants filed an invalidation petition in October 2019. In May 2020, defendants filed a motion to stay the trial court proceedings pending a determination on invalidity. The court has not yet ruled on the motion to stay.</w:t>
      </w:r>
    </w:p>
    <w:p w14:paraId="36CA4447" w14:textId="77777777" w:rsidR="00787570" w:rsidRDefault="000D56E2">
      <w:pPr>
        <w:spacing w:after="180"/>
      </w:pPr>
      <w:r>
        <w:rPr>
          <w:rFonts w:ascii="Arial" w:eastAsia="宋体" w:hAnsi="Arial" w:cs="Arial"/>
          <w:color w:val="333333"/>
          <w:sz w:val="18"/>
          <w:szCs w:val="18"/>
        </w:rPr>
        <w:t>In May 2019, VLSI filed a second case in Shanghai Intellectual Property Court against Intel (China) Co., Ltd., Intel Trading (Shanghai) Co., Ltd., and Intel Products (Chengdu) Co., Ltd. VLSI asserts Chinese Patent 201080024173.7. The accused Intel product</w:t>
      </w:r>
      <w:r>
        <w:rPr>
          <w:rFonts w:ascii="Arial" w:eastAsia="宋体" w:hAnsi="Arial" w:cs="Arial"/>
          <w:color w:val="333333"/>
          <w:sz w:val="18"/>
          <w:szCs w:val="18"/>
        </w:rPr>
        <w:t>s and the claims of VLSI in the Shanghai case are the same as in the Shenzhen case. Defendants filed an invalidation petition in October 2019. In June 2020, defendants filed a motion to stay the trial court proceedings pending a determination on invalidity</w:t>
      </w:r>
      <w:r>
        <w:rPr>
          <w:rFonts w:ascii="Arial" w:eastAsia="宋体" w:hAnsi="Arial" w:cs="Arial"/>
          <w:color w:val="333333"/>
          <w:sz w:val="18"/>
          <w:szCs w:val="18"/>
        </w:rPr>
        <w:t>. The court has not yet ruled on the motion to stay. The court held its first evidentiary hearing in September 2020.</w:t>
      </w:r>
    </w:p>
    <w:p w14:paraId="36CA4448" w14:textId="77777777" w:rsidR="00787570" w:rsidRDefault="000D56E2">
      <w:pPr>
        <w:spacing w:after="180"/>
      </w:pPr>
      <w:r>
        <w:rPr>
          <w:rFonts w:ascii="Arial" w:eastAsia="宋体" w:hAnsi="Arial" w:cs="Arial"/>
          <w:color w:val="333333"/>
          <w:sz w:val="18"/>
          <w:szCs w:val="18"/>
        </w:rPr>
        <w:t>In November 2019, Intel, along with Apple Inc., filed a complaint against Fortress Investment Group LLC, Fortress Credit Co. LLC, Uniloc 20</w:t>
      </w:r>
      <w:r>
        <w:rPr>
          <w:rFonts w:ascii="Arial" w:eastAsia="宋体" w:hAnsi="Arial" w:cs="Arial"/>
          <w:color w:val="333333"/>
          <w:sz w:val="18"/>
          <w:szCs w:val="18"/>
        </w:rPr>
        <w:t>17 LLC, Uniloc USA, Inc., Uniloc Luxembourg S.A.R.L., VLSI, INVT SPE LLC, Inventergy Global, Inc., DSS Technology Management, Inc., IXI IP, LLC, and Seven Networks, LLC. Plaintiffs allege violations of Section 1 of the Sherman Act by certain defendants, Se</w:t>
      </w:r>
      <w:r>
        <w:rPr>
          <w:rFonts w:ascii="Arial" w:eastAsia="宋体" w:hAnsi="Arial" w:cs="Arial"/>
          <w:color w:val="333333"/>
          <w:sz w:val="18"/>
          <w:szCs w:val="18"/>
        </w:rPr>
        <w:t>ction 7 of the Clayton Act by certain defendants, and California Business and Professions Code section 17200 by all defendants based on defendants' unlawful aggregation of patents. In February 2020, defendants moved to dismiss plaintiffs' complaint. In Jul</w:t>
      </w:r>
      <w:r>
        <w:rPr>
          <w:rFonts w:ascii="Arial" w:eastAsia="宋体" w:hAnsi="Arial" w:cs="Arial"/>
          <w:color w:val="333333"/>
          <w:sz w:val="18"/>
          <w:szCs w:val="18"/>
        </w:rPr>
        <w:t>y 2020, the court granted defendants’ motion to dismiss with leave to amend. The court dismissed antitrust claims related to two DSS patents with prejudice. The plaintiffs filed an amended complaint in August 2020, and defendants moved to dismiss in Septem</w:t>
      </w:r>
      <w:r>
        <w:rPr>
          <w:rFonts w:ascii="Arial" w:eastAsia="宋体" w:hAnsi="Arial" w:cs="Arial"/>
          <w:color w:val="333333"/>
          <w:sz w:val="18"/>
          <w:szCs w:val="18"/>
        </w:rPr>
        <w:t>ber 2020. The court will hear defendants' motion to dismiss in December 2020.</w:t>
      </w:r>
    </w:p>
    <w:p w14:paraId="36CA4449" w14:textId="77777777" w:rsidR="00787570" w:rsidRDefault="000D56E2">
      <w:pPr>
        <w:spacing w:after="180"/>
      </w:pPr>
      <w:r>
        <w:rPr>
          <w:rFonts w:ascii="Arial" w:eastAsia="宋体" w:hAnsi="Arial" w:cs="Arial"/>
          <w:color w:val="333333"/>
          <w:sz w:val="18"/>
          <w:szCs w:val="18"/>
        </w:rPr>
        <w:t>In June 2020, affiliates controlled by Fortress Investment Group, which also controls VLSI, acquired Finjan Holdings, Inc. Intel had signed a “Settlement, Release and Patent Lice</w:t>
      </w:r>
      <w:r>
        <w:rPr>
          <w:rFonts w:ascii="Arial" w:eastAsia="宋体" w:hAnsi="Arial" w:cs="Arial"/>
          <w:color w:val="333333"/>
          <w:sz w:val="18"/>
          <w:szCs w:val="18"/>
        </w:rPr>
        <w:t>nse Agreement” with Finjan in 2012, acquiring a license to the patents of Finjan and its affiliates, current or future, through a capture period of November 20, 2022. The agreement also contains covenants wherein Finjan agrees to cause its affiliates to co</w:t>
      </w:r>
      <w:r>
        <w:rPr>
          <w:rFonts w:ascii="Arial" w:eastAsia="宋体" w:hAnsi="Arial" w:cs="Arial"/>
          <w:color w:val="333333"/>
          <w:sz w:val="18"/>
          <w:szCs w:val="18"/>
        </w:rPr>
        <w:t>mply with the agreement. As such, Intel maintains that it now has a license to the patents of VLSI, which has become a Finjan affiliate, and that Finjan must cause VLSI to dismiss its suits against Intel. In August 2020, Intel started dispute resolution pr</w:t>
      </w:r>
      <w:r>
        <w:rPr>
          <w:rFonts w:ascii="Arial" w:eastAsia="宋体" w:hAnsi="Arial" w:cs="Arial"/>
          <w:color w:val="333333"/>
          <w:sz w:val="18"/>
          <w:szCs w:val="18"/>
        </w:rPr>
        <w:t>oceedings under the agreement. In September 2020, Intel filed motions to stay the Texas, Delaware, and Shanghai matters pending resolution of its dispute with Finjan. Those motions remain pending.</w:t>
      </w:r>
    </w:p>
    <w:p w14:paraId="36CA444A" w14:textId="77777777" w:rsidR="00787570" w:rsidRDefault="000D56E2">
      <w:pPr>
        <w:spacing w:after="180"/>
      </w:pPr>
      <w:r>
        <w:rPr>
          <w:rFonts w:ascii="Arial" w:eastAsia="宋体" w:hAnsi="Arial" w:cs="Arial"/>
          <w:color w:val="333333"/>
          <w:sz w:val="18"/>
          <w:szCs w:val="18"/>
        </w:rPr>
        <w:t xml:space="preserve">Given the procedural posture and the nature of these cases </w:t>
      </w:r>
      <w:r>
        <w:rPr>
          <w:rFonts w:ascii="Arial" w:eastAsia="宋体" w:hAnsi="Arial" w:cs="Arial"/>
          <w:color w:val="333333"/>
          <w:sz w:val="18"/>
          <w:szCs w:val="18"/>
        </w:rPr>
        <w:t>and that there are significant factual and legal issues to be resolved, we are unable to make a reasonable estimate of the potential loss or range of losses, if any, arising from these matters. We dispute VLSI’s claims and intend to vigorously defend again</w:t>
      </w:r>
      <w:r>
        <w:rPr>
          <w:rFonts w:ascii="Arial" w:eastAsia="宋体" w:hAnsi="Arial" w:cs="Arial"/>
          <w:color w:val="333333"/>
          <w:sz w:val="18"/>
          <w:szCs w:val="18"/>
        </w:rPr>
        <w:t>st them.</w:t>
      </w:r>
    </w:p>
    <w:p w14:paraId="36CA444B" w14:textId="77777777" w:rsidR="00787570" w:rsidRDefault="00787570">
      <w:pPr>
        <w:spacing w:after="180"/>
      </w:pPr>
    </w:p>
    <w:p w14:paraId="36CA444C" w14:textId="77777777" w:rsidR="00787570" w:rsidRDefault="00787570">
      <w:pPr>
        <w:spacing w:after="180"/>
      </w:pPr>
    </w:p>
    <w:p w14:paraId="36CA444D" w14:textId="77777777" w:rsidR="00787570" w:rsidRDefault="00787570">
      <w:pPr>
        <w:spacing w:after="180"/>
      </w:pPr>
    </w:p>
    <w:p w14:paraId="36CA444E" w14:textId="77777777" w:rsidR="00787570" w:rsidRDefault="00787570">
      <w:pPr>
        <w:spacing w:after="180"/>
      </w:pPr>
    </w:p>
    <w:p w14:paraId="36CA444F" w14:textId="77777777" w:rsidR="00787570" w:rsidRDefault="00787570">
      <w:pPr>
        <w:spacing w:after="180"/>
      </w:pPr>
    </w:p>
    <w:p w14:paraId="36CA4450" w14:textId="77777777" w:rsidR="00787570" w:rsidRDefault="00787570">
      <w:pPr>
        <w:spacing w:after="180"/>
      </w:pPr>
    </w:p>
    <w:p w14:paraId="36CA4451" w14:textId="77777777" w:rsidR="00787570" w:rsidRDefault="00787570">
      <w:pPr>
        <w:spacing w:after="180"/>
      </w:pPr>
    </w:p>
    <w:p w14:paraId="36CA4452" w14:textId="77777777" w:rsidR="00787570" w:rsidRDefault="00787570">
      <w:pPr>
        <w:spacing w:after="180"/>
      </w:pPr>
    </w:p>
    <w:tbl>
      <w:tblPr>
        <w:tblW w:w="5000" w:type="pct"/>
        <w:tblCellMar>
          <w:top w:w="15" w:type="dxa"/>
          <w:left w:w="15" w:type="dxa"/>
          <w:bottom w:w="15" w:type="dxa"/>
          <w:right w:w="15" w:type="dxa"/>
        </w:tblCellMar>
        <w:tblLook w:val="04A0" w:firstRow="1" w:lastRow="0" w:firstColumn="1" w:lastColumn="0" w:noHBand="0" w:noVBand="1"/>
      </w:tblPr>
      <w:tblGrid>
        <w:gridCol w:w="86"/>
        <w:gridCol w:w="426"/>
        <w:gridCol w:w="36"/>
        <w:gridCol w:w="62"/>
        <w:gridCol w:w="1676"/>
        <w:gridCol w:w="36"/>
        <w:gridCol w:w="62"/>
        <w:gridCol w:w="3655"/>
        <w:gridCol w:w="36"/>
        <w:gridCol w:w="63"/>
        <w:gridCol w:w="2162"/>
        <w:gridCol w:w="36"/>
      </w:tblGrid>
      <w:tr w:rsidR="00787570" w14:paraId="36CA445F" w14:textId="77777777">
        <w:tc>
          <w:tcPr>
            <w:tcW w:w="50" w:type="pct"/>
            <w:shd w:val="clear" w:color="auto" w:fill="auto"/>
            <w:vAlign w:val="bottom"/>
          </w:tcPr>
          <w:p w14:paraId="36CA4453" w14:textId="77777777" w:rsidR="00787570" w:rsidRDefault="00787570">
            <w:pPr>
              <w:rPr>
                <w:rFonts w:ascii="宋体"/>
              </w:rPr>
            </w:pPr>
          </w:p>
        </w:tc>
        <w:tc>
          <w:tcPr>
            <w:tcW w:w="248" w:type="pct"/>
            <w:shd w:val="clear" w:color="auto" w:fill="auto"/>
            <w:vAlign w:val="bottom"/>
          </w:tcPr>
          <w:p w14:paraId="36CA4454" w14:textId="77777777" w:rsidR="00787570" w:rsidRDefault="00787570">
            <w:pPr>
              <w:rPr>
                <w:rFonts w:ascii="宋体"/>
              </w:rPr>
            </w:pPr>
          </w:p>
        </w:tc>
        <w:tc>
          <w:tcPr>
            <w:tcW w:w="5" w:type="pct"/>
            <w:shd w:val="clear" w:color="auto" w:fill="auto"/>
            <w:vAlign w:val="bottom"/>
          </w:tcPr>
          <w:p w14:paraId="36CA4455" w14:textId="77777777" w:rsidR="00787570" w:rsidRDefault="00787570">
            <w:pPr>
              <w:rPr>
                <w:rFonts w:ascii="宋体"/>
              </w:rPr>
            </w:pPr>
          </w:p>
        </w:tc>
        <w:tc>
          <w:tcPr>
            <w:tcW w:w="50" w:type="pct"/>
            <w:shd w:val="clear" w:color="auto" w:fill="auto"/>
            <w:vAlign w:val="bottom"/>
          </w:tcPr>
          <w:p w14:paraId="36CA4456" w14:textId="77777777" w:rsidR="00787570" w:rsidRDefault="00787570">
            <w:pPr>
              <w:rPr>
                <w:rFonts w:ascii="宋体"/>
              </w:rPr>
            </w:pPr>
          </w:p>
        </w:tc>
        <w:tc>
          <w:tcPr>
            <w:tcW w:w="1018" w:type="pct"/>
            <w:shd w:val="clear" w:color="auto" w:fill="auto"/>
            <w:vAlign w:val="bottom"/>
          </w:tcPr>
          <w:p w14:paraId="36CA4457" w14:textId="77777777" w:rsidR="00787570" w:rsidRDefault="00787570">
            <w:pPr>
              <w:rPr>
                <w:rFonts w:ascii="宋体"/>
              </w:rPr>
            </w:pPr>
          </w:p>
        </w:tc>
        <w:tc>
          <w:tcPr>
            <w:tcW w:w="5" w:type="pct"/>
            <w:shd w:val="clear" w:color="auto" w:fill="auto"/>
            <w:vAlign w:val="bottom"/>
          </w:tcPr>
          <w:p w14:paraId="36CA4458" w14:textId="77777777" w:rsidR="00787570" w:rsidRDefault="00787570">
            <w:pPr>
              <w:rPr>
                <w:rFonts w:ascii="宋体"/>
              </w:rPr>
            </w:pPr>
          </w:p>
        </w:tc>
        <w:tc>
          <w:tcPr>
            <w:tcW w:w="50" w:type="pct"/>
            <w:shd w:val="clear" w:color="auto" w:fill="auto"/>
            <w:vAlign w:val="bottom"/>
          </w:tcPr>
          <w:p w14:paraId="36CA4459" w14:textId="77777777" w:rsidR="00787570" w:rsidRDefault="00787570">
            <w:pPr>
              <w:rPr>
                <w:rFonts w:ascii="宋体"/>
              </w:rPr>
            </w:pPr>
          </w:p>
        </w:tc>
        <w:tc>
          <w:tcPr>
            <w:tcW w:w="2204" w:type="pct"/>
            <w:shd w:val="clear" w:color="auto" w:fill="auto"/>
            <w:vAlign w:val="bottom"/>
          </w:tcPr>
          <w:p w14:paraId="36CA445A" w14:textId="77777777" w:rsidR="00787570" w:rsidRDefault="00787570">
            <w:pPr>
              <w:rPr>
                <w:rFonts w:ascii="宋体"/>
              </w:rPr>
            </w:pPr>
          </w:p>
        </w:tc>
        <w:tc>
          <w:tcPr>
            <w:tcW w:w="5" w:type="pct"/>
            <w:shd w:val="clear" w:color="auto" w:fill="auto"/>
            <w:vAlign w:val="bottom"/>
          </w:tcPr>
          <w:p w14:paraId="36CA445B" w14:textId="77777777" w:rsidR="00787570" w:rsidRDefault="00787570">
            <w:pPr>
              <w:rPr>
                <w:rFonts w:ascii="宋体"/>
              </w:rPr>
            </w:pPr>
          </w:p>
        </w:tc>
        <w:tc>
          <w:tcPr>
            <w:tcW w:w="50" w:type="pct"/>
            <w:shd w:val="clear" w:color="auto" w:fill="auto"/>
            <w:vAlign w:val="bottom"/>
          </w:tcPr>
          <w:p w14:paraId="36CA445C" w14:textId="77777777" w:rsidR="00787570" w:rsidRDefault="00787570">
            <w:pPr>
              <w:rPr>
                <w:rFonts w:ascii="宋体"/>
              </w:rPr>
            </w:pPr>
          </w:p>
        </w:tc>
        <w:tc>
          <w:tcPr>
            <w:tcW w:w="1308" w:type="pct"/>
            <w:shd w:val="clear" w:color="auto" w:fill="auto"/>
            <w:vAlign w:val="bottom"/>
          </w:tcPr>
          <w:p w14:paraId="36CA445D" w14:textId="77777777" w:rsidR="00787570" w:rsidRDefault="00787570">
            <w:pPr>
              <w:rPr>
                <w:rFonts w:ascii="宋体"/>
              </w:rPr>
            </w:pPr>
          </w:p>
        </w:tc>
        <w:tc>
          <w:tcPr>
            <w:tcW w:w="5" w:type="pct"/>
            <w:shd w:val="clear" w:color="auto" w:fill="auto"/>
            <w:vAlign w:val="bottom"/>
          </w:tcPr>
          <w:p w14:paraId="36CA445E" w14:textId="77777777" w:rsidR="00787570" w:rsidRDefault="00787570">
            <w:pPr>
              <w:rPr>
                <w:rFonts w:ascii="宋体"/>
              </w:rPr>
            </w:pPr>
          </w:p>
        </w:tc>
      </w:tr>
      <w:tr w:rsidR="00787570" w14:paraId="36CA4464" w14:textId="77777777">
        <w:tc>
          <w:tcPr>
            <w:tcW w:w="0" w:type="auto"/>
            <w:gridSpan w:val="3"/>
            <w:tcBorders>
              <w:top w:val="single" w:sz="8" w:space="0" w:color="0071C5"/>
            </w:tcBorders>
            <w:shd w:val="clear" w:color="auto" w:fill="auto"/>
            <w:tcMar>
              <w:left w:w="20" w:type="dxa"/>
              <w:right w:w="20" w:type="dxa"/>
            </w:tcMar>
            <w:vAlign w:val="center"/>
          </w:tcPr>
          <w:p w14:paraId="36CA4460" w14:textId="77777777" w:rsidR="00787570" w:rsidRDefault="000D56E2">
            <w:pPr>
              <w:textAlignment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Viewer9_files/intc-20200926_g2.jpg"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36CA5C33" wp14:editId="36CA5C34">
                  <wp:extent cx="304800" cy="304800"/>
                  <wp:effectExtent l="0" t="0" r="0" b="0"/>
                  <wp:docPr id="63" name="图片 91" descr="IMG_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91" descr="IMG_329"/>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8" w:space="0" w:color="0071C5"/>
            </w:tcBorders>
            <w:shd w:val="clear" w:color="auto" w:fill="auto"/>
            <w:tcMar>
              <w:top w:w="40" w:type="dxa"/>
              <w:left w:w="20" w:type="dxa"/>
              <w:bottom w:w="40" w:type="dxa"/>
              <w:right w:w="20" w:type="dxa"/>
            </w:tcMar>
            <w:vAlign w:val="center"/>
          </w:tcPr>
          <w:p w14:paraId="36CA4461" w14:textId="77777777" w:rsidR="00787570" w:rsidRDefault="000D56E2">
            <w:pPr>
              <w:textAlignment w:val="center"/>
            </w:pPr>
            <w:r>
              <w:rPr>
                <w:rFonts w:ascii="Arial" w:eastAsia="宋体" w:hAnsi="Arial" w:cs="Arial"/>
                <w:color w:val="333333"/>
                <w:sz w:val="16"/>
                <w:szCs w:val="16"/>
              </w:rPr>
              <w:t> FINANCIAL STATEMENTS</w:t>
            </w:r>
          </w:p>
        </w:tc>
        <w:tc>
          <w:tcPr>
            <w:tcW w:w="0" w:type="auto"/>
            <w:gridSpan w:val="3"/>
            <w:tcBorders>
              <w:top w:val="single" w:sz="8" w:space="0" w:color="0071C5"/>
              <w:left w:val="single" w:sz="24" w:space="0" w:color="0071C5"/>
            </w:tcBorders>
            <w:shd w:val="clear" w:color="auto" w:fill="auto"/>
            <w:tcMar>
              <w:top w:w="40" w:type="dxa"/>
              <w:left w:w="20" w:type="dxa"/>
              <w:bottom w:w="40" w:type="dxa"/>
              <w:right w:w="20" w:type="dxa"/>
            </w:tcMar>
            <w:vAlign w:val="center"/>
          </w:tcPr>
          <w:p w14:paraId="36CA4462" w14:textId="77777777" w:rsidR="00787570" w:rsidRDefault="000D56E2">
            <w:pPr>
              <w:textAlignment w:val="center"/>
            </w:pPr>
            <w:r>
              <w:rPr>
                <w:rFonts w:ascii="Arial" w:eastAsia="宋体" w:hAnsi="Arial" w:cs="Arial"/>
                <w:color w:val="333333"/>
                <w:sz w:val="16"/>
                <w:szCs w:val="16"/>
              </w:rPr>
              <w:t>  Notes to Financial Statements</w:t>
            </w:r>
          </w:p>
        </w:tc>
        <w:tc>
          <w:tcPr>
            <w:tcW w:w="0" w:type="auto"/>
            <w:gridSpan w:val="3"/>
            <w:tcBorders>
              <w:top w:val="single" w:sz="8" w:space="0" w:color="0071C5"/>
            </w:tcBorders>
            <w:shd w:val="clear" w:color="auto" w:fill="auto"/>
            <w:tcMar>
              <w:top w:w="40" w:type="dxa"/>
              <w:left w:w="20" w:type="dxa"/>
              <w:bottom w:w="40" w:type="dxa"/>
              <w:right w:w="20" w:type="dxa"/>
            </w:tcMar>
            <w:vAlign w:val="center"/>
          </w:tcPr>
          <w:p w14:paraId="36CA4463" w14:textId="77777777" w:rsidR="00787570" w:rsidRDefault="000D56E2">
            <w:pPr>
              <w:jc w:val="right"/>
              <w:textAlignment w:val="center"/>
            </w:pPr>
            <w:r>
              <w:rPr>
                <w:rFonts w:ascii="Arial" w:eastAsia="宋体" w:hAnsi="Arial" w:cs="Arial"/>
                <w:color w:val="333333"/>
                <w:sz w:val="16"/>
                <w:szCs w:val="16"/>
              </w:rPr>
              <w:t>26</w:t>
            </w:r>
          </w:p>
        </w:tc>
      </w:tr>
    </w:tbl>
    <w:p w14:paraId="36CA4465" w14:textId="77777777" w:rsidR="00787570" w:rsidRDefault="000D56E2">
      <w:r>
        <w:pict w14:anchorId="36CA5C35">
          <v:rect id="_x0000_i1052" style="width:415.3pt;height:1.5pt" o:hralign="center" o:hrstd="t" o:hr="t" fillcolor="#a0a0a0" stroked="f"/>
        </w:pict>
      </w:r>
    </w:p>
    <w:p w14:paraId="36CA4466" w14:textId="77777777" w:rsidR="00787570" w:rsidRDefault="000D56E2">
      <w:pPr>
        <w:spacing w:after="180"/>
        <w:jc w:val="right"/>
      </w:pPr>
      <w:hyperlink r:id="rId54" w:anchor="i32771df14e9449d2bec5be911426bf04_7" w:history="1">
        <w:r>
          <w:rPr>
            <w:rStyle w:val="a5"/>
            <w:rFonts w:ascii="Arial" w:eastAsia="宋体" w:hAnsi="Arial" w:cs="Arial"/>
            <w:b/>
            <w:bCs/>
            <w:sz w:val="16"/>
            <w:szCs w:val="16"/>
          </w:rPr>
          <w:t>Table of Contents</w:t>
        </w:r>
      </w:hyperlink>
    </w:p>
    <w:p w14:paraId="36CA4467" w14:textId="77777777" w:rsidR="00787570" w:rsidRDefault="00787570">
      <w:pPr>
        <w:spacing w:after="180"/>
        <w:jc w:val="right"/>
      </w:pPr>
    </w:p>
    <w:tbl>
      <w:tblPr>
        <w:tblW w:w="5000" w:type="pct"/>
        <w:tblCellMar>
          <w:top w:w="15" w:type="dxa"/>
          <w:left w:w="15" w:type="dxa"/>
          <w:bottom w:w="15" w:type="dxa"/>
          <w:right w:w="15" w:type="dxa"/>
        </w:tblCellMar>
        <w:tblLook w:val="04A0" w:firstRow="1" w:lastRow="0" w:firstColumn="1" w:lastColumn="0" w:noHBand="0" w:noVBand="1"/>
      </w:tblPr>
      <w:tblGrid>
        <w:gridCol w:w="69"/>
        <w:gridCol w:w="8231"/>
        <w:gridCol w:w="36"/>
      </w:tblGrid>
      <w:tr w:rsidR="00787570" w14:paraId="36CA446B" w14:textId="77777777">
        <w:tc>
          <w:tcPr>
            <w:tcW w:w="50" w:type="pct"/>
            <w:shd w:val="clear" w:color="auto" w:fill="auto"/>
          </w:tcPr>
          <w:p w14:paraId="36CA4468" w14:textId="77777777" w:rsidR="00787570" w:rsidRDefault="00787570">
            <w:pPr>
              <w:rPr>
                <w:rFonts w:ascii="宋体"/>
              </w:rPr>
            </w:pPr>
          </w:p>
        </w:tc>
        <w:tc>
          <w:tcPr>
            <w:tcW w:w="4945" w:type="pct"/>
            <w:shd w:val="clear" w:color="auto" w:fill="auto"/>
          </w:tcPr>
          <w:p w14:paraId="36CA4469" w14:textId="77777777" w:rsidR="00787570" w:rsidRDefault="00787570">
            <w:pPr>
              <w:rPr>
                <w:rFonts w:ascii="宋体"/>
              </w:rPr>
            </w:pPr>
          </w:p>
        </w:tc>
        <w:tc>
          <w:tcPr>
            <w:tcW w:w="5" w:type="pct"/>
            <w:shd w:val="clear" w:color="auto" w:fill="auto"/>
          </w:tcPr>
          <w:p w14:paraId="36CA446A" w14:textId="77777777" w:rsidR="00787570" w:rsidRDefault="00787570">
            <w:pPr>
              <w:rPr>
                <w:rFonts w:ascii="宋体"/>
              </w:rPr>
            </w:pPr>
          </w:p>
        </w:tc>
      </w:tr>
      <w:tr w:rsidR="00787570" w14:paraId="36CA446D" w14:textId="77777777">
        <w:tc>
          <w:tcPr>
            <w:tcW w:w="0" w:type="auto"/>
            <w:gridSpan w:val="3"/>
            <w:shd w:val="clear" w:color="auto" w:fill="0071C5"/>
            <w:tcMar>
              <w:top w:w="40" w:type="dxa"/>
              <w:left w:w="20" w:type="dxa"/>
              <w:bottom w:w="40" w:type="dxa"/>
              <w:right w:w="20" w:type="dxa"/>
            </w:tcMar>
            <w:vAlign w:val="center"/>
          </w:tcPr>
          <w:p w14:paraId="36CA446C" w14:textId="77777777" w:rsidR="00787570" w:rsidRDefault="000D56E2">
            <w:pPr>
              <w:spacing w:after="60"/>
              <w:textAlignment w:val="center"/>
            </w:pPr>
            <w:r>
              <w:rPr>
                <w:rFonts w:ascii="Arial" w:eastAsia="宋体" w:hAnsi="Arial" w:cs="Arial"/>
                <w:b/>
                <w:bCs/>
                <w:color w:val="FFFFFF"/>
                <w:sz w:val="36"/>
                <w:szCs w:val="36"/>
              </w:rPr>
              <w:t>KEY TERMS</w:t>
            </w:r>
          </w:p>
        </w:tc>
      </w:tr>
    </w:tbl>
    <w:p w14:paraId="36CA446E" w14:textId="77777777" w:rsidR="00787570" w:rsidRDefault="000D56E2">
      <w:pPr>
        <w:spacing w:before="180"/>
      </w:pPr>
      <w:r>
        <w:rPr>
          <w:rFonts w:ascii="Arial" w:eastAsia="宋体" w:hAnsi="Arial" w:cs="Arial"/>
          <w:color w:val="333333"/>
          <w:sz w:val="18"/>
          <w:szCs w:val="18"/>
        </w:rPr>
        <w:t xml:space="preserve">We use terms throughout our document that are specific to Intel or that are abbreviations that may not be commonly known or used. Below is a list of these terms used in our document. </w:t>
      </w:r>
    </w:p>
    <w:tbl>
      <w:tblPr>
        <w:tblW w:w="5000" w:type="pct"/>
        <w:tblCellMar>
          <w:top w:w="15" w:type="dxa"/>
          <w:left w:w="15" w:type="dxa"/>
          <w:bottom w:w="15" w:type="dxa"/>
          <w:right w:w="15" w:type="dxa"/>
        </w:tblCellMar>
        <w:tblLook w:val="04A0" w:firstRow="1" w:lastRow="0" w:firstColumn="1" w:lastColumn="0" w:noHBand="0" w:noVBand="1"/>
      </w:tblPr>
      <w:tblGrid>
        <w:gridCol w:w="68"/>
        <w:gridCol w:w="1567"/>
        <w:gridCol w:w="37"/>
        <w:gridCol w:w="68"/>
        <w:gridCol w:w="165"/>
        <w:gridCol w:w="36"/>
        <w:gridCol w:w="69"/>
        <w:gridCol w:w="6285"/>
        <w:gridCol w:w="41"/>
      </w:tblGrid>
      <w:tr w:rsidR="00787570" w14:paraId="36CA4478" w14:textId="77777777">
        <w:tc>
          <w:tcPr>
            <w:tcW w:w="50" w:type="pct"/>
            <w:shd w:val="clear" w:color="auto" w:fill="auto"/>
          </w:tcPr>
          <w:p w14:paraId="36CA446F" w14:textId="77777777" w:rsidR="00787570" w:rsidRDefault="00787570">
            <w:pPr>
              <w:rPr>
                <w:rFonts w:ascii="宋体"/>
              </w:rPr>
            </w:pPr>
          </w:p>
        </w:tc>
        <w:tc>
          <w:tcPr>
            <w:tcW w:w="949" w:type="pct"/>
            <w:shd w:val="clear" w:color="auto" w:fill="auto"/>
          </w:tcPr>
          <w:p w14:paraId="36CA4470" w14:textId="77777777" w:rsidR="00787570" w:rsidRDefault="00787570">
            <w:pPr>
              <w:rPr>
                <w:rFonts w:ascii="宋体"/>
              </w:rPr>
            </w:pPr>
          </w:p>
        </w:tc>
        <w:tc>
          <w:tcPr>
            <w:tcW w:w="5" w:type="pct"/>
            <w:shd w:val="clear" w:color="auto" w:fill="auto"/>
          </w:tcPr>
          <w:p w14:paraId="36CA4471" w14:textId="77777777" w:rsidR="00787570" w:rsidRDefault="00787570">
            <w:pPr>
              <w:rPr>
                <w:rFonts w:ascii="宋体"/>
              </w:rPr>
            </w:pPr>
          </w:p>
        </w:tc>
        <w:tc>
          <w:tcPr>
            <w:tcW w:w="50" w:type="pct"/>
            <w:shd w:val="clear" w:color="auto" w:fill="auto"/>
          </w:tcPr>
          <w:p w14:paraId="36CA4472" w14:textId="77777777" w:rsidR="00787570" w:rsidRDefault="00787570">
            <w:pPr>
              <w:rPr>
                <w:rFonts w:ascii="宋体"/>
              </w:rPr>
            </w:pPr>
          </w:p>
        </w:tc>
        <w:tc>
          <w:tcPr>
            <w:tcW w:w="108" w:type="pct"/>
            <w:shd w:val="clear" w:color="auto" w:fill="auto"/>
          </w:tcPr>
          <w:p w14:paraId="36CA4473" w14:textId="77777777" w:rsidR="00787570" w:rsidRDefault="00787570">
            <w:pPr>
              <w:rPr>
                <w:rFonts w:ascii="宋体"/>
              </w:rPr>
            </w:pPr>
          </w:p>
        </w:tc>
        <w:tc>
          <w:tcPr>
            <w:tcW w:w="5" w:type="pct"/>
            <w:shd w:val="clear" w:color="auto" w:fill="auto"/>
          </w:tcPr>
          <w:p w14:paraId="36CA4474" w14:textId="77777777" w:rsidR="00787570" w:rsidRDefault="00787570">
            <w:pPr>
              <w:rPr>
                <w:rFonts w:ascii="宋体"/>
              </w:rPr>
            </w:pPr>
          </w:p>
        </w:tc>
        <w:tc>
          <w:tcPr>
            <w:tcW w:w="50" w:type="pct"/>
            <w:shd w:val="clear" w:color="auto" w:fill="auto"/>
          </w:tcPr>
          <w:p w14:paraId="36CA4475" w14:textId="77777777" w:rsidR="00787570" w:rsidRDefault="00787570">
            <w:pPr>
              <w:rPr>
                <w:rFonts w:ascii="宋体"/>
              </w:rPr>
            </w:pPr>
          </w:p>
        </w:tc>
        <w:tc>
          <w:tcPr>
            <w:tcW w:w="3777" w:type="pct"/>
            <w:shd w:val="clear" w:color="auto" w:fill="auto"/>
          </w:tcPr>
          <w:p w14:paraId="36CA4476" w14:textId="77777777" w:rsidR="00787570" w:rsidRDefault="00787570">
            <w:pPr>
              <w:rPr>
                <w:rFonts w:ascii="宋体"/>
              </w:rPr>
            </w:pPr>
          </w:p>
        </w:tc>
        <w:tc>
          <w:tcPr>
            <w:tcW w:w="5" w:type="pct"/>
            <w:shd w:val="clear" w:color="auto" w:fill="auto"/>
          </w:tcPr>
          <w:p w14:paraId="36CA4477" w14:textId="77777777" w:rsidR="00787570" w:rsidRDefault="00787570">
            <w:pPr>
              <w:rPr>
                <w:rFonts w:ascii="宋体"/>
              </w:rPr>
            </w:pPr>
          </w:p>
        </w:tc>
      </w:tr>
      <w:tr w:rsidR="00787570" w14:paraId="36CA447C" w14:textId="77777777">
        <w:tc>
          <w:tcPr>
            <w:tcW w:w="0" w:type="auto"/>
            <w:gridSpan w:val="3"/>
            <w:shd w:val="clear" w:color="auto" w:fill="auto"/>
            <w:tcMar>
              <w:top w:w="40" w:type="dxa"/>
              <w:left w:w="20" w:type="dxa"/>
              <w:bottom w:w="40" w:type="dxa"/>
              <w:right w:w="20" w:type="dxa"/>
            </w:tcMar>
          </w:tcPr>
          <w:p w14:paraId="36CA4479" w14:textId="77777777" w:rsidR="00787570" w:rsidRDefault="000D56E2">
            <w:pPr>
              <w:jc w:val="center"/>
              <w:textAlignment w:val="top"/>
            </w:pPr>
            <w:r>
              <w:rPr>
                <w:rFonts w:ascii="Arial" w:eastAsia="宋体" w:hAnsi="Arial" w:cs="Arial"/>
                <w:b/>
                <w:bCs/>
                <w:color w:val="0071C5"/>
                <w:sz w:val="18"/>
                <w:szCs w:val="18"/>
              </w:rPr>
              <w:t>TERM</w:t>
            </w:r>
          </w:p>
        </w:tc>
        <w:tc>
          <w:tcPr>
            <w:tcW w:w="0" w:type="auto"/>
            <w:gridSpan w:val="3"/>
            <w:shd w:val="clear" w:color="auto" w:fill="auto"/>
            <w:tcMar>
              <w:left w:w="20" w:type="dxa"/>
              <w:right w:w="20" w:type="dxa"/>
            </w:tcMar>
            <w:vAlign w:val="bottom"/>
          </w:tcPr>
          <w:p w14:paraId="36CA447A" w14:textId="77777777" w:rsidR="00787570" w:rsidRDefault="00787570">
            <w:pPr>
              <w:rPr>
                <w:rFonts w:ascii="宋体"/>
              </w:rPr>
            </w:pPr>
          </w:p>
        </w:tc>
        <w:tc>
          <w:tcPr>
            <w:tcW w:w="0" w:type="auto"/>
            <w:gridSpan w:val="3"/>
            <w:shd w:val="clear" w:color="auto" w:fill="auto"/>
            <w:tcMar>
              <w:top w:w="40" w:type="dxa"/>
              <w:left w:w="20" w:type="dxa"/>
              <w:bottom w:w="40" w:type="dxa"/>
              <w:right w:w="20" w:type="dxa"/>
            </w:tcMar>
          </w:tcPr>
          <w:p w14:paraId="36CA447B" w14:textId="77777777" w:rsidR="00787570" w:rsidRDefault="000D56E2">
            <w:pPr>
              <w:jc w:val="center"/>
              <w:textAlignment w:val="top"/>
            </w:pPr>
            <w:r>
              <w:rPr>
                <w:rFonts w:ascii="Arial" w:eastAsia="宋体" w:hAnsi="Arial" w:cs="Arial"/>
                <w:b/>
                <w:bCs/>
                <w:color w:val="0071C5"/>
                <w:sz w:val="18"/>
                <w:szCs w:val="18"/>
              </w:rPr>
              <w:t>DEFINITION</w:t>
            </w:r>
          </w:p>
        </w:tc>
      </w:tr>
      <w:tr w:rsidR="00787570" w14:paraId="36CA4480" w14:textId="77777777">
        <w:trPr>
          <w:trHeight w:val="60"/>
        </w:trPr>
        <w:tc>
          <w:tcPr>
            <w:tcW w:w="0" w:type="auto"/>
            <w:gridSpan w:val="3"/>
            <w:tcBorders>
              <w:top w:val="single" w:sz="8" w:space="0" w:color="333333"/>
            </w:tcBorders>
            <w:shd w:val="clear" w:color="auto" w:fill="auto"/>
            <w:tcMar>
              <w:left w:w="20" w:type="dxa"/>
              <w:right w:w="20" w:type="dxa"/>
            </w:tcMar>
            <w:vAlign w:val="bottom"/>
          </w:tcPr>
          <w:p w14:paraId="36CA447D" w14:textId="77777777" w:rsidR="00787570" w:rsidRDefault="00787570">
            <w:pPr>
              <w:rPr>
                <w:rFonts w:ascii="宋体"/>
              </w:rPr>
            </w:pPr>
          </w:p>
        </w:tc>
        <w:tc>
          <w:tcPr>
            <w:tcW w:w="0" w:type="auto"/>
            <w:gridSpan w:val="3"/>
            <w:tcBorders>
              <w:top w:val="single" w:sz="8" w:space="0" w:color="333333"/>
            </w:tcBorders>
            <w:shd w:val="clear" w:color="auto" w:fill="auto"/>
            <w:tcMar>
              <w:left w:w="20" w:type="dxa"/>
              <w:right w:w="20" w:type="dxa"/>
            </w:tcMar>
            <w:vAlign w:val="bottom"/>
          </w:tcPr>
          <w:p w14:paraId="36CA447E" w14:textId="77777777" w:rsidR="00787570" w:rsidRDefault="00787570">
            <w:pPr>
              <w:rPr>
                <w:rFonts w:ascii="宋体"/>
              </w:rPr>
            </w:pPr>
          </w:p>
        </w:tc>
        <w:tc>
          <w:tcPr>
            <w:tcW w:w="0" w:type="auto"/>
            <w:gridSpan w:val="3"/>
            <w:tcBorders>
              <w:top w:val="single" w:sz="8" w:space="0" w:color="333333"/>
            </w:tcBorders>
            <w:shd w:val="clear" w:color="auto" w:fill="auto"/>
            <w:tcMar>
              <w:left w:w="20" w:type="dxa"/>
              <w:right w:w="20" w:type="dxa"/>
            </w:tcMar>
            <w:vAlign w:val="bottom"/>
          </w:tcPr>
          <w:p w14:paraId="36CA447F" w14:textId="77777777" w:rsidR="00787570" w:rsidRDefault="00787570">
            <w:pPr>
              <w:rPr>
                <w:rFonts w:ascii="宋体"/>
              </w:rPr>
            </w:pPr>
          </w:p>
        </w:tc>
      </w:tr>
      <w:tr w:rsidR="00787570" w14:paraId="36CA4484" w14:textId="77777777">
        <w:trPr>
          <w:hidden/>
        </w:trPr>
        <w:tc>
          <w:tcPr>
            <w:tcW w:w="0" w:type="auto"/>
            <w:gridSpan w:val="3"/>
            <w:shd w:val="clear" w:color="auto" w:fill="auto"/>
          </w:tcPr>
          <w:p w14:paraId="36CA4481" w14:textId="77777777" w:rsidR="00787570" w:rsidRDefault="00787570">
            <w:pPr>
              <w:rPr>
                <w:rFonts w:ascii="宋体"/>
                <w:vanish/>
              </w:rPr>
            </w:pPr>
          </w:p>
        </w:tc>
        <w:tc>
          <w:tcPr>
            <w:tcW w:w="0" w:type="auto"/>
            <w:gridSpan w:val="3"/>
            <w:shd w:val="clear" w:color="auto" w:fill="auto"/>
          </w:tcPr>
          <w:p w14:paraId="36CA4482" w14:textId="77777777" w:rsidR="00787570" w:rsidRDefault="00787570">
            <w:pPr>
              <w:rPr>
                <w:rFonts w:ascii="宋体"/>
                <w:vanish/>
              </w:rPr>
            </w:pPr>
          </w:p>
        </w:tc>
        <w:tc>
          <w:tcPr>
            <w:tcW w:w="0" w:type="auto"/>
            <w:gridSpan w:val="3"/>
            <w:shd w:val="clear" w:color="auto" w:fill="auto"/>
          </w:tcPr>
          <w:p w14:paraId="36CA4483" w14:textId="77777777" w:rsidR="00787570" w:rsidRDefault="00787570">
            <w:pPr>
              <w:rPr>
                <w:rFonts w:ascii="宋体"/>
                <w:vanish/>
              </w:rPr>
            </w:pPr>
          </w:p>
        </w:tc>
      </w:tr>
      <w:tr w:rsidR="00787570" w14:paraId="36CA4488" w14:textId="77777777">
        <w:trPr>
          <w:hidden/>
        </w:trPr>
        <w:tc>
          <w:tcPr>
            <w:tcW w:w="0" w:type="auto"/>
            <w:gridSpan w:val="3"/>
            <w:shd w:val="clear" w:color="auto" w:fill="auto"/>
          </w:tcPr>
          <w:p w14:paraId="36CA4485" w14:textId="77777777" w:rsidR="00787570" w:rsidRDefault="00787570">
            <w:pPr>
              <w:rPr>
                <w:rFonts w:ascii="宋体"/>
                <w:vanish/>
              </w:rPr>
            </w:pPr>
          </w:p>
        </w:tc>
        <w:tc>
          <w:tcPr>
            <w:tcW w:w="0" w:type="auto"/>
            <w:gridSpan w:val="3"/>
            <w:shd w:val="clear" w:color="auto" w:fill="auto"/>
          </w:tcPr>
          <w:p w14:paraId="36CA4486" w14:textId="77777777" w:rsidR="00787570" w:rsidRDefault="00787570">
            <w:pPr>
              <w:rPr>
                <w:rFonts w:ascii="宋体"/>
                <w:vanish/>
              </w:rPr>
            </w:pPr>
          </w:p>
        </w:tc>
        <w:tc>
          <w:tcPr>
            <w:tcW w:w="0" w:type="auto"/>
            <w:gridSpan w:val="3"/>
            <w:shd w:val="clear" w:color="auto" w:fill="auto"/>
          </w:tcPr>
          <w:p w14:paraId="36CA4487" w14:textId="77777777" w:rsidR="00787570" w:rsidRDefault="00787570">
            <w:pPr>
              <w:rPr>
                <w:rFonts w:ascii="宋体"/>
                <w:vanish/>
              </w:rPr>
            </w:pPr>
          </w:p>
        </w:tc>
      </w:tr>
      <w:tr w:rsidR="00787570" w14:paraId="36CA448C" w14:textId="77777777">
        <w:tc>
          <w:tcPr>
            <w:tcW w:w="0" w:type="auto"/>
            <w:gridSpan w:val="3"/>
            <w:shd w:val="clear" w:color="auto" w:fill="auto"/>
            <w:tcMar>
              <w:top w:w="40" w:type="dxa"/>
              <w:left w:w="20" w:type="dxa"/>
              <w:bottom w:w="40" w:type="dxa"/>
              <w:right w:w="20" w:type="dxa"/>
            </w:tcMar>
          </w:tcPr>
          <w:p w14:paraId="36CA4489" w14:textId="77777777" w:rsidR="00787570" w:rsidRDefault="000D56E2">
            <w:pPr>
              <w:textAlignment w:val="top"/>
            </w:pPr>
            <w:r>
              <w:rPr>
                <w:rFonts w:ascii="Arial" w:eastAsia="宋体" w:hAnsi="Arial" w:cs="Arial"/>
                <w:b/>
                <w:bCs/>
                <w:color w:val="0071C5"/>
                <w:sz w:val="18"/>
                <w:szCs w:val="18"/>
              </w:rPr>
              <w:t>2009 Debentures</w:t>
            </w:r>
          </w:p>
        </w:tc>
        <w:tc>
          <w:tcPr>
            <w:tcW w:w="0" w:type="auto"/>
            <w:gridSpan w:val="3"/>
            <w:shd w:val="clear" w:color="auto" w:fill="auto"/>
            <w:tcMar>
              <w:left w:w="20" w:type="dxa"/>
              <w:right w:w="20" w:type="dxa"/>
            </w:tcMar>
            <w:vAlign w:val="bottom"/>
          </w:tcPr>
          <w:p w14:paraId="36CA448A" w14:textId="77777777" w:rsidR="00787570" w:rsidRDefault="00787570">
            <w:pPr>
              <w:rPr>
                <w:rFonts w:ascii="宋体"/>
              </w:rPr>
            </w:pPr>
          </w:p>
        </w:tc>
        <w:tc>
          <w:tcPr>
            <w:tcW w:w="0" w:type="auto"/>
            <w:gridSpan w:val="3"/>
            <w:shd w:val="clear" w:color="auto" w:fill="auto"/>
            <w:tcMar>
              <w:top w:w="40" w:type="dxa"/>
              <w:left w:w="20" w:type="dxa"/>
              <w:bottom w:w="40" w:type="dxa"/>
              <w:right w:w="20" w:type="dxa"/>
            </w:tcMar>
          </w:tcPr>
          <w:p w14:paraId="36CA448B" w14:textId="77777777" w:rsidR="00787570" w:rsidRDefault="000D56E2">
            <w:pPr>
              <w:textAlignment w:val="top"/>
            </w:pPr>
            <w:r>
              <w:rPr>
                <w:rFonts w:ascii="Arial" w:eastAsia="宋体" w:hAnsi="Arial" w:cs="Arial"/>
                <w:color w:val="333333"/>
                <w:sz w:val="18"/>
                <w:szCs w:val="18"/>
              </w:rPr>
              <w:t xml:space="preserve">3.25% </w:t>
            </w:r>
            <w:r>
              <w:rPr>
                <w:rFonts w:ascii="Arial" w:eastAsia="宋体" w:hAnsi="Arial" w:cs="Arial"/>
                <w:color w:val="333333"/>
                <w:sz w:val="18"/>
                <w:szCs w:val="18"/>
              </w:rPr>
              <w:t>junior subordinated convertible debentures due 2039</w:t>
            </w:r>
          </w:p>
        </w:tc>
      </w:tr>
      <w:tr w:rsidR="00787570" w14:paraId="36CA4490" w14:textId="77777777">
        <w:trPr>
          <w:hidden/>
        </w:trPr>
        <w:tc>
          <w:tcPr>
            <w:tcW w:w="0" w:type="auto"/>
            <w:gridSpan w:val="3"/>
            <w:shd w:val="clear" w:color="auto" w:fill="auto"/>
          </w:tcPr>
          <w:p w14:paraId="36CA448D" w14:textId="77777777" w:rsidR="00787570" w:rsidRDefault="00787570">
            <w:pPr>
              <w:rPr>
                <w:rFonts w:ascii="宋体"/>
                <w:vanish/>
              </w:rPr>
            </w:pPr>
          </w:p>
        </w:tc>
        <w:tc>
          <w:tcPr>
            <w:tcW w:w="0" w:type="auto"/>
            <w:gridSpan w:val="3"/>
            <w:shd w:val="clear" w:color="auto" w:fill="auto"/>
          </w:tcPr>
          <w:p w14:paraId="36CA448E" w14:textId="77777777" w:rsidR="00787570" w:rsidRDefault="00787570">
            <w:pPr>
              <w:rPr>
                <w:rFonts w:ascii="宋体"/>
                <w:vanish/>
              </w:rPr>
            </w:pPr>
          </w:p>
        </w:tc>
        <w:tc>
          <w:tcPr>
            <w:tcW w:w="0" w:type="auto"/>
            <w:gridSpan w:val="3"/>
            <w:shd w:val="clear" w:color="auto" w:fill="auto"/>
          </w:tcPr>
          <w:p w14:paraId="36CA448F" w14:textId="77777777" w:rsidR="00787570" w:rsidRDefault="00787570">
            <w:pPr>
              <w:rPr>
                <w:rFonts w:ascii="宋体"/>
                <w:vanish/>
              </w:rPr>
            </w:pPr>
          </w:p>
        </w:tc>
      </w:tr>
      <w:tr w:rsidR="00787570" w14:paraId="36CA4494" w14:textId="77777777">
        <w:trPr>
          <w:hidden/>
        </w:trPr>
        <w:tc>
          <w:tcPr>
            <w:tcW w:w="0" w:type="auto"/>
            <w:gridSpan w:val="3"/>
            <w:shd w:val="clear" w:color="auto" w:fill="auto"/>
          </w:tcPr>
          <w:p w14:paraId="36CA4491" w14:textId="77777777" w:rsidR="00787570" w:rsidRDefault="00787570">
            <w:pPr>
              <w:rPr>
                <w:rFonts w:ascii="宋体"/>
                <w:vanish/>
              </w:rPr>
            </w:pPr>
          </w:p>
        </w:tc>
        <w:tc>
          <w:tcPr>
            <w:tcW w:w="0" w:type="auto"/>
            <w:gridSpan w:val="3"/>
            <w:shd w:val="clear" w:color="auto" w:fill="auto"/>
          </w:tcPr>
          <w:p w14:paraId="36CA4492" w14:textId="77777777" w:rsidR="00787570" w:rsidRDefault="00787570">
            <w:pPr>
              <w:rPr>
                <w:rFonts w:ascii="宋体"/>
                <w:vanish/>
              </w:rPr>
            </w:pPr>
          </w:p>
        </w:tc>
        <w:tc>
          <w:tcPr>
            <w:tcW w:w="0" w:type="auto"/>
            <w:gridSpan w:val="3"/>
            <w:shd w:val="clear" w:color="auto" w:fill="auto"/>
          </w:tcPr>
          <w:p w14:paraId="36CA4493" w14:textId="77777777" w:rsidR="00787570" w:rsidRDefault="00787570">
            <w:pPr>
              <w:rPr>
                <w:rFonts w:ascii="宋体"/>
                <w:vanish/>
              </w:rPr>
            </w:pPr>
          </w:p>
        </w:tc>
      </w:tr>
      <w:tr w:rsidR="00787570" w14:paraId="36CA4498" w14:textId="77777777">
        <w:trPr>
          <w:hidden/>
        </w:trPr>
        <w:tc>
          <w:tcPr>
            <w:tcW w:w="0" w:type="auto"/>
            <w:gridSpan w:val="3"/>
            <w:shd w:val="clear" w:color="auto" w:fill="auto"/>
          </w:tcPr>
          <w:p w14:paraId="36CA4495" w14:textId="77777777" w:rsidR="00787570" w:rsidRDefault="00787570">
            <w:pPr>
              <w:rPr>
                <w:rFonts w:ascii="宋体"/>
                <w:vanish/>
              </w:rPr>
            </w:pPr>
          </w:p>
        </w:tc>
        <w:tc>
          <w:tcPr>
            <w:tcW w:w="0" w:type="auto"/>
            <w:gridSpan w:val="3"/>
            <w:shd w:val="clear" w:color="auto" w:fill="auto"/>
          </w:tcPr>
          <w:p w14:paraId="36CA4496" w14:textId="77777777" w:rsidR="00787570" w:rsidRDefault="00787570">
            <w:pPr>
              <w:rPr>
                <w:rFonts w:ascii="宋体"/>
                <w:vanish/>
              </w:rPr>
            </w:pPr>
          </w:p>
        </w:tc>
        <w:tc>
          <w:tcPr>
            <w:tcW w:w="0" w:type="auto"/>
            <w:gridSpan w:val="3"/>
            <w:shd w:val="clear" w:color="auto" w:fill="auto"/>
          </w:tcPr>
          <w:p w14:paraId="36CA4497" w14:textId="77777777" w:rsidR="00787570" w:rsidRDefault="00787570">
            <w:pPr>
              <w:rPr>
                <w:rFonts w:ascii="宋体"/>
                <w:vanish/>
              </w:rPr>
            </w:pPr>
          </w:p>
        </w:tc>
      </w:tr>
      <w:tr w:rsidR="00787570" w14:paraId="36CA449C" w14:textId="77777777">
        <w:trPr>
          <w:hidden/>
        </w:trPr>
        <w:tc>
          <w:tcPr>
            <w:tcW w:w="0" w:type="auto"/>
            <w:gridSpan w:val="3"/>
            <w:shd w:val="clear" w:color="auto" w:fill="auto"/>
          </w:tcPr>
          <w:p w14:paraId="36CA4499" w14:textId="77777777" w:rsidR="00787570" w:rsidRDefault="00787570">
            <w:pPr>
              <w:rPr>
                <w:rFonts w:ascii="宋体"/>
                <w:vanish/>
              </w:rPr>
            </w:pPr>
          </w:p>
        </w:tc>
        <w:tc>
          <w:tcPr>
            <w:tcW w:w="0" w:type="auto"/>
            <w:gridSpan w:val="3"/>
            <w:shd w:val="clear" w:color="auto" w:fill="auto"/>
          </w:tcPr>
          <w:p w14:paraId="36CA449A" w14:textId="77777777" w:rsidR="00787570" w:rsidRDefault="00787570">
            <w:pPr>
              <w:rPr>
                <w:rFonts w:ascii="宋体"/>
                <w:vanish/>
              </w:rPr>
            </w:pPr>
          </w:p>
        </w:tc>
        <w:tc>
          <w:tcPr>
            <w:tcW w:w="0" w:type="auto"/>
            <w:gridSpan w:val="3"/>
            <w:shd w:val="clear" w:color="auto" w:fill="auto"/>
          </w:tcPr>
          <w:p w14:paraId="36CA449B" w14:textId="77777777" w:rsidR="00787570" w:rsidRDefault="00787570">
            <w:pPr>
              <w:rPr>
                <w:rFonts w:ascii="宋体"/>
                <w:vanish/>
              </w:rPr>
            </w:pPr>
          </w:p>
        </w:tc>
      </w:tr>
      <w:tr w:rsidR="00787570" w14:paraId="36CA44A0" w14:textId="77777777">
        <w:trPr>
          <w:hidden/>
        </w:trPr>
        <w:tc>
          <w:tcPr>
            <w:tcW w:w="0" w:type="auto"/>
            <w:gridSpan w:val="3"/>
            <w:shd w:val="clear" w:color="auto" w:fill="auto"/>
          </w:tcPr>
          <w:p w14:paraId="36CA449D" w14:textId="77777777" w:rsidR="00787570" w:rsidRDefault="00787570">
            <w:pPr>
              <w:rPr>
                <w:rFonts w:ascii="宋体"/>
                <w:vanish/>
              </w:rPr>
            </w:pPr>
          </w:p>
        </w:tc>
        <w:tc>
          <w:tcPr>
            <w:tcW w:w="0" w:type="auto"/>
            <w:gridSpan w:val="3"/>
            <w:shd w:val="clear" w:color="auto" w:fill="auto"/>
          </w:tcPr>
          <w:p w14:paraId="36CA449E" w14:textId="77777777" w:rsidR="00787570" w:rsidRDefault="00787570">
            <w:pPr>
              <w:rPr>
                <w:rFonts w:ascii="宋体"/>
                <w:vanish/>
              </w:rPr>
            </w:pPr>
          </w:p>
        </w:tc>
        <w:tc>
          <w:tcPr>
            <w:tcW w:w="0" w:type="auto"/>
            <w:gridSpan w:val="3"/>
            <w:shd w:val="clear" w:color="auto" w:fill="auto"/>
          </w:tcPr>
          <w:p w14:paraId="36CA449F" w14:textId="77777777" w:rsidR="00787570" w:rsidRDefault="00787570">
            <w:pPr>
              <w:rPr>
                <w:rFonts w:ascii="宋体"/>
                <w:vanish/>
              </w:rPr>
            </w:pPr>
          </w:p>
        </w:tc>
      </w:tr>
      <w:tr w:rsidR="00787570" w14:paraId="36CA44A4" w14:textId="77777777">
        <w:tc>
          <w:tcPr>
            <w:tcW w:w="0" w:type="auto"/>
            <w:gridSpan w:val="3"/>
            <w:shd w:val="clear" w:color="auto" w:fill="auto"/>
            <w:tcMar>
              <w:top w:w="40" w:type="dxa"/>
              <w:left w:w="20" w:type="dxa"/>
              <w:bottom w:w="40" w:type="dxa"/>
              <w:right w:w="20" w:type="dxa"/>
            </w:tcMar>
          </w:tcPr>
          <w:p w14:paraId="36CA44A1" w14:textId="77777777" w:rsidR="00787570" w:rsidRDefault="000D56E2">
            <w:pPr>
              <w:textAlignment w:val="top"/>
            </w:pPr>
            <w:r>
              <w:rPr>
                <w:rFonts w:ascii="Arial" w:eastAsia="宋体" w:hAnsi="Arial" w:cs="Arial"/>
                <w:b/>
                <w:bCs/>
                <w:color w:val="0071C5"/>
                <w:sz w:val="18"/>
                <w:szCs w:val="18"/>
              </w:rPr>
              <w:t>2019 Form 10-K</w:t>
            </w:r>
          </w:p>
        </w:tc>
        <w:tc>
          <w:tcPr>
            <w:tcW w:w="0" w:type="auto"/>
            <w:gridSpan w:val="3"/>
            <w:shd w:val="clear" w:color="auto" w:fill="auto"/>
            <w:tcMar>
              <w:left w:w="20" w:type="dxa"/>
              <w:right w:w="20" w:type="dxa"/>
            </w:tcMar>
            <w:vAlign w:val="bottom"/>
          </w:tcPr>
          <w:p w14:paraId="36CA44A2" w14:textId="77777777" w:rsidR="00787570" w:rsidRDefault="00787570">
            <w:pPr>
              <w:rPr>
                <w:rFonts w:ascii="宋体"/>
              </w:rPr>
            </w:pPr>
          </w:p>
        </w:tc>
        <w:tc>
          <w:tcPr>
            <w:tcW w:w="0" w:type="auto"/>
            <w:gridSpan w:val="3"/>
            <w:shd w:val="clear" w:color="auto" w:fill="auto"/>
            <w:tcMar>
              <w:top w:w="40" w:type="dxa"/>
              <w:left w:w="20" w:type="dxa"/>
              <w:bottom w:w="40" w:type="dxa"/>
              <w:right w:w="20" w:type="dxa"/>
            </w:tcMar>
          </w:tcPr>
          <w:p w14:paraId="36CA44A3" w14:textId="77777777" w:rsidR="00787570" w:rsidRDefault="000D56E2">
            <w:pPr>
              <w:textAlignment w:val="top"/>
            </w:pPr>
            <w:r>
              <w:rPr>
                <w:rFonts w:ascii="Arial" w:eastAsia="宋体" w:hAnsi="Arial" w:cs="Arial"/>
                <w:color w:val="333333"/>
                <w:sz w:val="18"/>
                <w:szCs w:val="18"/>
              </w:rPr>
              <w:t>Our Annual Report on Form 10-K for the fiscal year ended December 28, 2019</w:t>
            </w:r>
          </w:p>
        </w:tc>
      </w:tr>
      <w:tr w:rsidR="00787570" w14:paraId="36CA44A8" w14:textId="77777777">
        <w:tc>
          <w:tcPr>
            <w:tcW w:w="0" w:type="auto"/>
            <w:gridSpan w:val="3"/>
            <w:shd w:val="clear" w:color="auto" w:fill="auto"/>
            <w:tcMar>
              <w:top w:w="40" w:type="dxa"/>
              <w:left w:w="20" w:type="dxa"/>
              <w:bottom w:w="40" w:type="dxa"/>
              <w:right w:w="20" w:type="dxa"/>
            </w:tcMar>
          </w:tcPr>
          <w:p w14:paraId="36CA44A5" w14:textId="77777777" w:rsidR="00787570" w:rsidRDefault="000D56E2">
            <w:pPr>
              <w:textAlignment w:val="top"/>
            </w:pPr>
            <w:r>
              <w:rPr>
                <w:rFonts w:ascii="Arial" w:eastAsia="宋体" w:hAnsi="Arial" w:cs="Arial"/>
                <w:b/>
                <w:bCs/>
                <w:color w:val="0071C5"/>
                <w:sz w:val="18"/>
                <w:szCs w:val="18"/>
              </w:rPr>
              <w:t>5G</w:t>
            </w:r>
          </w:p>
        </w:tc>
        <w:tc>
          <w:tcPr>
            <w:tcW w:w="0" w:type="auto"/>
            <w:gridSpan w:val="3"/>
            <w:shd w:val="clear" w:color="auto" w:fill="auto"/>
            <w:tcMar>
              <w:left w:w="20" w:type="dxa"/>
              <w:right w:w="20" w:type="dxa"/>
            </w:tcMar>
            <w:vAlign w:val="bottom"/>
          </w:tcPr>
          <w:p w14:paraId="36CA44A6" w14:textId="77777777" w:rsidR="00787570" w:rsidRDefault="00787570">
            <w:pPr>
              <w:rPr>
                <w:rFonts w:ascii="宋体"/>
              </w:rPr>
            </w:pPr>
          </w:p>
        </w:tc>
        <w:tc>
          <w:tcPr>
            <w:tcW w:w="0" w:type="auto"/>
            <w:gridSpan w:val="3"/>
            <w:shd w:val="clear" w:color="auto" w:fill="auto"/>
            <w:tcMar>
              <w:top w:w="40" w:type="dxa"/>
              <w:left w:w="20" w:type="dxa"/>
              <w:bottom w:w="40" w:type="dxa"/>
              <w:right w:w="20" w:type="dxa"/>
            </w:tcMar>
          </w:tcPr>
          <w:p w14:paraId="36CA44A7" w14:textId="77777777" w:rsidR="00787570" w:rsidRDefault="000D56E2">
            <w:pPr>
              <w:textAlignment w:val="top"/>
            </w:pPr>
            <w:r>
              <w:rPr>
                <w:rFonts w:ascii="Arial" w:eastAsia="宋体" w:hAnsi="Arial" w:cs="Arial"/>
                <w:color w:val="333333"/>
                <w:sz w:val="18"/>
                <w:szCs w:val="18"/>
              </w:rPr>
              <w:t xml:space="preserve">The next-generation mobile network, which is expected to bring dramatic </w:t>
            </w:r>
            <w:r>
              <w:rPr>
                <w:rFonts w:ascii="Arial" w:eastAsia="宋体" w:hAnsi="Arial" w:cs="Arial"/>
                <w:color w:val="333333"/>
                <w:sz w:val="18"/>
                <w:szCs w:val="18"/>
              </w:rPr>
              <w:t>improvements in network speeds and latency, and which we view as a transformative technology and opportunity for many industries.</w:t>
            </w:r>
          </w:p>
        </w:tc>
      </w:tr>
      <w:tr w:rsidR="00787570" w14:paraId="36CA44AC" w14:textId="77777777">
        <w:trPr>
          <w:hidden/>
        </w:trPr>
        <w:tc>
          <w:tcPr>
            <w:tcW w:w="0" w:type="auto"/>
            <w:gridSpan w:val="3"/>
            <w:shd w:val="clear" w:color="auto" w:fill="auto"/>
          </w:tcPr>
          <w:p w14:paraId="36CA44A9" w14:textId="77777777" w:rsidR="00787570" w:rsidRDefault="00787570">
            <w:pPr>
              <w:rPr>
                <w:rFonts w:ascii="宋体"/>
                <w:vanish/>
              </w:rPr>
            </w:pPr>
          </w:p>
        </w:tc>
        <w:tc>
          <w:tcPr>
            <w:tcW w:w="0" w:type="auto"/>
            <w:gridSpan w:val="3"/>
            <w:shd w:val="clear" w:color="auto" w:fill="auto"/>
          </w:tcPr>
          <w:p w14:paraId="36CA44AA" w14:textId="77777777" w:rsidR="00787570" w:rsidRDefault="00787570">
            <w:pPr>
              <w:rPr>
                <w:rFonts w:ascii="宋体"/>
                <w:vanish/>
              </w:rPr>
            </w:pPr>
          </w:p>
        </w:tc>
        <w:tc>
          <w:tcPr>
            <w:tcW w:w="0" w:type="auto"/>
            <w:gridSpan w:val="3"/>
            <w:shd w:val="clear" w:color="auto" w:fill="auto"/>
          </w:tcPr>
          <w:p w14:paraId="36CA44AB" w14:textId="77777777" w:rsidR="00787570" w:rsidRDefault="00787570">
            <w:pPr>
              <w:rPr>
                <w:rFonts w:ascii="宋体"/>
                <w:vanish/>
              </w:rPr>
            </w:pPr>
          </w:p>
        </w:tc>
      </w:tr>
      <w:tr w:rsidR="00787570" w14:paraId="36CA44B0" w14:textId="77777777">
        <w:tc>
          <w:tcPr>
            <w:tcW w:w="0" w:type="auto"/>
            <w:gridSpan w:val="3"/>
            <w:shd w:val="clear" w:color="auto" w:fill="auto"/>
            <w:tcMar>
              <w:top w:w="40" w:type="dxa"/>
              <w:left w:w="20" w:type="dxa"/>
              <w:bottom w:w="40" w:type="dxa"/>
              <w:right w:w="20" w:type="dxa"/>
            </w:tcMar>
          </w:tcPr>
          <w:p w14:paraId="36CA44AD" w14:textId="77777777" w:rsidR="00787570" w:rsidRDefault="000D56E2">
            <w:pPr>
              <w:textAlignment w:val="top"/>
            </w:pPr>
            <w:r>
              <w:rPr>
                <w:rFonts w:ascii="Arial" w:eastAsia="宋体" w:hAnsi="Arial" w:cs="Arial"/>
                <w:b/>
                <w:bCs/>
                <w:color w:val="0071C5"/>
                <w:sz w:val="18"/>
                <w:szCs w:val="18"/>
              </w:rPr>
              <w:t>ADAS</w:t>
            </w:r>
          </w:p>
        </w:tc>
        <w:tc>
          <w:tcPr>
            <w:tcW w:w="0" w:type="auto"/>
            <w:gridSpan w:val="3"/>
            <w:shd w:val="clear" w:color="auto" w:fill="auto"/>
            <w:tcMar>
              <w:left w:w="20" w:type="dxa"/>
              <w:right w:w="20" w:type="dxa"/>
            </w:tcMar>
            <w:vAlign w:val="bottom"/>
          </w:tcPr>
          <w:p w14:paraId="36CA44AE" w14:textId="77777777" w:rsidR="00787570" w:rsidRDefault="00787570">
            <w:pPr>
              <w:rPr>
                <w:rFonts w:ascii="宋体"/>
              </w:rPr>
            </w:pPr>
          </w:p>
        </w:tc>
        <w:tc>
          <w:tcPr>
            <w:tcW w:w="0" w:type="auto"/>
            <w:gridSpan w:val="3"/>
            <w:shd w:val="clear" w:color="auto" w:fill="auto"/>
            <w:tcMar>
              <w:top w:w="40" w:type="dxa"/>
              <w:left w:w="20" w:type="dxa"/>
              <w:bottom w:w="40" w:type="dxa"/>
              <w:right w:w="20" w:type="dxa"/>
            </w:tcMar>
          </w:tcPr>
          <w:p w14:paraId="36CA44AF" w14:textId="77777777" w:rsidR="00787570" w:rsidRDefault="000D56E2">
            <w:pPr>
              <w:textAlignment w:val="top"/>
            </w:pPr>
            <w:r>
              <w:rPr>
                <w:rFonts w:ascii="Arial" w:eastAsia="宋体" w:hAnsi="Arial" w:cs="Arial"/>
                <w:color w:val="333333"/>
                <w:sz w:val="18"/>
                <w:szCs w:val="18"/>
              </w:rPr>
              <w:t>Advanced driver-assistance systems</w:t>
            </w:r>
          </w:p>
        </w:tc>
      </w:tr>
      <w:tr w:rsidR="00787570" w14:paraId="36CA44B4" w14:textId="77777777">
        <w:tc>
          <w:tcPr>
            <w:tcW w:w="0" w:type="auto"/>
            <w:gridSpan w:val="3"/>
            <w:shd w:val="clear" w:color="auto" w:fill="auto"/>
            <w:tcMar>
              <w:top w:w="40" w:type="dxa"/>
              <w:left w:w="20" w:type="dxa"/>
              <w:bottom w:w="40" w:type="dxa"/>
              <w:right w:w="20" w:type="dxa"/>
            </w:tcMar>
          </w:tcPr>
          <w:p w14:paraId="36CA44B1" w14:textId="77777777" w:rsidR="00787570" w:rsidRDefault="000D56E2">
            <w:pPr>
              <w:textAlignment w:val="top"/>
            </w:pPr>
            <w:r>
              <w:rPr>
                <w:rFonts w:ascii="Arial" w:eastAsia="宋体" w:hAnsi="Arial" w:cs="Arial"/>
                <w:b/>
                <w:bCs/>
                <w:color w:val="0071C5"/>
                <w:sz w:val="18"/>
                <w:szCs w:val="18"/>
              </w:rPr>
              <w:t>Adjacent products</w:t>
            </w:r>
          </w:p>
        </w:tc>
        <w:tc>
          <w:tcPr>
            <w:tcW w:w="0" w:type="auto"/>
            <w:gridSpan w:val="3"/>
            <w:shd w:val="clear" w:color="auto" w:fill="auto"/>
            <w:tcMar>
              <w:left w:w="20" w:type="dxa"/>
              <w:right w:w="20" w:type="dxa"/>
            </w:tcMar>
            <w:vAlign w:val="bottom"/>
          </w:tcPr>
          <w:p w14:paraId="36CA44B2" w14:textId="77777777" w:rsidR="00787570" w:rsidRDefault="00787570">
            <w:pPr>
              <w:rPr>
                <w:rFonts w:ascii="宋体"/>
              </w:rPr>
            </w:pPr>
          </w:p>
        </w:tc>
        <w:tc>
          <w:tcPr>
            <w:tcW w:w="0" w:type="auto"/>
            <w:gridSpan w:val="3"/>
            <w:shd w:val="clear" w:color="auto" w:fill="auto"/>
            <w:tcMar>
              <w:top w:w="40" w:type="dxa"/>
              <w:left w:w="20" w:type="dxa"/>
              <w:bottom w:w="40" w:type="dxa"/>
              <w:right w:w="20" w:type="dxa"/>
            </w:tcMar>
          </w:tcPr>
          <w:p w14:paraId="36CA44B3" w14:textId="77777777" w:rsidR="00787570" w:rsidRDefault="000D56E2">
            <w:pPr>
              <w:textAlignment w:val="top"/>
            </w:pPr>
            <w:r>
              <w:rPr>
                <w:rFonts w:ascii="Arial" w:eastAsia="宋体" w:hAnsi="Arial" w:cs="Arial"/>
                <w:color w:val="333333"/>
                <w:sz w:val="18"/>
                <w:szCs w:val="18"/>
              </w:rPr>
              <w:t xml:space="preserve">All of our non-platform products for CCG, DCG, and </w:t>
            </w:r>
            <w:r>
              <w:rPr>
                <w:rFonts w:ascii="Arial" w:eastAsia="宋体" w:hAnsi="Arial" w:cs="Arial"/>
                <w:color w:val="333333"/>
                <w:sz w:val="18"/>
                <w:szCs w:val="18"/>
              </w:rPr>
              <w:t>IOTG, such as modem, Ethernet and silicon photonics, as well as Mobileye, Non-Volatile Memory Solutions Group (NSG), and Programmable Solutions Group (PSG) products. Combined with our platform products, adjacent products form comprehensive platform solutio</w:t>
            </w:r>
            <w:r>
              <w:rPr>
                <w:rFonts w:ascii="Arial" w:eastAsia="宋体" w:hAnsi="Arial" w:cs="Arial"/>
                <w:color w:val="333333"/>
                <w:sz w:val="18"/>
                <w:szCs w:val="18"/>
              </w:rPr>
              <w:t>ns to meet customer needs.</w:t>
            </w:r>
          </w:p>
        </w:tc>
      </w:tr>
      <w:tr w:rsidR="00787570" w14:paraId="36CA44B8" w14:textId="77777777">
        <w:trPr>
          <w:hidden/>
        </w:trPr>
        <w:tc>
          <w:tcPr>
            <w:tcW w:w="0" w:type="auto"/>
            <w:gridSpan w:val="3"/>
            <w:shd w:val="clear" w:color="auto" w:fill="auto"/>
          </w:tcPr>
          <w:p w14:paraId="36CA44B5" w14:textId="77777777" w:rsidR="00787570" w:rsidRDefault="00787570">
            <w:pPr>
              <w:rPr>
                <w:rFonts w:ascii="宋体"/>
                <w:vanish/>
              </w:rPr>
            </w:pPr>
          </w:p>
        </w:tc>
        <w:tc>
          <w:tcPr>
            <w:tcW w:w="0" w:type="auto"/>
            <w:gridSpan w:val="3"/>
            <w:shd w:val="clear" w:color="auto" w:fill="auto"/>
          </w:tcPr>
          <w:p w14:paraId="36CA44B6" w14:textId="77777777" w:rsidR="00787570" w:rsidRDefault="00787570">
            <w:pPr>
              <w:rPr>
                <w:rFonts w:ascii="宋体"/>
                <w:vanish/>
              </w:rPr>
            </w:pPr>
          </w:p>
        </w:tc>
        <w:tc>
          <w:tcPr>
            <w:tcW w:w="0" w:type="auto"/>
            <w:gridSpan w:val="3"/>
            <w:shd w:val="clear" w:color="auto" w:fill="auto"/>
          </w:tcPr>
          <w:p w14:paraId="36CA44B7" w14:textId="77777777" w:rsidR="00787570" w:rsidRDefault="00787570">
            <w:pPr>
              <w:rPr>
                <w:rFonts w:ascii="宋体"/>
                <w:vanish/>
              </w:rPr>
            </w:pPr>
          </w:p>
        </w:tc>
      </w:tr>
      <w:tr w:rsidR="00787570" w14:paraId="36CA44BC" w14:textId="77777777">
        <w:trPr>
          <w:hidden/>
        </w:trPr>
        <w:tc>
          <w:tcPr>
            <w:tcW w:w="0" w:type="auto"/>
            <w:gridSpan w:val="3"/>
            <w:shd w:val="clear" w:color="auto" w:fill="auto"/>
          </w:tcPr>
          <w:p w14:paraId="36CA44B9" w14:textId="77777777" w:rsidR="00787570" w:rsidRDefault="00787570">
            <w:pPr>
              <w:rPr>
                <w:rFonts w:ascii="宋体"/>
                <w:vanish/>
              </w:rPr>
            </w:pPr>
          </w:p>
        </w:tc>
        <w:tc>
          <w:tcPr>
            <w:tcW w:w="0" w:type="auto"/>
            <w:gridSpan w:val="3"/>
            <w:shd w:val="clear" w:color="auto" w:fill="auto"/>
          </w:tcPr>
          <w:p w14:paraId="36CA44BA" w14:textId="77777777" w:rsidR="00787570" w:rsidRDefault="00787570">
            <w:pPr>
              <w:rPr>
                <w:rFonts w:ascii="宋体"/>
                <w:vanish/>
              </w:rPr>
            </w:pPr>
          </w:p>
        </w:tc>
        <w:tc>
          <w:tcPr>
            <w:tcW w:w="0" w:type="auto"/>
            <w:gridSpan w:val="3"/>
            <w:shd w:val="clear" w:color="auto" w:fill="auto"/>
          </w:tcPr>
          <w:p w14:paraId="36CA44BB" w14:textId="77777777" w:rsidR="00787570" w:rsidRDefault="00787570">
            <w:pPr>
              <w:rPr>
                <w:rFonts w:ascii="宋体"/>
                <w:vanish/>
              </w:rPr>
            </w:pPr>
          </w:p>
        </w:tc>
      </w:tr>
      <w:tr w:rsidR="00787570" w14:paraId="36CA44C0" w14:textId="77777777">
        <w:tc>
          <w:tcPr>
            <w:tcW w:w="0" w:type="auto"/>
            <w:gridSpan w:val="3"/>
            <w:shd w:val="clear" w:color="auto" w:fill="auto"/>
            <w:tcMar>
              <w:top w:w="40" w:type="dxa"/>
              <w:left w:w="20" w:type="dxa"/>
              <w:bottom w:w="40" w:type="dxa"/>
              <w:right w:w="20" w:type="dxa"/>
            </w:tcMar>
          </w:tcPr>
          <w:p w14:paraId="36CA44BD" w14:textId="77777777" w:rsidR="00787570" w:rsidRDefault="000D56E2">
            <w:pPr>
              <w:textAlignment w:val="top"/>
            </w:pPr>
            <w:r>
              <w:rPr>
                <w:rFonts w:ascii="Arial" w:eastAsia="宋体" w:hAnsi="Arial" w:cs="Arial"/>
                <w:b/>
                <w:bCs/>
                <w:color w:val="0071C5"/>
                <w:sz w:val="18"/>
                <w:szCs w:val="18"/>
              </w:rPr>
              <w:t>ASIC</w:t>
            </w:r>
          </w:p>
        </w:tc>
        <w:tc>
          <w:tcPr>
            <w:tcW w:w="0" w:type="auto"/>
            <w:gridSpan w:val="3"/>
            <w:shd w:val="clear" w:color="auto" w:fill="auto"/>
            <w:tcMar>
              <w:left w:w="20" w:type="dxa"/>
              <w:right w:w="20" w:type="dxa"/>
            </w:tcMar>
            <w:vAlign w:val="bottom"/>
          </w:tcPr>
          <w:p w14:paraId="36CA44BE" w14:textId="77777777" w:rsidR="00787570" w:rsidRDefault="00787570">
            <w:pPr>
              <w:rPr>
                <w:rFonts w:ascii="宋体"/>
              </w:rPr>
            </w:pPr>
          </w:p>
        </w:tc>
        <w:tc>
          <w:tcPr>
            <w:tcW w:w="0" w:type="auto"/>
            <w:gridSpan w:val="3"/>
            <w:shd w:val="clear" w:color="auto" w:fill="auto"/>
            <w:tcMar>
              <w:top w:w="40" w:type="dxa"/>
              <w:left w:w="20" w:type="dxa"/>
              <w:bottom w:w="40" w:type="dxa"/>
              <w:right w:w="20" w:type="dxa"/>
            </w:tcMar>
          </w:tcPr>
          <w:p w14:paraId="36CA44BF" w14:textId="77777777" w:rsidR="00787570" w:rsidRDefault="000D56E2">
            <w:pPr>
              <w:textAlignment w:val="top"/>
            </w:pPr>
            <w:r>
              <w:rPr>
                <w:rFonts w:ascii="Arial" w:eastAsia="宋体" w:hAnsi="Arial" w:cs="Arial"/>
                <w:color w:val="333333"/>
                <w:sz w:val="18"/>
                <w:szCs w:val="18"/>
              </w:rPr>
              <w:t>Application-specific integrated circuit</w:t>
            </w:r>
          </w:p>
        </w:tc>
      </w:tr>
      <w:tr w:rsidR="00787570" w14:paraId="36CA44C4" w14:textId="77777777">
        <w:tc>
          <w:tcPr>
            <w:tcW w:w="0" w:type="auto"/>
            <w:gridSpan w:val="3"/>
            <w:shd w:val="clear" w:color="auto" w:fill="auto"/>
            <w:tcMar>
              <w:top w:w="40" w:type="dxa"/>
              <w:left w:w="20" w:type="dxa"/>
              <w:bottom w:w="40" w:type="dxa"/>
              <w:right w:w="20" w:type="dxa"/>
            </w:tcMar>
          </w:tcPr>
          <w:p w14:paraId="36CA44C1" w14:textId="77777777" w:rsidR="00787570" w:rsidRDefault="000D56E2">
            <w:pPr>
              <w:textAlignment w:val="top"/>
            </w:pPr>
            <w:r>
              <w:rPr>
                <w:rFonts w:ascii="Arial" w:eastAsia="宋体" w:hAnsi="Arial" w:cs="Arial"/>
                <w:b/>
                <w:bCs/>
                <w:color w:val="0071C5"/>
                <w:sz w:val="18"/>
                <w:szCs w:val="18"/>
              </w:rPr>
              <w:t>ASP</w:t>
            </w:r>
          </w:p>
        </w:tc>
        <w:tc>
          <w:tcPr>
            <w:tcW w:w="0" w:type="auto"/>
            <w:gridSpan w:val="3"/>
            <w:shd w:val="clear" w:color="auto" w:fill="auto"/>
            <w:tcMar>
              <w:left w:w="20" w:type="dxa"/>
              <w:right w:w="20" w:type="dxa"/>
            </w:tcMar>
            <w:vAlign w:val="bottom"/>
          </w:tcPr>
          <w:p w14:paraId="36CA44C2" w14:textId="77777777" w:rsidR="00787570" w:rsidRDefault="00787570">
            <w:pPr>
              <w:rPr>
                <w:rFonts w:ascii="宋体"/>
              </w:rPr>
            </w:pPr>
          </w:p>
        </w:tc>
        <w:tc>
          <w:tcPr>
            <w:tcW w:w="0" w:type="auto"/>
            <w:gridSpan w:val="3"/>
            <w:shd w:val="clear" w:color="auto" w:fill="auto"/>
            <w:tcMar>
              <w:top w:w="40" w:type="dxa"/>
              <w:left w:w="20" w:type="dxa"/>
              <w:bottom w:w="40" w:type="dxa"/>
              <w:right w:w="20" w:type="dxa"/>
            </w:tcMar>
            <w:vAlign w:val="bottom"/>
          </w:tcPr>
          <w:p w14:paraId="36CA44C3" w14:textId="77777777" w:rsidR="00787570" w:rsidRDefault="000D56E2">
            <w:pPr>
              <w:textAlignment w:val="bottom"/>
            </w:pPr>
            <w:r>
              <w:rPr>
                <w:rFonts w:ascii="Arial" w:eastAsia="宋体" w:hAnsi="Arial" w:cs="Arial"/>
                <w:color w:val="333333"/>
                <w:sz w:val="18"/>
                <w:szCs w:val="18"/>
              </w:rPr>
              <w:t>Average Selling Price</w:t>
            </w:r>
          </w:p>
        </w:tc>
      </w:tr>
      <w:tr w:rsidR="00787570" w14:paraId="36CA44C8" w14:textId="77777777">
        <w:tc>
          <w:tcPr>
            <w:tcW w:w="0" w:type="auto"/>
            <w:gridSpan w:val="3"/>
            <w:shd w:val="clear" w:color="auto" w:fill="auto"/>
            <w:tcMar>
              <w:top w:w="40" w:type="dxa"/>
              <w:left w:w="20" w:type="dxa"/>
              <w:bottom w:w="40" w:type="dxa"/>
              <w:right w:w="20" w:type="dxa"/>
            </w:tcMar>
          </w:tcPr>
          <w:p w14:paraId="36CA44C5" w14:textId="77777777" w:rsidR="00787570" w:rsidRDefault="000D56E2">
            <w:pPr>
              <w:textAlignment w:val="top"/>
            </w:pPr>
            <w:r>
              <w:rPr>
                <w:rFonts w:ascii="Arial" w:eastAsia="宋体" w:hAnsi="Arial" w:cs="Arial"/>
                <w:b/>
                <w:bCs/>
                <w:color w:val="0071C5"/>
                <w:sz w:val="18"/>
                <w:szCs w:val="18"/>
              </w:rPr>
              <w:t>ASR</w:t>
            </w:r>
          </w:p>
        </w:tc>
        <w:tc>
          <w:tcPr>
            <w:tcW w:w="0" w:type="auto"/>
            <w:gridSpan w:val="3"/>
            <w:shd w:val="clear" w:color="auto" w:fill="auto"/>
            <w:tcMar>
              <w:left w:w="20" w:type="dxa"/>
              <w:right w:w="20" w:type="dxa"/>
            </w:tcMar>
            <w:vAlign w:val="bottom"/>
          </w:tcPr>
          <w:p w14:paraId="36CA44C6" w14:textId="77777777" w:rsidR="00787570" w:rsidRDefault="00787570">
            <w:pPr>
              <w:rPr>
                <w:rFonts w:ascii="宋体"/>
              </w:rPr>
            </w:pPr>
          </w:p>
        </w:tc>
        <w:tc>
          <w:tcPr>
            <w:tcW w:w="0" w:type="auto"/>
            <w:gridSpan w:val="3"/>
            <w:shd w:val="clear" w:color="auto" w:fill="auto"/>
            <w:tcMar>
              <w:top w:w="40" w:type="dxa"/>
              <w:left w:w="20" w:type="dxa"/>
              <w:bottom w:w="40" w:type="dxa"/>
              <w:right w:w="20" w:type="dxa"/>
            </w:tcMar>
            <w:vAlign w:val="bottom"/>
          </w:tcPr>
          <w:p w14:paraId="36CA44C7" w14:textId="77777777" w:rsidR="00787570" w:rsidRDefault="000D56E2">
            <w:pPr>
              <w:textAlignment w:val="bottom"/>
            </w:pPr>
            <w:r>
              <w:rPr>
                <w:rFonts w:ascii="Arial" w:eastAsia="宋体" w:hAnsi="Arial" w:cs="Arial"/>
                <w:color w:val="333333"/>
                <w:sz w:val="18"/>
                <w:szCs w:val="18"/>
              </w:rPr>
              <w:t>Accelerated Share Repurchase</w:t>
            </w:r>
          </w:p>
        </w:tc>
      </w:tr>
      <w:tr w:rsidR="00787570" w14:paraId="36CA44CC" w14:textId="77777777">
        <w:trPr>
          <w:hidden/>
        </w:trPr>
        <w:tc>
          <w:tcPr>
            <w:tcW w:w="0" w:type="auto"/>
            <w:gridSpan w:val="3"/>
            <w:shd w:val="clear" w:color="auto" w:fill="auto"/>
          </w:tcPr>
          <w:p w14:paraId="36CA44C9" w14:textId="77777777" w:rsidR="00787570" w:rsidRDefault="00787570">
            <w:pPr>
              <w:rPr>
                <w:rFonts w:ascii="宋体"/>
                <w:vanish/>
              </w:rPr>
            </w:pPr>
          </w:p>
        </w:tc>
        <w:tc>
          <w:tcPr>
            <w:tcW w:w="0" w:type="auto"/>
            <w:gridSpan w:val="3"/>
            <w:shd w:val="clear" w:color="auto" w:fill="auto"/>
          </w:tcPr>
          <w:p w14:paraId="36CA44CA" w14:textId="77777777" w:rsidR="00787570" w:rsidRDefault="00787570">
            <w:pPr>
              <w:rPr>
                <w:rFonts w:ascii="宋体"/>
                <w:vanish/>
              </w:rPr>
            </w:pPr>
          </w:p>
        </w:tc>
        <w:tc>
          <w:tcPr>
            <w:tcW w:w="0" w:type="auto"/>
            <w:gridSpan w:val="3"/>
            <w:shd w:val="clear" w:color="auto" w:fill="auto"/>
          </w:tcPr>
          <w:p w14:paraId="36CA44CB" w14:textId="77777777" w:rsidR="00787570" w:rsidRDefault="00787570">
            <w:pPr>
              <w:rPr>
                <w:rFonts w:ascii="宋体"/>
                <w:vanish/>
              </w:rPr>
            </w:pPr>
          </w:p>
        </w:tc>
      </w:tr>
      <w:tr w:rsidR="00787570" w14:paraId="36CA44D0" w14:textId="77777777">
        <w:trPr>
          <w:hidden/>
        </w:trPr>
        <w:tc>
          <w:tcPr>
            <w:tcW w:w="0" w:type="auto"/>
            <w:gridSpan w:val="3"/>
            <w:shd w:val="clear" w:color="auto" w:fill="auto"/>
          </w:tcPr>
          <w:p w14:paraId="36CA44CD" w14:textId="77777777" w:rsidR="00787570" w:rsidRDefault="00787570">
            <w:pPr>
              <w:rPr>
                <w:rFonts w:ascii="宋体"/>
                <w:vanish/>
              </w:rPr>
            </w:pPr>
          </w:p>
        </w:tc>
        <w:tc>
          <w:tcPr>
            <w:tcW w:w="0" w:type="auto"/>
            <w:gridSpan w:val="3"/>
            <w:shd w:val="clear" w:color="auto" w:fill="auto"/>
          </w:tcPr>
          <w:p w14:paraId="36CA44CE" w14:textId="77777777" w:rsidR="00787570" w:rsidRDefault="00787570">
            <w:pPr>
              <w:rPr>
                <w:rFonts w:ascii="宋体"/>
                <w:vanish/>
              </w:rPr>
            </w:pPr>
          </w:p>
        </w:tc>
        <w:tc>
          <w:tcPr>
            <w:tcW w:w="0" w:type="auto"/>
            <w:gridSpan w:val="3"/>
            <w:shd w:val="clear" w:color="auto" w:fill="auto"/>
          </w:tcPr>
          <w:p w14:paraId="36CA44CF" w14:textId="77777777" w:rsidR="00787570" w:rsidRDefault="00787570">
            <w:pPr>
              <w:rPr>
                <w:rFonts w:ascii="宋体"/>
                <w:vanish/>
              </w:rPr>
            </w:pPr>
          </w:p>
        </w:tc>
      </w:tr>
      <w:tr w:rsidR="00787570" w14:paraId="36CA44D4" w14:textId="77777777">
        <w:trPr>
          <w:hidden/>
        </w:trPr>
        <w:tc>
          <w:tcPr>
            <w:tcW w:w="0" w:type="auto"/>
            <w:gridSpan w:val="3"/>
            <w:shd w:val="clear" w:color="auto" w:fill="auto"/>
          </w:tcPr>
          <w:p w14:paraId="36CA44D1" w14:textId="77777777" w:rsidR="00787570" w:rsidRDefault="00787570">
            <w:pPr>
              <w:rPr>
                <w:rFonts w:ascii="宋体"/>
                <w:vanish/>
              </w:rPr>
            </w:pPr>
          </w:p>
        </w:tc>
        <w:tc>
          <w:tcPr>
            <w:tcW w:w="0" w:type="auto"/>
            <w:gridSpan w:val="3"/>
            <w:shd w:val="clear" w:color="auto" w:fill="auto"/>
          </w:tcPr>
          <w:p w14:paraId="36CA44D2" w14:textId="77777777" w:rsidR="00787570" w:rsidRDefault="00787570">
            <w:pPr>
              <w:rPr>
                <w:rFonts w:ascii="宋体"/>
                <w:vanish/>
              </w:rPr>
            </w:pPr>
          </w:p>
        </w:tc>
        <w:tc>
          <w:tcPr>
            <w:tcW w:w="0" w:type="auto"/>
            <w:gridSpan w:val="3"/>
            <w:shd w:val="clear" w:color="auto" w:fill="auto"/>
          </w:tcPr>
          <w:p w14:paraId="36CA44D3" w14:textId="77777777" w:rsidR="00787570" w:rsidRDefault="00787570">
            <w:pPr>
              <w:rPr>
                <w:rFonts w:ascii="宋体"/>
                <w:vanish/>
              </w:rPr>
            </w:pPr>
          </w:p>
        </w:tc>
      </w:tr>
      <w:tr w:rsidR="00787570" w14:paraId="36CA44D8" w14:textId="77777777">
        <w:trPr>
          <w:hidden/>
        </w:trPr>
        <w:tc>
          <w:tcPr>
            <w:tcW w:w="0" w:type="auto"/>
            <w:gridSpan w:val="3"/>
            <w:shd w:val="clear" w:color="auto" w:fill="auto"/>
          </w:tcPr>
          <w:p w14:paraId="36CA44D5" w14:textId="77777777" w:rsidR="00787570" w:rsidRDefault="00787570">
            <w:pPr>
              <w:rPr>
                <w:rFonts w:ascii="宋体"/>
                <w:vanish/>
              </w:rPr>
            </w:pPr>
          </w:p>
        </w:tc>
        <w:tc>
          <w:tcPr>
            <w:tcW w:w="0" w:type="auto"/>
            <w:gridSpan w:val="3"/>
            <w:shd w:val="clear" w:color="auto" w:fill="auto"/>
          </w:tcPr>
          <w:p w14:paraId="36CA44D6" w14:textId="77777777" w:rsidR="00787570" w:rsidRDefault="00787570">
            <w:pPr>
              <w:rPr>
                <w:rFonts w:ascii="宋体"/>
                <w:vanish/>
              </w:rPr>
            </w:pPr>
          </w:p>
        </w:tc>
        <w:tc>
          <w:tcPr>
            <w:tcW w:w="0" w:type="auto"/>
            <w:gridSpan w:val="3"/>
            <w:shd w:val="clear" w:color="auto" w:fill="auto"/>
          </w:tcPr>
          <w:p w14:paraId="36CA44D7" w14:textId="77777777" w:rsidR="00787570" w:rsidRDefault="00787570">
            <w:pPr>
              <w:rPr>
                <w:rFonts w:ascii="宋体"/>
                <w:vanish/>
              </w:rPr>
            </w:pPr>
          </w:p>
        </w:tc>
      </w:tr>
      <w:tr w:rsidR="00787570" w14:paraId="36CA44DC" w14:textId="77777777">
        <w:trPr>
          <w:hidden/>
        </w:trPr>
        <w:tc>
          <w:tcPr>
            <w:tcW w:w="0" w:type="auto"/>
            <w:gridSpan w:val="3"/>
            <w:shd w:val="clear" w:color="auto" w:fill="auto"/>
          </w:tcPr>
          <w:p w14:paraId="36CA44D9" w14:textId="77777777" w:rsidR="00787570" w:rsidRDefault="00787570">
            <w:pPr>
              <w:rPr>
                <w:rFonts w:ascii="宋体"/>
                <w:vanish/>
              </w:rPr>
            </w:pPr>
          </w:p>
        </w:tc>
        <w:tc>
          <w:tcPr>
            <w:tcW w:w="0" w:type="auto"/>
            <w:gridSpan w:val="3"/>
            <w:shd w:val="clear" w:color="auto" w:fill="auto"/>
          </w:tcPr>
          <w:p w14:paraId="36CA44DA" w14:textId="77777777" w:rsidR="00787570" w:rsidRDefault="00787570">
            <w:pPr>
              <w:rPr>
                <w:rFonts w:ascii="宋体"/>
                <w:vanish/>
              </w:rPr>
            </w:pPr>
          </w:p>
        </w:tc>
        <w:tc>
          <w:tcPr>
            <w:tcW w:w="0" w:type="auto"/>
            <w:gridSpan w:val="3"/>
            <w:shd w:val="clear" w:color="auto" w:fill="auto"/>
          </w:tcPr>
          <w:p w14:paraId="36CA44DB" w14:textId="77777777" w:rsidR="00787570" w:rsidRDefault="00787570">
            <w:pPr>
              <w:rPr>
                <w:rFonts w:ascii="宋体"/>
                <w:vanish/>
              </w:rPr>
            </w:pPr>
          </w:p>
        </w:tc>
      </w:tr>
      <w:tr w:rsidR="00787570" w14:paraId="36CA44E0" w14:textId="77777777">
        <w:trPr>
          <w:hidden/>
        </w:trPr>
        <w:tc>
          <w:tcPr>
            <w:tcW w:w="0" w:type="auto"/>
            <w:gridSpan w:val="3"/>
            <w:shd w:val="clear" w:color="auto" w:fill="auto"/>
          </w:tcPr>
          <w:p w14:paraId="36CA44DD" w14:textId="77777777" w:rsidR="00787570" w:rsidRDefault="00787570">
            <w:pPr>
              <w:rPr>
                <w:rFonts w:ascii="宋体"/>
                <w:vanish/>
              </w:rPr>
            </w:pPr>
          </w:p>
        </w:tc>
        <w:tc>
          <w:tcPr>
            <w:tcW w:w="0" w:type="auto"/>
            <w:gridSpan w:val="3"/>
            <w:shd w:val="clear" w:color="auto" w:fill="auto"/>
          </w:tcPr>
          <w:p w14:paraId="36CA44DE" w14:textId="77777777" w:rsidR="00787570" w:rsidRDefault="00787570">
            <w:pPr>
              <w:rPr>
                <w:rFonts w:ascii="宋体"/>
                <w:vanish/>
              </w:rPr>
            </w:pPr>
          </w:p>
        </w:tc>
        <w:tc>
          <w:tcPr>
            <w:tcW w:w="0" w:type="auto"/>
            <w:gridSpan w:val="3"/>
            <w:shd w:val="clear" w:color="auto" w:fill="auto"/>
          </w:tcPr>
          <w:p w14:paraId="36CA44DF" w14:textId="77777777" w:rsidR="00787570" w:rsidRDefault="00787570">
            <w:pPr>
              <w:rPr>
                <w:rFonts w:ascii="宋体"/>
                <w:vanish/>
              </w:rPr>
            </w:pPr>
          </w:p>
        </w:tc>
      </w:tr>
      <w:tr w:rsidR="00787570" w14:paraId="36CA44E4" w14:textId="77777777">
        <w:trPr>
          <w:hidden/>
        </w:trPr>
        <w:tc>
          <w:tcPr>
            <w:tcW w:w="0" w:type="auto"/>
            <w:gridSpan w:val="3"/>
            <w:shd w:val="clear" w:color="auto" w:fill="auto"/>
          </w:tcPr>
          <w:p w14:paraId="36CA44E1" w14:textId="77777777" w:rsidR="00787570" w:rsidRDefault="00787570">
            <w:pPr>
              <w:rPr>
                <w:rFonts w:ascii="宋体"/>
                <w:vanish/>
              </w:rPr>
            </w:pPr>
          </w:p>
        </w:tc>
        <w:tc>
          <w:tcPr>
            <w:tcW w:w="0" w:type="auto"/>
            <w:gridSpan w:val="3"/>
            <w:shd w:val="clear" w:color="auto" w:fill="auto"/>
          </w:tcPr>
          <w:p w14:paraId="36CA44E2" w14:textId="77777777" w:rsidR="00787570" w:rsidRDefault="00787570">
            <w:pPr>
              <w:rPr>
                <w:rFonts w:ascii="宋体"/>
                <w:vanish/>
              </w:rPr>
            </w:pPr>
          </w:p>
        </w:tc>
        <w:tc>
          <w:tcPr>
            <w:tcW w:w="0" w:type="auto"/>
            <w:gridSpan w:val="3"/>
            <w:shd w:val="clear" w:color="auto" w:fill="auto"/>
          </w:tcPr>
          <w:p w14:paraId="36CA44E3" w14:textId="77777777" w:rsidR="00787570" w:rsidRDefault="00787570">
            <w:pPr>
              <w:rPr>
                <w:rFonts w:ascii="宋体"/>
                <w:vanish/>
              </w:rPr>
            </w:pPr>
          </w:p>
        </w:tc>
      </w:tr>
      <w:tr w:rsidR="00787570" w14:paraId="36CA44E8" w14:textId="77777777">
        <w:tc>
          <w:tcPr>
            <w:tcW w:w="0" w:type="auto"/>
            <w:gridSpan w:val="3"/>
            <w:shd w:val="clear" w:color="auto" w:fill="auto"/>
            <w:tcMar>
              <w:top w:w="40" w:type="dxa"/>
              <w:left w:w="20" w:type="dxa"/>
              <w:bottom w:w="40" w:type="dxa"/>
              <w:right w:w="20" w:type="dxa"/>
            </w:tcMar>
          </w:tcPr>
          <w:p w14:paraId="36CA44E5" w14:textId="77777777" w:rsidR="00787570" w:rsidRDefault="000D56E2">
            <w:pPr>
              <w:textAlignment w:val="top"/>
            </w:pPr>
            <w:r>
              <w:rPr>
                <w:rFonts w:ascii="Arial" w:eastAsia="宋体" w:hAnsi="Arial" w:cs="Arial"/>
                <w:b/>
                <w:bCs/>
                <w:color w:val="0071C5"/>
                <w:sz w:val="18"/>
                <w:szCs w:val="18"/>
              </w:rPr>
              <w:t>CODM</w:t>
            </w:r>
          </w:p>
        </w:tc>
        <w:tc>
          <w:tcPr>
            <w:tcW w:w="0" w:type="auto"/>
            <w:gridSpan w:val="3"/>
            <w:shd w:val="clear" w:color="auto" w:fill="auto"/>
            <w:tcMar>
              <w:left w:w="20" w:type="dxa"/>
              <w:right w:w="20" w:type="dxa"/>
            </w:tcMar>
            <w:vAlign w:val="bottom"/>
          </w:tcPr>
          <w:p w14:paraId="36CA44E6" w14:textId="77777777" w:rsidR="00787570" w:rsidRDefault="00787570">
            <w:pPr>
              <w:rPr>
                <w:rFonts w:ascii="宋体"/>
              </w:rPr>
            </w:pPr>
          </w:p>
        </w:tc>
        <w:tc>
          <w:tcPr>
            <w:tcW w:w="0" w:type="auto"/>
            <w:gridSpan w:val="3"/>
            <w:shd w:val="clear" w:color="auto" w:fill="auto"/>
            <w:tcMar>
              <w:top w:w="40" w:type="dxa"/>
              <w:left w:w="20" w:type="dxa"/>
              <w:bottom w:w="40" w:type="dxa"/>
              <w:right w:w="20" w:type="dxa"/>
            </w:tcMar>
          </w:tcPr>
          <w:p w14:paraId="36CA44E7" w14:textId="77777777" w:rsidR="00787570" w:rsidRDefault="000D56E2">
            <w:pPr>
              <w:textAlignment w:val="top"/>
            </w:pPr>
            <w:r>
              <w:rPr>
                <w:rFonts w:ascii="Arial" w:eastAsia="宋体" w:hAnsi="Arial" w:cs="Arial"/>
                <w:color w:val="333333"/>
                <w:sz w:val="18"/>
                <w:szCs w:val="18"/>
              </w:rPr>
              <w:t>Chief operating decision maker</w:t>
            </w:r>
          </w:p>
        </w:tc>
      </w:tr>
      <w:tr w:rsidR="00787570" w14:paraId="36CA44EC" w14:textId="77777777">
        <w:trPr>
          <w:hidden/>
        </w:trPr>
        <w:tc>
          <w:tcPr>
            <w:tcW w:w="0" w:type="auto"/>
            <w:gridSpan w:val="3"/>
            <w:shd w:val="clear" w:color="auto" w:fill="auto"/>
          </w:tcPr>
          <w:p w14:paraId="36CA44E9" w14:textId="77777777" w:rsidR="00787570" w:rsidRDefault="00787570">
            <w:pPr>
              <w:rPr>
                <w:rFonts w:ascii="宋体"/>
                <w:vanish/>
              </w:rPr>
            </w:pPr>
          </w:p>
        </w:tc>
        <w:tc>
          <w:tcPr>
            <w:tcW w:w="0" w:type="auto"/>
            <w:gridSpan w:val="3"/>
            <w:shd w:val="clear" w:color="auto" w:fill="auto"/>
          </w:tcPr>
          <w:p w14:paraId="36CA44EA" w14:textId="77777777" w:rsidR="00787570" w:rsidRDefault="00787570">
            <w:pPr>
              <w:rPr>
                <w:rFonts w:ascii="宋体"/>
                <w:vanish/>
              </w:rPr>
            </w:pPr>
          </w:p>
        </w:tc>
        <w:tc>
          <w:tcPr>
            <w:tcW w:w="0" w:type="auto"/>
            <w:gridSpan w:val="3"/>
            <w:shd w:val="clear" w:color="auto" w:fill="auto"/>
          </w:tcPr>
          <w:p w14:paraId="36CA44EB" w14:textId="77777777" w:rsidR="00787570" w:rsidRDefault="00787570">
            <w:pPr>
              <w:rPr>
                <w:rFonts w:ascii="宋体"/>
                <w:vanish/>
              </w:rPr>
            </w:pPr>
          </w:p>
        </w:tc>
      </w:tr>
      <w:tr w:rsidR="00787570" w14:paraId="36CA44F0" w14:textId="77777777">
        <w:tc>
          <w:tcPr>
            <w:tcW w:w="0" w:type="auto"/>
            <w:gridSpan w:val="3"/>
            <w:shd w:val="clear" w:color="auto" w:fill="auto"/>
            <w:tcMar>
              <w:top w:w="40" w:type="dxa"/>
              <w:left w:w="20" w:type="dxa"/>
              <w:bottom w:w="40" w:type="dxa"/>
              <w:right w:w="20" w:type="dxa"/>
            </w:tcMar>
          </w:tcPr>
          <w:p w14:paraId="36CA44ED" w14:textId="77777777" w:rsidR="00787570" w:rsidRDefault="000D56E2">
            <w:pPr>
              <w:textAlignment w:val="top"/>
            </w:pPr>
            <w:r>
              <w:rPr>
                <w:rFonts w:ascii="Arial" w:eastAsia="宋体" w:hAnsi="Arial" w:cs="Arial"/>
                <w:b/>
                <w:bCs/>
                <w:color w:val="0071C5"/>
                <w:sz w:val="18"/>
                <w:szCs w:val="18"/>
              </w:rPr>
              <w:t>COVID-19</w:t>
            </w:r>
          </w:p>
        </w:tc>
        <w:tc>
          <w:tcPr>
            <w:tcW w:w="0" w:type="auto"/>
            <w:gridSpan w:val="3"/>
            <w:shd w:val="clear" w:color="auto" w:fill="auto"/>
            <w:tcMar>
              <w:left w:w="20" w:type="dxa"/>
              <w:right w:w="20" w:type="dxa"/>
            </w:tcMar>
            <w:vAlign w:val="bottom"/>
          </w:tcPr>
          <w:p w14:paraId="36CA44EE" w14:textId="77777777" w:rsidR="00787570" w:rsidRDefault="00787570">
            <w:pPr>
              <w:rPr>
                <w:rFonts w:ascii="宋体"/>
              </w:rPr>
            </w:pPr>
          </w:p>
        </w:tc>
        <w:tc>
          <w:tcPr>
            <w:tcW w:w="0" w:type="auto"/>
            <w:gridSpan w:val="3"/>
            <w:shd w:val="clear" w:color="auto" w:fill="auto"/>
            <w:tcMar>
              <w:top w:w="40" w:type="dxa"/>
              <w:left w:w="20" w:type="dxa"/>
              <w:bottom w:w="40" w:type="dxa"/>
              <w:right w:w="20" w:type="dxa"/>
            </w:tcMar>
          </w:tcPr>
          <w:p w14:paraId="36CA44EF" w14:textId="77777777" w:rsidR="00787570" w:rsidRDefault="000D56E2">
            <w:pPr>
              <w:textAlignment w:val="top"/>
            </w:pPr>
            <w:r>
              <w:rPr>
                <w:rFonts w:ascii="Arial" w:eastAsia="宋体" w:hAnsi="Arial" w:cs="Arial"/>
                <w:color w:val="333333"/>
                <w:sz w:val="18"/>
                <w:szCs w:val="18"/>
              </w:rPr>
              <w:t xml:space="preserve">The infectious disease </w:t>
            </w:r>
            <w:r>
              <w:rPr>
                <w:rFonts w:ascii="Arial" w:eastAsia="宋体" w:hAnsi="Arial" w:cs="Arial"/>
                <w:color w:val="333333"/>
                <w:sz w:val="18"/>
                <w:szCs w:val="18"/>
              </w:rPr>
              <w:t>caused by the most recently discovered coronavirus (aka SARS-CoV-2), which was declared a global pandemic by the World Health Organization.</w:t>
            </w:r>
          </w:p>
        </w:tc>
      </w:tr>
      <w:tr w:rsidR="00787570" w14:paraId="36CA44F4" w14:textId="77777777">
        <w:tc>
          <w:tcPr>
            <w:tcW w:w="0" w:type="auto"/>
            <w:gridSpan w:val="3"/>
            <w:shd w:val="clear" w:color="auto" w:fill="auto"/>
            <w:tcMar>
              <w:top w:w="40" w:type="dxa"/>
              <w:left w:w="20" w:type="dxa"/>
              <w:bottom w:w="40" w:type="dxa"/>
              <w:right w:w="20" w:type="dxa"/>
            </w:tcMar>
          </w:tcPr>
          <w:p w14:paraId="36CA44F1" w14:textId="77777777" w:rsidR="00787570" w:rsidRDefault="000D56E2">
            <w:pPr>
              <w:textAlignment w:val="top"/>
            </w:pPr>
            <w:r>
              <w:rPr>
                <w:rFonts w:ascii="Arial" w:eastAsia="宋体" w:hAnsi="Arial" w:cs="Arial"/>
                <w:b/>
                <w:bCs/>
                <w:color w:val="0071C5"/>
                <w:sz w:val="18"/>
                <w:szCs w:val="18"/>
              </w:rPr>
              <w:t>CPU</w:t>
            </w:r>
          </w:p>
        </w:tc>
        <w:tc>
          <w:tcPr>
            <w:tcW w:w="0" w:type="auto"/>
            <w:gridSpan w:val="3"/>
            <w:shd w:val="clear" w:color="auto" w:fill="auto"/>
            <w:tcMar>
              <w:left w:w="20" w:type="dxa"/>
              <w:right w:w="20" w:type="dxa"/>
            </w:tcMar>
            <w:vAlign w:val="bottom"/>
          </w:tcPr>
          <w:p w14:paraId="36CA44F2" w14:textId="77777777" w:rsidR="00787570" w:rsidRDefault="00787570">
            <w:pPr>
              <w:rPr>
                <w:rFonts w:ascii="宋体"/>
              </w:rPr>
            </w:pPr>
          </w:p>
        </w:tc>
        <w:tc>
          <w:tcPr>
            <w:tcW w:w="0" w:type="auto"/>
            <w:gridSpan w:val="3"/>
            <w:shd w:val="clear" w:color="auto" w:fill="auto"/>
            <w:tcMar>
              <w:top w:w="40" w:type="dxa"/>
              <w:left w:w="20" w:type="dxa"/>
              <w:bottom w:w="40" w:type="dxa"/>
              <w:right w:w="20" w:type="dxa"/>
            </w:tcMar>
          </w:tcPr>
          <w:p w14:paraId="36CA44F3" w14:textId="77777777" w:rsidR="00787570" w:rsidRDefault="000D56E2">
            <w:pPr>
              <w:textAlignment w:val="top"/>
            </w:pPr>
            <w:r>
              <w:rPr>
                <w:rFonts w:ascii="Arial" w:eastAsia="宋体" w:hAnsi="Arial" w:cs="Arial"/>
                <w:color w:val="333333"/>
                <w:sz w:val="18"/>
                <w:szCs w:val="18"/>
              </w:rPr>
              <w:t>Processor or central processing unit</w:t>
            </w:r>
          </w:p>
        </w:tc>
      </w:tr>
      <w:tr w:rsidR="00787570" w14:paraId="36CA44F8" w14:textId="77777777">
        <w:trPr>
          <w:hidden/>
        </w:trPr>
        <w:tc>
          <w:tcPr>
            <w:tcW w:w="0" w:type="auto"/>
            <w:gridSpan w:val="3"/>
            <w:shd w:val="clear" w:color="auto" w:fill="auto"/>
          </w:tcPr>
          <w:p w14:paraId="36CA44F5" w14:textId="77777777" w:rsidR="00787570" w:rsidRDefault="00787570">
            <w:pPr>
              <w:rPr>
                <w:rFonts w:ascii="宋体"/>
                <w:vanish/>
              </w:rPr>
            </w:pPr>
          </w:p>
        </w:tc>
        <w:tc>
          <w:tcPr>
            <w:tcW w:w="0" w:type="auto"/>
            <w:gridSpan w:val="3"/>
            <w:shd w:val="clear" w:color="auto" w:fill="auto"/>
          </w:tcPr>
          <w:p w14:paraId="36CA44F6" w14:textId="77777777" w:rsidR="00787570" w:rsidRDefault="00787570">
            <w:pPr>
              <w:rPr>
                <w:rFonts w:ascii="宋体"/>
                <w:vanish/>
              </w:rPr>
            </w:pPr>
          </w:p>
        </w:tc>
        <w:tc>
          <w:tcPr>
            <w:tcW w:w="0" w:type="auto"/>
            <w:gridSpan w:val="3"/>
            <w:shd w:val="clear" w:color="auto" w:fill="auto"/>
          </w:tcPr>
          <w:p w14:paraId="36CA44F7" w14:textId="77777777" w:rsidR="00787570" w:rsidRDefault="00787570">
            <w:pPr>
              <w:rPr>
                <w:rFonts w:ascii="宋体"/>
                <w:vanish/>
              </w:rPr>
            </w:pPr>
          </w:p>
        </w:tc>
      </w:tr>
      <w:tr w:rsidR="00787570" w14:paraId="36CA44FC" w14:textId="77777777">
        <w:tc>
          <w:tcPr>
            <w:tcW w:w="0" w:type="auto"/>
            <w:gridSpan w:val="3"/>
            <w:shd w:val="clear" w:color="auto" w:fill="auto"/>
            <w:tcMar>
              <w:top w:w="40" w:type="dxa"/>
              <w:left w:w="20" w:type="dxa"/>
              <w:bottom w:w="40" w:type="dxa"/>
              <w:right w:w="20" w:type="dxa"/>
            </w:tcMar>
          </w:tcPr>
          <w:p w14:paraId="36CA44F9" w14:textId="77777777" w:rsidR="00787570" w:rsidRDefault="000D56E2">
            <w:pPr>
              <w:textAlignment w:val="top"/>
            </w:pPr>
            <w:r>
              <w:rPr>
                <w:rFonts w:ascii="Arial" w:eastAsia="宋体" w:hAnsi="Arial" w:cs="Arial"/>
                <w:b/>
                <w:bCs/>
                <w:color w:val="0071C5"/>
                <w:sz w:val="18"/>
                <w:szCs w:val="18"/>
              </w:rPr>
              <w:t>Data-centric businesses</w:t>
            </w:r>
          </w:p>
        </w:tc>
        <w:tc>
          <w:tcPr>
            <w:tcW w:w="0" w:type="auto"/>
            <w:gridSpan w:val="3"/>
            <w:shd w:val="clear" w:color="auto" w:fill="auto"/>
            <w:tcMar>
              <w:left w:w="20" w:type="dxa"/>
              <w:right w:w="20" w:type="dxa"/>
            </w:tcMar>
            <w:vAlign w:val="bottom"/>
          </w:tcPr>
          <w:p w14:paraId="36CA44FA" w14:textId="77777777" w:rsidR="00787570" w:rsidRDefault="00787570">
            <w:pPr>
              <w:rPr>
                <w:rFonts w:ascii="宋体"/>
              </w:rPr>
            </w:pPr>
          </w:p>
        </w:tc>
        <w:tc>
          <w:tcPr>
            <w:tcW w:w="0" w:type="auto"/>
            <w:gridSpan w:val="3"/>
            <w:shd w:val="clear" w:color="auto" w:fill="auto"/>
            <w:tcMar>
              <w:top w:w="40" w:type="dxa"/>
              <w:left w:w="20" w:type="dxa"/>
              <w:bottom w:w="40" w:type="dxa"/>
              <w:right w:w="20" w:type="dxa"/>
            </w:tcMar>
          </w:tcPr>
          <w:p w14:paraId="36CA44FB" w14:textId="77777777" w:rsidR="00787570" w:rsidRDefault="000D56E2">
            <w:pPr>
              <w:textAlignment w:val="top"/>
            </w:pPr>
            <w:r>
              <w:rPr>
                <w:rFonts w:ascii="Arial" w:eastAsia="宋体" w:hAnsi="Arial" w:cs="Arial"/>
                <w:color w:val="333333"/>
                <w:sz w:val="18"/>
                <w:szCs w:val="18"/>
              </w:rPr>
              <w:t xml:space="preserve">Includes our Data Center Group (DCG), </w:t>
            </w:r>
            <w:r>
              <w:rPr>
                <w:rFonts w:ascii="Arial" w:eastAsia="宋体" w:hAnsi="Arial" w:cs="Arial"/>
                <w:color w:val="333333"/>
                <w:sz w:val="18"/>
                <w:szCs w:val="18"/>
              </w:rPr>
              <w:t>Internet of Things Group (IOTG), Mobileye, Non-Volatile Memory Solutions Group (NSG), Programmable Solutions Group (PSG), and all other businesses</w:t>
            </w:r>
          </w:p>
        </w:tc>
      </w:tr>
      <w:tr w:rsidR="00787570" w14:paraId="36CA4500" w14:textId="77777777">
        <w:trPr>
          <w:hidden/>
        </w:trPr>
        <w:tc>
          <w:tcPr>
            <w:tcW w:w="0" w:type="auto"/>
            <w:gridSpan w:val="3"/>
            <w:shd w:val="clear" w:color="auto" w:fill="auto"/>
          </w:tcPr>
          <w:p w14:paraId="36CA44FD" w14:textId="77777777" w:rsidR="00787570" w:rsidRDefault="00787570">
            <w:pPr>
              <w:rPr>
                <w:rFonts w:ascii="宋体"/>
                <w:vanish/>
              </w:rPr>
            </w:pPr>
          </w:p>
        </w:tc>
        <w:tc>
          <w:tcPr>
            <w:tcW w:w="0" w:type="auto"/>
            <w:gridSpan w:val="3"/>
            <w:shd w:val="clear" w:color="auto" w:fill="auto"/>
          </w:tcPr>
          <w:p w14:paraId="36CA44FE" w14:textId="77777777" w:rsidR="00787570" w:rsidRDefault="00787570">
            <w:pPr>
              <w:rPr>
                <w:rFonts w:ascii="宋体"/>
                <w:vanish/>
              </w:rPr>
            </w:pPr>
          </w:p>
        </w:tc>
        <w:tc>
          <w:tcPr>
            <w:tcW w:w="0" w:type="auto"/>
            <w:gridSpan w:val="3"/>
            <w:shd w:val="clear" w:color="auto" w:fill="auto"/>
          </w:tcPr>
          <w:p w14:paraId="36CA44FF" w14:textId="77777777" w:rsidR="00787570" w:rsidRDefault="00787570">
            <w:pPr>
              <w:rPr>
                <w:rFonts w:ascii="宋体"/>
                <w:vanish/>
              </w:rPr>
            </w:pPr>
          </w:p>
        </w:tc>
      </w:tr>
      <w:tr w:rsidR="00787570" w14:paraId="36CA4504" w14:textId="77777777">
        <w:trPr>
          <w:hidden/>
        </w:trPr>
        <w:tc>
          <w:tcPr>
            <w:tcW w:w="0" w:type="auto"/>
            <w:gridSpan w:val="3"/>
            <w:shd w:val="clear" w:color="auto" w:fill="auto"/>
          </w:tcPr>
          <w:p w14:paraId="36CA4501" w14:textId="77777777" w:rsidR="00787570" w:rsidRDefault="00787570">
            <w:pPr>
              <w:rPr>
                <w:rFonts w:ascii="宋体"/>
                <w:vanish/>
              </w:rPr>
            </w:pPr>
          </w:p>
        </w:tc>
        <w:tc>
          <w:tcPr>
            <w:tcW w:w="0" w:type="auto"/>
            <w:gridSpan w:val="3"/>
            <w:shd w:val="clear" w:color="auto" w:fill="auto"/>
          </w:tcPr>
          <w:p w14:paraId="36CA4502" w14:textId="77777777" w:rsidR="00787570" w:rsidRDefault="00787570">
            <w:pPr>
              <w:rPr>
                <w:rFonts w:ascii="宋体"/>
                <w:vanish/>
              </w:rPr>
            </w:pPr>
          </w:p>
        </w:tc>
        <w:tc>
          <w:tcPr>
            <w:tcW w:w="0" w:type="auto"/>
            <w:gridSpan w:val="3"/>
            <w:shd w:val="clear" w:color="auto" w:fill="auto"/>
          </w:tcPr>
          <w:p w14:paraId="36CA4503" w14:textId="77777777" w:rsidR="00787570" w:rsidRDefault="00787570">
            <w:pPr>
              <w:rPr>
                <w:rFonts w:ascii="宋体"/>
                <w:vanish/>
              </w:rPr>
            </w:pPr>
          </w:p>
        </w:tc>
      </w:tr>
      <w:tr w:rsidR="00787570" w14:paraId="36CA4508" w14:textId="77777777">
        <w:tc>
          <w:tcPr>
            <w:tcW w:w="0" w:type="auto"/>
            <w:gridSpan w:val="3"/>
            <w:shd w:val="clear" w:color="auto" w:fill="auto"/>
            <w:tcMar>
              <w:top w:w="40" w:type="dxa"/>
              <w:left w:w="20" w:type="dxa"/>
              <w:bottom w:w="40" w:type="dxa"/>
              <w:right w:w="20" w:type="dxa"/>
            </w:tcMar>
          </w:tcPr>
          <w:p w14:paraId="36CA4505" w14:textId="77777777" w:rsidR="00787570" w:rsidRDefault="000D56E2">
            <w:pPr>
              <w:textAlignment w:val="top"/>
            </w:pPr>
            <w:r>
              <w:rPr>
                <w:rFonts w:ascii="Arial" w:eastAsia="宋体" w:hAnsi="Arial" w:cs="Arial"/>
                <w:b/>
                <w:bCs/>
                <w:color w:val="0071C5"/>
                <w:sz w:val="18"/>
                <w:szCs w:val="18"/>
              </w:rPr>
              <w:t>EC</w:t>
            </w:r>
          </w:p>
        </w:tc>
        <w:tc>
          <w:tcPr>
            <w:tcW w:w="0" w:type="auto"/>
            <w:gridSpan w:val="3"/>
            <w:shd w:val="clear" w:color="auto" w:fill="auto"/>
            <w:tcMar>
              <w:left w:w="20" w:type="dxa"/>
              <w:right w:w="20" w:type="dxa"/>
            </w:tcMar>
            <w:vAlign w:val="bottom"/>
          </w:tcPr>
          <w:p w14:paraId="36CA4506" w14:textId="77777777" w:rsidR="00787570" w:rsidRDefault="00787570">
            <w:pPr>
              <w:rPr>
                <w:rFonts w:ascii="宋体"/>
              </w:rPr>
            </w:pPr>
          </w:p>
        </w:tc>
        <w:tc>
          <w:tcPr>
            <w:tcW w:w="0" w:type="auto"/>
            <w:gridSpan w:val="3"/>
            <w:shd w:val="clear" w:color="auto" w:fill="auto"/>
            <w:tcMar>
              <w:top w:w="40" w:type="dxa"/>
              <w:left w:w="20" w:type="dxa"/>
              <w:bottom w:w="40" w:type="dxa"/>
              <w:right w:w="20" w:type="dxa"/>
            </w:tcMar>
          </w:tcPr>
          <w:p w14:paraId="36CA4507" w14:textId="77777777" w:rsidR="00787570" w:rsidRDefault="000D56E2">
            <w:pPr>
              <w:textAlignment w:val="top"/>
            </w:pPr>
            <w:r>
              <w:rPr>
                <w:rFonts w:ascii="Arial" w:eastAsia="宋体" w:hAnsi="Arial" w:cs="Arial"/>
                <w:color w:val="333333"/>
                <w:sz w:val="18"/>
                <w:szCs w:val="18"/>
              </w:rPr>
              <w:t>European Commission</w:t>
            </w:r>
          </w:p>
        </w:tc>
      </w:tr>
      <w:tr w:rsidR="00787570" w14:paraId="36CA450C" w14:textId="77777777">
        <w:tc>
          <w:tcPr>
            <w:tcW w:w="0" w:type="auto"/>
            <w:gridSpan w:val="3"/>
            <w:shd w:val="clear" w:color="auto" w:fill="auto"/>
            <w:tcMar>
              <w:top w:w="40" w:type="dxa"/>
              <w:left w:w="20" w:type="dxa"/>
              <w:bottom w:w="40" w:type="dxa"/>
              <w:right w:w="20" w:type="dxa"/>
            </w:tcMar>
          </w:tcPr>
          <w:p w14:paraId="36CA4509" w14:textId="77777777" w:rsidR="00787570" w:rsidRDefault="000D56E2">
            <w:pPr>
              <w:textAlignment w:val="top"/>
            </w:pPr>
            <w:r>
              <w:rPr>
                <w:rFonts w:ascii="Arial" w:eastAsia="宋体" w:hAnsi="Arial" w:cs="Arial"/>
                <w:b/>
                <w:bCs/>
                <w:color w:val="0071C5"/>
                <w:sz w:val="18"/>
                <w:szCs w:val="18"/>
              </w:rPr>
              <w:t>Edge</w:t>
            </w:r>
          </w:p>
        </w:tc>
        <w:tc>
          <w:tcPr>
            <w:tcW w:w="0" w:type="auto"/>
            <w:gridSpan w:val="3"/>
            <w:shd w:val="clear" w:color="auto" w:fill="auto"/>
            <w:tcMar>
              <w:left w:w="20" w:type="dxa"/>
              <w:right w:w="20" w:type="dxa"/>
            </w:tcMar>
            <w:vAlign w:val="bottom"/>
          </w:tcPr>
          <w:p w14:paraId="36CA450A" w14:textId="77777777" w:rsidR="00787570" w:rsidRDefault="00787570">
            <w:pPr>
              <w:rPr>
                <w:rFonts w:ascii="宋体"/>
              </w:rPr>
            </w:pPr>
          </w:p>
        </w:tc>
        <w:tc>
          <w:tcPr>
            <w:tcW w:w="0" w:type="auto"/>
            <w:gridSpan w:val="3"/>
            <w:shd w:val="clear" w:color="auto" w:fill="auto"/>
            <w:tcMar>
              <w:top w:w="40" w:type="dxa"/>
              <w:left w:w="20" w:type="dxa"/>
              <w:bottom w:w="40" w:type="dxa"/>
              <w:right w:w="20" w:type="dxa"/>
            </w:tcMar>
            <w:vAlign w:val="bottom"/>
          </w:tcPr>
          <w:p w14:paraId="36CA450B" w14:textId="77777777" w:rsidR="00787570" w:rsidRDefault="000D56E2">
            <w:pPr>
              <w:textAlignment w:val="bottom"/>
            </w:pPr>
            <w:r>
              <w:rPr>
                <w:rFonts w:ascii="Arial" w:eastAsia="宋体" w:hAnsi="Arial" w:cs="Arial"/>
                <w:color w:val="333333"/>
                <w:sz w:val="18"/>
                <w:szCs w:val="18"/>
              </w:rPr>
              <w:t xml:space="preserve">Allocated resources that move, store, and process data closer to </w:t>
            </w:r>
            <w:r>
              <w:rPr>
                <w:rFonts w:ascii="Arial" w:eastAsia="宋体" w:hAnsi="Arial" w:cs="Arial"/>
                <w:color w:val="333333"/>
                <w:sz w:val="18"/>
                <w:szCs w:val="18"/>
              </w:rPr>
              <w:t>the source or point of service delivery.</w:t>
            </w:r>
          </w:p>
        </w:tc>
      </w:tr>
      <w:tr w:rsidR="00787570" w14:paraId="36CA4510" w14:textId="77777777">
        <w:trPr>
          <w:hidden/>
        </w:trPr>
        <w:tc>
          <w:tcPr>
            <w:tcW w:w="0" w:type="auto"/>
            <w:gridSpan w:val="3"/>
            <w:shd w:val="clear" w:color="auto" w:fill="auto"/>
          </w:tcPr>
          <w:p w14:paraId="36CA450D" w14:textId="77777777" w:rsidR="00787570" w:rsidRDefault="00787570">
            <w:pPr>
              <w:rPr>
                <w:rFonts w:ascii="宋体"/>
                <w:vanish/>
              </w:rPr>
            </w:pPr>
          </w:p>
        </w:tc>
        <w:tc>
          <w:tcPr>
            <w:tcW w:w="0" w:type="auto"/>
            <w:gridSpan w:val="3"/>
            <w:shd w:val="clear" w:color="auto" w:fill="auto"/>
          </w:tcPr>
          <w:p w14:paraId="36CA450E" w14:textId="77777777" w:rsidR="00787570" w:rsidRDefault="00787570">
            <w:pPr>
              <w:rPr>
                <w:rFonts w:ascii="宋体"/>
                <w:vanish/>
              </w:rPr>
            </w:pPr>
          </w:p>
        </w:tc>
        <w:tc>
          <w:tcPr>
            <w:tcW w:w="0" w:type="auto"/>
            <w:gridSpan w:val="3"/>
            <w:shd w:val="clear" w:color="auto" w:fill="auto"/>
          </w:tcPr>
          <w:p w14:paraId="36CA450F" w14:textId="77777777" w:rsidR="00787570" w:rsidRDefault="00787570">
            <w:pPr>
              <w:rPr>
                <w:rFonts w:ascii="宋体"/>
                <w:vanish/>
              </w:rPr>
            </w:pPr>
          </w:p>
        </w:tc>
      </w:tr>
      <w:tr w:rsidR="00787570" w14:paraId="36CA4514" w14:textId="77777777">
        <w:trPr>
          <w:hidden/>
        </w:trPr>
        <w:tc>
          <w:tcPr>
            <w:tcW w:w="0" w:type="auto"/>
            <w:gridSpan w:val="3"/>
            <w:shd w:val="clear" w:color="auto" w:fill="auto"/>
          </w:tcPr>
          <w:p w14:paraId="36CA4511" w14:textId="77777777" w:rsidR="00787570" w:rsidRDefault="00787570">
            <w:pPr>
              <w:rPr>
                <w:rFonts w:ascii="宋体"/>
                <w:vanish/>
              </w:rPr>
            </w:pPr>
          </w:p>
        </w:tc>
        <w:tc>
          <w:tcPr>
            <w:tcW w:w="0" w:type="auto"/>
            <w:gridSpan w:val="3"/>
            <w:shd w:val="clear" w:color="auto" w:fill="auto"/>
          </w:tcPr>
          <w:p w14:paraId="36CA4512" w14:textId="77777777" w:rsidR="00787570" w:rsidRDefault="00787570">
            <w:pPr>
              <w:rPr>
                <w:rFonts w:ascii="宋体"/>
                <w:vanish/>
              </w:rPr>
            </w:pPr>
          </w:p>
        </w:tc>
        <w:tc>
          <w:tcPr>
            <w:tcW w:w="0" w:type="auto"/>
            <w:gridSpan w:val="3"/>
            <w:shd w:val="clear" w:color="auto" w:fill="auto"/>
          </w:tcPr>
          <w:p w14:paraId="36CA4513" w14:textId="77777777" w:rsidR="00787570" w:rsidRDefault="00787570">
            <w:pPr>
              <w:rPr>
                <w:rFonts w:ascii="宋体"/>
                <w:vanish/>
              </w:rPr>
            </w:pPr>
          </w:p>
        </w:tc>
      </w:tr>
      <w:tr w:rsidR="00787570" w14:paraId="36CA4518" w14:textId="77777777">
        <w:trPr>
          <w:hidden/>
        </w:trPr>
        <w:tc>
          <w:tcPr>
            <w:tcW w:w="0" w:type="auto"/>
            <w:gridSpan w:val="3"/>
            <w:shd w:val="clear" w:color="auto" w:fill="auto"/>
          </w:tcPr>
          <w:p w14:paraId="36CA4515" w14:textId="77777777" w:rsidR="00787570" w:rsidRDefault="00787570">
            <w:pPr>
              <w:rPr>
                <w:rFonts w:ascii="宋体"/>
                <w:vanish/>
              </w:rPr>
            </w:pPr>
          </w:p>
        </w:tc>
        <w:tc>
          <w:tcPr>
            <w:tcW w:w="0" w:type="auto"/>
            <w:gridSpan w:val="3"/>
            <w:shd w:val="clear" w:color="auto" w:fill="auto"/>
          </w:tcPr>
          <w:p w14:paraId="36CA4516" w14:textId="77777777" w:rsidR="00787570" w:rsidRDefault="00787570">
            <w:pPr>
              <w:rPr>
                <w:rFonts w:ascii="宋体"/>
                <w:vanish/>
              </w:rPr>
            </w:pPr>
          </w:p>
        </w:tc>
        <w:tc>
          <w:tcPr>
            <w:tcW w:w="0" w:type="auto"/>
            <w:gridSpan w:val="3"/>
            <w:shd w:val="clear" w:color="auto" w:fill="auto"/>
          </w:tcPr>
          <w:p w14:paraId="36CA4517" w14:textId="77777777" w:rsidR="00787570" w:rsidRDefault="00787570">
            <w:pPr>
              <w:rPr>
                <w:rFonts w:ascii="宋体"/>
                <w:vanish/>
              </w:rPr>
            </w:pPr>
          </w:p>
        </w:tc>
      </w:tr>
      <w:tr w:rsidR="00787570" w14:paraId="36CA451C" w14:textId="77777777">
        <w:trPr>
          <w:hidden/>
        </w:trPr>
        <w:tc>
          <w:tcPr>
            <w:tcW w:w="0" w:type="auto"/>
            <w:gridSpan w:val="3"/>
            <w:shd w:val="clear" w:color="auto" w:fill="auto"/>
          </w:tcPr>
          <w:p w14:paraId="36CA4519" w14:textId="77777777" w:rsidR="00787570" w:rsidRDefault="00787570">
            <w:pPr>
              <w:rPr>
                <w:rFonts w:ascii="宋体"/>
                <w:vanish/>
              </w:rPr>
            </w:pPr>
          </w:p>
        </w:tc>
        <w:tc>
          <w:tcPr>
            <w:tcW w:w="0" w:type="auto"/>
            <w:gridSpan w:val="3"/>
            <w:shd w:val="clear" w:color="auto" w:fill="auto"/>
          </w:tcPr>
          <w:p w14:paraId="36CA451A" w14:textId="77777777" w:rsidR="00787570" w:rsidRDefault="00787570">
            <w:pPr>
              <w:rPr>
                <w:rFonts w:ascii="宋体"/>
                <w:vanish/>
              </w:rPr>
            </w:pPr>
          </w:p>
        </w:tc>
        <w:tc>
          <w:tcPr>
            <w:tcW w:w="0" w:type="auto"/>
            <w:gridSpan w:val="3"/>
            <w:shd w:val="clear" w:color="auto" w:fill="auto"/>
          </w:tcPr>
          <w:p w14:paraId="36CA451B" w14:textId="77777777" w:rsidR="00787570" w:rsidRDefault="00787570">
            <w:pPr>
              <w:rPr>
                <w:rFonts w:ascii="宋体"/>
                <w:vanish/>
              </w:rPr>
            </w:pPr>
          </w:p>
        </w:tc>
      </w:tr>
      <w:tr w:rsidR="00787570" w14:paraId="36CA4520" w14:textId="77777777">
        <w:trPr>
          <w:hidden/>
        </w:trPr>
        <w:tc>
          <w:tcPr>
            <w:tcW w:w="0" w:type="auto"/>
            <w:gridSpan w:val="3"/>
            <w:shd w:val="clear" w:color="auto" w:fill="auto"/>
          </w:tcPr>
          <w:p w14:paraId="36CA451D" w14:textId="77777777" w:rsidR="00787570" w:rsidRDefault="00787570">
            <w:pPr>
              <w:rPr>
                <w:rFonts w:ascii="宋体"/>
                <w:vanish/>
              </w:rPr>
            </w:pPr>
          </w:p>
        </w:tc>
        <w:tc>
          <w:tcPr>
            <w:tcW w:w="0" w:type="auto"/>
            <w:gridSpan w:val="3"/>
            <w:shd w:val="clear" w:color="auto" w:fill="auto"/>
          </w:tcPr>
          <w:p w14:paraId="36CA451E" w14:textId="77777777" w:rsidR="00787570" w:rsidRDefault="00787570">
            <w:pPr>
              <w:rPr>
                <w:rFonts w:ascii="宋体"/>
                <w:vanish/>
              </w:rPr>
            </w:pPr>
          </w:p>
        </w:tc>
        <w:tc>
          <w:tcPr>
            <w:tcW w:w="0" w:type="auto"/>
            <w:gridSpan w:val="3"/>
            <w:shd w:val="clear" w:color="auto" w:fill="auto"/>
          </w:tcPr>
          <w:p w14:paraId="36CA451F" w14:textId="77777777" w:rsidR="00787570" w:rsidRDefault="00787570">
            <w:pPr>
              <w:rPr>
                <w:rFonts w:ascii="宋体"/>
                <w:vanish/>
              </w:rPr>
            </w:pPr>
          </w:p>
        </w:tc>
      </w:tr>
      <w:tr w:rsidR="00787570" w14:paraId="36CA4524" w14:textId="77777777">
        <w:tc>
          <w:tcPr>
            <w:tcW w:w="0" w:type="auto"/>
            <w:gridSpan w:val="3"/>
            <w:shd w:val="clear" w:color="auto" w:fill="auto"/>
            <w:tcMar>
              <w:top w:w="40" w:type="dxa"/>
              <w:left w:w="20" w:type="dxa"/>
              <w:bottom w:w="40" w:type="dxa"/>
              <w:right w:w="20" w:type="dxa"/>
            </w:tcMar>
          </w:tcPr>
          <w:p w14:paraId="36CA4521" w14:textId="77777777" w:rsidR="00787570" w:rsidRDefault="000D56E2">
            <w:pPr>
              <w:textAlignment w:val="top"/>
            </w:pPr>
            <w:r>
              <w:rPr>
                <w:rFonts w:ascii="Arial" w:eastAsia="宋体" w:hAnsi="Arial" w:cs="Arial"/>
                <w:b/>
                <w:bCs/>
                <w:color w:val="0071C5"/>
                <w:sz w:val="18"/>
                <w:szCs w:val="18"/>
              </w:rPr>
              <w:t>Form 10-Q</w:t>
            </w:r>
          </w:p>
        </w:tc>
        <w:tc>
          <w:tcPr>
            <w:tcW w:w="0" w:type="auto"/>
            <w:gridSpan w:val="3"/>
            <w:shd w:val="clear" w:color="auto" w:fill="auto"/>
            <w:tcMar>
              <w:left w:w="20" w:type="dxa"/>
              <w:right w:w="20" w:type="dxa"/>
            </w:tcMar>
            <w:vAlign w:val="bottom"/>
          </w:tcPr>
          <w:p w14:paraId="36CA4522" w14:textId="77777777" w:rsidR="00787570" w:rsidRDefault="00787570">
            <w:pPr>
              <w:rPr>
                <w:rFonts w:ascii="宋体"/>
              </w:rPr>
            </w:pPr>
          </w:p>
        </w:tc>
        <w:tc>
          <w:tcPr>
            <w:tcW w:w="0" w:type="auto"/>
            <w:gridSpan w:val="3"/>
            <w:shd w:val="clear" w:color="auto" w:fill="auto"/>
            <w:tcMar>
              <w:top w:w="40" w:type="dxa"/>
              <w:left w:w="20" w:type="dxa"/>
              <w:bottom w:w="40" w:type="dxa"/>
              <w:right w:w="20" w:type="dxa"/>
            </w:tcMar>
          </w:tcPr>
          <w:p w14:paraId="36CA4523" w14:textId="77777777" w:rsidR="00787570" w:rsidRDefault="000D56E2">
            <w:pPr>
              <w:textAlignment w:val="top"/>
            </w:pPr>
            <w:r>
              <w:rPr>
                <w:rFonts w:ascii="Arial" w:eastAsia="宋体" w:hAnsi="Arial" w:cs="Arial"/>
                <w:color w:val="333333"/>
                <w:sz w:val="18"/>
                <w:szCs w:val="18"/>
              </w:rPr>
              <w:t>Quarterly Report on Form 10-Q</w:t>
            </w:r>
          </w:p>
        </w:tc>
      </w:tr>
      <w:tr w:rsidR="00787570" w14:paraId="36CA4528" w14:textId="77777777">
        <w:tc>
          <w:tcPr>
            <w:tcW w:w="0" w:type="auto"/>
            <w:gridSpan w:val="3"/>
            <w:shd w:val="clear" w:color="auto" w:fill="auto"/>
            <w:tcMar>
              <w:top w:w="40" w:type="dxa"/>
              <w:left w:w="20" w:type="dxa"/>
              <w:bottom w:w="40" w:type="dxa"/>
              <w:right w:w="20" w:type="dxa"/>
            </w:tcMar>
          </w:tcPr>
          <w:p w14:paraId="36CA4525" w14:textId="77777777" w:rsidR="00787570" w:rsidRDefault="000D56E2">
            <w:pPr>
              <w:textAlignment w:val="top"/>
            </w:pPr>
            <w:r>
              <w:rPr>
                <w:rFonts w:ascii="Arial" w:eastAsia="宋体" w:hAnsi="Arial" w:cs="Arial"/>
                <w:b/>
                <w:bCs/>
                <w:color w:val="0071C5"/>
                <w:sz w:val="18"/>
                <w:szCs w:val="18"/>
              </w:rPr>
              <w:t>FPGA</w:t>
            </w:r>
          </w:p>
        </w:tc>
        <w:tc>
          <w:tcPr>
            <w:tcW w:w="0" w:type="auto"/>
            <w:gridSpan w:val="3"/>
            <w:shd w:val="clear" w:color="auto" w:fill="auto"/>
            <w:tcMar>
              <w:left w:w="20" w:type="dxa"/>
              <w:right w:w="20" w:type="dxa"/>
            </w:tcMar>
            <w:vAlign w:val="bottom"/>
          </w:tcPr>
          <w:p w14:paraId="36CA4526" w14:textId="77777777" w:rsidR="00787570" w:rsidRDefault="00787570">
            <w:pPr>
              <w:rPr>
                <w:rFonts w:ascii="宋体"/>
              </w:rPr>
            </w:pPr>
          </w:p>
        </w:tc>
        <w:tc>
          <w:tcPr>
            <w:tcW w:w="0" w:type="auto"/>
            <w:gridSpan w:val="3"/>
            <w:shd w:val="clear" w:color="auto" w:fill="auto"/>
            <w:tcMar>
              <w:top w:w="40" w:type="dxa"/>
              <w:left w:w="20" w:type="dxa"/>
              <w:bottom w:w="40" w:type="dxa"/>
              <w:right w:w="20" w:type="dxa"/>
            </w:tcMar>
          </w:tcPr>
          <w:p w14:paraId="36CA4527" w14:textId="77777777" w:rsidR="00787570" w:rsidRDefault="000D56E2">
            <w:pPr>
              <w:textAlignment w:val="top"/>
            </w:pPr>
            <w:r>
              <w:rPr>
                <w:rFonts w:ascii="Arial" w:eastAsia="宋体" w:hAnsi="Arial" w:cs="Arial"/>
                <w:color w:val="333333"/>
                <w:sz w:val="18"/>
                <w:szCs w:val="18"/>
              </w:rPr>
              <w:t>Field-programmable gate array</w:t>
            </w:r>
          </w:p>
        </w:tc>
      </w:tr>
      <w:tr w:rsidR="00787570" w14:paraId="36CA452C" w14:textId="77777777">
        <w:trPr>
          <w:hidden/>
        </w:trPr>
        <w:tc>
          <w:tcPr>
            <w:tcW w:w="0" w:type="auto"/>
            <w:gridSpan w:val="3"/>
            <w:shd w:val="clear" w:color="auto" w:fill="auto"/>
          </w:tcPr>
          <w:p w14:paraId="36CA4529" w14:textId="77777777" w:rsidR="00787570" w:rsidRDefault="00787570">
            <w:pPr>
              <w:rPr>
                <w:rFonts w:ascii="宋体"/>
                <w:vanish/>
              </w:rPr>
            </w:pPr>
          </w:p>
        </w:tc>
        <w:tc>
          <w:tcPr>
            <w:tcW w:w="0" w:type="auto"/>
            <w:gridSpan w:val="3"/>
            <w:shd w:val="clear" w:color="auto" w:fill="auto"/>
          </w:tcPr>
          <w:p w14:paraId="36CA452A" w14:textId="77777777" w:rsidR="00787570" w:rsidRDefault="00787570">
            <w:pPr>
              <w:rPr>
                <w:rFonts w:ascii="宋体"/>
                <w:vanish/>
              </w:rPr>
            </w:pPr>
          </w:p>
        </w:tc>
        <w:tc>
          <w:tcPr>
            <w:tcW w:w="0" w:type="auto"/>
            <w:gridSpan w:val="3"/>
            <w:shd w:val="clear" w:color="auto" w:fill="auto"/>
          </w:tcPr>
          <w:p w14:paraId="36CA452B" w14:textId="77777777" w:rsidR="00787570" w:rsidRDefault="00787570">
            <w:pPr>
              <w:rPr>
                <w:rFonts w:ascii="宋体"/>
                <w:vanish/>
              </w:rPr>
            </w:pPr>
          </w:p>
        </w:tc>
      </w:tr>
      <w:tr w:rsidR="00787570" w14:paraId="36CA4530" w14:textId="77777777">
        <w:trPr>
          <w:hidden/>
        </w:trPr>
        <w:tc>
          <w:tcPr>
            <w:tcW w:w="0" w:type="auto"/>
            <w:gridSpan w:val="3"/>
            <w:shd w:val="clear" w:color="auto" w:fill="auto"/>
          </w:tcPr>
          <w:p w14:paraId="36CA452D" w14:textId="77777777" w:rsidR="00787570" w:rsidRDefault="00787570">
            <w:pPr>
              <w:rPr>
                <w:rFonts w:ascii="宋体"/>
                <w:vanish/>
              </w:rPr>
            </w:pPr>
          </w:p>
        </w:tc>
        <w:tc>
          <w:tcPr>
            <w:tcW w:w="0" w:type="auto"/>
            <w:gridSpan w:val="3"/>
            <w:shd w:val="clear" w:color="auto" w:fill="auto"/>
          </w:tcPr>
          <w:p w14:paraId="36CA452E" w14:textId="77777777" w:rsidR="00787570" w:rsidRDefault="00787570">
            <w:pPr>
              <w:rPr>
                <w:rFonts w:ascii="宋体"/>
                <w:vanish/>
              </w:rPr>
            </w:pPr>
          </w:p>
        </w:tc>
        <w:tc>
          <w:tcPr>
            <w:tcW w:w="0" w:type="auto"/>
            <w:gridSpan w:val="3"/>
            <w:shd w:val="clear" w:color="auto" w:fill="auto"/>
          </w:tcPr>
          <w:p w14:paraId="36CA452F" w14:textId="77777777" w:rsidR="00787570" w:rsidRDefault="00787570">
            <w:pPr>
              <w:rPr>
                <w:rFonts w:ascii="宋体"/>
                <w:vanish/>
              </w:rPr>
            </w:pPr>
          </w:p>
        </w:tc>
      </w:tr>
      <w:tr w:rsidR="00787570" w14:paraId="36CA4534" w14:textId="77777777">
        <w:trPr>
          <w:hidden/>
        </w:trPr>
        <w:tc>
          <w:tcPr>
            <w:tcW w:w="0" w:type="auto"/>
            <w:gridSpan w:val="3"/>
            <w:shd w:val="clear" w:color="auto" w:fill="auto"/>
          </w:tcPr>
          <w:p w14:paraId="36CA4531" w14:textId="77777777" w:rsidR="00787570" w:rsidRDefault="00787570">
            <w:pPr>
              <w:rPr>
                <w:rFonts w:ascii="宋体"/>
                <w:vanish/>
              </w:rPr>
            </w:pPr>
          </w:p>
        </w:tc>
        <w:tc>
          <w:tcPr>
            <w:tcW w:w="0" w:type="auto"/>
            <w:gridSpan w:val="3"/>
            <w:shd w:val="clear" w:color="auto" w:fill="auto"/>
          </w:tcPr>
          <w:p w14:paraId="36CA4532" w14:textId="77777777" w:rsidR="00787570" w:rsidRDefault="00787570">
            <w:pPr>
              <w:rPr>
                <w:rFonts w:ascii="宋体"/>
                <w:vanish/>
              </w:rPr>
            </w:pPr>
          </w:p>
        </w:tc>
        <w:tc>
          <w:tcPr>
            <w:tcW w:w="0" w:type="auto"/>
            <w:gridSpan w:val="3"/>
            <w:shd w:val="clear" w:color="auto" w:fill="auto"/>
          </w:tcPr>
          <w:p w14:paraId="36CA4533" w14:textId="77777777" w:rsidR="00787570" w:rsidRDefault="00787570">
            <w:pPr>
              <w:rPr>
                <w:rFonts w:ascii="宋体"/>
                <w:vanish/>
              </w:rPr>
            </w:pPr>
          </w:p>
        </w:tc>
      </w:tr>
      <w:tr w:rsidR="00787570" w14:paraId="36CA4538" w14:textId="77777777">
        <w:tc>
          <w:tcPr>
            <w:tcW w:w="0" w:type="auto"/>
            <w:gridSpan w:val="3"/>
            <w:shd w:val="clear" w:color="auto" w:fill="auto"/>
            <w:tcMar>
              <w:top w:w="40" w:type="dxa"/>
              <w:left w:w="20" w:type="dxa"/>
              <w:bottom w:w="40" w:type="dxa"/>
              <w:right w:w="20" w:type="dxa"/>
            </w:tcMar>
          </w:tcPr>
          <w:p w14:paraId="36CA4535" w14:textId="77777777" w:rsidR="00787570" w:rsidRDefault="000D56E2">
            <w:pPr>
              <w:textAlignment w:val="top"/>
            </w:pPr>
            <w:r>
              <w:rPr>
                <w:rFonts w:ascii="Arial" w:eastAsia="宋体" w:hAnsi="Arial" w:cs="Arial"/>
                <w:b/>
                <w:bCs/>
                <w:color w:val="0071C5"/>
                <w:sz w:val="18"/>
                <w:szCs w:val="18"/>
              </w:rPr>
              <w:t>IMFT</w:t>
            </w:r>
          </w:p>
        </w:tc>
        <w:tc>
          <w:tcPr>
            <w:tcW w:w="0" w:type="auto"/>
            <w:gridSpan w:val="3"/>
            <w:shd w:val="clear" w:color="auto" w:fill="auto"/>
            <w:tcMar>
              <w:left w:w="20" w:type="dxa"/>
              <w:right w:w="20" w:type="dxa"/>
            </w:tcMar>
            <w:vAlign w:val="bottom"/>
          </w:tcPr>
          <w:p w14:paraId="36CA4536" w14:textId="77777777" w:rsidR="00787570" w:rsidRDefault="00787570">
            <w:pPr>
              <w:rPr>
                <w:rFonts w:ascii="宋体"/>
              </w:rPr>
            </w:pPr>
          </w:p>
        </w:tc>
        <w:tc>
          <w:tcPr>
            <w:tcW w:w="0" w:type="auto"/>
            <w:gridSpan w:val="3"/>
            <w:shd w:val="clear" w:color="auto" w:fill="auto"/>
            <w:tcMar>
              <w:top w:w="40" w:type="dxa"/>
              <w:left w:w="20" w:type="dxa"/>
              <w:bottom w:w="40" w:type="dxa"/>
              <w:right w:w="20" w:type="dxa"/>
            </w:tcMar>
          </w:tcPr>
          <w:p w14:paraId="36CA4537" w14:textId="77777777" w:rsidR="00787570" w:rsidRDefault="000D56E2">
            <w:pPr>
              <w:textAlignment w:val="top"/>
            </w:pPr>
            <w:r>
              <w:rPr>
                <w:rFonts w:ascii="Arial" w:eastAsia="宋体" w:hAnsi="Arial" w:cs="Arial"/>
                <w:color w:val="333333"/>
                <w:sz w:val="18"/>
                <w:szCs w:val="18"/>
              </w:rPr>
              <w:t>IM Flash Technologies, LLC</w:t>
            </w:r>
          </w:p>
        </w:tc>
      </w:tr>
      <w:tr w:rsidR="00787570" w14:paraId="36CA453C" w14:textId="77777777">
        <w:trPr>
          <w:hidden/>
        </w:trPr>
        <w:tc>
          <w:tcPr>
            <w:tcW w:w="0" w:type="auto"/>
            <w:gridSpan w:val="3"/>
            <w:shd w:val="clear" w:color="auto" w:fill="auto"/>
          </w:tcPr>
          <w:p w14:paraId="36CA4539" w14:textId="77777777" w:rsidR="00787570" w:rsidRDefault="00787570">
            <w:pPr>
              <w:rPr>
                <w:rFonts w:ascii="宋体"/>
                <w:vanish/>
              </w:rPr>
            </w:pPr>
          </w:p>
        </w:tc>
        <w:tc>
          <w:tcPr>
            <w:tcW w:w="0" w:type="auto"/>
            <w:gridSpan w:val="3"/>
            <w:shd w:val="clear" w:color="auto" w:fill="auto"/>
          </w:tcPr>
          <w:p w14:paraId="36CA453A" w14:textId="77777777" w:rsidR="00787570" w:rsidRDefault="00787570">
            <w:pPr>
              <w:rPr>
                <w:rFonts w:ascii="宋体"/>
                <w:vanish/>
              </w:rPr>
            </w:pPr>
          </w:p>
        </w:tc>
        <w:tc>
          <w:tcPr>
            <w:tcW w:w="0" w:type="auto"/>
            <w:gridSpan w:val="3"/>
            <w:shd w:val="clear" w:color="auto" w:fill="auto"/>
          </w:tcPr>
          <w:p w14:paraId="36CA453B" w14:textId="77777777" w:rsidR="00787570" w:rsidRDefault="00787570">
            <w:pPr>
              <w:rPr>
                <w:rFonts w:ascii="宋体"/>
                <w:vanish/>
              </w:rPr>
            </w:pPr>
          </w:p>
        </w:tc>
      </w:tr>
      <w:tr w:rsidR="00787570" w14:paraId="36CA4540" w14:textId="77777777">
        <w:trPr>
          <w:hidden/>
        </w:trPr>
        <w:tc>
          <w:tcPr>
            <w:tcW w:w="0" w:type="auto"/>
            <w:gridSpan w:val="3"/>
            <w:shd w:val="clear" w:color="auto" w:fill="auto"/>
          </w:tcPr>
          <w:p w14:paraId="36CA453D" w14:textId="77777777" w:rsidR="00787570" w:rsidRDefault="00787570">
            <w:pPr>
              <w:rPr>
                <w:rFonts w:ascii="宋体"/>
                <w:vanish/>
              </w:rPr>
            </w:pPr>
          </w:p>
        </w:tc>
        <w:tc>
          <w:tcPr>
            <w:tcW w:w="0" w:type="auto"/>
            <w:gridSpan w:val="3"/>
            <w:shd w:val="clear" w:color="auto" w:fill="auto"/>
          </w:tcPr>
          <w:p w14:paraId="36CA453E" w14:textId="77777777" w:rsidR="00787570" w:rsidRDefault="00787570">
            <w:pPr>
              <w:rPr>
                <w:rFonts w:ascii="宋体"/>
                <w:vanish/>
              </w:rPr>
            </w:pPr>
          </w:p>
        </w:tc>
        <w:tc>
          <w:tcPr>
            <w:tcW w:w="0" w:type="auto"/>
            <w:gridSpan w:val="3"/>
            <w:shd w:val="clear" w:color="auto" w:fill="auto"/>
          </w:tcPr>
          <w:p w14:paraId="36CA453F" w14:textId="77777777" w:rsidR="00787570" w:rsidRDefault="00787570">
            <w:pPr>
              <w:rPr>
                <w:rFonts w:ascii="宋体"/>
                <w:vanish/>
              </w:rPr>
            </w:pPr>
          </w:p>
        </w:tc>
      </w:tr>
      <w:tr w:rsidR="00787570" w14:paraId="36CA4544" w14:textId="77777777">
        <w:tc>
          <w:tcPr>
            <w:tcW w:w="0" w:type="auto"/>
            <w:gridSpan w:val="3"/>
            <w:shd w:val="clear" w:color="auto" w:fill="auto"/>
            <w:tcMar>
              <w:top w:w="40" w:type="dxa"/>
              <w:left w:w="20" w:type="dxa"/>
              <w:bottom w:w="40" w:type="dxa"/>
              <w:right w:w="20" w:type="dxa"/>
            </w:tcMar>
          </w:tcPr>
          <w:p w14:paraId="36CA4541" w14:textId="77777777" w:rsidR="00787570" w:rsidRDefault="000D56E2">
            <w:pPr>
              <w:textAlignment w:val="top"/>
            </w:pPr>
            <w:r>
              <w:rPr>
                <w:rFonts w:ascii="Arial" w:eastAsia="宋体" w:hAnsi="Arial" w:cs="Arial"/>
                <w:b/>
                <w:bCs/>
                <w:color w:val="0071C5"/>
                <w:sz w:val="18"/>
                <w:szCs w:val="18"/>
              </w:rPr>
              <w:t>Internet of Things</w:t>
            </w:r>
          </w:p>
        </w:tc>
        <w:tc>
          <w:tcPr>
            <w:tcW w:w="0" w:type="auto"/>
            <w:gridSpan w:val="3"/>
            <w:shd w:val="clear" w:color="auto" w:fill="auto"/>
            <w:tcMar>
              <w:left w:w="20" w:type="dxa"/>
              <w:right w:w="20" w:type="dxa"/>
            </w:tcMar>
            <w:vAlign w:val="bottom"/>
          </w:tcPr>
          <w:p w14:paraId="36CA4542" w14:textId="77777777" w:rsidR="00787570" w:rsidRDefault="00787570">
            <w:pPr>
              <w:rPr>
                <w:rFonts w:ascii="宋体"/>
              </w:rPr>
            </w:pPr>
          </w:p>
        </w:tc>
        <w:tc>
          <w:tcPr>
            <w:tcW w:w="0" w:type="auto"/>
            <w:gridSpan w:val="3"/>
            <w:shd w:val="clear" w:color="auto" w:fill="auto"/>
            <w:tcMar>
              <w:top w:w="40" w:type="dxa"/>
              <w:left w:w="20" w:type="dxa"/>
              <w:bottom w:w="40" w:type="dxa"/>
              <w:right w:w="20" w:type="dxa"/>
            </w:tcMar>
          </w:tcPr>
          <w:p w14:paraId="36CA4543" w14:textId="77777777" w:rsidR="00787570" w:rsidRDefault="000D56E2">
            <w:pPr>
              <w:textAlignment w:val="top"/>
            </w:pPr>
            <w:r>
              <w:rPr>
                <w:rFonts w:ascii="Arial" w:eastAsia="宋体" w:hAnsi="Arial" w:cs="Arial"/>
                <w:color w:val="333333"/>
                <w:sz w:val="18"/>
                <w:szCs w:val="18"/>
              </w:rPr>
              <w:t xml:space="preserve">Refers to the Internet of Things </w:t>
            </w:r>
            <w:r>
              <w:rPr>
                <w:rFonts w:ascii="Arial" w:eastAsia="宋体" w:hAnsi="Arial" w:cs="Arial"/>
                <w:color w:val="333333"/>
                <w:sz w:val="18"/>
                <w:szCs w:val="18"/>
              </w:rPr>
              <w:t>market in which we sell our IOTG and Mobileye products</w:t>
            </w:r>
          </w:p>
        </w:tc>
      </w:tr>
      <w:tr w:rsidR="00787570" w14:paraId="36CA4548" w14:textId="77777777">
        <w:tc>
          <w:tcPr>
            <w:tcW w:w="0" w:type="auto"/>
            <w:gridSpan w:val="3"/>
            <w:shd w:val="clear" w:color="auto" w:fill="auto"/>
            <w:tcMar>
              <w:top w:w="40" w:type="dxa"/>
              <w:left w:w="20" w:type="dxa"/>
              <w:bottom w:w="40" w:type="dxa"/>
              <w:right w:w="20" w:type="dxa"/>
            </w:tcMar>
          </w:tcPr>
          <w:p w14:paraId="36CA4545" w14:textId="77777777" w:rsidR="00787570" w:rsidRDefault="000D56E2">
            <w:pPr>
              <w:textAlignment w:val="top"/>
            </w:pPr>
            <w:r>
              <w:rPr>
                <w:rFonts w:ascii="Arial" w:eastAsia="宋体" w:hAnsi="Arial" w:cs="Arial"/>
                <w:b/>
                <w:bCs/>
                <w:color w:val="0071C5"/>
                <w:sz w:val="18"/>
                <w:szCs w:val="18"/>
              </w:rPr>
              <w:t>IOT</w:t>
            </w:r>
          </w:p>
        </w:tc>
        <w:tc>
          <w:tcPr>
            <w:tcW w:w="0" w:type="auto"/>
            <w:gridSpan w:val="3"/>
            <w:shd w:val="clear" w:color="auto" w:fill="auto"/>
            <w:tcMar>
              <w:left w:w="20" w:type="dxa"/>
              <w:right w:w="20" w:type="dxa"/>
            </w:tcMar>
            <w:vAlign w:val="bottom"/>
          </w:tcPr>
          <w:p w14:paraId="36CA4546" w14:textId="77777777" w:rsidR="00787570" w:rsidRDefault="00787570">
            <w:pPr>
              <w:rPr>
                <w:rFonts w:ascii="宋体"/>
              </w:rPr>
            </w:pPr>
          </w:p>
        </w:tc>
        <w:tc>
          <w:tcPr>
            <w:tcW w:w="0" w:type="auto"/>
            <w:gridSpan w:val="3"/>
            <w:shd w:val="clear" w:color="auto" w:fill="auto"/>
            <w:tcMar>
              <w:top w:w="40" w:type="dxa"/>
              <w:left w:w="20" w:type="dxa"/>
              <w:bottom w:w="40" w:type="dxa"/>
              <w:right w:w="20" w:type="dxa"/>
            </w:tcMar>
          </w:tcPr>
          <w:p w14:paraId="36CA4547" w14:textId="77777777" w:rsidR="00787570" w:rsidRDefault="000D56E2">
            <w:pPr>
              <w:textAlignment w:val="top"/>
            </w:pPr>
            <w:r>
              <w:rPr>
                <w:rFonts w:ascii="Arial" w:eastAsia="宋体" w:hAnsi="Arial" w:cs="Arial"/>
                <w:color w:val="333333"/>
                <w:sz w:val="18"/>
                <w:szCs w:val="18"/>
              </w:rPr>
              <w:t>Internet of Things portfolio</w:t>
            </w:r>
          </w:p>
        </w:tc>
      </w:tr>
      <w:tr w:rsidR="00787570" w14:paraId="36CA454C" w14:textId="77777777">
        <w:tc>
          <w:tcPr>
            <w:tcW w:w="0" w:type="auto"/>
            <w:gridSpan w:val="3"/>
            <w:shd w:val="clear" w:color="auto" w:fill="auto"/>
            <w:tcMar>
              <w:top w:w="40" w:type="dxa"/>
              <w:left w:w="20" w:type="dxa"/>
              <w:bottom w:w="40" w:type="dxa"/>
              <w:right w:w="20" w:type="dxa"/>
            </w:tcMar>
          </w:tcPr>
          <w:p w14:paraId="36CA4549" w14:textId="77777777" w:rsidR="00787570" w:rsidRDefault="000D56E2">
            <w:pPr>
              <w:textAlignment w:val="top"/>
            </w:pPr>
            <w:r>
              <w:rPr>
                <w:rFonts w:ascii="Arial" w:eastAsia="宋体" w:hAnsi="Arial" w:cs="Arial"/>
                <w:b/>
                <w:bCs/>
                <w:color w:val="0071C5"/>
                <w:sz w:val="18"/>
                <w:szCs w:val="18"/>
              </w:rPr>
              <w:t>IOTG</w:t>
            </w:r>
          </w:p>
        </w:tc>
        <w:tc>
          <w:tcPr>
            <w:tcW w:w="0" w:type="auto"/>
            <w:gridSpan w:val="3"/>
            <w:shd w:val="clear" w:color="auto" w:fill="auto"/>
            <w:tcMar>
              <w:left w:w="20" w:type="dxa"/>
              <w:right w:w="20" w:type="dxa"/>
            </w:tcMar>
            <w:vAlign w:val="bottom"/>
          </w:tcPr>
          <w:p w14:paraId="36CA454A" w14:textId="77777777" w:rsidR="00787570" w:rsidRDefault="00787570">
            <w:pPr>
              <w:rPr>
                <w:rFonts w:ascii="宋体"/>
              </w:rPr>
            </w:pPr>
          </w:p>
        </w:tc>
        <w:tc>
          <w:tcPr>
            <w:tcW w:w="0" w:type="auto"/>
            <w:gridSpan w:val="3"/>
            <w:shd w:val="clear" w:color="auto" w:fill="auto"/>
            <w:tcMar>
              <w:top w:w="40" w:type="dxa"/>
              <w:left w:w="20" w:type="dxa"/>
              <w:bottom w:w="40" w:type="dxa"/>
              <w:right w:w="20" w:type="dxa"/>
            </w:tcMar>
          </w:tcPr>
          <w:p w14:paraId="36CA454B" w14:textId="77777777" w:rsidR="00787570" w:rsidRDefault="000D56E2">
            <w:pPr>
              <w:textAlignment w:val="top"/>
            </w:pPr>
            <w:r>
              <w:rPr>
                <w:rFonts w:ascii="Arial" w:eastAsia="宋体" w:hAnsi="Arial" w:cs="Arial"/>
                <w:color w:val="333333"/>
                <w:sz w:val="18"/>
                <w:szCs w:val="18"/>
              </w:rPr>
              <w:t>Internet of Things Group operating segment</w:t>
            </w:r>
          </w:p>
        </w:tc>
      </w:tr>
      <w:tr w:rsidR="00787570" w14:paraId="36CA4550" w14:textId="77777777">
        <w:trPr>
          <w:hidden/>
        </w:trPr>
        <w:tc>
          <w:tcPr>
            <w:tcW w:w="0" w:type="auto"/>
            <w:gridSpan w:val="3"/>
            <w:shd w:val="clear" w:color="auto" w:fill="auto"/>
          </w:tcPr>
          <w:p w14:paraId="36CA454D" w14:textId="77777777" w:rsidR="00787570" w:rsidRDefault="00787570">
            <w:pPr>
              <w:rPr>
                <w:rFonts w:ascii="宋体"/>
                <w:vanish/>
              </w:rPr>
            </w:pPr>
          </w:p>
        </w:tc>
        <w:tc>
          <w:tcPr>
            <w:tcW w:w="0" w:type="auto"/>
            <w:gridSpan w:val="3"/>
            <w:shd w:val="clear" w:color="auto" w:fill="auto"/>
          </w:tcPr>
          <w:p w14:paraId="36CA454E" w14:textId="77777777" w:rsidR="00787570" w:rsidRDefault="00787570">
            <w:pPr>
              <w:rPr>
                <w:rFonts w:ascii="宋体"/>
                <w:vanish/>
              </w:rPr>
            </w:pPr>
          </w:p>
        </w:tc>
        <w:tc>
          <w:tcPr>
            <w:tcW w:w="0" w:type="auto"/>
            <w:gridSpan w:val="3"/>
            <w:shd w:val="clear" w:color="auto" w:fill="auto"/>
          </w:tcPr>
          <w:p w14:paraId="36CA454F" w14:textId="77777777" w:rsidR="00787570" w:rsidRDefault="00787570">
            <w:pPr>
              <w:rPr>
                <w:rFonts w:ascii="宋体"/>
                <w:vanish/>
              </w:rPr>
            </w:pPr>
          </w:p>
        </w:tc>
      </w:tr>
      <w:tr w:rsidR="00787570" w14:paraId="36CA4554" w14:textId="77777777">
        <w:tc>
          <w:tcPr>
            <w:tcW w:w="0" w:type="auto"/>
            <w:gridSpan w:val="3"/>
            <w:shd w:val="clear" w:color="auto" w:fill="auto"/>
            <w:tcMar>
              <w:top w:w="40" w:type="dxa"/>
              <w:left w:w="20" w:type="dxa"/>
              <w:bottom w:w="40" w:type="dxa"/>
              <w:right w:w="20" w:type="dxa"/>
            </w:tcMar>
          </w:tcPr>
          <w:p w14:paraId="36CA4551" w14:textId="77777777" w:rsidR="00787570" w:rsidRDefault="000D56E2">
            <w:pPr>
              <w:textAlignment w:val="top"/>
            </w:pPr>
            <w:r>
              <w:rPr>
                <w:rFonts w:ascii="Arial" w:eastAsia="宋体" w:hAnsi="Arial" w:cs="Arial"/>
                <w:b/>
                <w:bCs/>
                <w:color w:val="0071C5"/>
                <w:sz w:val="18"/>
                <w:szCs w:val="18"/>
              </w:rPr>
              <w:t>IP</w:t>
            </w:r>
          </w:p>
        </w:tc>
        <w:tc>
          <w:tcPr>
            <w:tcW w:w="0" w:type="auto"/>
            <w:gridSpan w:val="3"/>
            <w:shd w:val="clear" w:color="auto" w:fill="auto"/>
            <w:tcMar>
              <w:left w:w="20" w:type="dxa"/>
              <w:right w:w="20" w:type="dxa"/>
            </w:tcMar>
            <w:vAlign w:val="bottom"/>
          </w:tcPr>
          <w:p w14:paraId="36CA4552" w14:textId="77777777" w:rsidR="00787570" w:rsidRDefault="00787570">
            <w:pPr>
              <w:rPr>
                <w:rFonts w:ascii="宋体"/>
              </w:rPr>
            </w:pPr>
          </w:p>
        </w:tc>
        <w:tc>
          <w:tcPr>
            <w:tcW w:w="0" w:type="auto"/>
            <w:gridSpan w:val="3"/>
            <w:shd w:val="clear" w:color="auto" w:fill="auto"/>
            <w:tcMar>
              <w:top w:w="40" w:type="dxa"/>
              <w:left w:w="20" w:type="dxa"/>
              <w:bottom w:w="40" w:type="dxa"/>
              <w:right w:w="20" w:type="dxa"/>
            </w:tcMar>
          </w:tcPr>
          <w:p w14:paraId="36CA4553" w14:textId="77777777" w:rsidR="00787570" w:rsidRDefault="000D56E2">
            <w:pPr>
              <w:textAlignment w:val="top"/>
            </w:pPr>
            <w:r>
              <w:rPr>
                <w:rFonts w:ascii="Arial" w:eastAsia="宋体" w:hAnsi="Arial" w:cs="Arial"/>
                <w:color w:val="333333"/>
                <w:sz w:val="18"/>
                <w:szCs w:val="18"/>
              </w:rPr>
              <w:t>Intellectual property</w:t>
            </w:r>
          </w:p>
        </w:tc>
      </w:tr>
      <w:tr w:rsidR="00787570" w14:paraId="36CA4558" w14:textId="77777777">
        <w:trPr>
          <w:hidden/>
        </w:trPr>
        <w:tc>
          <w:tcPr>
            <w:tcW w:w="0" w:type="auto"/>
            <w:gridSpan w:val="3"/>
            <w:shd w:val="clear" w:color="auto" w:fill="auto"/>
          </w:tcPr>
          <w:p w14:paraId="36CA4555" w14:textId="77777777" w:rsidR="00787570" w:rsidRDefault="00787570">
            <w:pPr>
              <w:rPr>
                <w:rFonts w:ascii="宋体"/>
                <w:vanish/>
              </w:rPr>
            </w:pPr>
          </w:p>
        </w:tc>
        <w:tc>
          <w:tcPr>
            <w:tcW w:w="0" w:type="auto"/>
            <w:gridSpan w:val="3"/>
            <w:shd w:val="clear" w:color="auto" w:fill="auto"/>
          </w:tcPr>
          <w:p w14:paraId="36CA4556" w14:textId="77777777" w:rsidR="00787570" w:rsidRDefault="00787570">
            <w:pPr>
              <w:rPr>
                <w:rFonts w:ascii="宋体"/>
                <w:vanish/>
              </w:rPr>
            </w:pPr>
          </w:p>
        </w:tc>
        <w:tc>
          <w:tcPr>
            <w:tcW w:w="0" w:type="auto"/>
            <w:gridSpan w:val="3"/>
            <w:shd w:val="clear" w:color="auto" w:fill="auto"/>
          </w:tcPr>
          <w:p w14:paraId="36CA4557" w14:textId="77777777" w:rsidR="00787570" w:rsidRDefault="00787570">
            <w:pPr>
              <w:rPr>
                <w:rFonts w:ascii="宋体"/>
                <w:vanish/>
              </w:rPr>
            </w:pPr>
          </w:p>
        </w:tc>
      </w:tr>
      <w:tr w:rsidR="00787570" w14:paraId="36CA455C" w14:textId="77777777">
        <w:trPr>
          <w:hidden/>
        </w:trPr>
        <w:tc>
          <w:tcPr>
            <w:tcW w:w="0" w:type="auto"/>
            <w:gridSpan w:val="3"/>
            <w:shd w:val="clear" w:color="auto" w:fill="auto"/>
          </w:tcPr>
          <w:p w14:paraId="36CA4559" w14:textId="77777777" w:rsidR="00787570" w:rsidRDefault="00787570">
            <w:pPr>
              <w:rPr>
                <w:rFonts w:ascii="宋体"/>
                <w:vanish/>
              </w:rPr>
            </w:pPr>
          </w:p>
        </w:tc>
        <w:tc>
          <w:tcPr>
            <w:tcW w:w="0" w:type="auto"/>
            <w:gridSpan w:val="3"/>
            <w:shd w:val="clear" w:color="auto" w:fill="auto"/>
          </w:tcPr>
          <w:p w14:paraId="36CA455A" w14:textId="77777777" w:rsidR="00787570" w:rsidRDefault="00787570">
            <w:pPr>
              <w:rPr>
                <w:rFonts w:ascii="宋体"/>
                <w:vanish/>
              </w:rPr>
            </w:pPr>
          </w:p>
        </w:tc>
        <w:tc>
          <w:tcPr>
            <w:tcW w:w="0" w:type="auto"/>
            <w:gridSpan w:val="3"/>
            <w:shd w:val="clear" w:color="auto" w:fill="auto"/>
          </w:tcPr>
          <w:p w14:paraId="36CA455B" w14:textId="77777777" w:rsidR="00787570" w:rsidRDefault="00787570">
            <w:pPr>
              <w:rPr>
                <w:rFonts w:ascii="宋体"/>
                <w:vanish/>
              </w:rPr>
            </w:pPr>
          </w:p>
        </w:tc>
      </w:tr>
      <w:tr w:rsidR="00787570" w14:paraId="36CA4560" w14:textId="77777777">
        <w:trPr>
          <w:hidden/>
        </w:trPr>
        <w:tc>
          <w:tcPr>
            <w:tcW w:w="0" w:type="auto"/>
            <w:gridSpan w:val="3"/>
            <w:shd w:val="clear" w:color="auto" w:fill="auto"/>
          </w:tcPr>
          <w:p w14:paraId="36CA455D" w14:textId="77777777" w:rsidR="00787570" w:rsidRDefault="00787570">
            <w:pPr>
              <w:rPr>
                <w:rFonts w:ascii="宋体"/>
                <w:vanish/>
              </w:rPr>
            </w:pPr>
          </w:p>
        </w:tc>
        <w:tc>
          <w:tcPr>
            <w:tcW w:w="0" w:type="auto"/>
            <w:gridSpan w:val="3"/>
            <w:shd w:val="clear" w:color="auto" w:fill="auto"/>
          </w:tcPr>
          <w:p w14:paraId="36CA455E" w14:textId="77777777" w:rsidR="00787570" w:rsidRDefault="00787570">
            <w:pPr>
              <w:rPr>
                <w:rFonts w:ascii="宋体"/>
                <w:vanish/>
              </w:rPr>
            </w:pPr>
          </w:p>
        </w:tc>
        <w:tc>
          <w:tcPr>
            <w:tcW w:w="0" w:type="auto"/>
            <w:gridSpan w:val="3"/>
            <w:shd w:val="clear" w:color="auto" w:fill="auto"/>
          </w:tcPr>
          <w:p w14:paraId="36CA455F" w14:textId="77777777" w:rsidR="00787570" w:rsidRDefault="00787570">
            <w:pPr>
              <w:rPr>
                <w:rFonts w:ascii="宋体"/>
                <w:vanish/>
              </w:rPr>
            </w:pPr>
          </w:p>
        </w:tc>
      </w:tr>
      <w:tr w:rsidR="00787570" w14:paraId="36CA4564" w14:textId="77777777">
        <w:trPr>
          <w:hidden/>
        </w:trPr>
        <w:tc>
          <w:tcPr>
            <w:tcW w:w="0" w:type="auto"/>
            <w:gridSpan w:val="3"/>
            <w:shd w:val="clear" w:color="auto" w:fill="auto"/>
          </w:tcPr>
          <w:p w14:paraId="36CA4561" w14:textId="77777777" w:rsidR="00787570" w:rsidRDefault="00787570">
            <w:pPr>
              <w:rPr>
                <w:rFonts w:ascii="宋体"/>
                <w:vanish/>
              </w:rPr>
            </w:pPr>
          </w:p>
        </w:tc>
        <w:tc>
          <w:tcPr>
            <w:tcW w:w="0" w:type="auto"/>
            <w:gridSpan w:val="3"/>
            <w:shd w:val="clear" w:color="auto" w:fill="auto"/>
          </w:tcPr>
          <w:p w14:paraId="36CA4562" w14:textId="77777777" w:rsidR="00787570" w:rsidRDefault="00787570">
            <w:pPr>
              <w:rPr>
                <w:rFonts w:ascii="宋体"/>
                <w:vanish/>
              </w:rPr>
            </w:pPr>
          </w:p>
        </w:tc>
        <w:tc>
          <w:tcPr>
            <w:tcW w:w="0" w:type="auto"/>
            <w:gridSpan w:val="3"/>
            <w:shd w:val="clear" w:color="auto" w:fill="auto"/>
          </w:tcPr>
          <w:p w14:paraId="36CA4563" w14:textId="77777777" w:rsidR="00787570" w:rsidRDefault="00787570">
            <w:pPr>
              <w:rPr>
                <w:rFonts w:ascii="宋体"/>
                <w:vanish/>
              </w:rPr>
            </w:pPr>
          </w:p>
        </w:tc>
      </w:tr>
      <w:tr w:rsidR="00787570" w14:paraId="36CA4568" w14:textId="77777777">
        <w:trPr>
          <w:hidden/>
        </w:trPr>
        <w:tc>
          <w:tcPr>
            <w:tcW w:w="0" w:type="auto"/>
            <w:gridSpan w:val="3"/>
            <w:shd w:val="clear" w:color="auto" w:fill="auto"/>
          </w:tcPr>
          <w:p w14:paraId="36CA4565" w14:textId="77777777" w:rsidR="00787570" w:rsidRDefault="00787570">
            <w:pPr>
              <w:rPr>
                <w:rFonts w:ascii="宋体"/>
                <w:vanish/>
              </w:rPr>
            </w:pPr>
          </w:p>
        </w:tc>
        <w:tc>
          <w:tcPr>
            <w:tcW w:w="0" w:type="auto"/>
            <w:gridSpan w:val="3"/>
            <w:shd w:val="clear" w:color="auto" w:fill="auto"/>
          </w:tcPr>
          <w:p w14:paraId="36CA4566" w14:textId="77777777" w:rsidR="00787570" w:rsidRDefault="00787570">
            <w:pPr>
              <w:rPr>
                <w:rFonts w:ascii="宋体"/>
                <w:vanish/>
              </w:rPr>
            </w:pPr>
          </w:p>
        </w:tc>
        <w:tc>
          <w:tcPr>
            <w:tcW w:w="0" w:type="auto"/>
            <w:gridSpan w:val="3"/>
            <w:shd w:val="clear" w:color="auto" w:fill="auto"/>
          </w:tcPr>
          <w:p w14:paraId="36CA4567" w14:textId="77777777" w:rsidR="00787570" w:rsidRDefault="00787570">
            <w:pPr>
              <w:rPr>
                <w:rFonts w:ascii="宋体"/>
                <w:vanish/>
              </w:rPr>
            </w:pPr>
          </w:p>
        </w:tc>
      </w:tr>
      <w:tr w:rsidR="00787570" w14:paraId="36CA456C" w14:textId="77777777">
        <w:trPr>
          <w:hidden/>
        </w:trPr>
        <w:tc>
          <w:tcPr>
            <w:tcW w:w="0" w:type="auto"/>
            <w:gridSpan w:val="3"/>
            <w:shd w:val="clear" w:color="auto" w:fill="auto"/>
          </w:tcPr>
          <w:p w14:paraId="36CA4569" w14:textId="77777777" w:rsidR="00787570" w:rsidRDefault="00787570">
            <w:pPr>
              <w:rPr>
                <w:rFonts w:ascii="宋体"/>
                <w:vanish/>
              </w:rPr>
            </w:pPr>
          </w:p>
        </w:tc>
        <w:tc>
          <w:tcPr>
            <w:tcW w:w="0" w:type="auto"/>
            <w:gridSpan w:val="3"/>
            <w:shd w:val="clear" w:color="auto" w:fill="auto"/>
          </w:tcPr>
          <w:p w14:paraId="36CA456A" w14:textId="77777777" w:rsidR="00787570" w:rsidRDefault="00787570">
            <w:pPr>
              <w:rPr>
                <w:rFonts w:ascii="宋体"/>
                <w:vanish/>
              </w:rPr>
            </w:pPr>
          </w:p>
        </w:tc>
        <w:tc>
          <w:tcPr>
            <w:tcW w:w="0" w:type="auto"/>
            <w:gridSpan w:val="3"/>
            <w:shd w:val="clear" w:color="auto" w:fill="auto"/>
          </w:tcPr>
          <w:p w14:paraId="36CA456B" w14:textId="77777777" w:rsidR="00787570" w:rsidRDefault="00787570">
            <w:pPr>
              <w:rPr>
                <w:rFonts w:ascii="宋体"/>
                <w:vanish/>
              </w:rPr>
            </w:pPr>
          </w:p>
        </w:tc>
      </w:tr>
      <w:tr w:rsidR="00787570" w14:paraId="36CA4570" w14:textId="77777777">
        <w:trPr>
          <w:hidden/>
        </w:trPr>
        <w:tc>
          <w:tcPr>
            <w:tcW w:w="0" w:type="auto"/>
            <w:gridSpan w:val="3"/>
            <w:shd w:val="clear" w:color="auto" w:fill="auto"/>
          </w:tcPr>
          <w:p w14:paraId="36CA456D" w14:textId="77777777" w:rsidR="00787570" w:rsidRDefault="00787570">
            <w:pPr>
              <w:rPr>
                <w:rFonts w:ascii="宋体"/>
                <w:vanish/>
              </w:rPr>
            </w:pPr>
          </w:p>
        </w:tc>
        <w:tc>
          <w:tcPr>
            <w:tcW w:w="0" w:type="auto"/>
            <w:gridSpan w:val="3"/>
            <w:shd w:val="clear" w:color="auto" w:fill="auto"/>
          </w:tcPr>
          <w:p w14:paraId="36CA456E" w14:textId="77777777" w:rsidR="00787570" w:rsidRDefault="00787570">
            <w:pPr>
              <w:rPr>
                <w:rFonts w:ascii="宋体"/>
                <w:vanish/>
              </w:rPr>
            </w:pPr>
          </w:p>
        </w:tc>
        <w:tc>
          <w:tcPr>
            <w:tcW w:w="0" w:type="auto"/>
            <w:gridSpan w:val="3"/>
            <w:shd w:val="clear" w:color="auto" w:fill="auto"/>
          </w:tcPr>
          <w:p w14:paraId="36CA456F" w14:textId="77777777" w:rsidR="00787570" w:rsidRDefault="00787570">
            <w:pPr>
              <w:rPr>
                <w:rFonts w:ascii="宋体"/>
                <w:vanish/>
              </w:rPr>
            </w:pPr>
          </w:p>
        </w:tc>
      </w:tr>
      <w:tr w:rsidR="00787570" w14:paraId="36CA4574" w14:textId="77777777">
        <w:trPr>
          <w:hidden/>
        </w:trPr>
        <w:tc>
          <w:tcPr>
            <w:tcW w:w="0" w:type="auto"/>
            <w:gridSpan w:val="3"/>
            <w:shd w:val="clear" w:color="auto" w:fill="auto"/>
          </w:tcPr>
          <w:p w14:paraId="36CA4571" w14:textId="77777777" w:rsidR="00787570" w:rsidRDefault="00787570">
            <w:pPr>
              <w:rPr>
                <w:rFonts w:ascii="宋体"/>
                <w:vanish/>
              </w:rPr>
            </w:pPr>
          </w:p>
        </w:tc>
        <w:tc>
          <w:tcPr>
            <w:tcW w:w="0" w:type="auto"/>
            <w:gridSpan w:val="3"/>
            <w:shd w:val="clear" w:color="auto" w:fill="auto"/>
          </w:tcPr>
          <w:p w14:paraId="36CA4572" w14:textId="77777777" w:rsidR="00787570" w:rsidRDefault="00787570">
            <w:pPr>
              <w:rPr>
                <w:rFonts w:ascii="宋体"/>
                <w:vanish/>
              </w:rPr>
            </w:pPr>
          </w:p>
        </w:tc>
        <w:tc>
          <w:tcPr>
            <w:tcW w:w="0" w:type="auto"/>
            <w:gridSpan w:val="3"/>
            <w:shd w:val="clear" w:color="auto" w:fill="auto"/>
          </w:tcPr>
          <w:p w14:paraId="36CA4573" w14:textId="77777777" w:rsidR="00787570" w:rsidRDefault="00787570">
            <w:pPr>
              <w:rPr>
                <w:rFonts w:ascii="宋体"/>
                <w:vanish/>
              </w:rPr>
            </w:pPr>
          </w:p>
        </w:tc>
      </w:tr>
      <w:tr w:rsidR="00787570" w14:paraId="36CA4578" w14:textId="77777777">
        <w:trPr>
          <w:hidden/>
        </w:trPr>
        <w:tc>
          <w:tcPr>
            <w:tcW w:w="0" w:type="auto"/>
            <w:gridSpan w:val="3"/>
            <w:shd w:val="clear" w:color="auto" w:fill="auto"/>
          </w:tcPr>
          <w:p w14:paraId="36CA4575" w14:textId="77777777" w:rsidR="00787570" w:rsidRDefault="00787570">
            <w:pPr>
              <w:rPr>
                <w:rFonts w:ascii="宋体"/>
                <w:vanish/>
              </w:rPr>
            </w:pPr>
          </w:p>
        </w:tc>
        <w:tc>
          <w:tcPr>
            <w:tcW w:w="0" w:type="auto"/>
            <w:gridSpan w:val="3"/>
            <w:shd w:val="clear" w:color="auto" w:fill="auto"/>
          </w:tcPr>
          <w:p w14:paraId="36CA4576" w14:textId="77777777" w:rsidR="00787570" w:rsidRDefault="00787570">
            <w:pPr>
              <w:rPr>
                <w:rFonts w:ascii="宋体"/>
                <w:vanish/>
              </w:rPr>
            </w:pPr>
          </w:p>
        </w:tc>
        <w:tc>
          <w:tcPr>
            <w:tcW w:w="0" w:type="auto"/>
            <w:gridSpan w:val="3"/>
            <w:shd w:val="clear" w:color="auto" w:fill="auto"/>
          </w:tcPr>
          <w:p w14:paraId="36CA4577" w14:textId="77777777" w:rsidR="00787570" w:rsidRDefault="00787570">
            <w:pPr>
              <w:rPr>
                <w:rFonts w:ascii="宋体"/>
                <w:vanish/>
              </w:rPr>
            </w:pPr>
          </w:p>
        </w:tc>
      </w:tr>
      <w:tr w:rsidR="00787570" w14:paraId="36CA457C" w14:textId="77777777">
        <w:tc>
          <w:tcPr>
            <w:tcW w:w="0" w:type="auto"/>
            <w:gridSpan w:val="3"/>
            <w:shd w:val="clear" w:color="auto" w:fill="auto"/>
            <w:tcMar>
              <w:top w:w="40" w:type="dxa"/>
              <w:left w:w="20" w:type="dxa"/>
              <w:bottom w:w="40" w:type="dxa"/>
              <w:right w:w="20" w:type="dxa"/>
            </w:tcMar>
          </w:tcPr>
          <w:p w14:paraId="36CA4579" w14:textId="77777777" w:rsidR="00787570" w:rsidRDefault="000D56E2">
            <w:pPr>
              <w:textAlignment w:val="top"/>
            </w:pPr>
            <w:r>
              <w:rPr>
                <w:rFonts w:ascii="Arial" w:eastAsia="宋体" w:hAnsi="Arial" w:cs="Arial"/>
                <w:b/>
                <w:bCs/>
                <w:color w:val="0071C5"/>
                <w:sz w:val="18"/>
                <w:szCs w:val="18"/>
              </w:rPr>
              <w:t>MaaS</w:t>
            </w:r>
          </w:p>
        </w:tc>
        <w:tc>
          <w:tcPr>
            <w:tcW w:w="0" w:type="auto"/>
            <w:gridSpan w:val="3"/>
            <w:shd w:val="clear" w:color="auto" w:fill="auto"/>
            <w:tcMar>
              <w:left w:w="20" w:type="dxa"/>
              <w:right w:w="20" w:type="dxa"/>
            </w:tcMar>
            <w:vAlign w:val="bottom"/>
          </w:tcPr>
          <w:p w14:paraId="36CA457A" w14:textId="77777777" w:rsidR="00787570" w:rsidRDefault="00787570">
            <w:pPr>
              <w:rPr>
                <w:rFonts w:ascii="宋体"/>
              </w:rPr>
            </w:pPr>
          </w:p>
        </w:tc>
        <w:tc>
          <w:tcPr>
            <w:tcW w:w="0" w:type="auto"/>
            <w:gridSpan w:val="3"/>
            <w:shd w:val="clear" w:color="auto" w:fill="auto"/>
            <w:tcMar>
              <w:top w:w="40" w:type="dxa"/>
              <w:left w:w="20" w:type="dxa"/>
              <w:bottom w:w="40" w:type="dxa"/>
              <w:right w:w="20" w:type="dxa"/>
            </w:tcMar>
          </w:tcPr>
          <w:p w14:paraId="36CA457B" w14:textId="77777777" w:rsidR="00787570" w:rsidRDefault="000D56E2">
            <w:pPr>
              <w:textAlignment w:val="top"/>
            </w:pPr>
            <w:r>
              <w:rPr>
                <w:rFonts w:ascii="Arial" w:eastAsia="宋体" w:hAnsi="Arial" w:cs="Arial"/>
                <w:color w:val="333333"/>
                <w:sz w:val="18"/>
                <w:szCs w:val="18"/>
              </w:rPr>
              <w:t>Mobility-as-a-Service</w:t>
            </w:r>
          </w:p>
        </w:tc>
      </w:tr>
      <w:tr w:rsidR="00787570" w14:paraId="36CA4580" w14:textId="77777777">
        <w:tc>
          <w:tcPr>
            <w:tcW w:w="0" w:type="auto"/>
            <w:gridSpan w:val="3"/>
            <w:shd w:val="clear" w:color="auto" w:fill="auto"/>
            <w:tcMar>
              <w:top w:w="40" w:type="dxa"/>
              <w:left w:w="20" w:type="dxa"/>
              <w:bottom w:w="40" w:type="dxa"/>
              <w:right w:w="20" w:type="dxa"/>
            </w:tcMar>
          </w:tcPr>
          <w:p w14:paraId="36CA457D" w14:textId="77777777" w:rsidR="00787570" w:rsidRDefault="000D56E2">
            <w:pPr>
              <w:textAlignment w:val="top"/>
            </w:pPr>
            <w:r>
              <w:rPr>
                <w:rFonts w:ascii="Arial" w:eastAsia="宋体" w:hAnsi="Arial" w:cs="Arial"/>
                <w:b/>
                <w:bCs/>
                <w:color w:val="0071C5"/>
                <w:sz w:val="18"/>
                <w:szCs w:val="18"/>
              </w:rPr>
              <w:t>McAfee</w:t>
            </w:r>
          </w:p>
        </w:tc>
        <w:tc>
          <w:tcPr>
            <w:tcW w:w="0" w:type="auto"/>
            <w:gridSpan w:val="3"/>
            <w:shd w:val="clear" w:color="auto" w:fill="auto"/>
            <w:tcMar>
              <w:left w:w="20" w:type="dxa"/>
              <w:right w:w="20" w:type="dxa"/>
            </w:tcMar>
            <w:vAlign w:val="bottom"/>
          </w:tcPr>
          <w:p w14:paraId="36CA457E" w14:textId="77777777" w:rsidR="00787570" w:rsidRDefault="00787570">
            <w:pPr>
              <w:rPr>
                <w:rFonts w:ascii="宋体"/>
              </w:rPr>
            </w:pPr>
          </w:p>
        </w:tc>
        <w:tc>
          <w:tcPr>
            <w:tcW w:w="0" w:type="auto"/>
            <w:gridSpan w:val="3"/>
            <w:shd w:val="clear" w:color="auto" w:fill="auto"/>
            <w:tcMar>
              <w:top w:w="40" w:type="dxa"/>
              <w:left w:w="20" w:type="dxa"/>
              <w:bottom w:w="40" w:type="dxa"/>
              <w:right w:w="20" w:type="dxa"/>
            </w:tcMar>
          </w:tcPr>
          <w:p w14:paraId="36CA457F" w14:textId="77777777" w:rsidR="00787570" w:rsidRDefault="000D56E2">
            <w:pPr>
              <w:textAlignment w:val="top"/>
            </w:pPr>
            <w:r>
              <w:rPr>
                <w:rFonts w:ascii="Arial" w:eastAsia="宋体" w:hAnsi="Arial" w:cs="Arial"/>
                <w:color w:val="333333"/>
                <w:sz w:val="18"/>
                <w:szCs w:val="18"/>
              </w:rPr>
              <w:t>Business, post divestiture of Intel Security Group in Q2 2017, which we retained an interest in as part of our investment strategy</w:t>
            </w:r>
          </w:p>
        </w:tc>
      </w:tr>
      <w:tr w:rsidR="00787570" w14:paraId="36CA4584" w14:textId="77777777">
        <w:tc>
          <w:tcPr>
            <w:tcW w:w="0" w:type="auto"/>
            <w:gridSpan w:val="3"/>
            <w:shd w:val="clear" w:color="auto" w:fill="auto"/>
            <w:tcMar>
              <w:top w:w="40" w:type="dxa"/>
              <w:left w:w="20" w:type="dxa"/>
              <w:bottom w:w="40" w:type="dxa"/>
              <w:right w:w="20" w:type="dxa"/>
            </w:tcMar>
          </w:tcPr>
          <w:p w14:paraId="36CA4581" w14:textId="77777777" w:rsidR="00787570" w:rsidRDefault="000D56E2">
            <w:pPr>
              <w:textAlignment w:val="top"/>
            </w:pPr>
            <w:r>
              <w:rPr>
                <w:rFonts w:ascii="Arial" w:eastAsia="宋体" w:hAnsi="Arial" w:cs="Arial"/>
                <w:b/>
                <w:bCs/>
                <w:color w:val="0071C5"/>
                <w:sz w:val="18"/>
                <w:szCs w:val="18"/>
              </w:rPr>
              <w:t>MD&amp;A</w:t>
            </w:r>
          </w:p>
        </w:tc>
        <w:tc>
          <w:tcPr>
            <w:tcW w:w="0" w:type="auto"/>
            <w:gridSpan w:val="3"/>
            <w:shd w:val="clear" w:color="auto" w:fill="auto"/>
            <w:tcMar>
              <w:left w:w="20" w:type="dxa"/>
              <w:right w:w="20" w:type="dxa"/>
            </w:tcMar>
            <w:vAlign w:val="bottom"/>
          </w:tcPr>
          <w:p w14:paraId="36CA4582" w14:textId="77777777" w:rsidR="00787570" w:rsidRDefault="00787570">
            <w:pPr>
              <w:rPr>
                <w:rFonts w:ascii="宋体"/>
              </w:rPr>
            </w:pPr>
          </w:p>
        </w:tc>
        <w:tc>
          <w:tcPr>
            <w:tcW w:w="0" w:type="auto"/>
            <w:gridSpan w:val="3"/>
            <w:shd w:val="clear" w:color="auto" w:fill="auto"/>
            <w:tcMar>
              <w:top w:w="40" w:type="dxa"/>
              <w:left w:w="20" w:type="dxa"/>
              <w:bottom w:w="40" w:type="dxa"/>
              <w:right w:w="20" w:type="dxa"/>
            </w:tcMar>
          </w:tcPr>
          <w:p w14:paraId="36CA4583" w14:textId="77777777" w:rsidR="00787570" w:rsidRDefault="000D56E2">
            <w:pPr>
              <w:textAlignment w:val="top"/>
            </w:pPr>
            <w:r>
              <w:rPr>
                <w:rFonts w:ascii="Arial" w:eastAsia="宋体" w:hAnsi="Arial" w:cs="Arial"/>
                <w:color w:val="333333"/>
                <w:sz w:val="18"/>
                <w:szCs w:val="18"/>
              </w:rPr>
              <w:t>Management's Discussion &amp; Analysis</w:t>
            </w:r>
          </w:p>
        </w:tc>
      </w:tr>
      <w:tr w:rsidR="00787570" w14:paraId="36CA4588" w14:textId="77777777">
        <w:trPr>
          <w:hidden/>
        </w:trPr>
        <w:tc>
          <w:tcPr>
            <w:tcW w:w="0" w:type="auto"/>
            <w:gridSpan w:val="3"/>
            <w:shd w:val="clear" w:color="auto" w:fill="auto"/>
          </w:tcPr>
          <w:p w14:paraId="36CA4585" w14:textId="77777777" w:rsidR="00787570" w:rsidRDefault="00787570">
            <w:pPr>
              <w:rPr>
                <w:rFonts w:ascii="宋体"/>
                <w:vanish/>
              </w:rPr>
            </w:pPr>
          </w:p>
        </w:tc>
        <w:tc>
          <w:tcPr>
            <w:tcW w:w="0" w:type="auto"/>
            <w:gridSpan w:val="3"/>
            <w:shd w:val="clear" w:color="auto" w:fill="auto"/>
          </w:tcPr>
          <w:p w14:paraId="36CA4586" w14:textId="77777777" w:rsidR="00787570" w:rsidRDefault="00787570">
            <w:pPr>
              <w:rPr>
                <w:rFonts w:ascii="宋体"/>
                <w:vanish/>
              </w:rPr>
            </w:pPr>
          </w:p>
        </w:tc>
        <w:tc>
          <w:tcPr>
            <w:tcW w:w="0" w:type="auto"/>
            <w:gridSpan w:val="3"/>
            <w:shd w:val="clear" w:color="auto" w:fill="auto"/>
          </w:tcPr>
          <w:p w14:paraId="36CA4587" w14:textId="77777777" w:rsidR="00787570" w:rsidRDefault="00787570">
            <w:pPr>
              <w:rPr>
                <w:rFonts w:ascii="宋体"/>
                <w:vanish/>
              </w:rPr>
            </w:pPr>
          </w:p>
        </w:tc>
      </w:tr>
      <w:tr w:rsidR="00787570" w14:paraId="36CA458C" w14:textId="77777777">
        <w:tc>
          <w:tcPr>
            <w:tcW w:w="0" w:type="auto"/>
            <w:gridSpan w:val="3"/>
            <w:shd w:val="clear" w:color="auto" w:fill="auto"/>
            <w:tcMar>
              <w:top w:w="40" w:type="dxa"/>
              <w:left w:w="20" w:type="dxa"/>
              <w:bottom w:w="40" w:type="dxa"/>
              <w:right w:w="20" w:type="dxa"/>
            </w:tcMar>
          </w:tcPr>
          <w:p w14:paraId="36CA4589" w14:textId="77777777" w:rsidR="00787570" w:rsidRDefault="000D56E2">
            <w:pPr>
              <w:textAlignment w:val="top"/>
            </w:pPr>
            <w:r>
              <w:rPr>
                <w:rFonts w:ascii="Arial" w:eastAsia="宋体" w:hAnsi="Arial" w:cs="Arial"/>
                <w:b/>
                <w:bCs/>
                <w:color w:val="0071C5"/>
                <w:sz w:val="18"/>
                <w:szCs w:val="18"/>
              </w:rPr>
              <w:t>MG&amp;A</w:t>
            </w:r>
          </w:p>
        </w:tc>
        <w:tc>
          <w:tcPr>
            <w:tcW w:w="0" w:type="auto"/>
            <w:gridSpan w:val="3"/>
            <w:shd w:val="clear" w:color="auto" w:fill="auto"/>
            <w:tcMar>
              <w:left w:w="20" w:type="dxa"/>
              <w:right w:w="20" w:type="dxa"/>
            </w:tcMar>
            <w:vAlign w:val="bottom"/>
          </w:tcPr>
          <w:p w14:paraId="36CA458A" w14:textId="77777777" w:rsidR="00787570" w:rsidRDefault="00787570">
            <w:pPr>
              <w:rPr>
                <w:rFonts w:ascii="宋体"/>
              </w:rPr>
            </w:pPr>
          </w:p>
        </w:tc>
        <w:tc>
          <w:tcPr>
            <w:tcW w:w="0" w:type="auto"/>
            <w:gridSpan w:val="3"/>
            <w:shd w:val="clear" w:color="auto" w:fill="auto"/>
            <w:tcMar>
              <w:top w:w="40" w:type="dxa"/>
              <w:left w:w="20" w:type="dxa"/>
              <w:bottom w:w="40" w:type="dxa"/>
              <w:right w:w="20" w:type="dxa"/>
            </w:tcMar>
          </w:tcPr>
          <w:p w14:paraId="36CA458B" w14:textId="77777777" w:rsidR="00787570" w:rsidRDefault="000D56E2">
            <w:pPr>
              <w:textAlignment w:val="top"/>
            </w:pPr>
            <w:r>
              <w:rPr>
                <w:rFonts w:ascii="Arial" w:eastAsia="宋体" w:hAnsi="Arial" w:cs="Arial"/>
                <w:color w:val="333333"/>
                <w:sz w:val="18"/>
                <w:szCs w:val="18"/>
              </w:rPr>
              <w:t>Marketing, general and administrative</w:t>
            </w:r>
          </w:p>
        </w:tc>
      </w:tr>
      <w:tr w:rsidR="00787570" w14:paraId="36CA4590" w14:textId="77777777">
        <w:trPr>
          <w:hidden/>
        </w:trPr>
        <w:tc>
          <w:tcPr>
            <w:tcW w:w="0" w:type="auto"/>
            <w:gridSpan w:val="3"/>
            <w:shd w:val="clear" w:color="auto" w:fill="auto"/>
          </w:tcPr>
          <w:p w14:paraId="36CA458D" w14:textId="77777777" w:rsidR="00787570" w:rsidRDefault="00787570">
            <w:pPr>
              <w:rPr>
                <w:rFonts w:ascii="宋体"/>
                <w:vanish/>
              </w:rPr>
            </w:pPr>
          </w:p>
        </w:tc>
        <w:tc>
          <w:tcPr>
            <w:tcW w:w="0" w:type="auto"/>
            <w:gridSpan w:val="3"/>
            <w:shd w:val="clear" w:color="auto" w:fill="auto"/>
          </w:tcPr>
          <w:p w14:paraId="36CA458E" w14:textId="77777777" w:rsidR="00787570" w:rsidRDefault="00787570">
            <w:pPr>
              <w:rPr>
                <w:rFonts w:ascii="宋体"/>
                <w:vanish/>
              </w:rPr>
            </w:pPr>
          </w:p>
        </w:tc>
        <w:tc>
          <w:tcPr>
            <w:tcW w:w="0" w:type="auto"/>
            <w:gridSpan w:val="3"/>
            <w:shd w:val="clear" w:color="auto" w:fill="auto"/>
          </w:tcPr>
          <w:p w14:paraId="36CA458F" w14:textId="77777777" w:rsidR="00787570" w:rsidRDefault="00787570">
            <w:pPr>
              <w:rPr>
                <w:rFonts w:ascii="宋体"/>
                <w:vanish/>
              </w:rPr>
            </w:pPr>
          </w:p>
        </w:tc>
      </w:tr>
      <w:tr w:rsidR="00787570" w14:paraId="36CA4594" w14:textId="77777777">
        <w:tc>
          <w:tcPr>
            <w:tcW w:w="0" w:type="auto"/>
            <w:gridSpan w:val="3"/>
            <w:shd w:val="clear" w:color="auto" w:fill="auto"/>
            <w:tcMar>
              <w:top w:w="40" w:type="dxa"/>
              <w:left w:w="20" w:type="dxa"/>
              <w:bottom w:w="40" w:type="dxa"/>
              <w:right w:w="20" w:type="dxa"/>
            </w:tcMar>
          </w:tcPr>
          <w:p w14:paraId="36CA4591" w14:textId="77777777" w:rsidR="00787570" w:rsidRDefault="000D56E2">
            <w:pPr>
              <w:textAlignment w:val="top"/>
            </w:pPr>
            <w:r>
              <w:rPr>
                <w:rFonts w:ascii="Arial" w:eastAsia="宋体" w:hAnsi="Arial" w:cs="Arial"/>
                <w:b/>
                <w:bCs/>
                <w:color w:val="0071C5"/>
                <w:sz w:val="18"/>
                <w:szCs w:val="18"/>
              </w:rPr>
              <w:t>Moovit</w:t>
            </w:r>
          </w:p>
        </w:tc>
        <w:tc>
          <w:tcPr>
            <w:tcW w:w="0" w:type="auto"/>
            <w:gridSpan w:val="3"/>
            <w:shd w:val="clear" w:color="auto" w:fill="auto"/>
            <w:tcMar>
              <w:left w:w="20" w:type="dxa"/>
              <w:right w:w="20" w:type="dxa"/>
            </w:tcMar>
            <w:vAlign w:val="bottom"/>
          </w:tcPr>
          <w:p w14:paraId="36CA4592" w14:textId="77777777" w:rsidR="00787570" w:rsidRDefault="00787570">
            <w:pPr>
              <w:rPr>
                <w:rFonts w:ascii="宋体"/>
              </w:rPr>
            </w:pPr>
          </w:p>
        </w:tc>
        <w:tc>
          <w:tcPr>
            <w:tcW w:w="0" w:type="auto"/>
            <w:gridSpan w:val="3"/>
            <w:shd w:val="clear" w:color="auto" w:fill="auto"/>
            <w:tcMar>
              <w:top w:w="40" w:type="dxa"/>
              <w:left w:w="20" w:type="dxa"/>
              <w:bottom w:w="40" w:type="dxa"/>
              <w:right w:w="20" w:type="dxa"/>
            </w:tcMar>
          </w:tcPr>
          <w:p w14:paraId="36CA4593" w14:textId="77777777" w:rsidR="00787570" w:rsidRDefault="000D56E2">
            <w:pPr>
              <w:textAlignment w:val="top"/>
            </w:pPr>
            <w:r>
              <w:rPr>
                <w:rFonts w:ascii="Arial" w:eastAsia="宋体" w:hAnsi="Arial" w:cs="Arial"/>
                <w:color w:val="333333"/>
                <w:sz w:val="18"/>
                <w:szCs w:val="18"/>
              </w:rPr>
              <w:t xml:space="preserve">Moovit App </w:t>
            </w:r>
            <w:r>
              <w:rPr>
                <w:rFonts w:ascii="Arial" w:eastAsia="宋体" w:hAnsi="Arial" w:cs="Arial"/>
                <w:color w:val="333333"/>
                <w:sz w:val="18"/>
                <w:szCs w:val="18"/>
              </w:rPr>
              <w:t>Global Ltd, a MaaS solutions company acquired in Q2 2020</w:t>
            </w:r>
          </w:p>
        </w:tc>
      </w:tr>
      <w:tr w:rsidR="00787570" w14:paraId="36CA4598" w14:textId="77777777">
        <w:tc>
          <w:tcPr>
            <w:tcW w:w="0" w:type="auto"/>
            <w:gridSpan w:val="3"/>
            <w:shd w:val="clear" w:color="auto" w:fill="auto"/>
            <w:tcMar>
              <w:top w:w="40" w:type="dxa"/>
              <w:left w:w="20" w:type="dxa"/>
              <w:bottom w:w="40" w:type="dxa"/>
              <w:right w:w="20" w:type="dxa"/>
            </w:tcMar>
          </w:tcPr>
          <w:p w14:paraId="36CA4595" w14:textId="77777777" w:rsidR="00787570" w:rsidRDefault="000D56E2">
            <w:pPr>
              <w:textAlignment w:val="top"/>
            </w:pPr>
            <w:r>
              <w:rPr>
                <w:rFonts w:ascii="Arial" w:eastAsia="宋体" w:hAnsi="Arial" w:cs="Arial"/>
                <w:b/>
                <w:bCs/>
                <w:color w:val="0071C5"/>
                <w:sz w:val="18"/>
                <w:szCs w:val="18"/>
              </w:rPr>
              <w:t>NAND</w:t>
            </w:r>
          </w:p>
        </w:tc>
        <w:tc>
          <w:tcPr>
            <w:tcW w:w="0" w:type="auto"/>
            <w:gridSpan w:val="3"/>
            <w:shd w:val="clear" w:color="auto" w:fill="auto"/>
            <w:tcMar>
              <w:left w:w="20" w:type="dxa"/>
              <w:right w:w="20" w:type="dxa"/>
            </w:tcMar>
            <w:vAlign w:val="bottom"/>
          </w:tcPr>
          <w:p w14:paraId="36CA4596" w14:textId="77777777" w:rsidR="00787570" w:rsidRDefault="00787570">
            <w:pPr>
              <w:rPr>
                <w:rFonts w:ascii="宋体"/>
              </w:rPr>
            </w:pPr>
          </w:p>
        </w:tc>
        <w:tc>
          <w:tcPr>
            <w:tcW w:w="0" w:type="auto"/>
            <w:gridSpan w:val="3"/>
            <w:shd w:val="clear" w:color="auto" w:fill="auto"/>
            <w:tcMar>
              <w:top w:w="40" w:type="dxa"/>
              <w:left w:w="20" w:type="dxa"/>
              <w:bottom w:w="40" w:type="dxa"/>
              <w:right w:w="20" w:type="dxa"/>
            </w:tcMar>
          </w:tcPr>
          <w:p w14:paraId="36CA4597" w14:textId="77777777" w:rsidR="00787570" w:rsidRDefault="000D56E2">
            <w:pPr>
              <w:textAlignment w:val="top"/>
            </w:pPr>
            <w:r>
              <w:rPr>
                <w:rFonts w:ascii="Arial" w:eastAsia="宋体" w:hAnsi="Arial" w:cs="Arial"/>
                <w:color w:val="333333"/>
                <w:sz w:val="18"/>
                <w:szCs w:val="18"/>
              </w:rPr>
              <w:t>NAND flash memory</w:t>
            </w:r>
          </w:p>
        </w:tc>
      </w:tr>
      <w:tr w:rsidR="00787570" w14:paraId="36CA459C" w14:textId="77777777">
        <w:tc>
          <w:tcPr>
            <w:tcW w:w="0" w:type="auto"/>
            <w:gridSpan w:val="3"/>
            <w:shd w:val="clear" w:color="auto" w:fill="auto"/>
            <w:tcMar>
              <w:top w:w="40" w:type="dxa"/>
              <w:left w:w="20" w:type="dxa"/>
              <w:bottom w:w="40" w:type="dxa"/>
              <w:right w:w="20" w:type="dxa"/>
            </w:tcMar>
          </w:tcPr>
          <w:p w14:paraId="36CA4599" w14:textId="77777777" w:rsidR="00787570" w:rsidRDefault="000D56E2">
            <w:pPr>
              <w:textAlignment w:val="top"/>
            </w:pPr>
            <w:r>
              <w:rPr>
                <w:rFonts w:ascii="Arial" w:eastAsia="宋体" w:hAnsi="Arial" w:cs="Arial"/>
                <w:b/>
                <w:bCs/>
                <w:color w:val="0071C5"/>
                <w:sz w:val="18"/>
                <w:szCs w:val="18"/>
              </w:rPr>
              <w:t>nm</w:t>
            </w:r>
          </w:p>
        </w:tc>
        <w:tc>
          <w:tcPr>
            <w:tcW w:w="0" w:type="auto"/>
            <w:gridSpan w:val="3"/>
            <w:shd w:val="clear" w:color="auto" w:fill="auto"/>
            <w:tcMar>
              <w:left w:w="20" w:type="dxa"/>
              <w:right w:w="20" w:type="dxa"/>
            </w:tcMar>
            <w:vAlign w:val="bottom"/>
          </w:tcPr>
          <w:p w14:paraId="36CA459A" w14:textId="77777777" w:rsidR="00787570" w:rsidRDefault="00787570">
            <w:pPr>
              <w:rPr>
                <w:rFonts w:ascii="宋体"/>
              </w:rPr>
            </w:pPr>
          </w:p>
        </w:tc>
        <w:tc>
          <w:tcPr>
            <w:tcW w:w="0" w:type="auto"/>
            <w:gridSpan w:val="3"/>
            <w:shd w:val="clear" w:color="auto" w:fill="auto"/>
            <w:tcMar>
              <w:top w:w="40" w:type="dxa"/>
              <w:left w:w="20" w:type="dxa"/>
              <w:bottom w:w="40" w:type="dxa"/>
              <w:right w:w="20" w:type="dxa"/>
            </w:tcMar>
          </w:tcPr>
          <w:p w14:paraId="36CA459B" w14:textId="77777777" w:rsidR="00787570" w:rsidRDefault="000D56E2">
            <w:pPr>
              <w:textAlignment w:val="top"/>
            </w:pPr>
            <w:r>
              <w:rPr>
                <w:rFonts w:ascii="Arial" w:eastAsia="宋体" w:hAnsi="Arial" w:cs="Arial"/>
                <w:color w:val="333333"/>
                <w:sz w:val="18"/>
                <w:szCs w:val="18"/>
              </w:rPr>
              <w:t>Nanometer</w:t>
            </w:r>
          </w:p>
        </w:tc>
      </w:tr>
      <w:tr w:rsidR="00787570" w14:paraId="36CA45A0" w14:textId="77777777">
        <w:trPr>
          <w:hidden/>
        </w:trPr>
        <w:tc>
          <w:tcPr>
            <w:tcW w:w="0" w:type="auto"/>
            <w:gridSpan w:val="3"/>
            <w:shd w:val="clear" w:color="auto" w:fill="auto"/>
          </w:tcPr>
          <w:p w14:paraId="36CA459D" w14:textId="77777777" w:rsidR="00787570" w:rsidRDefault="00787570">
            <w:pPr>
              <w:rPr>
                <w:rFonts w:ascii="宋体"/>
                <w:vanish/>
              </w:rPr>
            </w:pPr>
          </w:p>
        </w:tc>
        <w:tc>
          <w:tcPr>
            <w:tcW w:w="0" w:type="auto"/>
            <w:gridSpan w:val="3"/>
            <w:shd w:val="clear" w:color="auto" w:fill="auto"/>
          </w:tcPr>
          <w:p w14:paraId="36CA459E" w14:textId="77777777" w:rsidR="00787570" w:rsidRDefault="00787570">
            <w:pPr>
              <w:rPr>
                <w:rFonts w:ascii="宋体"/>
                <w:vanish/>
              </w:rPr>
            </w:pPr>
          </w:p>
        </w:tc>
        <w:tc>
          <w:tcPr>
            <w:tcW w:w="0" w:type="auto"/>
            <w:gridSpan w:val="3"/>
            <w:shd w:val="clear" w:color="auto" w:fill="auto"/>
          </w:tcPr>
          <w:p w14:paraId="36CA459F" w14:textId="77777777" w:rsidR="00787570" w:rsidRDefault="00787570">
            <w:pPr>
              <w:rPr>
                <w:rFonts w:ascii="宋体"/>
                <w:vanish/>
              </w:rPr>
            </w:pPr>
          </w:p>
        </w:tc>
      </w:tr>
      <w:tr w:rsidR="00787570" w14:paraId="36CA45A4" w14:textId="77777777">
        <w:trPr>
          <w:hidden/>
        </w:trPr>
        <w:tc>
          <w:tcPr>
            <w:tcW w:w="0" w:type="auto"/>
            <w:gridSpan w:val="3"/>
            <w:shd w:val="clear" w:color="auto" w:fill="auto"/>
          </w:tcPr>
          <w:p w14:paraId="36CA45A1" w14:textId="77777777" w:rsidR="00787570" w:rsidRDefault="00787570">
            <w:pPr>
              <w:rPr>
                <w:rFonts w:ascii="宋体"/>
                <w:vanish/>
              </w:rPr>
            </w:pPr>
          </w:p>
        </w:tc>
        <w:tc>
          <w:tcPr>
            <w:tcW w:w="0" w:type="auto"/>
            <w:gridSpan w:val="3"/>
            <w:shd w:val="clear" w:color="auto" w:fill="auto"/>
          </w:tcPr>
          <w:p w14:paraId="36CA45A2" w14:textId="77777777" w:rsidR="00787570" w:rsidRDefault="00787570">
            <w:pPr>
              <w:rPr>
                <w:rFonts w:ascii="宋体"/>
                <w:vanish/>
              </w:rPr>
            </w:pPr>
          </w:p>
        </w:tc>
        <w:tc>
          <w:tcPr>
            <w:tcW w:w="0" w:type="auto"/>
            <w:gridSpan w:val="3"/>
            <w:shd w:val="clear" w:color="auto" w:fill="auto"/>
          </w:tcPr>
          <w:p w14:paraId="36CA45A3" w14:textId="77777777" w:rsidR="00787570" w:rsidRDefault="00787570">
            <w:pPr>
              <w:rPr>
                <w:rFonts w:ascii="宋体"/>
                <w:vanish/>
              </w:rPr>
            </w:pPr>
          </w:p>
        </w:tc>
      </w:tr>
      <w:tr w:rsidR="00787570" w14:paraId="36CA45A8" w14:textId="77777777">
        <w:trPr>
          <w:hidden/>
        </w:trPr>
        <w:tc>
          <w:tcPr>
            <w:tcW w:w="0" w:type="auto"/>
            <w:gridSpan w:val="3"/>
            <w:shd w:val="clear" w:color="auto" w:fill="auto"/>
          </w:tcPr>
          <w:p w14:paraId="36CA45A5" w14:textId="77777777" w:rsidR="00787570" w:rsidRDefault="00787570">
            <w:pPr>
              <w:rPr>
                <w:rFonts w:ascii="宋体"/>
                <w:vanish/>
              </w:rPr>
            </w:pPr>
          </w:p>
        </w:tc>
        <w:tc>
          <w:tcPr>
            <w:tcW w:w="0" w:type="auto"/>
            <w:gridSpan w:val="3"/>
            <w:shd w:val="clear" w:color="auto" w:fill="auto"/>
          </w:tcPr>
          <w:p w14:paraId="36CA45A6" w14:textId="77777777" w:rsidR="00787570" w:rsidRDefault="00787570">
            <w:pPr>
              <w:rPr>
                <w:rFonts w:ascii="宋体"/>
                <w:vanish/>
              </w:rPr>
            </w:pPr>
          </w:p>
        </w:tc>
        <w:tc>
          <w:tcPr>
            <w:tcW w:w="0" w:type="auto"/>
            <w:gridSpan w:val="3"/>
            <w:shd w:val="clear" w:color="auto" w:fill="auto"/>
          </w:tcPr>
          <w:p w14:paraId="36CA45A7" w14:textId="77777777" w:rsidR="00787570" w:rsidRDefault="00787570">
            <w:pPr>
              <w:rPr>
                <w:rFonts w:ascii="宋体"/>
                <w:vanish/>
              </w:rPr>
            </w:pPr>
          </w:p>
        </w:tc>
      </w:tr>
      <w:tr w:rsidR="00787570" w14:paraId="36CA45AC" w14:textId="77777777">
        <w:tc>
          <w:tcPr>
            <w:tcW w:w="0" w:type="auto"/>
            <w:gridSpan w:val="3"/>
            <w:shd w:val="clear" w:color="auto" w:fill="auto"/>
            <w:tcMar>
              <w:top w:w="40" w:type="dxa"/>
              <w:left w:w="20" w:type="dxa"/>
              <w:bottom w:w="40" w:type="dxa"/>
              <w:right w:w="20" w:type="dxa"/>
            </w:tcMar>
          </w:tcPr>
          <w:p w14:paraId="36CA45A9" w14:textId="77777777" w:rsidR="00787570" w:rsidRDefault="000D56E2">
            <w:pPr>
              <w:textAlignment w:val="top"/>
            </w:pPr>
            <w:r>
              <w:rPr>
                <w:rFonts w:ascii="Arial" w:eastAsia="宋体" w:hAnsi="Arial" w:cs="Arial"/>
                <w:b/>
                <w:bCs/>
                <w:color w:val="0071C5"/>
                <w:sz w:val="18"/>
                <w:szCs w:val="18"/>
              </w:rPr>
              <w:t>OEM</w:t>
            </w:r>
          </w:p>
        </w:tc>
        <w:tc>
          <w:tcPr>
            <w:tcW w:w="0" w:type="auto"/>
            <w:gridSpan w:val="3"/>
            <w:shd w:val="clear" w:color="auto" w:fill="auto"/>
            <w:tcMar>
              <w:left w:w="20" w:type="dxa"/>
              <w:right w:w="20" w:type="dxa"/>
            </w:tcMar>
            <w:vAlign w:val="bottom"/>
          </w:tcPr>
          <w:p w14:paraId="36CA45AA" w14:textId="77777777" w:rsidR="00787570" w:rsidRDefault="00787570">
            <w:pPr>
              <w:rPr>
                <w:rFonts w:ascii="宋体"/>
              </w:rPr>
            </w:pPr>
          </w:p>
        </w:tc>
        <w:tc>
          <w:tcPr>
            <w:tcW w:w="0" w:type="auto"/>
            <w:gridSpan w:val="3"/>
            <w:shd w:val="clear" w:color="auto" w:fill="auto"/>
            <w:tcMar>
              <w:top w:w="40" w:type="dxa"/>
              <w:left w:w="20" w:type="dxa"/>
              <w:bottom w:w="40" w:type="dxa"/>
              <w:right w:w="20" w:type="dxa"/>
            </w:tcMar>
          </w:tcPr>
          <w:p w14:paraId="36CA45AB" w14:textId="77777777" w:rsidR="00787570" w:rsidRDefault="000D56E2">
            <w:pPr>
              <w:textAlignment w:val="top"/>
            </w:pPr>
            <w:r>
              <w:rPr>
                <w:rFonts w:ascii="Arial" w:eastAsia="宋体" w:hAnsi="Arial" w:cs="Arial"/>
                <w:color w:val="333333"/>
                <w:sz w:val="18"/>
                <w:szCs w:val="18"/>
              </w:rPr>
              <w:t>Original equipment manufacturer</w:t>
            </w:r>
          </w:p>
        </w:tc>
      </w:tr>
      <w:tr w:rsidR="00787570" w14:paraId="36CA45B0" w14:textId="77777777">
        <w:trPr>
          <w:hidden/>
        </w:trPr>
        <w:tc>
          <w:tcPr>
            <w:tcW w:w="0" w:type="auto"/>
            <w:gridSpan w:val="3"/>
            <w:shd w:val="clear" w:color="auto" w:fill="auto"/>
          </w:tcPr>
          <w:p w14:paraId="36CA45AD" w14:textId="77777777" w:rsidR="00787570" w:rsidRDefault="00787570">
            <w:pPr>
              <w:rPr>
                <w:rFonts w:ascii="宋体"/>
                <w:vanish/>
              </w:rPr>
            </w:pPr>
          </w:p>
        </w:tc>
        <w:tc>
          <w:tcPr>
            <w:tcW w:w="0" w:type="auto"/>
            <w:gridSpan w:val="3"/>
            <w:shd w:val="clear" w:color="auto" w:fill="auto"/>
          </w:tcPr>
          <w:p w14:paraId="36CA45AE" w14:textId="77777777" w:rsidR="00787570" w:rsidRDefault="00787570">
            <w:pPr>
              <w:rPr>
                <w:rFonts w:ascii="宋体"/>
                <w:vanish/>
              </w:rPr>
            </w:pPr>
          </w:p>
        </w:tc>
        <w:tc>
          <w:tcPr>
            <w:tcW w:w="0" w:type="auto"/>
            <w:gridSpan w:val="3"/>
            <w:shd w:val="clear" w:color="auto" w:fill="auto"/>
          </w:tcPr>
          <w:p w14:paraId="36CA45AF" w14:textId="77777777" w:rsidR="00787570" w:rsidRDefault="00787570">
            <w:pPr>
              <w:rPr>
                <w:rFonts w:ascii="宋体"/>
                <w:vanish/>
              </w:rPr>
            </w:pPr>
          </w:p>
        </w:tc>
      </w:tr>
      <w:tr w:rsidR="00787570" w14:paraId="36CA45B4" w14:textId="77777777">
        <w:trPr>
          <w:hidden/>
        </w:trPr>
        <w:tc>
          <w:tcPr>
            <w:tcW w:w="0" w:type="auto"/>
            <w:gridSpan w:val="3"/>
            <w:shd w:val="clear" w:color="auto" w:fill="auto"/>
          </w:tcPr>
          <w:p w14:paraId="36CA45B1" w14:textId="77777777" w:rsidR="00787570" w:rsidRDefault="00787570">
            <w:pPr>
              <w:rPr>
                <w:rFonts w:ascii="宋体"/>
                <w:vanish/>
              </w:rPr>
            </w:pPr>
          </w:p>
        </w:tc>
        <w:tc>
          <w:tcPr>
            <w:tcW w:w="0" w:type="auto"/>
            <w:gridSpan w:val="3"/>
            <w:shd w:val="clear" w:color="auto" w:fill="auto"/>
          </w:tcPr>
          <w:p w14:paraId="36CA45B2" w14:textId="77777777" w:rsidR="00787570" w:rsidRDefault="00787570">
            <w:pPr>
              <w:rPr>
                <w:rFonts w:ascii="宋体"/>
                <w:vanish/>
              </w:rPr>
            </w:pPr>
          </w:p>
        </w:tc>
        <w:tc>
          <w:tcPr>
            <w:tcW w:w="0" w:type="auto"/>
            <w:gridSpan w:val="3"/>
            <w:shd w:val="clear" w:color="auto" w:fill="auto"/>
          </w:tcPr>
          <w:p w14:paraId="36CA45B3" w14:textId="77777777" w:rsidR="00787570" w:rsidRDefault="00787570">
            <w:pPr>
              <w:rPr>
                <w:rFonts w:ascii="宋体"/>
                <w:vanish/>
              </w:rPr>
            </w:pPr>
          </w:p>
        </w:tc>
      </w:tr>
      <w:tr w:rsidR="00787570" w14:paraId="36CA45B8" w14:textId="77777777">
        <w:trPr>
          <w:hidden/>
        </w:trPr>
        <w:tc>
          <w:tcPr>
            <w:tcW w:w="0" w:type="auto"/>
            <w:gridSpan w:val="3"/>
            <w:shd w:val="clear" w:color="auto" w:fill="auto"/>
          </w:tcPr>
          <w:p w14:paraId="36CA45B5" w14:textId="77777777" w:rsidR="00787570" w:rsidRDefault="00787570">
            <w:pPr>
              <w:rPr>
                <w:rFonts w:ascii="宋体"/>
                <w:vanish/>
              </w:rPr>
            </w:pPr>
          </w:p>
        </w:tc>
        <w:tc>
          <w:tcPr>
            <w:tcW w:w="0" w:type="auto"/>
            <w:gridSpan w:val="3"/>
            <w:shd w:val="clear" w:color="auto" w:fill="auto"/>
          </w:tcPr>
          <w:p w14:paraId="36CA45B6" w14:textId="77777777" w:rsidR="00787570" w:rsidRDefault="00787570">
            <w:pPr>
              <w:rPr>
                <w:rFonts w:ascii="宋体"/>
                <w:vanish/>
              </w:rPr>
            </w:pPr>
          </w:p>
        </w:tc>
        <w:tc>
          <w:tcPr>
            <w:tcW w:w="0" w:type="auto"/>
            <w:gridSpan w:val="3"/>
            <w:shd w:val="clear" w:color="auto" w:fill="auto"/>
          </w:tcPr>
          <w:p w14:paraId="36CA45B7" w14:textId="77777777" w:rsidR="00787570" w:rsidRDefault="00787570">
            <w:pPr>
              <w:rPr>
                <w:rFonts w:ascii="宋体"/>
                <w:vanish/>
              </w:rPr>
            </w:pPr>
          </w:p>
        </w:tc>
      </w:tr>
      <w:tr w:rsidR="00787570" w14:paraId="36CA45BC" w14:textId="77777777">
        <w:trPr>
          <w:hidden/>
        </w:trPr>
        <w:tc>
          <w:tcPr>
            <w:tcW w:w="0" w:type="auto"/>
            <w:gridSpan w:val="3"/>
            <w:shd w:val="clear" w:color="auto" w:fill="auto"/>
          </w:tcPr>
          <w:p w14:paraId="36CA45B9" w14:textId="77777777" w:rsidR="00787570" w:rsidRDefault="00787570">
            <w:pPr>
              <w:rPr>
                <w:rFonts w:ascii="宋体"/>
                <w:vanish/>
              </w:rPr>
            </w:pPr>
          </w:p>
        </w:tc>
        <w:tc>
          <w:tcPr>
            <w:tcW w:w="0" w:type="auto"/>
            <w:gridSpan w:val="3"/>
            <w:shd w:val="clear" w:color="auto" w:fill="auto"/>
          </w:tcPr>
          <w:p w14:paraId="36CA45BA" w14:textId="77777777" w:rsidR="00787570" w:rsidRDefault="00787570">
            <w:pPr>
              <w:rPr>
                <w:rFonts w:ascii="宋体"/>
                <w:vanish/>
              </w:rPr>
            </w:pPr>
          </w:p>
        </w:tc>
        <w:tc>
          <w:tcPr>
            <w:tcW w:w="0" w:type="auto"/>
            <w:gridSpan w:val="3"/>
            <w:shd w:val="clear" w:color="auto" w:fill="auto"/>
          </w:tcPr>
          <w:p w14:paraId="36CA45BB" w14:textId="77777777" w:rsidR="00787570" w:rsidRDefault="00787570">
            <w:pPr>
              <w:rPr>
                <w:rFonts w:ascii="宋体"/>
                <w:vanish/>
              </w:rPr>
            </w:pPr>
          </w:p>
        </w:tc>
      </w:tr>
      <w:tr w:rsidR="00787570" w14:paraId="36CA45C0" w14:textId="77777777">
        <w:tc>
          <w:tcPr>
            <w:tcW w:w="0" w:type="auto"/>
            <w:gridSpan w:val="3"/>
            <w:shd w:val="clear" w:color="auto" w:fill="auto"/>
            <w:tcMar>
              <w:top w:w="40" w:type="dxa"/>
              <w:left w:w="20" w:type="dxa"/>
              <w:bottom w:w="40" w:type="dxa"/>
              <w:right w:w="20" w:type="dxa"/>
            </w:tcMar>
          </w:tcPr>
          <w:p w14:paraId="36CA45BD" w14:textId="77777777" w:rsidR="00787570" w:rsidRDefault="000D56E2">
            <w:pPr>
              <w:textAlignment w:val="top"/>
            </w:pPr>
            <w:r>
              <w:rPr>
                <w:rFonts w:ascii="Arial" w:eastAsia="宋体" w:hAnsi="Arial" w:cs="Arial"/>
                <w:b/>
                <w:bCs/>
                <w:color w:val="0071C5"/>
                <w:sz w:val="18"/>
                <w:szCs w:val="18"/>
              </w:rPr>
              <w:t>PC-centric business</w:t>
            </w:r>
          </w:p>
        </w:tc>
        <w:tc>
          <w:tcPr>
            <w:tcW w:w="0" w:type="auto"/>
            <w:gridSpan w:val="3"/>
            <w:shd w:val="clear" w:color="auto" w:fill="auto"/>
            <w:tcMar>
              <w:left w:w="20" w:type="dxa"/>
              <w:right w:w="20" w:type="dxa"/>
            </w:tcMar>
            <w:vAlign w:val="bottom"/>
          </w:tcPr>
          <w:p w14:paraId="36CA45BE" w14:textId="77777777" w:rsidR="00787570" w:rsidRDefault="00787570">
            <w:pPr>
              <w:rPr>
                <w:rFonts w:ascii="宋体"/>
              </w:rPr>
            </w:pPr>
          </w:p>
        </w:tc>
        <w:tc>
          <w:tcPr>
            <w:tcW w:w="0" w:type="auto"/>
            <w:gridSpan w:val="3"/>
            <w:shd w:val="clear" w:color="auto" w:fill="auto"/>
            <w:tcMar>
              <w:top w:w="40" w:type="dxa"/>
              <w:left w:w="20" w:type="dxa"/>
              <w:bottom w:w="40" w:type="dxa"/>
              <w:right w:w="20" w:type="dxa"/>
            </w:tcMar>
          </w:tcPr>
          <w:p w14:paraId="36CA45BF" w14:textId="77777777" w:rsidR="00787570" w:rsidRDefault="000D56E2">
            <w:pPr>
              <w:textAlignment w:val="top"/>
            </w:pPr>
            <w:r>
              <w:rPr>
                <w:rFonts w:ascii="Arial" w:eastAsia="宋体" w:hAnsi="Arial" w:cs="Arial"/>
                <w:color w:val="333333"/>
                <w:sz w:val="18"/>
                <w:szCs w:val="18"/>
              </w:rPr>
              <w:t xml:space="preserve">Our Client Computing Group (CCG) business, including both </w:t>
            </w:r>
            <w:r>
              <w:rPr>
                <w:rFonts w:ascii="Arial" w:eastAsia="宋体" w:hAnsi="Arial" w:cs="Arial"/>
                <w:color w:val="333333"/>
                <w:sz w:val="18"/>
                <w:szCs w:val="18"/>
              </w:rPr>
              <w:t>platform and adjacent products</w:t>
            </w:r>
          </w:p>
        </w:tc>
      </w:tr>
      <w:tr w:rsidR="00787570" w14:paraId="36CA45C4" w14:textId="77777777">
        <w:tc>
          <w:tcPr>
            <w:tcW w:w="0" w:type="auto"/>
            <w:gridSpan w:val="3"/>
            <w:shd w:val="clear" w:color="auto" w:fill="auto"/>
            <w:tcMar>
              <w:top w:w="40" w:type="dxa"/>
              <w:left w:w="20" w:type="dxa"/>
              <w:bottom w:w="40" w:type="dxa"/>
              <w:right w:w="20" w:type="dxa"/>
            </w:tcMar>
          </w:tcPr>
          <w:p w14:paraId="36CA45C1" w14:textId="77777777" w:rsidR="00787570" w:rsidRDefault="000D56E2">
            <w:pPr>
              <w:textAlignment w:val="top"/>
            </w:pPr>
            <w:r>
              <w:rPr>
                <w:rFonts w:ascii="Arial" w:eastAsia="宋体" w:hAnsi="Arial" w:cs="Arial"/>
                <w:b/>
                <w:bCs/>
                <w:color w:val="0071C5"/>
                <w:sz w:val="18"/>
                <w:szCs w:val="18"/>
              </w:rPr>
              <w:t>Platform products</w:t>
            </w:r>
          </w:p>
        </w:tc>
        <w:tc>
          <w:tcPr>
            <w:tcW w:w="0" w:type="auto"/>
            <w:gridSpan w:val="3"/>
            <w:shd w:val="clear" w:color="auto" w:fill="auto"/>
            <w:tcMar>
              <w:left w:w="20" w:type="dxa"/>
              <w:right w:w="20" w:type="dxa"/>
            </w:tcMar>
            <w:vAlign w:val="bottom"/>
          </w:tcPr>
          <w:p w14:paraId="36CA45C2" w14:textId="77777777" w:rsidR="00787570" w:rsidRDefault="00787570">
            <w:pPr>
              <w:rPr>
                <w:rFonts w:ascii="宋体"/>
              </w:rPr>
            </w:pPr>
          </w:p>
        </w:tc>
        <w:tc>
          <w:tcPr>
            <w:tcW w:w="0" w:type="auto"/>
            <w:gridSpan w:val="3"/>
            <w:shd w:val="clear" w:color="auto" w:fill="auto"/>
            <w:tcMar>
              <w:top w:w="40" w:type="dxa"/>
              <w:left w:w="20" w:type="dxa"/>
              <w:bottom w:w="40" w:type="dxa"/>
              <w:right w:w="20" w:type="dxa"/>
            </w:tcMar>
          </w:tcPr>
          <w:p w14:paraId="36CA45C3" w14:textId="77777777" w:rsidR="00787570" w:rsidRDefault="000D56E2">
            <w:pPr>
              <w:textAlignment w:val="top"/>
            </w:pPr>
            <w:r>
              <w:rPr>
                <w:rFonts w:ascii="Arial" w:eastAsia="宋体" w:hAnsi="Arial" w:cs="Arial"/>
                <w:color w:val="333333"/>
                <w:sz w:val="18"/>
                <w:szCs w:val="18"/>
              </w:rPr>
              <w:t>A microprocessor (CPU) and chipset, a stand-alone SoC, or a multichip package, based on Intel</w:t>
            </w:r>
            <w:r>
              <w:rPr>
                <w:rFonts w:ascii="Arial" w:eastAsia="宋体" w:hAnsi="Arial" w:cs="Arial"/>
                <w:color w:val="333333"/>
                <w:sz w:val="11"/>
                <w:szCs w:val="11"/>
              </w:rPr>
              <w:t>®</w:t>
            </w:r>
            <w:r>
              <w:rPr>
                <w:rFonts w:ascii="Arial" w:eastAsia="宋体" w:hAnsi="Arial" w:cs="Arial"/>
                <w:color w:val="333333"/>
                <w:sz w:val="18"/>
                <w:szCs w:val="18"/>
              </w:rPr>
              <w:t xml:space="preserve"> architecture. Platform products are primarily used in solutions sold through the CCG, DCG, and IOTG </w:t>
            </w:r>
            <w:r>
              <w:rPr>
                <w:rFonts w:ascii="Arial" w:eastAsia="宋体" w:hAnsi="Arial" w:cs="Arial"/>
                <w:color w:val="333333"/>
                <w:sz w:val="18"/>
                <w:szCs w:val="18"/>
              </w:rPr>
              <w:t>segments.</w:t>
            </w:r>
          </w:p>
        </w:tc>
      </w:tr>
      <w:tr w:rsidR="00787570" w14:paraId="36CA45C8" w14:textId="77777777">
        <w:trPr>
          <w:hidden/>
        </w:trPr>
        <w:tc>
          <w:tcPr>
            <w:tcW w:w="0" w:type="auto"/>
            <w:gridSpan w:val="3"/>
            <w:shd w:val="clear" w:color="auto" w:fill="auto"/>
          </w:tcPr>
          <w:p w14:paraId="36CA45C5" w14:textId="77777777" w:rsidR="00787570" w:rsidRDefault="00787570">
            <w:pPr>
              <w:rPr>
                <w:rFonts w:ascii="宋体"/>
                <w:vanish/>
              </w:rPr>
            </w:pPr>
          </w:p>
        </w:tc>
        <w:tc>
          <w:tcPr>
            <w:tcW w:w="0" w:type="auto"/>
            <w:gridSpan w:val="3"/>
            <w:shd w:val="clear" w:color="auto" w:fill="auto"/>
          </w:tcPr>
          <w:p w14:paraId="36CA45C6" w14:textId="77777777" w:rsidR="00787570" w:rsidRDefault="00787570">
            <w:pPr>
              <w:rPr>
                <w:rFonts w:ascii="宋体"/>
                <w:vanish/>
              </w:rPr>
            </w:pPr>
          </w:p>
        </w:tc>
        <w:tc>
          <w:tcPr>
            <w:tcW w:w="0" w:type="auto"/>
            <w:gridSpan w:val="3"/>
            <w:shd w:val="clear" w:color="auto" w:fill="auto"/>
          </w:tcPr>
          <w:p w14:paraId="36CA45C7" w14:textId="77777777" w:rsidR="00787570" w:rsidRDefault="00787570">
            <w:pPr>
              <w:rPr>
                <w:rFonts w:ascii="宋体"/>
                <w:vanish/>
              </w:rPr>
            </w:pPr>
          </w:p>
        </w:tc>
      </w:tr>
      <w:tr w:rsidR="00787570" w14:paraId="36CA45CC" w14:textId="77777777">
        <w:trPr>
          <w:hidden/>
        </w:trPr>
        <w:tc>
          <w:tcPr>
            <w:tcW w:w="0" w:type="auto"/>
            <w:gridSpan w:val="3"/>
            <w:shd w:val="clear" w:color="auto" w:fill="auto"/>
          </w:tcPr>
          <w:p w14:paraId="36CA45C9" w14:textId="77777777" w:rsidR="00787570" w:rsidRDefault="00787570">
            <w:pPr>
              <w:rPr>
                <w:rFonts w:ascii="宋体"/>
                <w:vanish/>
              </w:rPr>
            </w:pPr>
          </w:p>
        </w:tc>
        <w:tc>
          <w:tcPr>
            <w:tcW w:w="0" w:type="auto"/>
            <w:gridSpan w:val="3"/>
            <w:shd w:val="clear" w:color="auto" w:fill="auto"/>
          </w:tcPr>
          <w:p w14:paraId="36CA45CA" w14:textId="77777777" w:rsidR="00787570" w:rsidRDefault="00787570">
            <w:pPr>
              <w:rPr>
                <w:rFonts w:ascii="宋体"/>
                <w:vanish/>
              </w:rPr>
            </w:pPr>
          </w:p>
        </w:tc>
        <w:tc>
          <w:tcPr>
            <w:tcW w:w="0" w:type="auto"/>
            <w:gridSpan w:val="3"/>
            <w:shd w:val="clear" w:color="auto" w:fill="auto"/>
          </w:tcPr>
          <w:p w14:paraId="36CA45CB" w14:textId="77777777" w:rsidR="00787570" w:rsidRDefault="00787570">
            <w:pPr>
              <w:rPr>
                <w:rFonts w:ascii="宋体"/>
                <w:vanish/>
              </w:rPr>
            </w:pPr>
          </w:p>
        </w:tc>
      </w:tr>
      <w:tr w:rsidR="00787570" w14:paraId="36CA45D0" w14:textId="77777777">
        <w:trPr>
          <w:hidden/>
        </w:trPr>
        <w:tc>
          <w:tcPr>
            <w:tcW w:w="0" w:type="auto"/>
            <w:gridSpan w:val="3"/>
            <w:shd w:val="clear" w:color="auto" w:fill="auto"/>
          </w:tcPr>
          <w:p w14:paraId="36CA45CD" w14:textId="77777777" w:rsidR="00787570" w:rsidRDefault="00787570">
            <w:pPr>
              <w:rPr>
                <w:rFonts w:ascii="宋体"/>
                <w:vanish/>
              </w:rPr>
            </w:pPr>
          </w:p>
        </w:tc>
        <w:tc>
          <w:tcPr>
            <w:tcW w:w="0" w:type="auto"/>
            <w:gridSpan w:val="3"/>
            <w:shd w:val="clear" w:color="auto" w:fill="auto"/>
          </w:tcPr>
          <w:p w14:paraId="36CA45CE" w14:textId="77777777" w:rsidR="00787570" w:rsidRDefault="00787570">
            <w:pPr>
              <w:rPr>
                <w:rFonts w:ascii="宋体"/>
                <w:vanish/>
              </w:rPr>
            </w:pPr>
          </w:p>
        </w:tc>
        <w:tc>
          <w:tcPr>
            <w:tcW w:w="0" w:type="auto"/>
            <w:gridSpan w:val="3"/>
            <w:shd w:val="clear" w:color="auto" w:fill="auto"/>
          </w:tcPr>
          <w:p w14:paraId="36CA45CF" w14:textId="77777777" w:rsidR="00787570" w:rsidRDefault="00787570">
            <w:pPr>
              <w:rPr>
                <w:rFonts w:ascii="宋体"/>
                <w:vanish/>
              </w:rPr>
            </w:pPr>
          </w:p>
        </w:tc>
      </w:tr>
      <w:tr w:rsidR="00787570" w14:paraId="36CA45D4" w14:textId="77777777">
        <w:trPr>
          <w:hidden/>
        </w:trPr>
        <w:tc>
          <w:tcPr>
            <w:tcW w:w="0" w:type="auto"/>
            <w:gridSpan w:val="3"/>
            <w:shd w:val="clear" w:color="auto" w:fill="auto"/>
          </w:tcPr>
          <w:p w14:paraId="36CA45D1" w14:textId="77777777" w:rsidR="00787570" w:rsidRDefault="00787570">
            <w:pPr>
              <w:rPr>
                <w:rFonts w:ascii="宋体"/>
                <w:vanish/>
              </w:rPr>
            </w:pPr>
          </w:p>
        </w:tc>
        <w:tc>
          <w:tcPr>
            <w:tcW w:w="0" w:type="auto"/>
            <w:gridSpan w:val="3"/>
            <w:shd w:val="clear" w:color="auto" w:fill="auto"/>
          </w:tcPr>
          <w:p w14:paraId="36CA45D2" w14:textId="77777777" w:rsidR="00787570" w:rsidRDefault="00787570">
            <w:pPr>
              <w:rPr>
                <w:rFonts w:ascii="宋体"/>
                <w:vanish/>
              </w:rPr>
            </w:pPr>
          </w:p>
        </w:tc>
        <w:tc>
          <w:tcPr>
            <w:tcW w:w="0" w:type="auto"/>
            <w:gridSpan w:val="3"/>
            <w:shd w:val="clear" w:color="auto" w:fill="auto"/>
          </w:tcPr>
          <w:p w14:paraId="36CA45D3" w14:textId="77777777" w:rsidR="00787570" w:rsidRDefault="00787570">
            <w:pPr>
              <w:rPr>
                <w:rFonts w:ascii="宋体"/>
                <w:vanish/>
              </w:rPr>
            </w:pPr>
          </w:p>
        </w:tc>
      </w:tr>
      <w:tr w:rsidR="00787570" w14:paraId="36CA45D8" w14:textId="77777777">
        <w:trPr>
          <w:hidden/>
        </w:trPr>
        <w:tc>
          <w:tcPr>
            <w:tcW w:w="0" w:type="auto"/>
            <w:gridSpan w:val="3"/>
            <w:shd w:val="clear" w:color="auto" w:fill="auto"/>
          </w:tcPr>
          <w:p w14:paraId="36CA45D5" w14:textId="77777777" w:rsidR="00787570" w:rsidRDefault="00787570">
            <w:pPr>
              <w:rPr>
                <w:rFonts w:ascii="宋体"/>
                <w:vanish/>
              </w:rPr>
            </w:pPr>
          </w:p>
        </w:tc>
        <w:tc>
          <w:tcPr>
            <w:tcW w:w="0" w:type="auto"/>
            <w:gridSpan w:val="3"/>
            <w:shd w:val="clear" w:color="auto" w:fill="auto"/>
          </w:tcPr>
          <w:p w14:paraId="36CA45D6" w14:textId="77777777" w:rsidR="00787570" w:rsidRDefault="00787570">
            <w:pPr>
              <w:rPr>
                <w:rFonts w:ascii="宋体"/>
                <w:vanish/>
              </w:rPr>
            </w:pPr>
          </w:p>
        </w:tc>
        <w:tc>
          <w:tcPr>
            <w:tcW w:w="0" w:type="auto"/>
            <w:gridSpan w:val="3"/>
            <w:shd w:val="clear" w:color="auto" w:fill="auto"/>
          </w:tcPr>
          <w:p w14:paraId="36CA45D7" w14:textId="77777777" w:rsidR="00787570" w:rsidRDefault="00787570">
            <w:pPr>
              <w:rPr>
                <w:rFonts w:ascii="宋体"/>
                <w:vanish/>
              </w:rPr>
            </w:pPr>
          </w:p>
        </w:tc>
      </w:tr>
      <w:tr w:rsidR="00787570" w14:paraId="36CA45DC" w14:textId="77777777">
        <w:tc>
          <w:tcPr>
            <w:tcW w:w="0" w:type="auto"/>
            <w:gridSpan w:val="3"/>
            <w:shd w:val="clear" w:color="auto" w:fill="auto"/>
            <w:tcMar>
              <w:top w:w="40" w:type="dxa"/>
              <w:left w:w="20" w:type="dxa"/>
              <w:bottom w:w="40" w:type="dxa"/>
              <w:right w:w="20" w:type="dxa"/>
            </w:tcMar>
          </w:tcPr>
          <w:p w14:paraId="36CA45D9" w14:textId="77777777" w:rsidR="00787570" w:rsidRDefault="000D56E2">
            <w:pPr>
              <w:textAlignment w:val="top"/>
            </w:pPr>
            <w:r>
              <w:rPr>
                <w:rFonts w:ascii="Arial" w:eastAsia="宋体" w:hAnsi="Arial" w:cs="Arial"/>
                <w:b/>
                <w:bCs/>
                <w:color w:val="0071C5"/>
                <w:sz w:val="18"/>
                <w:szCs w:val="18"/>
              </w:rPr>
              <w:t>QLC</w:t>
            </w:r>
          </w:p>
        </w:tc>
        <w:tc>
          <w:tcPr>
            <w:tcW w:w="0" w:type="auto"/>
            <w:gridSpan w:val="3"/>
            <w:shd w:val="clear" w:color="auto" w:fill="auto"/>
            <w:tcMar>
              <w:left w:w="20" w:type="dxa"/>
              <w:right w:w="20" w:type="dxa"/>
            </w:tcMar>
            <w:vAlign w:val="bottom"/>
          </w:tcPr>
          <w:p w14:paraId="36CA45DA" w14:textId="77777777" w:rsidR="00787570" w:rsidRDefault="00787570">
            <w:pPr>
              <w:rPr>
                <w:rFonts w:ascii="宋体"/>
              </w:rPr>
            </w:pPr>
          </w:p>
        </w:tc>
        <w:tc>
          <w:tcPr>
            <w:tcW w:w="0" w:type="auto"/>
            <w:gridSpan w:val="3"/>
            <w:shd w:val="clear" w:color="auto" w:fill="auto"/>
            <w:tcMar>
              <w:top w:w="40" w:type="dxa"/>
              <w:left w:w="20" w:type="dxa"/>
              <w:bottom w:w="40" w:type="dxa"/>
              <w:right w:w="20" w:type="dxa"/>
            </w:tcMar>
          </w:tcPr>
          <w:p w14:paraId="36CA45DB" w14:textId="77777777" w:rsidR="00787570" w:rsidRDefault="000D56E2">
            <w:pPr>
              <w:textAlignment w:val="top"/>
            </w:pPr>
            <w:r>
              <w:rPr>
                <w:rFonts w:ascii="Arial" w:eastAsia="宋体" w:hAnsi="Arial" w:cs="Arial"/>
                <w:color w:val="333333"/>
                <w:sz w:val="18"/>
                <w:szCs w:val="18"/>
              </w:rPr>
              <w:t xml:space="preserve">Quad-level cell </w:t>
            </w:r>
          </w:p>
        </w:tc>
      </w:tr>
      <w:tr w:rsidR="00787570" w14:paraId="36CA45E0" w14:textId="77777777">
        <w:tc>
          <w:tcPr>
            <w:tcW w:w="0" w:type="auto"/>
            <w:gridSpan w:val="3"/>
            <w:shd w:val="clear" w:color="auto" w:fill="auto"/>
            <w:tcMar>
              <w:top w:w="40" w:type="dxa"/>
              <w:left w:w="20" w:type="dxa"/>
              <w:bottom w:w="40" w:type="dxa"/>
              <w:right w:w="20" w:type="dxa"/>
            </w:tcMar>
          </w:tcPr>
          <w:p w14:paraId="36CA45DD" w14:textId="77777777" w:rsidR="00787570" w:rsidRDefault="000D56E2">
            <w:pPr>
              <w:textAlignment w:val="top"/>
            </w:pPr>
            <w:r>
              <w:rPr>
                <w:rFonts w:ascii="Arial" w:eastAsia="宋体" w:hAnsi="Arial" w:cs="Arial"/>
                <w:b/>
                <w:bCs/>
                <w:color w:val="0071C5"/>
                <w:sz w:val="18"/>
                <w:szCs w:val="18"/>
              </w:rPr>
              <w:t>R&amp;D</w:t>
            </w:r>
          </w:p>
        </w:tc>
        <w:tc>
          <w:tcPr>
            <w:tcW w:w="0" w:type="auto"/>
            <w:gridSpan w:val="3"/>
            <w:shd w:val="clear" w:color="auto" w:fill="auto"/>
            <w:tcMar>
              <w:left w:w="20" w:type="dxa"/>
              <w:right w:w="20" w:type="dxa"/>
            </w:tcMar>
            <w:vAlign w:val="bottom"/>
          </w:tcPr>
          <w:p w14:paraId="36CA45DE" w14:textId="77777777" w:rsidR="00787570" w:rsidRDefault="00787570">
            <w:pPr>
              <w:rPr>
                <w:rFonts w:ascii="宋体"/>
              </w:rPr>
            </w:pPr>
          </w:p>
        </w:tc>
        <w:tc>
          <w:tcPr>
            <w:tcW w:w="0" w:type="auto"/>
            <w:gridSpan w:val="3"/>
            <w:shd w:val="clear" w:color="auto" w:fill="auto"/>
            <w:tcMar>
              <w:top w:w="40" w:type="dxa"/>
              <w:left w:w="20" w:type="dxa"/>
              <w:bottom w:w="40" w:type="dxa"/>
              <w:right w:w="20" w:type="dxa"/>
            </w:tcMar>
          </w:tcPr>
          <w:p w14:paraId="36CA45DF" w14:textId="77777777" w:rsidR="00787570" w:rsidRDefault="000D56E2">
            <w:pPr>
              <w:textAlignment w:val="top"/>
            </w:pPr>
            <w:r>
              <w:rPr>
                <w:rFonts w:ascii="Arial" w:eastAsia="宋体" w:hAnsi="Arial" w:cs="Arial"/>
                <w:color w:val="333333"/>
                <w:sz w:val="18"/>
                <w:szCs w:val="18"/>
              </w:rPr>
              <w:t>Research and development</w:t>
            </w:r>
          </w:p>
        </w:tc>
      </w:tr>
      <w:tr w:rsidR="00787570" w14:paraId="36CA45E4" w14:textId="77777777">
        <w:trPr>
          <w:hidden/>
        </w:trPr>
        <w:tc>
          <w:tcPr>
            <w:tcW w:w="0" w:type="auto"/>
            <w:gridSpan w:val="3"/>
            <w:shd w:val="clear" w:color="auto" w:fill="auto"/>
          </w:tcPr>
          <w:p w14:paraId="36CA45E1" w14:textId="77777777" w:rsidR="00787570" w:rsidRDefault="00787570">
            <w:pPr>
              <w:rPr>
                <w:rFonts w:ascii="宋体"/>
                <w:vanish/>
              </w:rPr>
            </w:pPr>
          </w:p>
        </w:tc>
        <w:tc>
          <w:tcPr>
            <w:tcW w:w="0" w:type="auto"/>
            <w:gridSpan w:val="3"/>
            <w:shd w:val="clear" w:color="auto" w:fill="auto"/>
          </w:tcPr>
          <w:p w14:paraId="36CA45E2" w14:textId="77777777" w:rsidR="00787570" w:rsidRDefault="00787570">
            <w:pPr>
              <w:rPr>
                <w:rFonts w:ascii="宋体"/>
                <w:vanish/>
              </w:rPr>
            </w:pPr>
          </w:p>
        </w:tc>
        <w:tc>
          <w:tcPr>
            <w:tcW w:w="0" w:type="auto"/>
            <w:gridSpan w:val="3"/>
            <w:shd w:val="clear" w:color="auto" w:fill="auto"/>
          </w:tcPr>
          <w:p w14:paraId="36CA45E3" w14:textId="77777777" w:rsidR="00787570" w:rsidRDefault="00787570">
            <w:pPr>
              <w:rPr>
                <w:rFonts w:ascii="宋体"/>
                <w:vanish/>
              </w:rPr>
            </w:pPr>
          </w:p>
        </w:tc>
      </w:tr>
      <w:tr w:rsidR="00787570" w14:paraId="36CA45E8" w14:textId="77777777">
        <w:trPr>
          <w:hidden/>
        </w:trPr>
        <w:tc>
          <w:tcPr>
            <w:tcW w:w="0" w:type="auto"/>
            <w:gridSpan w:val="3"/>
            <w:shd w:val="clear" w:color="auto" w:fill="auto"/>
          </w:tcPr>
          <w:p w14:paraId="36CA45E5" w14:textId="77777777" w:rsidR="00787570" w:rsidRDefault="00787570">
            <w:pPr>
              <w:rPr>
                <w:rFonts w:ascii="宋体"/>
                <w:vanish/>
              </w:rPr>
            </w:pPr>
          </w:p>
        </w:tc>
        <w:tc>
          <w:tcPr>
            <w:tcW w:w="0" w:type="auto"/>
            <w:gridSpan w:val="3"/>
            <w:shd w:val="clear" w:color="auto" w:fill="auto"/>
          </w:tcPr>
          <w:p w14:paraId="36CA45E6" w14:textId="77777777" w:rsidR="00787570" w:rsidRDefault="00787570">
            <w:pPr>
              <w:rPr>
                <w:rFonts w:ascii="宋体"/>
                <w:vanish/>
              </w:rPr>
            </w:pPr>
          </w:p>
        </w:tc>
        <w:tc>
          <w:tcPr>
            <w:tcW w:w="0" w:type="auto"/>
            <w:gridSpan w:val="3"/>
            <w:shd w:val="clear" w:color="auto" w:fill="auto"/>
          </w:tcPr>
          <w:p w14:paraId="36CA45E7" w14:textId="77777777" w:rsidR="00787570" w:rsidRDefault="00787570">
            <w:pPr>
              <w:rPr>
                <w:rFonts w:ascii="宋体"/>
                <w:vanish/>
              </w:rPr>
            </w:pPr>
          </w:p>
        </w:tc>
      </w:tr>
      <w:tr w:rsidR="00787570" w14:paraId="36CA45EC" w14:textId="77777777">
        <w:trPr>
          <w:hidden/>
        </w:trPr>
        <w:tc>
          <w:tcPr>
            <w:tcW w:w="0" w:type="auto"/>
            <w:gridSpan w:val="3"/>
            <w:shd w:val="clear" w:color="auto" w:fill="auto"/>
          </w:tcPr>
          <w:p w14:paraId="36CA45E9" w14:textId="77777777" w:rsidR="00787570" w:rsidRDefault="00787570">
            <w:pPr>
              <w:rPr>
                <w:rFonts w:ascii="宋体"/>
                <w:vanish/>
              </w:rPr>
            </w:pPr>
          </w:p>
        </w:tc>
        <w:tc>
          <w:tcPr>
            <w:tcW w:w="0" w:type="auto"/>
            <w:gridSpan w:val="3"/>
            <w:shd w:val="clear" w:color="auto" w:fill="auto"/>
          </w:tcPr>
          <w:p w14:paraId="36CA45EA" w14:textId="77777777" w:rsidR="00787570" w:rsidRDefault="00787570">
            <w:pPr>
              <w:rPr>
                <w:rFonts w:ascii="宋体"/>
                <w:vanish/>
              </w:rPr>
            </w:pPr>
          </w:p>
        </w:tc>
        <w:tc>
          <w:tcPr>
            <w:tcW w:w="0" w:type="auto"/>
            <w:gridSpan w:val="3"/>
            <w:shd w:val="clear" w:color="auto" w:fill="auto"/>
          </w:tcPr>
          <w:p w14:paraId="36CA45EB" w14:textId="77777777" w:rsidR="00787570" w:rsidRDefault="00787570">
            <w:pPr>
              <w:rPr>
                <w:rFonts w:ascii="宋体"/>
                <w:vanish/>
              </w:rPr>
            </w:pPr>
          </w:p>
        </w:tc>
      </w:tr>
      <w:tr w:rsidR="00787570" w14:paraId="36CA45F0" w14:textId="77777777">
        <w:tc>
          <w:tcPr>
            <w:tcW w:w="0" w:type="auto"/>
            <w:gridSpan w:val="3"/>
            <w:shd w:val="clear" w:color="auto" w:fill="auto"/>
            <w:tcMar>
              <w:top w:w="40" w:type="dxa"/>
              <w:left w:w="20" w:type="dxa"/>
              <w:bottom w:w="40" w:type="dxa"/>
              <w:right w:w="20" w:type="dxa"/>
            </w:tcMar>
          </w:tcPr>
          <w:p w14:paraId="36CA45ED" w14:textId="77777777" w:rsidR="00787570" w:rsidRDefault="000D56E2">
            <w:pPr>
              <w:textAlignment w:val="top"/>
            </w:pPr>
            <w:r>
              <w:rPr>
                <w:rFonts w:ascii="Arial" w:eastAsia="宋体" w:hAnsi="Arial" w:cs="Arial"/>
                <w:b/>
                <w:bCs/>
                <w:color w:val="0071C5"/>
                <w:sz w:val="18"/>
                <w:szCs w:val="18"/>
              </w:rPr>
              <w:t xml:space="preserve">RSU </w:t>
            </w:r>
          </w:p>
        </w:tc>
        <w:tc>
          <w:tcPr>
            <w:tcW w:w="0" w:type="auto"/>
            <w:gridSpan w:val="3"/>
            <w:shd w:val="clear" w:color="auto" w:fill="auto"/>
            <w:tcMar>
              <w:left w:w="20" w:type="dxa"/>
              <w:right w:w="20" w:type="dxa"/>
            </w:tcMar>
            <w:vAlign w:val="bottom"/>
          </w:tcPr>
          <w:p w14:paraId="36CA45EE" w14:textId="77777777" w:rsidR="00787570" w:rsidRDefault="00787570">
            <w:pPr>
              <w:rPr>
                <w:rFonts w:ascii="宋体"/>
              </w:rPr>
            </w:pPr>
          </w:p>
        </w:tc>
        <w:tc>
          <w:tcPr>
            <w:tcW w:w="0" w:type="auto"/>
            <w:gridSpan w:val="3"/>
            <w:shd w:val="clear" w:color="auto" w:fill="auto"/>
            <w:tcMar>
              <w:top w:w="40" w:type="dxa"/>
              <w:left w:w="20" w:type="dxa"/>
              <w:bottom w:w="40" w:type="dxa"/>
              <w:right w:w="20" w:type="dxa"/>
            </w:tcMar>
          </w:tcPr>
          <w:p w14:paraId="36CA45EF" w14:textId="77777777" w:rsidR="00787570" w:rsidRDefault="000D56E2">
            <w:pPr>
              <w:textAlignment w:val="top"/>
            </w:pPr>
            <w:r>
              <w:rPr>
                <w:rFonts w:ascii="Arial" w:eastAsia="宋体" w:hAnsi="Arial" w:cs="Arial"/>
                <w:color w:val="333333"/>
                <w:sz w:val="18"/>
                <w:szCs w:val="18"/>
              </w:rPr>
              <w:t>Restricted stock unit</w:t>
            </w:r>
          </w:p>
        </w:tc>
      </w:tr>
      <w:tr w:rsidR="00787570" w14:paraId="36CA45F4" w14:textId="77777777">
        <w:trPr>
          <w:hidden/>
        </w:trPr>
        <w:tc>
          <w:tcPr>
            <w:tcW w:w="0" w:type="auto"/>
            <w:gridSpan w:val="3"/>
            <w:shd w:val="clear" w:color="auto" w:fill="auto"/>
          </w:tcPr>
          <w:p w14:paraId="36CA45F1" w14:textId="77777777" w:rsidR="00787570" w:rsidRDefault="00787570">
            <w:pPr>
              <w:rPr>
                <w:rFonts w:ascii="宋体"/>
                <w:vanish/>
              </w:rPr>
            </w:pPr>
          </w:p>
        </w:tc>
        <w:tc>
          <w:tcPr>
            <w:tcW w:w="0" w:type="auto"/>
            <w:gridSpan w:val="3"/>
            <w:shd w:val="clear" w:color="auto" w:fill="auto"/>
          </w:tcPr>
          <w:p w14:paraId="36CA45F2" w14:textId="77777777" w:rsidR="00787570" w:rsidRDefault="00787570">
            <w:pPr>
              <w:rPr>
                <w:rFonts w:ascii="宋体"/>
                <w:vanish/>
              </w:rPr>
            </w:pPr>
          </w:p>
        </w:tc>
        <w:tc>
          <w:tcPr>
            <w:tcW w:w="0" w:type="auto"/>
            <w:gridSpan w:val="3"/>
            <w:shd w:val="clear" w:color="auto" w:fill="auto"/>
          </w:tcPr>
          <w:p w14:paraId="36CA45F3" w14:textId="77777777" w:rsidR="00787570" w:rsidRDefault="00787570">
            <w:pPr>
              <w:rPr>
                <w:rFonts w:ascii="宋体"/>
                <w:vanish/>
              </w:rPr>
            </w:pPr>
          </w:p>
        </w:tc>
      </w:tr>
      <w:tr w:rsidR="00787570" w14:paraId="36CA45F8" w14:textId="77777777">
        <w:trPr>
          <w:hidden/>
        </w:trPr>
        <w:tc>
          <w:tcPr>
            <w:tcW w:w="0" w:type="auto"/>
            <w:gridSpan w:val="3"/>
            <w:shd w:val="clear" w:color="auto" w:fill="auto"/>
          </w:tcPr>
          <w:p w14:paraId="36CA45F5" w14:textId="77777777" w:rsidR="00787570" w:rsidRDefault="00787570">
            <w:pPr>
              <w:rPr>
                <w:rFonts w:ascii="宋体"/>
                <w:vanish/>
              </w:rPr>
            </w:pPr>
          </w:p>
        </w:tc>
        <w:tc>
          <w:tcPr>
            <w:tcW w:w="0" w:type="auto"/>
            <w:gridSpan w:val="3"/>
            <w:shd w:val="clear" w:color="auto" w:fill="auto"/>
          </w:tcPr>
          <w:p w14:paraId="36CA45F6" w14:textId="77777777" w:rsidR="00787570" w:rsidRDefault="00787570">
            <w:pPr>
              <w:rPr>
                <w:rFonts w:ascii="宋体"/>
                <w:vanish/>
              </w:rPr>
            </w:pPr>
          </w:p>
        </w:tc>
        <w:tc>
          <w:tcPr>
            <w:tcW w:w="0" w:type="auto"/>
            <w:gridSpan w:val="3"/>
            <w:shd w:val="clear" w:color="auto" w:fill="auto"/>
          </w:tcPr>
          <w:p w14:paraId="36CA45F7" w14:textId="77777777" w:rsidR="00787570" w:rsidRDefault="00787570">
            <w:pPr>
              <w:rPr>
                <w:rFonts w:ascii="宋体"/>
                <w:vanish/>
              </w:rPr>
            </w:pPr>
          </w:p>
        </w:tc>
      </w:tr>
      <w:tr w:rsidR="00787570" w14:paraId="36CA45FC" w14:textId="77777777">
        <w:trPr>
          <w:hidden/>
        </w:trPr>
        <w:tc>
          <w:tcPr>
            <w:tcW w:w="0" w:type="auto"/>
            <w:gridSpan w:val="3"/>
            <w:shd w:val="clear" w:color="auto" w:fill="auto"/>
          </w:tcPr>
          <w:p w14:paraId="36CA45F9" w14:textId="77777777" w:rsidR="00787570" w:rsidRDefault="00787570">
            <w:pPr>
              <w:rPr>
                <w:rFonts w:ascii="宋体"/>
                <w:vanish/>
              </w:rPr>
            </w:pPr>
          </w:p>
        </w:tc>
        <w:tc>
          <w:tcPr>
            <w:tcW w:w="0" w:type="auto"/>
            <w:gridSpan w:val="3"/>
            <w:shd w:val="clear" w:color="auto" w:fill="auto"/>
          </w:tcPr>
          <w:p w14:paraId="36CA45FA" w14:textId="77777777" w:rsidR="00787570" w:rsidRDefault="00787570">
            <w:pPr>
              <w:rPr>
                <w:rFonts w:ascii="宋体"/>
                <w:vanish/>
              </w:rPr>
            </w:pPr>
          </w:p>
        </w:tc>
        <w:tc>
          <w:tcPr>
            <w:tcW w:w="0" w:type="auto"/>
            <w:gridSpan w:val="3"/>
            <w:shd w:val="clear" w:color="auto" w:fill="auto"/>
          </w:tcPr>
          <w:p w14:paraId="36CA45FB" w14:textId="77777777" w:rsidR="00787570" w:rsidRDefault="00787570">
            <w:pPr>
              <w:rPr>
                <w:rFonts w:ascii="宋体"/>
                <w:vanish/>
              </w:rPr>
            </w:pPr>
          </w:p>
        </w:tc>
      </w:tr>
      <w:tr w:rsidR="00787570" w14:paraId="36CA4600" w14:textId="77777777">
        <w:trPr>
          <w:hidden/>
        </w:trPr>
        <w:tc>
          <w:tcPr>
            <w:tcW w:w="0" w:type="auto"/>
            <w:gridSpan w:val="3"/>
            <w:shd w:val="clear" w:color="auto" w:fill="auto"/>
          </w:tcPr>
          <w:p w14:paraId="36CA45FD" w14:textId="77777777" w:rsidR="00787570" w:rsidRDefault="00787570">
            <w:pPr>
              <w:rPr>
                <w:rFonts w:ascii="宋体"/>
                <w:vanish/>
              </w:rPr>
            </w:pPr>
          </w:p>
        </w:tc>
        <w:tc>
          <w:tcPr>
            <w:tcW w:w="0" w:type="auto"/>
            <w:gridSpan w:val="3"/>
            <w:shd w:val="clear" w:color="auto" w:fill="auto"/>
          </w:tcPr>
          <w:p w14:paraId="36CA45FE" w14:textId="77777777" w:rsidR="00787570" w:rsidRDefault="00787570">
            <w:pPr>
              <w:rPr>
                <w:rFonts w:ascii="宋体"/>
                <w:vanish/>
              </w:rPr>
            </w:pPr>
          </w:p>
        </w:tc>
        <w:tc>
          <w:tcPr>
            <w:tcW w:w="0" w:type="auto"/>
            <w:gridSpan w:val="3"/>
            <w:shd w:val="clear" w:color="auto" w:fill="auto"/>
          </w:tcPr>
          <w:p w14:paraId="36CA45FF" w14:textId="77777777" w:rsidR="00787570" w:rsidRDefault="00787570">
            <w:pPr>
              <w:rPr>
                <w:rFonts w:ascii="宋体"/>
                <w:vanish/>
              </w:rPr>
            </w:pPr>
          </w:p>
        </w:tc>
      </w:tr>
      <w:tr w:rsidR="00787570" w14:paraId="36CA4604" w14:textId="77777777">
        <w:tc>
          <w:tcPr>
            <w:tcW w:w="0" w:type="auto"/>
            <w:gridSpan w:val="3"/>
            <w:shd w:val="clear" w:color="auto" w:fill="auto"/>
            <w:tcMar>
              <w:top w:w="40" w:type="dxa"/>
              <w:left w:w="20" w:type="dxa"/>
              <w:bottom w:w="40" w:type="dxa"/>
              <w:right w:w="20" w:type="dxa"/>
            </w:tcMar>
          </w:tcPr>
          <w:p w14:paraId="36CA4601" w14:textId="77777777" w:rsidR="00787570" w:rsidRDefault="000D56E2">
            <w:pPr>
              <w:textAlignment w:val="top"/>
            </w:pPr>
            <w:r>
              <w:rPr>
                <w:rFonts w:ascii="Arial" w:eastAsia="宋体" w:hAnsi="Arial" w:cs="Arial"/>
                <w:b/>
                <w:bCs/>
                <w:color w:val="0071C5"/>
                <w:sz w:val="18"/>
                <w:szCs w:val="18"/>
              </w:rPr>
              <w:t>SEC</w:t>
            </w:r>
          </w:p>
        </w:tc>
        <w:tc>
          <w:tcPr>
            <w:tcW w:w="0" w:type="auto"/>
            <w:gridSpan w:val="3"/>
            <w:shd w:val="clear" w:color="auto" w:fill="auto"/>
            <w:tcMar>
              <w:left w:w="20" w:type="dxa"/>
              <w:right w:w="20" w:type="dxa"/>
            </w:tcMar>
            <w:vAlign w:val="bottom"/>
          </w:tcPr>
          <w:p w14:paraId="36CA4602" w14:textId="77777777" w:rsidR="00787570" w:rsidRDefault="00787570">
            <w:pPr>
              <w:rPr>
                <w:rFonts w:ascii="宋体"/>
              </w:rPr>
            </w:pPr>
          </w:p>
        </w:tc>
        <w:tc>
          <w:tcPr>
            <w:tcW w:w="0" w:type="auto"/>
            <w:gridSpan w:val="3"/>
            <w:shd w:val="clear" w:color="auto" w:fill="auto"/>
            <w:tcMar>
              <w:top w:w="40" w:type="dxa"/>
              <w:left w:w="20" w:type="dxa"/>
              <w:bottom w:w="40" w:type="dxa"/>
              <w:right w:w="20" w:type="dxa"/>
            </w:tcMar>
          </w:tcPr>
          <w:p w14:paraId="36CA4603" w14:textId="77777777" w:rsidR="00787570" w:rsidRDefault="000D56E2">
            <w:pPr>
              <w:textAlignment w:val="top"/>
            </w:pPr>
            <w:r>
              <w:rPr>
                <w:rFonts w:ascii="Arial" w:eastAsia="宋体" w:hAnsi="Arial" w:cs="Arial"/>
                <w:color w:val="333333"/>
                <w:sz w:val="18"/>
                <w:szCs w:val="18"/>
              </w:rPr>
              <w:t>U.S. Securities and Exchange Commission</w:t>
            </w:r>
          </w:p>
        </w:tc>
      </w:tr>
      <w:tr w:rsidR="00787570" w14:paraId="36CA4608" w14:textId="77777777">
        <w:trPr>
          <w:hidden/>
        </w:trPr>
        <w:tc>
          <w:tcPr>
            <w:tcW w:w="0" w:type="auto"/>
            <w:gridSpan w:val="3"/>
            <w:shd w:val="clear" w:color="auto" w:fill="auto"/>
          </w:tcPr>
          <w:p w14:paraId="36CA4605" w14:textId="77777777" w:rsidR="00787570" w:rsidRDefault="00787570">
            <w:pPr>
              <w:rPr>
                <w:rFonts w:ascii="宋体"/>
                <w:vanish/>
              </w:rPr>
            </w:pPr>
          </w:p>
        </w:tc>
        <w:tc>
          <w:tcPr>
            <w:tcW w:w="0" w:type="auto"/>
            <w:gridSpan w:val="3"/>
            <w:shd w:val="clear" w:color="auto" w:fill="auto"/>
          </w:tcPr>
          <w:p w14:paraId="36CA4606" w14:textId="77777777" w:rsidR="00787570" w:rsidRDefault="00787570">
            <w:pPr>
              <w:rPr>
                <w:rFonts w:ascii="宋体"/>
                <w:vanish/>
              </w:rPr>
            </w:pPr>
          </w:p>
        </w:tc>
        <w:tc>
          <w:tcPr>
            <w:tcW w:w="0" w:type="auto"/>
            <w:gridSpan w:val="3"/>
            <w:shd w:val="clear" w:color="auto" w:fill="auto"/>
          </w:tcPr>
          <w:p w14:paraId="36CA4607" w14:textId="77777777" w:rsidR="00787570" w:rsidRDefault="00787570">
            <w:pPr>
              <w:rPr>
                <w:rFonts w:ascii="宋体"/>
                <w:vanish/>
              </w:rPr>
            </w:pPr>
          </w:p>
        </w:tc>
      </w:tr>
      <w:tr w:rsidR="00787570" w14:paraId="36CA460C" w14:textId="77777777">
        <w:tc>
          <w:tcPr>
            <w:tcW w:w="0" w:type="auto"/>
            <w:gridSpan w:val="3"/>
            <w:shd w:val="clear" w:color="auto" w:fill="auto"/>
            <w:tcMar>
              <w:top w:w="40" w:type="dxa"/>
              <w:left w:w="20" w:type="dxa"/>
              <w:bottom w:w="40" w:type="dxa"/>
              <w:right w:w="20" w:type="dxa"/>
            </w:tcMar>
          </w:tcPr>
          <w:p w14:paraId="36CA4609" w14:textId="77777777" w:rsidR="00787570" w:rsidRDefault="000D56E2">
            <w:pPr>
              <w:textAlignment w:val="top"/>
            </w:pPr>
            <w:r>
              <w:rPr>
                <w:rFonts w:ascii="Arial" w:eastAsia="宋体" w:hAnsi="Arial" w:cs="Arial"/>
                <w:b/>
                <w:bCs/>
                <w:color w:val="0071C5"/>
                <w:sz w:val="18"/>
                <w:szCs w:val="18"/>
              </w:rPr>
              <w:t>SoC</w:t>
            </w:r>
          </w:p>
        </w:tc>
        <w:tc>
          <w:tcPr>
            <w:tcW w:w="0" w:type="auto"/>
            <w:gridSpan w:val="3"/>
            <w:shd w:val="clear" w:color="auto" w:fill="auto"/>
            <w:tcMar>
              <w:left w:w="20" w:type="dxa"/>
              <w:right w:w="20" w:type="dxa"/>
            </w:tcMar>
            <w:vAlign w:val="bottom"/>
          </w:tcPr>
          <w:p w14:paraId="36CA460A" w14:textId="77777777" w:rsidR="00787570" w:rsidRDefault="00787570">
            <w:pPr>
              <w:rPr>
                <w:rFonts w:ascii="宋体"/>
              </w:rPr>
            </w:pPr>
          </w:p>
        </w:tc>
        <w:tc>
          <w:tcPr>
            <w:tcW w:w="0" w:type="auto"/>
            <w:gridSpan w:val="3"/>
            <w:shd w:val="clear" w:color="auto" w:fill="auto"/>
            <w:tcMar>
              <w:top w:w="40" w:type="dxa"/>
              <w:left w:w="20" w:type="dxa"/>
              <w:bottom w:w="40" w:type="dxa"/>
              <w:right w:w="20" w:type="dxa"/>
            </w:tcMar>
          </w:tcPr>
          <w:p w14:paraId="36CA460B" w14:textId="77777777" w:rsidR="00787570" w:rsidRDefault="000D56E2">
            <w:pPr>
              <w:textAlignment w:val="top"/>
            </w:pPr>
            <w:r>
              <w:rPr>
                <w:rFonts w:ascii="Arial" w:eastAsia="宋体" w:hAnsi="Arial" w:cs="Arial"/>
                <w:color w:val="333333"/>
                <w:sz w:val="18"/>
                <w:szCs w:val="18"/>
              </w:rPr>
              <w:t xml:space="preserve">A System-on-a-Chip, integrates most of the </w:t>
            </w:r>
            <w:r>
              <w:rPr>
                <w:rFonts w:ascii="Arial" w:eastAsia="宋体" w:hAnsi="Arial" w:cs="Arial"/>
                <w:color w:val="333333"/>
                <w:sz w:val="18"/>
                <w:szCs w:val="18"/>
              </w:rPr>
              <w:t>components of a computer or other electronic system into a single silicon chip. We offer a range of SoC platform products in DCG, IOTG, and CCG. In our DCG business, we offer SoCs across many market segments for a variety of applications, including product</w:t>
            </w:r>
            <w:r>
              <w:rPr>
                <w:rFonts w:ascii="Arial" w:eastAsia="宋体" w:hAnsi="Arial" w:cs="Arial"/>
                <w:color w:val="333333"/>
                <w:sz w:val="18"/>
                <w:szCs w:val="18"/>
              </w:rPr>
              <w:t>s targeted for 5G base stations and network infrastructure.</w:t>
            </w:r>
          </w:p>
        </w:tc>
      </w:tr>
      <w:tr w:rsidR="00787570" w14:paraId="36CA4610" w14:textId="77777777">
        <w:trPr>
          <w:hidden/>
        </w:trPr>
        <w:tc>
          <w:tcPr>
            <w:tcW w:w="0" w:type="auto"/>
            <w:gridSpan w:val="3"/>
            <w:shd w:val="clear" w:color="auto" w:fill="auto"/>
          </w:tcPr>
          <w:p w14:paraId="36CA460D" w14:textId="77777777" w:rsidR="00787570" w:rsidRDefault="00787570">
            <w:pPr>
              <w:rPr>
                <w:rFonts w:ascii="宋体"/>
                <w:vanish/>
              </w:rPr>
            </w:pPr>
          </w:p>
        </w:tc>
        <w:tc>
          <w:tcPr>
            <w:tcW w:w="0" w:type="auto"/>
            <w:gridSpan w:val="3"/>
            <w:shd w:val="clear" w:color="auto" w:fill="auto"/>
          </w:tcPr>
          <w:p w14:paraId="36CA460E" w14:textId="77777777" w:rsidR="00787570" w:rsidRDefault="00787570">
            <w:pPr>
              <w:rPr>
                <w:rFonts w:ascii="宋体"/>
                <w:vanish/>
              </w:rPr>
            </w:pPr>
          </w:p>
        </w:tc>
        <w:tc>
          <w:tcPr>
            <w:tcW w:w="0" w:type="auto"/>
            <w:gridSpan w:val="3"/>
            <w:shd w:val="clear" w:color="auto" w:fill="auto"/>
          </w:tcPr>
          <w:p w14:paraId="36CA460F" w14:textId="77777777" w:rsidR="00787570" w:rsidRDefault="00787570">
            <w:pPr>
              <w:rPr>
                <w:rFonts w:ascii="宋体"/>
                <w:vanish/>
              </w:rPr>
            </w:pPr>
          </w:p>
        </w:tc>
      </w:tr>
      <w:tr w:rsidR="00787570" w14:paraId="36CA4614" w14:textId="77777777">
        <w:trPr>
          <w:hidden/>
        </w:trPr>
        <w:tc>
          <w:tcPr>
            <w:tcW w:w="0" w:type="auto"/>
            <w:gridSpan w:val="3"/>
            <w:shd w:val="clear" w:color="auto" w:fill="auto"/>
          </w:tcPr>
          <w:p w14:paraId="36CA4611" w14:textId="77777777" w:rsidR="00787570" w:rsidRDefault="00787570">
            <w:pPr>
              <w:rPr>
                <w:rFonts w:ascii="宋体"/>
                <w:vanish/>
              </w:rPr>
            </w:pPr>
          </w:p>
        </w:tc>
        <w:tc>
          <w:tcPr>
            <w:tcW w:w="0" w:type="auto"/>
            <w:gridSpan w:val="3"/>
            <w:shd w:val="clear" w:color="auto" w:fill="auto"/>
          </w:tcPr>
          <w:p w14:paraId="36CA4612" w14:textId="77777777" w:rsidR="00787570" w:rsidRDefault="00787570">
            <w:pPr>
              <w:rPr>
                <w:rFonts w:ascii="宋体"/>
                <w:vanish/>
              </w:rPr>
            </w:pPr>
          </w:p>
        </w:tc>
        <w:tc>
          <w:tcPr>
            <w:tcW w:w="0" w:type="auto"/>
            <w:gridSpan w:val="3"/>
            <w:shd w:val="clear" w:color="auto" w:fill="auto"/>
          </w:tcPr>
          <w:p w14:paraId="36CA4613" w14:textId="77777777" w:rsidR="00787570" w:rsidRDefault="00787570">
            <w:pPr>
              <w:rPr>
                <w:rFonts w:ascii="宋体"/>
                <w:vanish/>
              </w:rPr>
            </w:pPr>
          </w:p>
        </w:tc>
      </w:tr>
      <w:tr w:rsidR="00787570" w14:paraId="36CA4618" w14:textId="77777777">
        <w:tc>
          <w:tcPr>
            <w:tcW w:w="0" w:type="auto"/>
            <w:gridSpan w:val="3"/>
            <w:shd w:val="clear" w:color="auto" w:fill="auto"/>
            <w:tcMar>
              <w:top w:w="40" w:type="dxa"/>
              <w:left w:w="20" w:type="dxa"/>
              <w:bottom w:w="40" w:type="dxa"/>
              <w:right w:w="20" w:type="dxa"/>
            </w:tcMar>
          </w:tcPr>
          <w:p w14:paraId="36CA4615" w14:textId="77777777" w:rsidR="00787570" w:rsidRDefault="000D56E2">
            <w:pPr>
              <w:textAlignment w:val="top"/>
            </w:pPr>
            <w:r>
              <w:rPr>
                <w:rFonts w:ascii="Arial" w:eastAsia="宋体" w:hAnsi="Arial" w:cs="Arial"/>
                <w:b/>
                <w:bCs/>
                <w:color w:val="0071C5"/>
                <w:sz w:val="18"/>
                <w:szCs w:val="18"/>
              </w:rPr>
              <w:t>SSD</w:t>
            </w:r>
          </w:p>
        </w:tc>
        <w:tc>
          <w:tcPr>
            <w:tcW w:w="0" w:type="auto"/>
            <w:gridSpan w:val="3"/>
            <w:shd w:val="clear" w:color="auto" w:fill="auto"/>
            <w:tcMar>
              <w:left w:w="20" w:type="dxa"/>
              <w:right w:w="20" w:type="dxa"/>
            </w:tcMar>
            <w:vAlign w:val="bottom"/>
          </w:tcPr>
          <w:p w14:paraId="36CA4616" w14:textId="77777777" w:rsidR="00787570" w:rsidRDefault="00787570">
            <w:pPr>
              <w:rPr>
                <w:rFonts w:ascii="宋体"/>
              </w:rPr>
            </w:pPr>
          </w:p>
        </w:tc>
        <w:tc>
          <w:tcPr>
            <w:tcW w:w="0" w:type="auto"/>
            <w:gridSpan w:val="3"/>
            <w:shd w:val="clear" w:color="auto" w:fill="auto"/>
            <w:tcMar>
              <w:top w:w="40" w:type="dxa"/>
              <w:left w:w="20" w:type="dxa"/>
              <w:bottom w:w="40" w:type="dxa"/>
              <w:right w:w="20" w:type="dxa"/>
            </w:tcMar>
          </w:tcPr>
          <w:p w14:paraId="36CA4617" w14:textId="77777777" w:rsidR="00787570" w:rsidRDefault="000D56E2">
            <w:pPr>
              <w:textAlignment w:val="top"/>
            </w:pPr>
            <w:r>
              <w:rPr>
                <w:rFonts w:ascii="Arial" w:eastAsia="宋体" w:hAnsi="Arial" w:cs="Arial"/>
                <w:color w:val="333333"/>
                <w:sz w:val="18"/>
                <w:szCs w:val="18"/>
              </w:rPr>
              <w:t>Solid-state drive</w:t>
            </w:r>
          </w:p>
        </w:tc>
      </w:tr>
      <w:tr w:rsidR="00787570" w14:paraId="36CA461C" w14:textId="77777777">
        <w:trPr>
          <w:hidden/>
        </w:trPr>
        <w:tc>
          <w:tcPr>
            <w:tcW w:w="0" w:type="auto"/>
            <w:gridSpan w:val="3"/>
            <w:shd w:val="clear" w:color="auto" w:fill="auto"/>
          </w:tcPr>
          <w:p w14:paraId="36CA4619" w14:textId="77777777" w:rsidR="00787570" w:rsidRDefault="00787570">
            <w:pPr>
              <w:rPr>
                <w:rFonts w:ascii="宋体"/>
                <w:vanish/>
              </w:rPr>
            </w:pPr>
          </w:p>
        </w:tc>
        <w:tc>
          <w:tcPr>
            <w:tcW w:w="0" w:type="auto"/>
            <w:gridSpan w:val="3"/>
            <w:shd w:val="clear" w:color="auto" w:fill="auto"/>
          </w:tcPr>
          <w:p w14:paraId="36CA461A" w14:textId="77777777" w:rsidR="00787570" w:rsidRDefault="00787570">
            <w:pPr>
              <w:rPr>
                <w:rFonts w:ascii="宋体"/>
                <w:vanish/>
              </w:rPr>
            </w:pPr>
          </w:p>
        </w:tc>
        <w:tc>
          <w:tcPr>
            <w:tcW w:w="0" w:type="auto"/>
            <w:gridSpan w:val="3"/>
            <w:shd w:val="clear" w:color="auto" w:fill="auto"/>
          </w:tcPr>
          <w:p w14:paraId="36CA461B" w14:textId="77777777" w:rsidR="00787570" w:rsidRDefault="00787570">
            <w:pPr>
              <w:rPr>
                <w:rFonts w:ascii="宋体"/>
                <w:vanish/>
              </w:rPr>
            </w:pPr>
          </w:p>
        </w:tc>
      </w:tr>
      <w:tr w:rsidR="00787570" w14:paraId="36CA4620" w14:textId="77777777">
        <w:trPr>
          <w:hidden/>
        </w:trPr>
        <w:tc>
          <w:tcPr>
            <w:tcW w:w="0" w:type="auto"/>
            <w:gridSpan w:val="3"/>
            <w:shd w:val="clear" w:color="auto" w:fill="auto"/>
          </w:tcPr>
          <w:p w14:paraId="36CA461D" w14:textId="77777777" w:rsidR="00787570" w:rsidRDefault="00787570">
            <w:pPr>
              <w:rPr>
                <w:rFonts w:ascii="宋体"/>
                <w:vanish/>
              </w:rPr>
            </w:pPr>
          </w:p>
        </w:tc>
        <w:tc>
          <w:tcPr>
            <w:tcW w:w="0" w:type="auto"/>
            <w:gridSpan w:val="3"/>
            <w:shd w:val="clear" w:color="auto" w:fill="auto"/>
          </w:tcPr>
          <w:p w14:paraId="36CA461E" w14:textId="77777777" w:rsidR="00787570" w:rsidRDefault="00787570">
            <w:pPr>
              <w:rPr>
                <w:rFonts w:ascii="宋体"/>
                <w:vanish/>
              </w:rPr>
            </w:pPr>
          </w:p>
        </w:tc>
        <w:tc>
          <w:tcPr>
            <w:tcW w:w="0" w:type="auto"/>
            <w:gridSpan w:val="3"/>
            <w:shd w:val="clear" w:color="auto" w:fill="auto"/>
          </w:tcPr>
          <w:p w14:paraId="36CA461F" w14:textId="77777777" w:rsidR="00787570" w:rsidRDefault="00787570">
            <w:pPr>
              <w:rPr>
                <w:rFonts w:ascii="宋体"/>
                <w:vanish/>
              </w:rPr>
            </w:pPr>
          </w:p>
        </w:tc>
      </w:tr>
      <w:tr w:rsidR="00787570" w14:paraId="36CA4624" w14:textId="77777777">
        <w:trPr>
          <w:hidden/>
        </w:trPr>
        <w:tc>
          <w:tcPr>
            <w:tcW w:w="0" w:type="auto"/>
            <w:gridSpan w:val="3"/>
            <w:shd w:val="clear" w:color="auto" w:fill="auto"/>
          </w:tcPr>
          <w:p w14:paraId="36CA4621" w14:textId="77777777" w:rsidR="00787570" w:rsidRDefault="00787570">
            <w:pPr>
              <w:rPr>
                <w:rFonts w:ascii="宋体"/>
                <w:vanish/>
              </w:rPr>
            </w:pPr>
          </w:p>
        </w:tc>
        <w:tc>
          <w:tcPr>
            <w:tcW w:w="0" w:type="auto"/>
            <w:gridSpan w:val="3"/>
            <w:shd w:val="clear" w:color="auto" w:fill="auto"/>
          </w:tcPr>
          <w:p w14:paraId="36CA4622" w14:textId="77777777" w:rsidR="00787570" w:rsidRDefault="00787570">
            <w:pPr>
              <w:rPr>
                <w:rFonts w:ascii="宋体"/>
                <w:vanish/>
              </w:rPr>
            </w:pPr>
          </w:p>
        </w:tc>
        <w:tc>
          <w:tcPr>
            <w:tcW w:w="0" w:type="auto"/>
            <w:gridSpan w:val="3"/>
            <w:shd w:val="clear" w:color="auto" w:fill="auto"/>
          </w:tcPr>
          <w:p w14:paraId="36CA4623" w14:textId="77777777" w:rsidR="00787570" w:rsidRDefault="00787570">
            <w:pPr>
              <w:rPr>
                <w:rFonts w:ascii="宋体"/>
                <w:vanish/>
              </w:rPr>
            </w:pPr>
          </w:p>
        </w:tc>
      </w:tr>
      <w:tr w:rsidR="00787570" w14:paraId="36CA4628" w14:textId="77777777">
        <w:tc>
          <w:tcPr>
            <w:tcW w:w="0" w:type="auto"/>
            <w:gridSpan w:val="3"/>
            <w:shd w:val="clear" w:color="auto" w:fill="auto"/>
            <w:tcMar>
              <w:top w:w="40" w:type="dxa"/>
              <w:left w:w="20" w:type="dxa"/>
              <w:bottom w:w="40" w:type="dxa"/>
              <w:right w:w="20" w:type="dxa"/>
            </w:tcMar>
          </w:tcPr>
          <w:p w14:paraId="36CA4625" w14:textId="77777777" w:rsidR="00787570" w:rsidRDefault="000D56E2">
            <w:pPr>
              <w:textAlignment w:val="top"/>
            </w:pPr>
            <w:r>
              <w:rPr>
                <w:rFonts w:ascii="Arial" w:eastAsia="宋体" w:hAnsi="Arial" w:cs="Arial"/>
                <w:b/>
                <w:bCs/>
                <w:color w:val="0071C5"/>
                <w:sz w:val="18"/>
                <w:szCs w:val="18"/>
              </w:rPr>
              <w:t>TLC</w:t>
            </w:r>
          </w:p>
        </w:tc>
        <w:tc>
          <w:tcPr>
            <w:tcW w:w="0" w:type="auto"/>
            <w:gridSpan w:val="3"/>
            <w:shd w:val="clear" w:color="auto" w:fill="auto"/>
            <w:tcMar>
              <w:left w:w="20" w:type="dxa"/>
              <w:right w:w="20" w:type="dxa"/>
            </w:tcMar>
            <w:vAlign w:val="bottom"/>
          </w:tcPr>
          <w:p w14:paraId="36CA4626" w14:textId="77777777" w:rsidR="00787570" w:rsidRDefault="00787570">
            <w:pPr>
              <w:rPr>
                <w:rFonts w:ascii="宋体"/>
              </w:rPr>
            </w:pPr>
          </w:p>
        </w:tc>
        <w:tc>
          <w:tcPr>
            <w:tcW w:w="0" w:type="auto"/>
            <w:gridSpan w:val="3"/>
            <w:shd w:val="clear" w:color="auto" w:fill="auto"/>
            <w:tcMar>
              <w:top w:w="40" w:type="dxa"/>
              <w:left w:w="20" w:type="dxa"/>
              <w:bottom w:w="40" w:type="dxa"/>
              <w:right w:w="20" w:type="dxa"/>
            </w:tcMar>
          </w:tcPr>
          <w:p w14:paraId="36CA4627" w14:textId="77777777" w:rsidR="00787570" w:rsidRDefault="000D56E2">
            <w:pPr>
              <w:textAlignment w:val="top"/>
            </w:pPr>
            <w:r>
              <w:rPr>
                <w:rFonts w:ascii="Arial" w:eastAsia="宋体" w:hAnsi="Arial" w:cs="Arial"/>
                <w:color w:val="333333"/>
                <w:sz w:val="18"/>
                <w:szCs w:val="18"/>
              </w:rPr>
              <w:t>Triple-level cell</w:t>
            </w:r>
          </w:p>
        </w:tc>
      </w:tr>
      <w:tr w:rsidR="00787570" w14:paraId="36CA462C" w14:textId="77777777">
        <w:trPr>
          <w:hidden/>
        </w:trPr>
        <w:tc>
          <w:tcPr>
            <w:tcW w:w="0" w:type="auto"/>
            <w:gridSpan w:val="3"/>
            <w:shd w:val="clear" w:color="auto" w:fill="auto"/>
          </w:tcPr>
          <w:p w14:paraId="36CA4629" w14:textId="77777777" w:rsidR="00787570" w:rsidRDefault="00787570">
            <w:pPr>
              <w:rPr>
                <w:rFonts w:ascii="宋体"/>
                <w:vanish/>
              </w:rPr>
            </w:pPr>
          </w:p>
        </w:tc>
        <w:tc>
          <w:tcPr>
            <w:tcW w:w="0" w:type="auto"/>
            <w:gridSpan w:val="3"/>
            <w:shd w:val="clear" w:color="auto" w:fill="auto"/>
          </w:tcPr>
          <w:p w14:paraId="36CA462A" w14:textId="77777777" w:rsidR="00787570" w:rsidRDefault="00787570">
            <w:pPr>
              <w:rPr>
                <w:rFonts w:ascii="宋体"/>
                <w:vanish/>
              </w:rPr>
            </w:pPr>
          </w:p>
        </w:tc>
        <w:tc>
          <w:tcPr>
            <w:tcW w:w="0" w:type="auto"/>
            <w:gridSpan w:val="3"/>
            <w:shd w:val="clear" w:color="auto" w:fill="auto"/>
          </w:tcPr>
          <w:p w14:paraId="36CA462B" w14:textId="77777777" w:rsidR="00787570" w:rsidRDefault="00787570">
            <w:pPr>
              <w:rPr>
                <w:rFonts w:ascii="宋体"/>
                <w:vanish/>
              </w:rPr>
            </w:pPr>
          </w:p>
        </w:tc>
      </w:tr>
      <w:tr w:rsidR="00787570" w14:paraId="36CA4630" w14:textId="77777777">
        <w:trPr>
          <w:hidden/>
        </w:trPr>
        <w:tc>
          <w:tcPr>
            <w:tcW w:w="0" w:type="auto"/>
            <w:gridSpan w:val="3"/>
            <w:shd w:val="clear" w:color="auto" w:fill="auto"/>
          </w:tcPr>
          <w:p w14:paraId="36CA462D" w14:textId="77777777" w:rsidR="00787570" w:rsidRDefault="00787570">
            <w:pPr>
              <w:rPr>
                <w:rFonts w:ascii="宋体"/>
                <w:vanish/>
              </w:rPr>
            </w:pPr>
          </w:p>
        </w:tc>
        <w:tc>
          <w:tcPr>
            <w:tcW w:w="0" w:type="auto"/>
            <w:gridSpan w:val="3"/>
            <w:shd w:val="clear" w:color="auto" w:fill="auto"/>
          </w:tcPr>
          <w:p w14:paraId="36CA462E" w14:textId="77777777" w:rsidR="00787570" w:rsidRDefault="00787570">
            <w:pPr>
              <w:rPr>
                <w:rFonts w:ascii="宋体"/>
                <w:vanish/>
              </w:rPr>
            </w:pPr>
          </w:p>
        </w:tc>
        <w:tc>
          <w:tcPr>
            <w:tcW w:w="0" w:type="auto"/>
            <w:gridSpan w:val="3"/>
            <w:shd w:val="clear" w:color="auto" w:fill="auto"/>
          </w:tcPr>
          <w:p w14:paraId="36CA462F" w14:textId="77777777" w:rsidR="00787570" w:rsidRDefault="00787570">
            <w:pPr>
              <w:rPr>
                <w:rFonts w:ascii="宋体"/>
                <w:vanish/>
              </w:rPr>
            </w:pPr>
          </w:p>
        </w:tc>
      </w:tr>
      <w:tr w:rsidR="00787570" w14:paraId="36CA4634" w14:textId="77777777">
        <w:trPr>
          <w:hidden/>
        </w:trPr>
        <w:tc>
          <w:tcPr>
            <w:tcW w:w="0" w:type="auto"/>
            <w:gridSpan w:val="3"/>
            <w:shd w:val="clear" w:color="auto" w:fill="auto"/>
          </w:tcPr>
          <w:p w14:paraId="36CA4631" w14:textId="77777777" w:rsidR="00787570" w:rsidRDefault="00787570">
            <w:pPr>
              <w:rPr>
                <w:rFonts w:ascii="宋体"/>
                <w:vanish/>
              </w:rPr>
            </w:pPr>
          </w:p>
        </w:tc>
        <w:tc>
          <w:tcPr>
            <w:tcW w:w="0" w:type="auto"/>
            <w:gridSpan w:val="3"/>
            <w:shd w:val="clear" w:color="auto" w:fill="auto"/>
          </w:tcPr>
          <w:p w14:paraId="36CA4632" w14:textId="77777777" w:rsidR="00787570" w:rsidRDefault="00787570">
            <w:pPr>
              <w:rPr>
                <w:rFonts w:ascii="宋体"/>
                <w:vanish/>
              </w:rPr>
            </w:pPr>
          </w:p>
        </w:tc>
        <w:tc>
          <w:tcPr>
            <w:tcW w:w="0" w:type="auto"/>
            <w:gridSpan w:val="3"/>
            <w:shd w:val="clear" w:color="auto" w:fill="auto"/>
          </w:tcPr>
          <w:p w14:paraId="36CA4633" w14:textId="77777777" w:rsidR="00787570" w:rsidRDefault="00787570">
            <w:pPr>
              <w:rPr>
                <w:rFonts w:ascii="宋体"/>
                <w:vanish/>
              </w:rPr>
            </w:pPr>
          </w:p>
        </w:tc>
      </w:tr>
      <w:tr w:rsidR="00787570" w14:paraId="36CA4638" w14:textId="77777777">
        <w:trPr>
          <w:hidden/>
        </w:trPr>
        <w:tc>
          <w:tcPr>
            <w:tcW w:w="0" w:type="auto"/>
            <w:gridSpan w:val="3"/>
            <w:shd w:val="clear" w:color="auto" w:fill="auto"/>
          </w:tcPr>
          <w:p w14:paraId="36CA4635" w14:textId="77777777" w:rsidR="00787570" w:rsidRDefault="00787570">
            <w:pPr>
              <w:rPr>
                <w:rFonts w:ascii="宋体"/>
                <w:vanish/>
              </w:rPr>
            </w:pPr>
          </w:p>
        </w:tc>
        <w:tc>
          <w:tcPr>
            <w:tcW w:w="0" w:type="auto"/>
            <w:gridSpan w:val="3"/>
            <w:shd w:val="clear" w:color="auto" w:fill="auto"/>
          </w:tcPr>
          <w:p w14:paraId="36CA4636" w14:textId="77777777" w:rsidR="00787570" w:rsidRDefault="00787570">
            <w:pPr>
              <w:rPr>
                <w:rFonts w:ascii="宋体"/>
                <w:vanish/>
              </w:rPr>
            </w:pPr>
          </w:p>
        </w:tc>
        <w:tc>
          <w:tcPr>
            <w:tcW w:w="0" w:type="auto"/>
            <w:gridSpan w:val="3"/>
            <w:shd w:val="clear" w:color="auto" w:fill="auto"/>
          </w:tcPr>
          <w:p w14:paraId="36CA4637" w14:textId="77777777" w:rsidR="00787570" w:rsidRDefault="00787570">
            <w:pPr>
              <w:rPr>
                <w:rFonts w:ascii="宋体"/>
                <w:vanish/>
              </w:rPr>
            </w:pPr>
          </w:p>
        </w:tc>
      </w:tr>
      <w:tr w:rsidR="00787570" w14:paraId="36CA463C" w14:textId="77777777">
        <w:trPr>
          <w:hidden/>
        </w:trPr>
        <w:tc>
          <w:tcPr>
            <w:tcW w:w="0" w:type="auto"/>
            <w:gridSpan w:val="3"/>
            <w:shd w:val="clear" w:color="auto" w:fill="auto"/>
          </w:tcPr>
          <w:p w14:paraId="36CA4639" w14:textId="77777777" w:rsidR="00787570" w:rsidRDefault="00787570">
            <w:pPr>
              <w:rPr>
                <w:rFonts w:ascii="宋体"/>
                <w:vanish/>
              </w:rPr>
            </w:pPr>
          </w:p>
        </w:tc>
        <w:tc>
          <w:tcPr>
            <w:tcW w:w="0" w:type="auto"/>
            <w:gridSpan w:val="3"/>
            <w:shd w:val="clear" w:color="auto" w:fill="auto"/>
          </w:tcPr>
          <w:p w14:paraId="36CA463A" w14:textId="77777777" w:rsidR="00787570" w:rsidRDefault="00787570">
            <w:pPr>
              <w:rPr>
                <w:rFonts w:ascii="宋体"/>
                <w:vanish/>
              </w:rPr>
            </w:pPr>
          </w:p>
        </w:tc>
        <w:tc>
          <w:tcPr>
            <w:tcW w:w="0" w:type="auto"/>
            <w:gridSpan w:val="3"/>
            <w:shd w:val="clear" w:color="auto" w:fill="auto"/>
          </w:tcPr>
          <w:p w14:paraId="36CA463B" w14:textId="77777777" w:rsidR="00787570" w:rsidRDefault="00787570">
            <w:pPr>
              <w:rPr>
                <w:rFonts w:ascii="宋体"/>
                <w:vanish/>
              </w:rPr>
            </w:pPr>
          </w:p>
        </w:tc>
      </w:tr>
      <w:tr w:rsidR="00787570" w14:paraId="36CA4640" w14:textId="77777777">
        <w:tc>
          <w:tcPr>
            <w:tcW w:w="0" w:type="auto"/>
            <w:gridSpan w:val="3"/>
            <w:shd w:val="clear" w:color="auto" w:fill="auto"/>
            <w:tcMar>
              <w:top w:w="40" w:type="dxa"/>
              <w:left w:w="20" w:type="dxa"/>
              <w:bottom w:w="40" w:type="dxa"/>
              <w:right w:w="20" w:type="dxa"/>
            </w:tcMar>
          </w:tcPr>
          <w:p w14:paraId="36CA463D" w14:textId="77777777" w:rsidR="00787570" w:rsidRDefault="000D56E2">
            <w:pPr>
              <w:textAlignment w:val="top"/>
            </w:pPr>
            <w:r>
              <w:rPr>
                <w:rFonts w:ascii="Arial" w:eastAsia="宋体" w:hAnsi="Arial" w:cs="Arial"/>
                <w:b/>
                <w:bCs/>
                <w:color w:val="0071C5"/>
                <w:sz w:val="18"/>
                <w:szCs w:val="18"/>
              </w:rPr>
              <w:t>U.S. GAAP</w:t>
            </w:r>
          </w:p>
        </w:tc>
        <w:tc>
          <w:tcPr>
            <w:tcW w:w="0" w:type="auto"/>
            <w:gridSpan w:val="3"/>
            <w:shd w:val="clear" w:color="auto" w:fill="auto"/>
            <w:tcMar>
              <w:left w:w="20" w:type="dxa"/>
              <w:right w:w="20" w:type="dxa"/>
            </w:tcMar>
            <w:vAlign w:val="bottom"/>
          </w:tcPr>
          <w:p w14:paraId="36CA463E" w14:textId="77777777" w:rsidR="00787570" w:rsidRDefault="00787570">
            <w:pPr>
              <w:rPr>
                <w:rFonts w:ascii="宋体"/>
              </w:rPr>
            </w:pPr>
          </w:p>
        </w:tc>
        <w:tc>
          <w:tcPr>
            <w:tcW w:w="0" w:type="auto"/>
            <w:gridSpan w:val="3"/>
            <w:shd w:val="clear" w:color="auto" w:fill="auto"/>
            <w:tcMar>
              <w:top w:w="40" w:type="dxa"/>
              <w:left w:w="20" w:type="dxa"/>
              <w:bottom w:w="40" w:type="dxa"/>
              <w:right w:w="20" w:type="dxa"/>
            </w:tcMar>
          </w:tcPr>
          <w:p w14:paraId="36CA463F" w14:textId="77777777" w:rsidR="00787570" w:rsidRDefault="000D56E2">
            <w:pPr>
              <w:textAlignment w:val="top"/>
            </w:pPr>
            <w:r>
              <w:rPr>
                <w:rFonts w:ascii="Arial" w:eastAsia="宋体" w:hAnsi="Arial" w:cs="Arial"/>
                <w:color w:val="333333"/>
                <w:sz w:val="18"/>
                <w:szCs w:val="18"/>
              </w:rPr>
              <w:t>U.S. Generally Accepted Accounting Principles</w:t>
            </w:r>
          </w:p>
        </w:tc>
      </w:tr>
      <w:tr w:rsidR="00787570" w14:paraId="36CA4644" w14:textId="77777777">
        <w:trPr>
          <w:hidden/>
        </w:trPr>
        <w:tc>
          <w:tcPr>
            <w:tcW w:w="0" w:type="auto"/>
            <w:gridSpan w:val="3"/>
            <w:shd w:val="clear" w:color="auto" w:fill="auto"/>
          </w:tcPr>
          <w:p w14:paraId="36CA4641" w14:textId="77777777" w:rsidR="00787570" w:rsidRDefault="00787570">
            <w:pPr>
              <w:rPr>
                <w:rFonts w:ascii="宋体"/>
                <w:vanish/>
              </w:rPr>
            </w:pPr>
          </w:p>
        </w:tc>
        <w:tc>
          <w:tcPr>
            <w:tcW w:w="0" w:type="auto"/>
            <w:gridSpan w:val="3"/>
            <w:shd w:val="clear" w:color="auto" w:fill="auto"/>
          </w:tcPr>
          <w:p w14:paraId="36CA4642" w14:textId="77777777" w:rsidR="00787570" w:rsidRDefault="00787570">
            <w:pPr>
              <w:rPr>
                <w:rFonts w:ascii="宋体"/>
                <w:vanish/>
              </w:rPr>
            </w:pPr>
          </w:p>
        </w:tc>
        <w:tc>
          <w:tcPr>
            <w:tcW w:w="0" w:type="auto"/>
            <w:gridSpan w:val="3"/>
            <w:shd w:val="clear" w:color="auto" w:fill="auto"/>
          </w:tcPr>
          <w:p w14:paraId="36CA4643" w14:textId="77777777" w:rsidR="00787570" w:rsidRDefault="00787570">
            <w:pPr>
              <w:rPr>
                <w:rFonts w:ascii="宋体"/>
                <w:vanish/>
              </w:rPr>
            </w:pPr>
          </w:p>
        </w:tc>
      </w:tr>
      <w:tr w:rsidR="00787570" w14:paraId="36CA4648" w14:textId="77777777">
        <w:trPr>
          <w:hidden/>
        </w:trPr>
        <w:tc>
          <w:tcPr>
            <w:tcW w:w="0" w:type="auto"/>
            <w:gridSpan w:val="3"/>
            <w:shd w:val="clear" w:color="auto" w:fill="auto"/>
          </w:tcPr>
          <w:p w14:paraId="36CA4645" w14:textId="77777777" w:rsidR="00787570" w:rsidRDefault="00787570">
            <w:pPr>
              <w:rPr>
                <w:rFonts w:ascii="宋体"/>
                <w:vanish/>
              </w:rPr>
            </w:pPr>
          </w:p>
        </w:tc>
        <w:tc>
          <w:tcPr>
            <w:tcW w:w="0" w:type="auto"/>
            <w:gridSpan w:val="3"/>
            <w:shd w:val="clear" w:color="auto" w:fill="auto"/>
          </w:tcPr>
          <w:p w14:paraId="36CA4646" w14:textId="77777777" w:rsidR="00787570" w:rsidRDefault="00787570">
            <w:pPr>
              <w:rPr>
                <w:rFonts w:ascii="宋体"/>
                <w:vanish/>
              </w:rPr>
            </w:pPr>
          </w:p>
        </w:tc>
        <w:tc>
          <w:tcPr>
            <w:tcW w:w="0" w:type="auto"/>
            <w:gridSpan w:val="3"/>
            <w:shd w:val="clear" w:color="auto" w:fill="auto"/>
          </w:tcPr>
          <w:p w14:paraId="36CA4647" w14:textId="77777777" w:rsidR="00787570" w:rsidRDefault="00787570">
            <w:pPr>
              <w:rPr>
                <w:rFonts w:ascii="宋体"/>
                <w:vanish/>
              </w:rPr>
            </w:pPr>
          </w:p>
        </w:tc>
      </w:tr>
      <w:tr w:rsidR="00787570" w14:paraId="36CA464C" w14:textId="77777777">
        <w:trPr>
          <w:hidden/>
        </w:trPr>
        <w:tc>
          <w:tcPr>
            <w:tcW w:w="0" w:type="auto"/>
            <w:gridSpan w:val="3"/>
            <w:shd w:val="clear" w:color="auto" w:fill="auto"/>
          </w:tcPr>
          <w:p w14:paraId="36CA4649" w14:textId="77777777" w:rsidR="00787570" w:rsidRDefault="00787570">
            <w:pPr>
              <w:rPr>
                <w:rFonts w:ascii="宋体"/>
                <w:vanish/>
              </w:rPr>
            </w:pPr>
          </w:p>
        </w:tc>
        <w:tc>
          <w:tcPr>
            <w:tcW w:w="0" w:type="auto"/>
            <w:gridSpan w:val="3"/>
            <w:shd w:val="clear" w:color="auto" w:fill="auto"/>
          </w:tcPr>
          <w:p w14:paraId="36CA464A" w14:textId="77777777" w:rsidR="00787570" w:rsidRDefault="00787570">
            <w:pPr>
              <w:rPr>
                <w:rFonts w:ascii="宋体"/>
                <w:vanish/>
              </w:rPr>
            </w:pPr>
          </w:p>
        </w:tc>
        <w:tc>
          <w:tcPr>
            <w:tcW w:w="0" w:type="auto"/>
            <w:gridSpan w:val="3"/>
            <w:shd w:val="clear" w:color="auto" w:fill="auto"/>
          </w:tcPr>
          <w:p w14:paraId="36CA464B" w14:textId="77777777" w:rsidR="00787570" w:rsidRDefault="00787570">
            <w:pPr>
              <w:rPr>
                <w:rFonts w:ascii="宋体"/>
                <w:vanish/>
              </w:rPr>
            </w:pPr>
          </w:p>
        </w:tc>
      </w:tr>
      <w:tr w:rsidR="00787570" w14:paraId="36CA4650" w14:textId="77777777">
        <w:trPr>
          <w:hidden/>
        </w:trPr>
        <w:tc>
          <w:tcPr>
            <w:tcW w:w="0" w:type="auto"/>
            <w:gridSpan w:val="3"/>
            <w:shd w:val="clear" w:color="auto" w:fill="auto"/>
          </w:tcPr>
          <w:p w14:paraId="36CA464D" w14:textId="77777777" w:rsidR="00787570" w:rsidRDefault="00787570">
            <w:pPr>
              <w:rPr>
                <w:rFonts w:ascii="宋体"/>
                <w:vanish/>
              </w:rPr>
            </w:pPr>
          </w:p>
        </w:tc>
        <w:tc>
          <w:tcPr>
            <w:tcW w:w="0" w:type="auto"/>
            <w:gridSpan w:val="3"/>
            <w:shd w:val="clear" w:color="auto" w:fill="auto"/>
          </w:tcPr>
          <w:p w14:paraId="36CA464E" w14:textId="77777777" w:rsidR="00787570" w:rsidRDefault="00787570">
            <w:pPr>
              <w:rPr>
                <w:rFonts w:ascii="宋体"/>
                <w:vanish/>
              </w:rPr>
            </w:pPr>
          </w:p>
        </w:tc>
        <w:tc>
          <w:tcPr>
            <w:tcW w:w="0" w:type="auto"/>
            <w:gridSpan w:val="3"/>
            <w:shd w:val="clear" w:color="auto" w:fill="auto"/>
          </w:tcPr>
          <w:p w14:paraId="36CA464F" w14:textId="77777777" w:rsidR="00787570" w:rsidRDefault="00787570">
            <w:pPr>
              <w:rPr>
                <w:rFonts w:ascii="宋体"/>
                <w:vanish/>
              </w:rPr>
            </w:pPr>
          </w:p>
        </w:tc>
      </w:tr>
      <w:tr w:rsidR="00787570" w14:paraId="36CA4654" w14:textId="77777777">
        <w:trPr>
          <w:hidden/>
        </w:trPr>
        <w:tc>
          <w:tcPr>
            <w:tcW w:w="0" w:type="auto"/>
            <w:gridSpan w:val="3"/>
            <w:shd w:val="clear" w:color="auto" w:fill="auto"/>
          </w:tcPr>
          <w:p w14:paraId="36CA4651" w14:textId="77777777" w:rsidR="00787570" w:rsidRDefault="00787570">
            <w:pPr>
              <w:rPr>
                <w:rFonts w:ascii="宋体"/>
                <w:vanish/>
              </w:rPr>
            </w:pPr>
          </w:p>
        </w:tc>
        <w:tc>
          <w:tcPr>
            <w:tcW w:w="0" w:type="auto"/>
            <w:gridSpan w:val="3"/>
            <w:shd w:val="clear" w:color="auto" w:fill="auto"/>
          </w:tcPr>
          <w:p w14:paraId="36CA4652" w14:textId="77777777" w:rsidR="00787570" w:rsidRDefault="00787570">
            <w:pPr>
              <w:rPr>
                <w:rFonts w:ascii="宋体"/>
                <w:vanish/>
              </w:rPr>
            </w:pPr>
          </w:p>
        </w:tc>
        <w:tc>
          <w:tcPr>
            <w:tcW w:w="0" w:type="auto"/>
            <w:gridSpan w:val="3"/>
            <w:shd w:val="clear" w:color="auto" w:fill="auto"/>
          </w:tcPr>
          <w:p w14:paraId="36CA4653" w14:textId="77777777" w:rsidR="00787570" w:rsidRDefault="00787570">
            <w:pPr>
              <w:rPr>
                <w:rFonts w:ascii="宋体"/>
                <w:vanish/>
              </w:rPr>
            </w:pPr>
          </w:p>
        </w:tc>
      </w:tr>
    </w:tbl>
    <w:p w14:paraId="36CA4655" w14:textId="77777777" w:rsidR="00787570" w:rsidRDefault="00787570">
      <w:pPr>
        <w:spacing w:after="180"/>
      </w:pPr>
    </w:p>
    <w:p w14:paraId="36CA4656" w14:textId="77777777" w:rsidR="00787570" w:rsidRDefault="00787570">
      <w:pPr>
        <w:spacing w:after="180"/>
      </w:pPr>
    </w:p>
    <w:p w14:paraId="36CA4657" w14:textId="77777777" w:rsidR="00787570" w:rsidRDefault="00787570">
      <w:pPr>
        <w:spacing w:after="180"/>
      </w:pPr>
    </w:p>
    <w:p w14:paraId="36CA4658" w14:textId="77777777" w:rsidR="00787570" w:rsidRDefault="00787570">
      <w:pPr>
        <w:spacing w:after="180"/>
      </w:pPr>
    </w:p>
    <w:p w14:paraId="36CA4659" w14:textId="77777777" w:rsidR="00787570" w:rsidRDefault="00787570">
      <w:pPr>
        <w:spacing w:after="180"/>
      </w:pPr>
    </w:p>
    <w:p w14:paraId="36CA465A" w14:textId="77777777" w:rsidR="00787570" w:rsidRDefault="00787570">
      <w:pPr>
        <w:spacing w:after="180"/>
      </w:pPr>
    </w:p>
    <w:p w14:paraId="36CA465B" w14:textId="77777777" w:rsidR="00787570" w:rsidRDefault="00787570">
      <w:pPr>
        <w:spacing w:after="180"/>
      </w:pPr>
    </w:p>
    <w:tbl>
      <w:tblPr>
        <w:tblW w:w="5000" w:type="pct"/>
        <w:tblCellMar>
          <w:top w:w="15" w:type="dxa"/>
          <w:left w:w="15" w:type="dxa"/>
          <w:bottom w:w="15" w:type="dxa"/>
          <w:right w:w="15" w:type="dxa"/>
        </w:tblCellMar>
        <w:tblLook w:val="04A0" w:firstRow="1" w:lastRow="0" w:firstColumn="1" w:lastColumn="0" w:noHBand="0" w:noVBand="1"/>
      </w:tblPr>
      <w:tblGrid>
        <w:gridCol w:w="86"/>
        <w:gridCol w:w="426"/>
        <w:gridCol w:w="36"/>
        <w:gridCol w:w="62"/>
        <w:gridCol w:w="1676"/>
        <w:gridCol w:w="36"/>
        <w:gridCol w:w="62"/>
        <w:gridCol w:w="3655"/>
        <w:gridCol w:w="36"/>
        <w:gridCol w:w="63"/>
        <w:gridCol w:w="2162"/>
        <w:gridCol w:w="36"/>
      </w:tblGrid>
      <w:tr w:rsidR="00787570" w14:paraId="36CA4668" w14:textId="77777777">
        <w:tc>
          <w:tcPr>
            <w:tcW w:w="50" w:type="pct"/>
            <w:shd w:val="clear" w:color="auto" w:fill="auto"/>
            <w:vAlign w:val="bottom"/>
          </w:tcPr>
          <w:p w14:paraId="36CA465C" w14:textId="77777777" w:rsidR="00787570" w:rsidRDefault="00787570">
            <w:pPr>
              <w:rPr>
                <w:rFonts w:ascii="宋体"/>
              </w:rPr>
            </w:pPr>
          </w:p>
        </w:tc>
        <w:tc>
          <w:tcPr>
            <w:tcW w:w="248" w:type="pct"/>
            <w:shd w:val="clear" w:color="auto" w:fill="auto"/>
            <w:vAlign w:val="bottom"/>
          </w:tcPr>
          <w:p w14:paraId="36CA465D" w14:textId="77777777" w:rsidR="00787570" w:rsidRDefault="00787570">
            <w:pPr>
              <w:rPr>
                <w:rFonts w:ascii="宋体"/>
              </w:rPr>
            </w:pPr>
          </w:p>
        </w:tc>
        <w:tc>
          <w:tcPr>
            <w:tcW w:w="5" w:type="pct"/>
            <w:shd w:val="clear" w:color="auto" w:fill="auto"/>
            <w:vAlign w:val="bottom"/>
          </w:tcPr>
          <w:p w14:paraId="36CA465E" w14:textId="77777777" w:rsidR="00787570" w:rsidRDefault="00787570">
            <w:pPr>
              <w:rPr>
                <w:rFonts w:ascii="宋体"/>
              </w:rPr>
            </w:pPr>
          </w:p>
        </w:tc>
        <w:tc>
          <w:tcPr>
            <w:tcW w:w="50" w:type="pct"/>
            <w:shd w:val="clear" w:color="auto" w:fill="auto"/>
            <w:vAlign w:val="bottom"/>
          </w:tcPr>
          <w:p w14:paraId="36CA465F" w14:textId="77777777" w:rsidR="00787570" w:rsidRDefault="00787570">
            <w:pPr>
              <w:rPr>
                <w:rFonts w:ascii="宋体"/>
              </w:rPr>
            </w:pPr>
          </w:p>
        </w:tc>
        <w:tc>
          <w:tcPr>
            <w:tcW w:w="1018" w:type="pct"/>
            <w:shd w:val="clear" w:color="auto" w:fill="auto"/>
            <w:vAlign w:val="bottom"/>
          </w:tcPr>
          <w:p w14:paraId="36CA4660" w14:textId="77777777" w:rsidR="00787570" w:rsidRDefault="00787570">
            <w:pPr>
              <w:rPr>
                <w:rFonts w:ascii="宋体"/>
              </w:rPr>
            </w:pPr>
          </w:p>
        </w:tc>
        <w:tc>
          <w:tcPr>
            <w:tcW w:w="5" w:type="pct"/>
            <w:shd w:val="clear" w:color="auto" w:fill="auto"/>
            <w:vAlign w:val="bottom"/>
          </w:tcPr>
          <w:p w14:paraId="36CA4661" w14:textId="77777777" w:rsidR="00787570" w:rsidRDefault="00787570">
            <w:pPr>
              <w:rPr>
                <w:rFonts w:ascii="宋体"/>
              </w:rPr>
            </w:pPr>
          </w:p>
        </w:tc>
        <w:tc>
          <w:tcPr>
            <w:tcW w:w="50" w:type="pct"/>
            <w:shd w:val="clear" w:color="auto" w:fill="auto"/>
            <w:vAlign w:val="bottom"/>
          </w:tcPr>
          <w:p w14:paraId="36CA4662" w14:textId="77777777" w:rsidR="00787570" w:rsidRDefault="00787570">
            <w:pPr>
              <w:rPr>
                <w:rFonts w:ascii="宋体"/>
              </w:rPr>
            </w:pPr>
          </w:p>
        </w:tc>
        <w:tc>
          <w:tcPr>
            <w:tcW w:w="2204" w:type="pct"/>
            <w:shd w:val="clear" w:color="auto" w:fill="auto"/>
            <w:vAlign w:val="bottom"/>
          </w:tcPr>
          <w:p w14:paraId="36CA4663" w14:textId="77777777" w:rsidR="00787570" w:rsidRDefault="00787570">
            <w:pPr>
              <w:rPr>
                <w:rFonts w:ascii="宋体"/>
              </w:rPr>
            </w:pPr>
          </w:p>
        </w:tc>
        <w:tc>
          <w:tcPr>
            <w:tcW w:w="5" w:type="pct"/>
            <w:shd w:val="clear" w:color="auto" w:fill="auto"/>
            <w:vAlign w:val="bottom"/>
          </w:tcPr>
          <w:p w14:paraId="36CA4664" w14:textId="77777777" w:rsidR="00787570" w:rsidRDefault="00787570">
            <w:pPr>
              <w:rPr>
                <w:rFonts w:ascii="宋体"/>
              </w:rPr>
            </w:pPr>
          </w:p>
        </w:tc>
        <w:tc>
          <w:tcPr>
            <w:tcW w:w="50" w:type="pct"/>
            <w:shd w:val="clear" w:color="auto" w:fill="auto"/>
            <w:vAlign w:val="bottom"/>
          </w:tcPr>
          <w:p w14:paraId="36CA4665" w14:textId="77777777" w:rsidR="00787570" w:rsidRDefault="00787570">
            <w:pPr>
              <w:rPr>
                <w:rFonts w:ascii="宋体"/>
              </w:rPr>
            </w:pPr>
          </w:p>
        </w:tc>
        <w:tc>
          <w:tcPr>
            <w:tcW w:w="1308" w:type="pct"/>
            <w:shd w:val="clear" w:color="auto" w:fill="auto"/>
            <w:vAlign w:val="bottom"/>
          </w:tcPr>
          <w:p w14:paraId="36CA4666" w14:textId="77777777" w:rsidR="00787570" w:rsidRDefault="00787570">
            <w:pPr>
              <w:rPr>
                <w:rFonts w:ascii="宋体"/>
              </w:rPr>
            </w:pPr>
          </w:p>
        </w:tc>
        <w:tc>
          <w:tcPr>
            <w:tcW w:w="5" w:type="pct"/>
            <w:shd w:val="clear" w:color="auto" w:fill="auto"/>
            <w:vAlign w:val="bottom"/>
          </w:tcPr>
          <w:p w14:paraId="36CA4667" w14:textId="77777777" w:rsidR="00787570" w:rsidRDefault="00787570">
            <w:pPr>
              <w:rPr>
                <w:rFonts w:ascii="宋体"/>
              </w:rPr>
            </w:pPr>
          </w:p>
        </w:tc>
      </w:tr>
      <w:tr w:rsidR="00787570" w14:paraId="36CA466D" w14:textId="77777777">
        <w:tc>
          <w:tcPr>
            <w:tcW w:w="0" w:type="auto"/>
            <w:gridSpan w:val="3"/>
            <w:tcBorders>
              <w:top w:val="single" w:sz="8" w:space="0" w:color="0071C5"/>
            </w:tcBorders>
            <w:shd w:val="clear" w:color="auto" w:fill="auto"/>
            <w:tcMar>
              <w:left w:w="20" w:type="dxa"/>
              <w:right w:w="20" w:type="dxa"/>
            </w:tcMar>
            <w:vAlign w:val="center"/>
          </w:tcPr>
          <w:p w14:paraId="36CA4669" w14:textId="77777777" w:rsidR="00787570" w:rsidRDefault="000D56E2">
            <w:pPr>
              <w:textAlignment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Viewer9_files/intc-20200926_g2.jpg"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36CA5C36" wp14:editId="36CA5C37">
                  <wp:extent cx="304800" cy="304800"/>
                  <wp:effectExtent l="0" t="0" r="0" b="0"/>
                  <wp:docPr id="75" name="图片 93" descr="IMG_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93" descr="IMG_329"/>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8" w:space="0" w:color="0071C5"/>
            </w:tcBorders>
            <w:shd w:val="clear" w:color="auto" w:fill="auto"/>
            <w:tcMar>
              <w:top w:w="40" w:type="dxa"/>
              <w:left w:w="20" w:type="dxa"/>
              <w:bottom w:w="40" w:type="dxa"/>
              <w:right w:w="20" w:type="dxa"/>
            </w:tcMar>
            <w:vAlign w:val="center"/>
          </w:tcPr>
          <w:p w14:paraId="36CA466A" w14:textId="77777777" w:rsidR="00787570" w:rsidRDefault="000D56E2">
            <w:pPr>
              <w:textAlignment w:val="center"/>
            </w:pPr>
            <w:r>
              <w:rPr>
                <w:rFonts w:ascii="Arial" w:eastAsia="宋体" w:hAnsi="Arial" w:cs="Arial"/>
                <w:color w:val="333333"/>
                <w:sz w:val="16"/>
                <w:szCs w:val="16"/>
              </w:rPr>
              <w:t> FINANCIAL STATEMENTS</w:t>
            </w:r>
          </w:p>
        </w:tc>
        <w:tc>
          <w:tcPr>
            <w:tcW w:w="0" w:type="auto"/>
            <w:gridSpan w:val="3"/>
            <w:tcBorders>
              <w:top w:val="single" w:sz="8" w:space="0" w:color="0071C5"/>
              <w:left w:val="single" w:sz="24" w:space="0" w:color="0071C5"/>
            </w:tcBorders>
            <w:shd w:val="clear" w:color="auto" w:fill="auto"/>
            <w:tcMar>
              <w:top w:w="40" w:type="dxa"/>
              <w:left w:w="20" w:type="dxa"/>
              <w:bottom w:w="40" w:type="dxa"/>
              <w:right w:w="20" w:type="dxa"/>
            </w:tcMar>
            <w:vAlign w:val="center"/>
          </w:tcPr>
          <w:p w14:paraId="36CA466B" w14:textId="77777777" w:rsidR="00787570" w:rsidRDefault="000D56E2">
            <w:pPr>
              <w:textAlignment w:val="center"/>
            </w:pPr>
            <w:r>
              <w:rPr>
                <w:rFonts w:ascii="Arial" w:eastAsia="宋体" w:hAnsi="Arial" w:cs="Arial"/>
                <w:color w:val="333333"/>
                <w:sz w:val="16"/>
                <w:szCs w:val="16"/>
              </w:rPr>
              <w:t>  Notes to Financial Statements</w:t>
            </w:r>
          </w:p>
        </w:tc>
        <w:tc>
          <w:tcPr>
            <w:tcW w:w="0" w:type="auto"/>
            <w:gridSpan w:val="3"/>
            <w:tcBorders>
              <w:top w:val="single" w:sz="8" w:space="0" w:color="0071C5"/>
            </w:tcBorders>
            <w:shd w:val="clear" w:color="auto" w:fill="auto"/>
            <w:tcMar>
              <w:top w:w="40" w:type="dxa"/>
              <w:left w:w="20" w:type="dxa"/>
              <w:bottom w:w="40" w:type="dxa"/>
              <w:right w:w="20" w:type="dxa"/>
            </w:tcMar>
            <w:vAlign w:val="center"/>
          </w:tcPr>
          <w:p w14:paraId="36CA466C" w14:textId="77777777" w:rsidR="00787570" w:rsidRDefault="000D56E2">
            <w:pPr>
              <w:jc w:val="right"/>
              <w:textAlignment w:val="center"/>
            </w:pPr>
            <w:r>
              <w:rPr>
                <w:rFonts w:ascii="Arial" w:eastAsia="宋体" w:hAnsi="Arial" w:cs="Arial"/>
                <w:color w:val="333333"/>
                <w:sz w:val="16"/>
                <w:szCs w:val="16"/>
              </w:rPr>
              <w:t>27</w:t>
            </w:r>
          </w:p>
        </w:tc>
      </w:tr>
    </w:tbl>
    <w:p w14:paraId="36CA466E" w14:textId="77777777" w:rsidR="00787570" w:rsidRDefault="000D56E2">
      <w:r>
        <w:pict w14:anchorId="36CA5C38">
          <v:rect id="_x0000_i1053" style="width:415.3pt;height:1.5pt" o:hralign="center" o:hrstd="t" o:hr="t" fillcolor="#a0a0a0" stroked="f"/>
        </w:pict>
      </w:r>
    </w:p>
    <w:p w14:paraId="36CA466F" w14:textId="77777777" w:rsidR="00787570" w:rsidRDefault="000D56E2">
      <w:pPr>
        <w:spacing w:after="180"/>
        <w:jc w:val="right"/>
      </w:pPr>
      <w:hyperlink r:id="rId55" w:anchor="i32771df14e9449d2bec5be911426bf04_7" w:history="1">
        <w:r>
          <w:rPr>
            <w:rStyle w:val="a5"/>
            <w:rFonts w:ascii="Arial" w:eastAsia="宋体" w:hAnsi="Arial" w:cs="Arial"/>
            <w:b/>
            <w:bCs/>
            <w:sz w:val="16"/>
            <w:szCs w:val="16"/>
          </w:rPr>
          <w:t>Table of Contents</w:t>
        </w:r>
      </w:hyperlink>
    </w:p>
    <w:p w14:paraId="36CA4670" w14:textId="77777777" w:rsidR="00787570" w:rsidRDefault="00787570">
      <w:pPr>
        <w:spacing w:after="180"/>
        <w:jc w:val="right"/>
      </w:pPr>
    </w:p>
    <w:tbl>
      <w:tblPr>
        <w:tblW w:w="5000" w:type="pct"/>
        <w:tblCellMar>
          <w:top w:w="15" w:type="dxa"/>
          <w:left w:w="15" w:type="dxa"/>
          <w:bottom w:w="15" w:type="dxa"/>
          <w:right w:w="15" w:type="dxa"/>
        </w:tblCellMar>
        <w:tblLook w:val="04A0" w:firstRow="1" w:lastRow="0" w:firstColumn="1" w:lastColumn="0" w:noHBand="0" w:noVBand="1"/>
      </w:tblPr>
      <w:tblGrid>
        <w:gridCol w:w="69"/>
        <w:gridCol w:w="8231"/>
        <w:gridCol w:w="36"/>
      </w:tblGrid>
      <w:tr w:rsidR="00787570" w14:paraId="36CA4674" w14:textId="77777777">
        <w:tc>
          <w:tcPr>
            <w:tcW w:w="50" w:type="pct"/>
            <w:shd w:val="clear" w:color="auto" w:fill="auto"/>
          </w:tcPr>
          <w:p w14:paraId="36CA4671" w14:textId="77777777" w:rsidR="00787570" w:rsidRDefault="00787570">
            <w:pPr>
              <w:rPr>
                <w:rFonts w:ascii="宋体"/>
              </w:rPr>
            </w:pPr>
          </w:p>
        </w:tc>
        <w:tc>
          <w:tcPr>
            <w:tcW w:w="4945" w:type="pct"/>
            <w:shd w:val="clear" w:color="auto" w:fill="auto"/>
          </w:tcPr>
          <w:p w14:paraId="36CA4672" w14:textId="77777777" w:rsidR="00787570" w:rsidRDefault="00787570">
            <w:pPr>
              <w:rPr>
                <w:rFonts w:ascii="宋体"/>
              </w:rPr>
            </w:pPr>
          </w:p>
        </w:tc>
        <w:tc>
          <w:tcPr>
            <w:tcW w:w="5" w:type="pct"/>
            <w:shd w:val="clear" w:color="auto" w:fill="auto"/>
          </w:tcPr>
          <w:p w14:paraId="36CA4673" w14:textId="77777777" w:rsidR="00787570" w:rsidRDefault="00787570">
            <w:pPr>
              <w:rPr>
                <w:rFonts w:ascii="宋体"/>
              </w:rPr>
            </w:pPr>
          </w:p>
        </w:tc>
      </w:tr>
      <w:tr w:rsidR="00787570" w14:paraId="36CA4676" w14:textId="77777777">
        <w:tc>
          <w:tcPr>
            <w:tcW w:w="0" w:type="auto"/>
            <w:gridSpan w:val="3"/>
            <w:shd w:val="clear" w:color="auto" w:fill="0071C5"/>
            <w:tcMar>
              <w:top w:w="40" w:type="dxa"/>
              <w:left w:w="20" w:type="dxa"/>
              <w:bottom w:w="40" w:type="dxa"/>
              <w:right w:w="20" w:type="dxa"/>
            </w:tcMar>
            <w:vAlign w:val="center"/>
          </w:tcPr>
          <w:p w14:paraId="36CA4675" w14:textId="77777777" w:rsidR="00787570" w:rsidRDefault="000D56E2">
            <w:pPr>
              <w:textAlignment w:val="center"/>
            </w:pPr>
            <w:r>
              <w:rPr>
                <w:rFonts w:ascii="Arial" w:eastAsia="宋体" w:hAnsi="Arial" w:cs="Arial"/>
                <w:b/>
                <w:bCs/>
                <w:color w:val="FFFFFF"/>
                <w:sz w:val="36"/>
                <w:szCs w:val="36"/>
              </w:rPr>
              <w:t>MANAGEMENT'S DISCUSSION AND ANALYSIS</w:t>
            </w:r>
          </w:p>
        </w:tc>
      </w:tr>
    </w:tbl>
    <w:p w14:paraId="36CA4677" w14:textId="77777777" w:rsidR="00787570" w:rsidRDefault="000D56E2">
      <w:pPr>
        <w:spacing w:before="180" w:after="180"/>
      </w:pPr>
      <w:r>
        <w:rPr>
          <w:rFonts w:ascii="Arial" w:eastAsia="宋体" w:hAnsi="Arial" w:cs="Arial"/>
          <w:color w:val="333333"/>
          <w:sz w:val="18"/>
          <w:szCs w:val="18"/>
        </w:rPr>
        <w:t xml:space="preserve">For additional key highlights of our </w:t>
      </w:r>
      <w:r>
        <w:rPr>
          <w:rFonts w:ascii="Arial" w:eastAsia="宋体" w:hAnsi="Arial" w:cs="Arial"/>
          <w:color w:val="333333"/>
          <w:sz w:val="18"/>
          <w:szCs w:val="18"/>
        </w:rPr>
        <w:t>results of operations, see "A Quarter in Review."</w:t>
      </w:r>
    </w:p>
    <w:p w14:paraId="36CA4678" w14:textId="77777777" w:rsidR="00787570" w:rsidRDefault="000D56E2">
      <w:pPr>
        <w:spacing w:before="300" w:after="180"/>
      </w:pPr>
      <w:r>
        <w:rPr>
          <w:rFonts w:ascii="Arial" w:eastAsia="宋体" w:hAnsi="Arial" w:cs="Arial"/>
          <w:b/>
          <w:bCs/>
          <w:color w:val="0071C5"/>
          <w:sz w:val="28"/>
          <w:szCs w:val="28"/>
        </w:rPr>
        <w:t xml:space="preserve">DATA CENTER GROUP </w:t>
      </w:r>
    </w:p>
    <w:p w14:paraId="36CA4679" w14:textId="77777777" w:rsidR="00787570" w:rsidRDefault="000D56E2">
      <w:pPr>
        <w:spacing w:after="180"/>
      </w:pPr>
      <w:r>
        <w:rPr>
          <w:rFonts w:ascii="Arial" w:eastAsia="宋体" w:hAnsi="Arial" w:cs="Arial"/>
          <w:color w:val="333333"/>
          <w:sz w:val="18"/>
          <w:szCs w:val="18"/>
        </w:rPr>
        <w:t>DCG develops workload-optimized platforms for compute, storage, and network functions. Market segments include cloud service providers, enterprise and government, and communications servi</w:t>
      </w:r>
      <w:r>
        <w:rPr>
          <w:rFonts w:ascii="Arial" w:eastAsia="宋体" w:hAnsi="Arial" w:cs="Arial"/>
          <w:color w:val="333333"/>
          <w:sz w:val="18"/>
          <w:szCs w:val="18"/>
        </w:rPr>
        <w:t>ce providers. We offer customers an unmatched, broad portfolio of platforms and technologies designed to provide workload-optimized performance across compute, storage, and network. These offerings span the full spectrum from the data center core to the ne</w:t>
      </w:r>
      <w:r>
        <w:rPr>
          <w:rFonts w:ascii="Arial" w:eastAsia="宋体" w:hAnsi="Arial" w:cs="Arial"/>
          <w:color w:val="333333"/>
          <w:sz w:val="18"/>
          <w:szCs w:val="18"/>
        </w:rPr>
        <w:t xml:space="preserve">twork edge. </w:t>
      </w:r>
    </w:p>
    <w:tbl>
      <w:tblPr>
        <w:tblW w:w="10830" w:type="dxa"/>
        <w:tblCellMar>
          <w:top w:w="15" w:type="dxa"/>
          <w:left w:w="15" w:type="dxa"/>
          <w:bottom w:w="15" w:type="dxa"/>
          <w:right w:w="15" w:type="dxa"/>
        </w:tblCellMar>
        <w:tblLook w:val="04A0" w:firstRow="1" w:lastRow="0" w:firstColumn="1" w:lastColumn="0" w:noHBand="0" w:noVBand="1"/>
      </w:tblPr>
      <w:tblGrid>
        <w:gridCol w:w="36"/>
        <w:gridCol w:w="79"/>
        <w:gridCol w:w="36"/>
        <w:gridCol w:w="36"/>
        <w:gridCol w:w="5101"/>
        <w:gridCol w:w="36"/>
        <w:gridCol w:w="36"/>
        <w:gridCol w:w="257"/>
        <w:gridCol w:w="36"/>
        <w:gridCol w:w="36"/>
        <w:gridCol w:w="5105"/>
        <w:gridCol w:w="36"/>
      </w:tblGrid>
      <w:tr w:rsidR="00787570" w14:paraId="36CA4686" w14:textId="77777777">
        <w:tc>
          <w:tcPr>
            <w:tcW w:w="20" w:type="dxa"/>
            <w:shd w:val="clear" w:color="auto" w:fill="auto"/>
          </w:tcPr>
          <w:p w14:paraId="36CA467A" w14:textId="77777777" w:rsidR="00787570" w:rsidRDefault="00787570">
            <w:pPr>
              <w:rPr>
                <w:rFonts w:ascii="宋体"/>
              </w:rPr>
            </w:pPr>
          </w:p>
        </w:tc>
        <w:tc>
          <w:tcPr>
            <w:tcW w:w="80" w:type="dxa"/>
            <w:shd w:val="clear" w:color="auto" w:fill="auto"/>
          </w:tcPr>
          <w:p w14:paraId="36CA467B" w14:textId="77777777" w:rsidR="00787570" w:rsidRDefault="00787570">
            <w:pPr>
              <w:rPr>
                <w:rFonts w:ascii="宋体"/>
              </w:rPr>
            </w:pPr>
          </w:p>
        </w:tc>
        <w:tc>
          <w:tcPr>
            <w:tcW w:w="20" w:type="dxa"/>
            <w:shd w:val="clear" w:color="auto" w:fill="auto"/>
          </w:tcPr>
          <w:p w14:paraId="36CA467C" w14:textId="77777777" w:rsidR="00787570" w:rsidRDefault="00787570">
            <w:pPr>
              <w:rPr>
                <w:rFonts w:ascii="宋体"/>
              </w:rPr>
            </w:pPr>
          </w:p>
        </w:tc>
        <w:tc>
          <w:tcPr>
            <w:tcW w:w="20" w:type="dxa"/>
            <w:shd w:val="clear" w:color="auto" w:fill="auto"/>
          </w:tcPr>
          <w:p w14:paraId="36CA467D" w14:textId="77777777" w:rsidR="00787570" w:rsidRDefault="00787570">
            <w:pPr>
              <w:rPr>
                <w:rFonts w:ascii="宋体"/>
              </w:rPr>
            </w:pPr>
          </w:p>
        </w:tc>
        <w:tc>
          <w:tcPr>
            <w:tcW w:w="5165" w:type="dxa"/>
            <w:shd w:val="clear" w:color="auto" w:fill="auto"/>
          </w:tcPr>
          <w:p w14:paraId="36CA467E" w14:textId="77777777" w:rsidR="00787570" w:rsidRDefault="00787570">
            <w:pPr>
              <w:rPr>
                <w:rFonts w:ascii="宋体"/>
              </w:rPr>
            </w:pPr>
          </w:p>
        </w:tc>
        <w:tc>
          <w:tcPr>
            <w:tcW w:w="20" w:type="dxa"/>
            <w:shd w:val="clear" w:color="auto" w:fill="auto"/>
          </w:tcPr>
          <w:p w14:paraId="36CA467F" w14:textId="77777777" w:rsidR="00787570" w:rsidRDefault="00787570">
            <w:pPr>
              <w:rPr>
                <w:rFonts w:ascii="宋体"/>
              </w:rPr>
            </w:pPr>
          </w:p>
        </w:tc>
        <w:tc>
          <w:tcPr>
            <w:tcW w:w="20" w:type="dxa"/>
            <w:shd w:val="clear" w:color="auto" w:fill="auto"/>
          </w:tcPr>
          <w:p w14:paraId="36CA4680" w14:textId="77777777" w:rsidR="00787570" w:rsidRDefault="00787570">
            <w:pPr>
              <w:rPr>
                <w:rFonts w:ascii="宋体"/>
              </w:rPr>
            </w:pPr>
          </w:p>
        </w:tc>
        <w:tc>
          <w:tcPr>
            <w:tcW w:w="260" w:type="dxa"/>
            <w:shd w:val="clear" w:color="auto" w:fill="auto"/>
          </w:tcPr>
          <w:p w14:paraId="36CA4681" w14:textId="77777777" w:rsidR="00787570" w:rsidRDefault="00787570">
            <w:pPr>
              <w:rPr>
                <w:rFonts w:ascii="宋体"/>
              </w:rPr>
            </w:pPr>
          </w:p>
        </w:tc>
        <w:tc>
          <w:tcPr>
            <w:tcW w:w="20" w:type="dxa"/>
            <w:shd w:val="clear" w:color="auto" w:fill="auto"/>
          </w:tcPr>
          <w:p w14:paraId="36CA4682" w14:textId="77777777" w:rsidR="00787570" w:rsidRDefault="00787570">
            <w:pPr>
              <w:rPr>
                <w:rFonts w:ascii="宋体"/>
              </w:rPr>
            </w:pPr>
          </w:p>
        </w:tc>
        <w:tc>
          <w:tcPr>
            <w:tcW w:w="20" w:type="dxa"/>
            <w:shd w:val="clear" w:color="auto" w:fill="auto"/>
          </w:tcPr>
          <w:p w14:paraId="36CA4683" w14:textId="77777777" w:rsidR="00787570" w:rsidRDefault="00787570">
            <w:pPr>
              <w:rPr>
                <w:rFonts w:ascii="宋体"/>
              </w:rPr>
            </w:pPr>
          </w:p>
        </w:tc>
        <w:tc>
          <w:tcPr>
            <w:tcW w:w="5165" w:type="dxa"/>
            <w:shd w:val="clear" w:color="auto" w:fill="auto"/>
          </w:tcPr>
          <w:p w14:paraId="36CA4684" w14:textId="77777777" w:rsidR="00787570" w:rsidRDefault="00787570">
            <w:pPr>
              <w:rPr>
                <w:rFonts w:ascii="宋体"/>
              </w:rPr>
            </w:pPr>
          </w:p>
        </w:tc>
        <w:tc>
          <w:tcPr>
            <w:tcW w:w="20" w:type="dxa"/>
            <w:shd w:val="clear" w:color="auto" w:fill="auto"/>
          </w:tcPr>
          <w:p w14:paraId="36CA4685" w14:textId="77777777" w:rsidR="00787570" w:rsidRDefault="00787570">
            <w:pPr>
              <w:rPr>
                <w:rFonts w:ascii="宋体"/>
              </w:rPr>
            </w:pPr>
          </w:p>
        </w:tc>
      </w:tr>
      <w:tr w:rsidR="00787570" w14:paraId="36CA468B" w14:textId="77777777">
        <w:tc>
          <w:tcPr>
            <w:tcW w:w="0" w:type="auto"/>
            <w:gridSpan w:val="3"/>
            <w:shd w:val="clear" w:color="auto" w:fill="auto"/>
            <w:tcMar>
              <w:left w:w="20" w:type="dxa"/>
              <w:right w:w="20" w:type="dxa"/>
            </w:tcMar>
            <w:vAlign w:val="bottom"/>
          </w:tcPr>
          <w:p w14:paraId="36CA4687" w14:textId="77777777" w:rsidR="00787570" w:rsidRDefault="00787570">
            <w:pPr>
              <w:rPr>
                <w:rFonts w:ascii="宋体"/>
              </w:rPr>
            </w:pPr>
          </w:p>
        </w:tc>
        <w:tc>
          <w:tcPr>
            <w:tcW w:w="0" w:type="auto"/>
            <w:gridSpan w:val="3"/>
            <w:tcBorders>
              <w:bottom w:val="single" w:sz="8" w:space="0" w:color="333333"/>
            </w:tcBorders>
            <w:shd w:val="clear" w:color="auto" w:fill="auto"/>
            <w:tcMar>
              <w:top w:w="40" w:type="dxa"/>
              <w:left w:w="20" w:type="dxa"/>
              <w:bottom w:w="40" w:type="dxa"/>
              <w:right w:w="20" w:type="dxa"/>
            </w:tcMar>
            <w:vAlign w:val="bottom"/>
          </w:tcPr>
          <w:p w14:paraId="36CA4688" w14:textId="77777777" w:rsidR="00787570" w:rsidRDefault="000D56E2">
            <w:pPr>
              <w:jc w:val="center"/>
              <w:textAlignment w:val="bottom"/>
            </w:pPr>
            <w:r>
              <w:rPr>
                <w:rFonts w:ascii="Arial" w:eastAsia="宋体" w:hAnsi="Arial" w:cs="Arial"/>
                <w:b/>
                <w:bCs/>
                <w:color w:val="0071C5"/>
                <w:sz w:val="20"/>
                <w:szCs w:val="20"/>
              </w:rPr>
              <w:t>DCG REVENUE $B</w:t>
            </w:r>
          </w:p>
        </w:tc>
        <w:tc>
          <w:tcPr>
            <w:tcW w:w="0" w:type="auto"/>
            <w:gridSpan w:val="3"/>
            <w:shd w:val="clear" w:color="auto" w:fill="auto"/>
            <w:tcMar>
              <w:left w:w="20" w:type="dxa"/>
              <w:right w:w="20" w:type="dxa"/>
            </w:tcMar>
            <w:vAlign w:val="bottom"/>
          </w:tcPr>
          <w:p w14:paraId="36CA4689" w14:textId="77777777" w:rsidR="00787570" w:rsidRDefault="00787570">
            <w:pPr>
              <w:rPr>
                <w:rFonts w:ascii="宋体"/>
              </w:rPr>
            </w:pPr>
          </w:p>
        </w:tc>
        <w:tc>
          <w:tcPr>
            <w:tcW w:w="0" w:type="auto"/>
            <w:gridSpan w:val="3"/>
            <w:tcBorders>
              <w:bottom w:val="single" w:sz="8" w:space="0" w:color="333333"/>
            </w:tcBorders>
            <w:shd w:val="clear" w:color="auto" w:fill="auto"/>
            <w:tcMar>
              <w:top w:w="40" w:type="dxa"/>
              <w:left w:w="20" w:type="dxa"/>
              <w:bottom w:w="40" w:type="dxa"/>
              <w:right w:w="20" w:type="dxa"/>
            </w:tcMar>
            <w:vAlign w:val="bottom"/>
          </w:tcPr>
          <w:p w14:paraId="36CA468A" w14:textId="77777777" w:rsidR="00787570" w:rsidRDefault="000D56E2">
            <w:pPr>
              <w:jc w:val="center"/>
              <w:textAlignment w:val="bottom"/>
            </w:pPr>
            <w:r>
              <w:rPr>
                <w:rFonts w:ascii="Arial" w:eastAsia="宋体" w:hAnsi="Arial" w:cs="Arial"/>
                <w:b/>
                <w:bCs/>
                <w:color w:val="0071C5"/>
                <w:sz w:val="20"/>
                <w:szCs w:val="20"/>
              </w:rPr>
              <w:t>DCG OPERATING INCOME $B</w:t>
            </w:r>
          </w:p>
        </w:tc>
      </w:tr>
    </w:tbl>
    <w:p w14:paraId="36CA468C" w14:textId="77777777" w:rsidR="00787570" w:rsidRDefault="000D56E2">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Viewer9_files/intc-20200926_g7.jpg"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36CA5C39" wp14:editId="36CA5C3A">
            <wp:extent cx="304800" cy="304800"/>
            <wp:effectExtent l="0" t="0" r="0" b="0"/>
            <wp:docPr id="74" name="图片 95" descr="IMG_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95" descr="IMG_288"/>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/INTEL/./Inline XBRL Viewer9_files/intc-202009</w:instrText>
      </w:r>
      <w:r>
        <w:rPr>
          <w:rFonts w:ascii="宋体" w:eastAsia="宋体" w:hAnsi="宋体" w:cs="宋体"/>
        </w:rPr>
        <w:instrText xml:space="preserve">26_g8.jpg"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36CA5C3B" wp14:editId="36CA5C3C">
            <wp:extent cx="304800" cy="304800"/>
            <wp:effectExtent l="0" t="0" r="0" b="0"/>
            <wp:docPr id="76" name="图片 96" descr="IMG_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96" descr="IMG_289"/>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bl>
      <w:tblPr>
        <w:tblW w:w="10980" w:type="dxa"/>
        <w:tblCellMar>
          <w:top w:w="15" w:type="dxa"/>
          <w:left w:w="15" w:type="dxa"/>
          <w:bottom w:w="15" w:type="dxa"/>
          <w:right w:w="15" w:type="dxa"/>
        </w:tblCellMar>
        <w:tblLook w:val="04A0" w:firstRow="1" w:lastRow="0" w:firstColumn="1" w:lastColumn="0" w:noHBand="0" w:noVBand="1"/>
      </w:tblPr>
      <w:tblGrid>
        <w:gridCol w:w="36"/>
        <w:gridCol w:w="1193"/>
        <w:gridCol w:w="36"/>
        <w:gridCol w:w="36"/>
        <w:gridCol w:w="1288"/>
        <w:gridCol w:w="36"/>
        <w:gridCol w:w="36"/>
        <w:gridCol w:w="8283"/>
        <w:gridCol w:w="36"/>
      </w:tblGrid>
      <w:tr w:rsidR="00787570" w14:paraId="36CA4696" w14:textId="77777777">
        <w:tc>
          <w:tcPr>
            <w:tcW w:w="20" w:type="dxa"/>
            <w:shd w:val="clear" w:color="auto" w:fill="auto"/>
          </w:tcPr>
          <w:p w14:paraId="36CA468D" w14:textId="77777777" w:rsidR="00787570" w:rsidRDefault="00787570">
            <w:pPr>
              <w:rPr>
                <w:rFonts w:ascii="宋体"/>
              </w:rPr>
            </w:pPr>
          </w:p>
        </w:tc>
        <w:tc>
          <w:tcPr>
            <w:tcW w:w="1205" w:type="dxa"/>
            <w:shd w:val="clear" w:color="auto" w:fill="auto"/>
          </w:tcPr>
          <w:p w14:paraId="36CA468E" w14:textId="77777777" w:rsidR="00787570" w:rsidRDefault="00787570">
            <w:pPr>
              <w:rPr>
                <w:rFonts w:ascii="宋体"/>
              </w:rPr>
            </w:pPr>
          </w:p>
        </w:tc>
        <w:tc>
          <w:tcPr>
            <w:tcW w:w="20" w:type="dxa"/>
            <w:shd w:val="clear" w:color="auto" w:fill="auto"/>
          </w:tcPr>
          <w:p w14:paraId="36CA468F" w14:textId="77777777" w:rsidR="00787570" w:rsidRDefault="00787570">
            <w:pPr>
              <w:rPr>
                <w:rFonts w:ascii="宋体"/>
              </w:rPr>
            </w:pPr>
          </w:p>
        </w:tc>
        <w:tc>
          <w:tcPr>
            <w:tcW w:w="20" w:type="dxa"/>
            <w:shd w:val="clear" w:color="auto" w:fill="auto"/>
          </w:tcPr>
          <w:p w14:paraId="36CA4690" w14:textId="77777777" w:rsidR="00787570" w:rsidRDefault="00787570">
            <w:pPr>
              <w:rPr>
                <w:rFonts w:ascii="宋体"/>
              </w:rPr>
            </w:pPr>
          </w:p>
        </w:tc>
        <w:tc>
          <w:tcPr>
            <w:tcW w:w="1295" w:type="dxa"/>
            <w:shd w:val="clear" w:color="auto" w:fill="auto"/>
          </w:tcPr>
          <w:p w14:paraId="36CA4691" w14:textId="77777777" w:rsidR="00787570" w:rsidRDefault="00787570">
            <w:pPr>
              <w:rPr>
                <w:rFonts w:ascii="宋体"/>
              </w:rPr>
            </w:pPr>
          </w:p>
        </w:tc>
        <w:tc>
          <w:tcPr>
            <w:tcW w:w="20" w:type="dxa"/>
            <w:shd w:val="clear" w:color="auto" w:fill="auto"/>
          </w:tcPr>
          <w:p w14:paraId="36CA4692" w14:textId="77777777" w:rsidR="00787570" w:rsidRDefault="00787570">
            <w:pPr>
              <w:rPr>
                <w:rFonts w:ascii="宋体"/>
              </w:rPr>
            </w:pPr>
          </w:p>
        </w:tc>
        <w:tc>
          <w:tcPr>
            <w:tcW w:w="20" w:type="dxa"/>
            <w:shd w:val="clear" w:color="auto" w:fill="auto"/>
          </w:tcPr>
          <w:p w14:paraId="36CA4693" w14:textId="77777777" w:rsidR="00787570" w:rsidRDefault="00787570">
            <w:pPr>
              <w:rPr>
                <w:rFonts w:ascii="宋体"/>
              </w:rPr>
            </w:pPr>
          </w:p>
        </w:tc>
        <w:tc>
          <w:tcPr>
            <w:tcW w:w="8360" w:type="dxa"/>
            <w:shd w:val="clear" w:color="auto" w:fill="auto"/>
          </w:tcPr>
          <w:p w14:paraId="36CA4694" w14:textId="77777777" w:rsidR="00787570" w:rsidRDefault="00787570">
            <w:pPr>
              <w:rPr>
                <w:rFonts w:ascii="宋体"/>
              </w:rPr>
            </w:pPr>
          </w:p>
        </w:tc>
        <w:tc>
          <w:tcPr>
            <w:tcW w:w="20" w:type="dxa"/>
            <w:shd w:val="clear" w:color="auto" w:fill="auto"/>
          </w:tcPr>
          <w:p w14:paraId="36CA4695" w14:textId="77777777" w:rsidR="00787570" w:rsidRDefault="00787570">
            <w:pPr>
              <w:rPr>
                <w:rFonts w:ascii="宋体"/>
              </w:rPr>
            </w:pPr>
          </w:p>
        </w:tc>
      </w:tr>
      <w:tr w:rsidR="00787570" w14:paraId="36CA469A" w14:textId="77777777">
        <w:tc>
          <w:tcPr>
            <w:tcW w:w="0" w:type="auto"/>
            <w:gridSpan w:val="3"/>
            <w:shd w:val="clear" w:color="auto" w:fill="auto"/>
            <w:tcMar>
              <w:left w:w="20" w:type="dxa"/>
              <w:right w:w="20" w:type="dxa"/>
            </w:tcMar>
            <w:vAlign w:val="bottom"/>
          </w:tcPr>
          <w:p w14:paraId="36CA4697" w14:textId="77777777" w:rsidR="00787570" w:rsidRDefault="00787570">
            <w:pPr>
              <w:rPr>
                <w:rFonts w:ascii="宋体"/>
              </w:rPr>
            </w:pPr>
          </w:p>
        </w:tc>
        <w:tc>
          <w:tcPr>
            <w:tcW w:w="0" w:type="auto"/>
            <w:gridSpan w:val="3"/>
            <w:shd w:val="clear" w:color="auto" w:fill="auto"/>
            <w:tcMar>
              <w:top w:w="40" w:type="dxa"/>
              <w:left w:w="20" w:type="dxa"/>
              <w:bottom w:w="40" w:type="dxa"/>
              <w:right w:w="20" w:type="dxa"/>
            </w:tcMar>
            <w:vAlign w:val="center"/>
          </w:tcPr>
          <w:p w14:paraId="36CA4698" w14:textId="77777777" w:rsidR="00787570" w:rsidRDefault="000D56E2">
            <w:pPr>
              <w:textAlignment w:val="center"/>
            </w:pPr>
            <w:r>
              <w:rPr>
                <w:rFonts w:ascii="Arial" w:eastAsia="宋体" w:hAnsi="Arial" w:cs="Arial"/>
                <w:color w:val="003C71"/>
                <w:sz w:val="18"/>
                <w:szCs w:val="18"/>
              </w:rPr>
              <w:t>■</w:t>
            </w:r>
            <w:r>
              <w:rPr>
                <w:rFonts w:ascii="Arial" w:eastAsia="宋体" w:hAnsi="Arial" w:cs="Arial"/>
                <w:color w:val="333333"/>
                <w:sz w:val="18"/>
                <w:szCs w:val="18"/>
              </w:rPr>
              <w:t xml:space="preserve"> </w:t>
            </w:r>
            <w:r>
              <w:rPr>
                <w:rFonts w:ascii="Arial" w:eastAsia="宋体" w:hAnsi="Arial" w:cs="Arial"/>
                <w:color w:val="333333"/>
                <w:sz w:val="16"/>
                <w:szCs w:val="16"/>
              </w:rPr>
              <w:t>Platform</w:t>
            </w:r>
          </w:p>
        </w:tc>
        <w:tc>
          <w:tcPr>
            <w:tcW w:w="0" w:type="auto"/>
            <w:gridSpan w:val="3"/>
            <w:shd w:val="clear" w:color="auto" w:fill="auto"/>
            <w:tcMar>
              <w:top w:w="40" w:type="dxa"/>
              <w:left w:w="20" w:type="dxa"/>
              <w:bottom w:w="40" w:type="dxa"/>
              <w:right w:w="20" w:type="dxa"/>
            </w:tcMar>
            <w:vAlign w:val="center"/>
          </w:tcPr>
          <w:p w14:paraId="36CA4699" w14:textId="77777777" w:rsidR="00787570" w:rsidRDefault="000D56E2">
            <w:pPr>
              <w:textAlignment w:val="center"/>
            </w:pPr>
            <w:r>
              <w:rPr>
                <w:rFonts w:ascii="Arial" w:eastAsia="宋体" w:hAnsi="Arial" w:cs="Arial"/>
                <w:color w:val="FFA300"/>
                <w:sz w:val="18"/>
                <w:szCs w:val="18"/>
              </w:rPr>
              <w:t>■</w:t>
            </w:r>
            <w:r>
              <w:rPr>
                <w:rFonts w:ascii="Arial" w:eastAsia="宋体" w:hAnsi="Arial" w:cs="Arial"/>
                <w:color w:val="333333"/>
                <w:sz w:val="18"/>
                <w:szCs w:val="18"/>
              </w:rPr>
              <w:t xml:space="preserve"> </w:t>
            </w:r>
            <w:r>
              <w:rPr>
                <w:rFonts w:ascii="Arial" w:eastAsia="宋体" w:hAnsi="Arial" w:cs="Arial"/>
                <w:color w:val="333333"/>
                <w:sz w:val="16"/>
                <w:szCs w:val="16"/>
              </w:rPr>
              <w:t>Adjacent</w:t>
            </w:r>
          </w:p>
        </w:tc>
      </w:tr>
    </w:tbl>
    <w:p w14:paraId="36CA469B" w14:textId="77777777" w:rsidR="00787570" w:rsidRDefault="00787570">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8231"/>
        <w:gridCol w:w="36"/>
      </w:tblGrid>
      <w:tr w:rsidR="00787570" w14:paraId="36CA469F" w14:textId="77777777">
        <w:tc>
          <w:tcPr>
            <w:tcW w:w="50" w:type="pct"/>
            <w:shd w:val="clear" w:color="auto" w:fill="auto"/>
          </w:tcPr>
          <w:p w14:paraId="36CA469C" w14:textId="77777777" w:rsidR="00787570" w:rsidRDefault="00787570">
            <w:pPr>
              <w:rPr>
                <w:rFonts w:ascii="宋体"/>
              </w:rPr>
            </w:pPr>
          </w:p>
        </w:tc>
        <w:tc>
          <w:tcPr>
            <w:tcW w:w="4945" w:type="pct"/>
            <w:shd w:val="clear" w:color="auto" w:fill="auto"/>
          </w:tcPr>
          <w:p w14:paraId="36CA469D" w14:textId="77777777" w:rsidR="00787570" w:rsidRDefault="00787570">
            <w:pPr>
              <w:rPr>
                <w:rFonts w:ascii="宋体"/>
              </w:rPr>
            </w:pPr>
          </w:p>
        </w:tc>
        <w:tc>
          <w:tcPr>
            <w:tcW w:w="5" w:type="pct"/>
            <w:shd w:val="clear" w:color="auto" w:fill="auto"/>
          </w:tcPr>
          <w:p w14:paraId="36CA469E" w14:textId="77777777" w:rsidR="00787570" w:rsidRDefault="00787570">
            <w:pPr>
              <w:rPr>
                <w:rFonts w:ascii="宋体"/>
              </w:rPr>
            </w:pPr>
          </w:p>
        </w:tc>
      </w:tr>
      <w:tr w:rsidR="00787570" w14:paraId="36CA46A1" w14:textId="77777777">
        <w:tc>
          <w:tcPr>
            <w:tcW w:w="0" w:type="auto"/>
            <w:gridSpan w:val="3"/>
            <w:tcBorders>
              <w:bottom w:val="single" w:sz="8" w:space="0" w:color="333333"/>
            </w:tcBorders>
            <w:shd w:val="clear" w:color="auto" w:fill="auto"/>
            <w:tcMar>
              <w:top w:w="40" w:type="dxa"/>
              <w:left w:w="20" w:type="dxa"/>
              <w:bottom w:w="40" w:type="dxa"/>
              <w:right w:w="20" w:type="dxa"/>
            </w:tcMar>
            <w:vAlign w:val="bottom"/>
          </w:tcPr>
          <w:p w14:paraId="36CA46A0" w14:textId="77777777" w:rsidR="00787570" w:rsidRDefault="000D56E2">
            <w:pPr>
              <w:textAlignment w:val="bottom"/>
            </w:pPr>
            <w:r>
              <w:rPr>
                <w:rFonts w:ascii="Arial" w:eastAsia="宋体" w:hAnsi="Arial" w:cs="Arial"/>
                <w:b/>
                <w:bCs/>
                <w:color w:val="0071C5"/>
                <w:sz w:val="20"/>
                <w:szCs w:val="20"/>
              </w:rPr>
              <w:t>REVENUE SUMMARY</w:t>
            </w:r>
          </w:p>
        </w:tc>
      </w:tr>
    </w:tbl>
    <w:p w14:paraId="36CA46A2" w14:textId="77777777" w:rsidR="00787570" w:rsidRDefault="000D56E2">
      <w:pPr>
        <w:spacing w:before="180" w:after="180"/>
      </w:pPr>
      <w:r>
        <w:rPr>
          <w:rFonts w:ascii="Arial" w:eastAsia="宋体" w:hAnsi="Arial" w:cs="Arial"/>
          <w:color w:val="333333"/>
          <w:sz w:val="18"/>
          <w:szCs w:val="18"/>
        </w:rPr>
        <w:t>Revenue in Q3 2020 was down 7% compared to Q3 2019, driven by lower ASPs on higher SoC volume and mix shift from the enterprise and government market segment to cloud service providers. The decline was partially offset by higher platform volume overall, an</w:t>
      </w:r>
      <w:r>
        <w:rPr>
          <w:rFonts w:ascii="Arial" w:eastAsia="宋体" w:hAnsi="Arial" w:cs="Arial"/>
          <w:color w:val="333333"/>
          <w:sz w:val="18"/>
          <w:szCs w:val="18"/>
        </w:rPr>
        <w:t>d growth in adjacencies driven by 5G networking deployment. Year over year revenue in the cloud service providers market segment was up 15% on continued demand to support a work and learn-at-home environment, and the communications service providers market</w:t>
      </w:r>
      <w:r>
        <w:rPr>
          <w:rFonts w:ascii="Arial" w:eastAsia="宋体" w:hAnsi="Arial" w:cs="Arial"/>
          <w:color w:val="333333"/>
          <w:sz w:val="18"/>
          <w:szCs w:val="18"/>
        </w:rPr>
        <w:t xml:space="preserve"> segment was up 4%. The enterprise and government market segment was down 47% driven by weaker macroeconomic conditions due to COVID-19. </w:t>
      </w:r>
    </w:p>
    <w:p w14:paraId="36CA46A3" w14:textId="77777777" w:rsidR="00787570" w:rsidRDefault="000D56E2">
      <w:pPr>
        <w:spacing w:before="180" w:after="180"/>
      </w:pPr>
      <w:r>
        <w:rPr>
          <w:rFonts w:ascii="Arial" w:eastAsia="宋体" w:hAnsi="Arial" w:cs="Arial"/>
          <w:color w:val="333333"/>
          <w:sz w:val="18"/>
          <w:szCs w:val="18"/>
        </w:rPr>
        <w:t>Revenue was up 23% YTD 2020 compared to YTD 2019 due to increased platform volume as cloud service providers added cap</w:t>
      </w:r>
      <w:r>
        <w:rPr>
          <w:rFonts w:ascii="Arial" w:eastAsia="宋体" w:hAnsi="Arial" w:cs="Arial"/>
          <w:color w:val="333333"/>
          <w:sz w:val="18"/>
          <w:szCs w:val="18"/>
        </w:rPr>
        <w:t>acity to serve demand, and continued growth in the communications service providers market segment. We also experienced growth in adjacencies driven by 5G networking deployment.</w:t>
      </w:r>
    </w:p>
    <w:p w14:paraId="36CA46A4" w14:textId="77777777" w:rsidR="00787570" w:rsidRDefault="000D56E2">
      <w:r>
        <w:rPr>
          <w:rFonts w:ascii="Arial" w:eastAsia="宋体" w:hAnsi="Arial" w:cs="Arial"/>
          <w:color w:val="333333"/>
          <w:sz w:val="18"/>
          <w:szCs w:val="18"/>
        </w:rPr>
        <w:t>In Q4, we anticipate COVID-19 impacts will drive weaker demand in our data-cen</w:t>
      </w:r>
      <w:r>
        <w:rPr>
          <w:rFonts w:ascii="Arial" w:eastAsia="宋体" w:hAnsi="Arial" w:cs="Arial"/>
          <w:color w:val="333333"/>
          <w:sz w:val="18"/>
          <w:szCs w:val="18"/>
        </w:rPr>
        <w:t>tric businesses and demand in the cloud service providers market segment to moderate.</w:t>
      </w:r>
    </w:p>
    <w:p w14:paraId="36CA46A5" w14:textId="77777777" w:rsidR="00787570" w:rsidRDefault="00787570"/>
    <w:tbl>
      <w:tblPr>
        <w:tblW w:w="5000" w:type="pct"/>
        <w:tblCellMar>
          <w:top w:w="15" w:type="dxa"/>
          <w:left w:w="15" w:type="dxa"/>
          <w:bottom w:w="15" w:type="dxa"/>
          <w:right w:w="15" w:type="dxa"/>
        </w:tblCellMar>
        <w:tblLook w:val="04A0" w:firstRow="1" w:lastRow="0" w:firstColumn="1" w:lastColumn="0" w:noHBand="0" w:noVBand="1"/>
      </w:tblPr>
      <w:tblGrid>
        <w:gridCol w:w="37"/>
        <w:gridCol w:w="2819"/>
        <w:gridCol w:w="36"/>
        <w:gridCol w:w="67"/>
        <w:gridCol w:w="398"/>
        <w:gridCol w:w="36"/>
        <w:gridCol w:w="64"/>
        <w:gridCol w:w="451"/>
        <w:gridCol w:w="36"/>
        <w:gridCol w:w="36"/>
        <w:gridCol w:w="36"/>
        <w:gridCol w:w="36"/>
        <w:gridCol w:w="136"/>
        <w:gridCol w:w="436"/>
        <w:gridCol w:w="41"/>
        <w:gridCol w:w="114"/>
        <w:gridCol w:w="544"/>
        <w:gridCol w:w="113"/>
        <w:gridCol w:w="37"/>
        <w:gridCol w:w="204"/>
        <w:gridCol w:w="36"/>
        <w:gridCol w:w="50"/>
        <w:gridCol w:w="347"/>
        <w:gridCol w:w="36"/>
        <w:gridCol w:w="36"/>
        <w:gridCol w:w="36"/>
        <w:gridCol w:w="36"/>
        <w:gridCol w:w="136"/>
        <w:gridCol w:w="594"/>
        <w:gridCol w:w="41"/>
        <w:gridCol w:w="36"/>
        <w:gridCol w:w="36"/>
        <w:gridCol w:w="36"/>
        <w:gridCol w:w="257"/>
        <w:gridCol w:w="257"/>
        <w:gridCol w:w="257"/>
        <w:gridCol w:w="36"/>
        <w:gridCol w:w="36"/>
        <w:gridCol w:w="36"/>
        <w:gridCol w:w="36"/>
        <w:gridCol w:w="36"/>
        <w:gridCol w:w="36"/>
        <w:gridCol w:w="36"/>
        <w:gridCol w:w="36"/>
        <w:gridCol w:w="36"/>
        <w:gridCol w:w="36"/>
        <w:gridCol w:w="36"/>
        <w:gridCol w:w="36"/>
      </w:tblGrid>
      <w:tr w:rsidR="00787570" w14:paraId="36CA46C4" w14:textId="77777777">
        <w:trPr>
          <w:gridAfter w:val="18"/>
        </w:trPr>
        <w:tc>
          <w:tcPr>
            <w:tcW w:w="50" w:type="pct"/>
            <w:shd w:val="clear" w:color="auto" w:fill="auto"/>
          </w:tcPr>
          <w:p w14:paraId="36CA46A6" w14:textId="77777777" w:rsidR="00787570" w:rsidRDefault="00787570">
            <w:pPr>
              <w:rPr>
                <w:rFonts w:ascii="宋体"/>
              </w:rPr>
            </w:pPr>
          </w:p>
        </w:tc>
        <w:tc>
          <w:tcPr>
            <w:tcW w:w="2123" w:type="pct"/>
            <w:shd w:val="clear" w:color="auto" w:fill="auto"/>
          </w:tcPr>
          <w:p w14:paraId="36CA46A7" w14:textId="77777777" w:rsidR="00787570" w:rsidRDefault="00787570">
            <w:pPr>
              <w:rPr>
                <w:rFonts w:ascii="宋体"/>
              </w:rPr>
            </w:pPr>
          </w:p>
        </w:tc>
        <w:tc>
          <w:tcPr>
            <w:tcW w:w="5" w:type="pct"/>
            <w:shd w:val="clear" w:color="auto" w:fill="auto"/>
          </w:tcPr>
          <w:p w14:paraId="36CA46A8" w14:textId="77777777" w:rsidR="00787570" w:rsidRDefault="00787570">
            <w:pPr>
              <w:rPr>
                <w:rFonts w:ascii="宋体"/>
              </w:rPr>
            </w:pPr>
          </w:p>
        </w:tc>
        <w:tc>
          <w:tcPr>
            <w:tcW w:w="50" w:type="pct"/>
            <w:shd w:val="clear" w:color="auto" w:fill="auto"/>
          </w:tcPr>
          <w:p w14:paraId="36CA46A9" w14:textId="77777777" w:rsidR="00787570" w:rsidRDefault="00787570">
            <w:pPr>
              <w:rPr>
                <w:rFonts w:ascii="宋体"/>
              </w:rPr>
            </w:pPr>
          </w:p>
        </w:tc>
        <w:tc>
          <w:tcPr>
            <w:tcW w:w="300" w:type="pct"/>
            <w:shd w:val="clear" w:color="auto" w:fill="auto"/>
          </w:tcPr>
          <w:p w14:paraId="36CA46AA" w14:textId="77777777" w:rsidR="00787570" w:rsidRDefault="00787570">
            <w:pPr>
              <w:rPr>
                <w:rFonts w:ascii="宋体"/>
              </w:rPr>
            </w:pPr>
          </w:p>
        </w:tc>
        <w:tc>
          <w:tcPr>
            <w:tcW w:w="5" w:type="pct"/>
            <w:shd w:val="clear" w:color="auto" w:fill="auto"/>
          </w:tcPr>
          <w:p w14:paraId="36CA46AB" w14:textId="77777777" w:rsidR="00787570" w:rsidRDefault="00787570">
            <w:pPr>
              <w:rPr>
                <w:rFonts w:ascii="宋体"/>
              </w:rPr>
            </w:pPr>
          </w:p>
        </w:tc>
        <w:tc>
          <w:tcPr>
            <w:tcW w:w="50" w:type="pct"/>
            <w:shd w:val="clear" w:color="auto" w:fill="auto"/>
          </w:tcPr>
          <w:p w14:paraId="36CA46AC" w14:textId="77777777" w:rsidR="00787570" w:rsidRDefault="00787570">
            <w:pPr>
              <w:rPr>
                <w:rFonts w:ascii="宋体"/>
              </w:rPr>
            </w:pPr>
          </w:p>
        </w:tc>
        <w:tc>
          <w:tcPr>
            <w:tcW w:w="354" w:type="pct"/>
            <w:shd w:val="clear" w:color="auto" w:fill="auto"/>
          </w:tcPr>
          <w:p w14:paraId="36CA46AD" w14:textId="77777777" w:rsidR="00787570" w:rsidRDefault="00787570">
            <w:pPr>
              <w:rPr>
                <w:rFonts w:ascii="宋体"/>
              </w:rPr>
            </w:pPr>
          </w:p>
        </w:tc>
        <w:tc>
          <w:tcPr>
            <w:tcW w:w="5" w:type="pct"/>
            <w:shd w:val="clear" w:color="auto" w:fill="auto"/>
          </w:tcPr>
          <w:p w14:paraId="36CA46AE" w14:textId="77777777" w:rsidR="00787570" w:rsidRDefault="00787570">
            <w:pPr>
              <w:rPr>
                <w:rFonts w:ascii="宋体"/>
              </w:rPr>
            </w:pPr>
          </w:p>
        </w:tc>
        <w:tc>
          <w:tcPr>
            <w:tcW w:w="5" w:type="pct"/>
            <w:shd w:val="clear" w:color="auto" w:fill="auto"/>
          </w:tcPr>
          <w:p w14:paraId="36CA46AF" w14:textId="77777777" w:rsidR="00787570" w:rsidRDefault="00787570">
            <w:pPr>
              <w:rPr>
                <w:rFonts w:ascii="宋体"/>
              </w:rPr>
            </w:pPr>
          </w:p>
        </w:tc>
        <w:tc>
          <w:tcPr>
            <w:tcW w:w="24" w:type="pct"/>
            <w:shd w:val="clear" w:color="auto" w:fill="auto"/>
          </w:tcPr>
          <w:p w14:paraId="36CA46B0" w14:textId="77777777" w:rsidR="00787570" w:rsidRDefault="00787570">
            <w:pPr>
              <w:rPr>
                <w:rFonts w:ascii="宋体"/>
              </w:rPr>
            </w:pPr>
          </w:p>
        </w:tc>
        <w:tc>
          <w:tcPr>
            <w:tcW w:w="5" w:type="pct"/>
            <w:shd w:val="clear" w:color="auto" w:fill="auto"/>
          </w:tcPr>
          <w:p w14:paraId="36CA46B1" w14:textId="77777777" w:rsidR="00787570" w:rsidRDefault="00787570">
            <w:pPr>
              <w:rPr>
                <w:rFonts w:ascii="宋体"/>
              </w:rPr>
            </w:pPr>
          </w:p>
        </w:tc>
        <w:tc>
          <w:tcPr>
            <w:tcW w:w="50" w:type="pct"/>
            <w:shd w:val="clear" w:color="auto" w:fill="auto"/>
          </w:tcPr>
          <w:p w14:paraId="36CA46B2" w14:textId="77777777" w:rsidR="00787570" w:rsidRDefault="00787570">
            <w:pPr>
              <w:rPr>
                <w:rFonts w:ascii="宋体"/>
              </w:rPr>
            </w:pPr>
          </w:p>
        </w:tc>
        <w:tc>
          <w:tcPr>
            <w:tcW w:w="539" w:type="pct"/>
            <w:shd w:val="clear" w:color="auto" w:fill="auto"/>
          </w:tcPr>
          <w:p w14:paraId="36CA46B3" w14:textId="77777777" w:rsidR="00787570" w:rsidRDefault="00787570">
            <w:pPr>
              <w:rPr>
                <w:rFonts w:ascii="宋体"/>
              </w:rPr>
            </w:pPr>
          </w:p>
        </w:tc>
        <w:tc>
          <w:tcPr>
            <w:tcW w:w="5" w:type="pct"/>
            <w:shd w:val="clear" w:color="auto" w:fill="auto"/>
          </w:tcPr>
          <w:p w14:paraId="36CA46B4" w14:textId="77777777" w:rsidR="00787570" w:rsidRDefault="00787570">
            <w:pPr>
              <w:rPr>
                <w:rFonts w:ascii="宋体"/>
              </w:rPr>
            </w:pPr>
          </w:p>
        </w:tc>
        <w:tc>
          <w:tcPr>
            <w:tcW w:w="5" w:type="pct"/>
            <w:shd w:val="clear" w:color="auto" w:fill="auto"/>
          </w:tcPr>
          <w:p w14:paraId="36CA46B5" w14:textId="77777777" w:rsidR="00787570" w:rsidRDefault="00787570">
            <w:pPr>
              <w:rPr>
                <w:rFonts w:ascii="宋体"/>
              </w:rPr>
            </w:pPr>
          </w:p>
        </w:tc>
        <w:tc>
          <w:tcPr>
            <w:tcW w:w="24" w:type="pct"/>
            <w:shd w:val="clear" w:color="auto" w:fill="auto"/>
          </w:tcPr>
          <w:p w14:paraId="36CA46B6" w14:textId="77777777" w:rsidR="00787570" w:rsidRDefault="00787570">
            <w:pPr>
              <w:rPr>
                <w:rFonts w:ascii="宋体"/>
              </w:rPr>
            </w:pPr>
          </w:p>
        </w:tc>
        <w:tc>
          <w:tcPr>
            <w:tcW w:w="5" w:type="pct"/>
            <w:shd w:val="clear" w:color="auto" w:fill="auto"/>
          </w:tcPr>
          <w:p w14:paraId="36CA46B7" w14:textId="77777777" w:rsidR="00787570" w:rsidRDefault="00787570">
            <w:pPr>
              <w:rPr>
                <w:rFonts w:ascii="宋体"/>
              </w:rPr>
            </w:pPr>
          </w:p>
        </w:tc>
        <w:tc>
          <w:tcPr>
            <w:tcW w:w="50" w:type="pct"/>
            <w:shd w:val="clear" w:color="auto" w:fill="auto"/>
          </w:tcPr>
          <w:p w14:paraId="36CA46B8" w14:textId="77777777" w:rsidR="00787570" w:rsidRDefault="00787570">
            <w:pPr>
              <w:rPr>
                <w:rFonts w:ascii="宋体"/>
              </w:rPr>
            </w:pPr>
          </w:p>
        </w:tc>
        <w:tc>
          <w:tcPr>
            <w:tcW w:w="300" w:type="pct"/>
            <w:shd w:val="clear" w:color="auto" w:fill="auto"/>
          </w:tcPr>
          <w:p w14:paraId="36CA46B9" w14:textId="77777777" w:rsidR="00787570" w:rsidRDefault="00787570">
            <w:pPr>
              <w:rPr>
                <w:rFonts w:ascii="宋体"/>
              </w:rPr>
            </w:pPr>
          </w:p>
        </w:tc>
        <w:tc>
          <w:tcPr>
            <w:tcW w:w="5" w:type="pct"/>
            <w:shd w:val="clear" w:color="auto" w:fill="auto"/>
          </w:tcPr>
          <w:p w14:paraId="36CA46BA" w14:textId="77777777" w:rsidR="00787570" w:rsidRDefault="00787570">
            <w:pPr>
              <w:rPr>
                <w:rFonts w:ascii="宋体"/>
              </w:rPr>
            </w:pPr>
          </w:p>
        </w:tc>
        <w:tc>
          <w:tcPr>
            <w:tcW w:w="50" w:type="pct"/>
            <w:shd w:val="clear" w:color="auto" w:fill="auto"/>
          </w:tcPr>
          <w:p w14:paraId="36CA46BB" w14:textId="77777777" w:rsidR="00787570" w:rsidRDefault="00787570">
            <w:pPr>
              <w:rPr>
                <w:rFonts w:ascii="宋体"/>
              </w:rPr>
            </w:pPr>
          </w:p>
        </w:tc>
        <w:tc>
          <w:tcPr>
            <w:tcW w:w="354" w:type="pct"/>
            <w:shd w:val="clear" w:color="auto" w:fill="auto"/>
          </w:tcPr>
          <w:p w14:paraId="36CA46BC" w14:textId="77777777" w:rsidR="00787570" w:rsidRDefault="00787570">
            <w:pPr>
              <w:rPr>
                <w:rFonts w:ascii="宋体"/>
              </w:rPr>
            </w:pPr>
          </w:p>
        </w:tc>
        <w:tc>
          <w:tcPr>
            <w:tcW w:w="5" w:type="pct"/>
            <w:shd w:val="clear" w:color="auto" w:fill="auto"/>
          </w:tcPr>
          <w:p w14:paraId="36CA46BD" w14:textId="77777777" w:rsidR="00787570" w:rsidRDefault="00787570">
            <w:pPr>
              <w:rPr>
                <w:rFonts w:ascii="宋体"/>
              </w:rPr>
            </w:pPr>
          </w:p>
        </w:tc>
        <w:tc>
          <w:tcPr>
            <w:tcW w:w="5" w:type="pct"/>
            <w:shd w:val="clear" w:color="auto" w:fill="auto"/>
          </w:tcPr>
          <w:p w14:paraId="36CA46BE" w14:textId="77777777" w:rsidR="00787570" w:rsidRDefault="00787570">
            <w:pPr>
              <w:rPr>
                <w:rFonts w:ascii="宋体"/>
              </w:rPr>
            </w:pPr>
          </w:p>
        </w:tc>
        <w:tc>
          <w:tcPr>
            <w:tcW w:w="24" w:type="pct"/>
            <w:shd w:val="clear" w:color="auto" w:fill="auto"/>
          </w:tcPr>
          <w:p w14:paraId="36CA46BF" w14:textId="77777777" w:rsidR="00787570" w:rsidRDefault="00787570">
            <w:pPr>
              <w:rPr>
                <w:rFonts w:ascii="宋体"/>
              </w:rPr>
            </w:pPr>
          </w:p>
        </w:tc>
        <w:tc>
          <w:tcPr>
            <w:tcW w:w="5" w:type="pct"/>
            <w:shd w:val="clear" w:color="auto" w:fill="auto"/>
          </w:tcPr>
          <w:p w14:paraId="36CA46C0" w14:textId="77777777" w:rsidR="00787570" w:rsidRDefault="00787570">
            <w:pPr>
              <w:rPr>
                <w:rFonts w:ascii="宋体"/>
              </w:rPr>
            </w:pPr>
          </w:p>
        </w:tc>
        <w:tc>
          <w:tcPr>
            <w:tcW w:w="50" w:type="pct"/>
            <w:shd w:val="clear" w:color="auto" w:fill="auto"/>
          </w:tcPr>
          <w:p w14:paraId="36CA46C1" w14:textId="77777777" w:rsidR="00787570" w:rsidRDefault="00787570">
            <w:pPr>
              <w:rPr>
                <w:rFonts w:ascii="宋体"/>
              </w:rPr>
            </w:pPr>
          </w:p>
        </w:tc>
        <w:tc>
          <w:tcPr>
            <w:tcW w:w="539" w:type="pct"/>
            <w:shd w:val="clear" w:color="auto" w:fill="auto"/>
          </w:tcPr>
          <w:p w14:paraId="36CA46C2" w14:textId="77777777" w:rsidR="00787570" w:rsidRDefault="00787570">
            <w:pPr>
              <w:rPr>
                <w:rFonts w:ascii="宋体"/>
              </w:rPr>
            </w:pPr>
          </w:p>
        </w:tc>
        <w:tc>
          <w:tcPr>
            <w:tcW w:w="5" w:type="pct"/>
            <w:shd w:val="clear" w:color="auto" w:fill="auto"/>
          </w:tcPr>
          <w:p w14:paraId="36CA46C3" w14:textId="77777777" w:rsidR="00787570" w:rsidRDefault="00787570">
            <w:pPr>
              <w:rPr>
                <w:rFonts w:ascii="宋体"/>
              </w:rPr>
            </w:pPr>
          </w:p>
        </w:tc>
      </w:tr>
      <w:tr w:rsidR="00787570" w14:paraId="36CA46CF" w14:textId="77777777">
        <w:tc>
          <w:tcPr>
            <w:tcW w:w="0" w:type="auto"/>
            <w:gridSpan w:val="3"/>
            <w:shd w:val="clear" w:color="auto" w:fill="auto"/>
            <w:tcMar>
              <w:left w:w="20" w:type="dxa"/>
              <w:right w:w="20" w:type="dxa"/>
            </w:tcMar>
            <w:vAlign w:val="bottom"/>
          </w:tcPr>
          <w:p w14:paraId="36CA46C5" w14:textId="77777777" w:rsidR="00787570" w:rsidRDefault="00787570">
            <w:pPr>
              <w:rPr>
                <w:rFonts w:ascii="宋体"/>
              </w:rPr>
            </w:pPr>
          </w:p>
        </w:tc>
        <w:tc>
          <w:tcPr>
            <w:tcW w:w="0" w:type="auto"/>
            <w:gridSpan w:val="12"/>
            <w:shd w:val="clear" w:color="auto" w:fill="auto"/>
            <w:tcMar>
              <w:top w:w="40" w:type="dxa"/>
              <w:left w:w="20" w:type="dxa"/>
              <w:bottom w:w="40" w:type="dxa"/>
              <w:right w:w="20" w:type="dxa"/>
            </w:tcMar>
            <w:vAlign w:val="bottom"/>
          </w:tcPr>
          <w:p w14:paraId="36CA46C6" w14:textId="77777777" w:rsidR="00787570" w:rsidRDefault="000D56E2">
            <w:pPr>
              <w:jc w:val="center"/>
              <w:textAlignment w:val="bottom"/>
            </w:pPr>
            <w:r>
              <w:rPr>
                <w:rFonts w:ascii="Arial" w:eastAsia="宋体" w:hAnsi="Arial" w:cs="Arial"/>
                <w:b/>
                <w:bCs/>
                <w:color w:val="333333"/>
                <w:sz w:val="18"/>
                <w:szCs w:val="18"/>
              </w:rPr>
              <w:t>Q3 2020 vs. Q3 2019</w:t>
            </w:r>
          </w:p>
        </w:tc>
        <w:tc>
          <w:tcPr>
            <w:tcW w:w="0" w:type="auto"/>
            <w:gridSpan w:val="3"/>
            <w:shd w:val="clear" w:color="auto" w:fill="auto"/>
          </w:tcPr>
          <w:p w14:paraId="36CA46C7" w14:textId="77777777" w:rsidR="00787570" w:rsidRDefault="00787570">
            <w:pPr>
              <w:rPr>
                <w:rFonts w:ascii="宋体"/>
                <w:vanish/>
              </w:rPr>
            </w:pPr>
          </w:p>
        </w:tc>
        <w:tc>
          <w:tcPr>
            <w:tcW w:w="0" w:type="auto"/>
            <w:gridSpan w:val="3"/>
            <w:shd w:val="clear" w:color="auto" w:fill="auto"/>
          </w:tcPr>
          <w:p w14:paraId="36CA46C8" w14:textId="77777777" w:rsidR="00787570" w:rsidRDefault="00787570">
            <w:pPr>
              <w:rPr>
                <w:rFonts w:ascii="宋体"/>
                <w:vanish/>
              </w:rPr>
            </w:pPr>
          </w:p>
        </w:tc>
        <w:tc>
          <w:tcPr>
            <w:tcW w:w="0" w:type="auto"/>
            <w:gridSpan w:val="3"/>
            <w:shd w:val="clear" w:color="auto" w:fill="auto"/>
          </w:tcPr>
          <w:p w14:paraId="36CA46C9" w14:textId="77777777" w:rsidR="00787570" w:rsidRDefault="00787570">
            <w:pPr>
              <w:rPr>
                <w:rFonts w:ascii="宋体"/>
                <w:vanish/>
              </w:rPr>
            </w:pPr>
          </w:p>
        </w:tc>
        <w:tc>
          <w:tcPr>
            <w:tcW w:w="0" w:type="auto"/>
            <w:gridSpan w:val="3"/>
            <w:shd w:val="clear" w:color="auto" w:fill="auto"/>
            <w:tcMar>
              <w:left w:w="20" w:type="dxa"/>
              <w:right w:w="20" w:type="dxa"/>
            </w:tcMar>
            <w:vAlign w:val="bottom"/>
          </w:tcPr>
          <w:p w14:paraId="36CA46CA" w14:textId="77777777" w:rsidR="00787570" w:rsidRDefault="00787570">
            <w:pPr>
              <w:rPr>
                <w:rFonts w:ascii="宋体"/>
              </w:rPr>
            </w:pPr>
          </w:p>
        </w:tc>
        <w:tc>
          <w:tcPr>
            <w:tcW w:w="0" w:type="auto"/>
            <w:gridSpan w:val="12"/>
            <w:shd w:val="clear" w:color="auto" w:fill="auto"/>
            <w:tcMar>
              <w:top w:w="40" w:type="dxa"/>
              <w:left w:w="20" w:type="dxa"/>
              <w:bottom w:w="40" w:type="dxa"/>
              <w:right w:w="20" w:type="dxa"/>
            </w:tcMar>
            <w:vAlign w:val="bottom"/>
          </w:tcPr>
          <w:p w14:paraId="36CA46CB" w14:textId="77777777" w:rsidR="00787570" w:rsidRDefault="000D56E2">
            <w:pPr>
              <w:jc w:val="center"/>
              <w:textAlignment w:val="bottom"/>
            </w:pPr>
            <w:r>
              <w:rPr>
                <w:rFonts w:ascii="Arial" w:eastAsia="宋体" w:hAnsi="Arial" w:cs="Arial"/>
                <w:b/>
                <w:bCs/>
                <w:color w:val="333333"/>
                <w:sz w:val="18"/>
                <w:szCs w:val="18"/>
              </w:rPr>
              <w:t>YTD 2020 vs. YTD 2019</w:t>
            </w:r>
          </w:p>
        </w:tc>
        <w:tc>
          <w:tcPr>
            <w:tcW w:w="0" w:type="auto"/>
            <w:gridSpan w:val="3"/>
            <w:shd w:val="clear" w:color="auto" w:fill="auto"/>
          </w:tcPr>
          <w:p w14:paraId="36CA46CC" w14:textId="77777777" w:rsidR="00787570" w:rsidRDefault="00787570">
            <w:pPr>
              <w:rPr>
                <w:rFonts w:ascii="宋体"/>
                <w:vanish/>
              </w:rPr>
            </w:pPr>
          </w:p>
        </w:tc>
        <w:tc>
          <w:tcPr>
            <w:tcW w:w="0" w:type="auto"/>
            <w:gridSpan w:val="3"/>
            <w:shd w:val="clear" w:color="auto" w:fill="auto"/>
          </w:tcPr>
          <w:p w14:paraId="36CA46CD" w14:textId="77777777" w:rsidR="00787570" w:rsidRDefault="00787570">
            <w:pPr>
              <w:rPr>
                <w:rFonts w:ascii="宋体"/>
                <w:vanish/>
              </w:rPr>
            </w:pPr>
          </w:p>
        </w:tc>
        <w:tc>
          <w:tcPr>
            <w:tcW w:w="0" w:type="auto"/>
            <w:gridSpan w:val="3"/>
            <w:shd w:val="clear" w:color="auto" w:fill="auto"/>
          </w:tcPr>
          <w:p w14:paraId="36CA46CE" w14:textId="77777777" w:rsidR="00787570" w:rsidRDefault="00787570">
            <w:pPr>
              <w:rPr>
                <w:rFonts w:ascii="宋体"/>
                <w:vanish/>
              </w:rPr>
            </w:pPr>
          </w:p>
        </w:tc>
      </w:tr>
      <w:tr w:rsidR="00787570" w14:paraId="36CA46E6" w14:textId="77777777">
        <w:tc>
          <w:tcPr>
            <w:tcW w:w="0" w:type="auto"/>
            <w:gridSpan w:val="3"/>
            <w:shd w:val="clear" w:color="auto" w:fill="auto"/>
            <w:tcMar>
              <w:top w:w="40" w:type="dxa"/>
              <w:left w:w="20" w:type="dxa"/>
              <w:bottom w:w="40" w:type="dxa"/>
              <w:right w:w="20" w:type="dxa"/>
            </w:tcMar>
            <w:vAlign w:val="bottom"/>
          </w:tcPr>
          <w:p w14:paraId="36CA46D0" w14:textId="77777777" w:rsidR="00787570" w:rsidRDefault="000D56E2">
            <w:pPr>
              <w:textAlignment w:val="bottom"/>
            </w:pPr>
            <w:r>
              <w:rPr>
                <w:rFonts w:ascii="Arial" w:eastAsia="宋体" w:hAnsi="Arial" w:cs="Arial"/>
                <w:b/>
                <w:bCs/>
                <w:color w:val="333333"/>
                <w:sz w:val="18"/>
                <w:szCs w:val="18"/>
              </w:rPr>
              <w:t>(In Millions)</w:t>
            </w:r>
          </w:p>
        </w:tc>
        <w:tc>
          <w:tcPr>
            <w:tcW w:w="0" w:type="auto"/>
            <w:gridSpan w:val="6"/>
            <w:tcBorders>
              <w:top w:val="single" w:sz="8" w:space="0" w:color="0071C5"/>
            </w:tcBorders>
            <w:shd w:val="clear" w:color="auto" w:fill="auto"/>
            <w:tcMar>
              <w:top w:w="40" w:type="dxa"/>
              <w:left w:w="20" w:type="dxa"/>
              <w:bottom w:w="40" w:type="dxa"/>
              <w:right w:w="20" w:type="dxa"/>
            </w:tcMar>
            <w:vAlign w:val="bottom"/>
          </w:tcPr>
          <w:p w14:paraId="36CA46D1" w14:textId="77777777" w:rsidR="00787570" w:rsidRDefault="000D56E2">
            <w:pPr>
              <w:jc w:val="center"/>
              <w:textAlignment w:val="bottom"/>
            </w:pPr>
            <w:r>
              <w:rPr>
                <w:rFonts w:ascii="Arial" w:eastAsia="宋体" w:hAnsi="Arial" w:cs="Arial"/>
                <w:b/>
                <w:bCs/>
                <w:color w:val="333333"/>
                <w:sz w:val="18"/>
                <w:szCs w:val="18"/>
              </w:rPr>
              <w:t xml:space="preserve">% </w:t>
            </w:r>
          </w:p>
        </w:tc>
        <w:tc>
          <w:tcPr>
            <w:tcW w:w="0" w:type="auto"/>
            <w:gridSpan w:val="3"/>
            <w:shd w:val="clear" w:color="auto" w:fill="auto"/>
          </w:tcPr>
          <w:p w14:paraId="36CA46D2" w14:textId="77777777" w:rsidR="00787570" w:rsidRDefault="00787570">
            <w:pPr>
              <w:rPr>
                <w:rFonts w:ascii="宋体"/>
                <w:vanish/>
              </w:rPr>
            </w:pPr>
          </w:p>
        </w:tc>
        <w:tc>
          <w:tcPr>
            <w:tcW w:w="0" w:type="auto"/>
            <w:gridSpan w:val="3"/>
            <w:tcBorders>
              <w:top w:val="single" w:sz="8" w:space="0" w:color="0071C5"/>
            </w:tcBorders>
            <w:shd w:val="clear" w:color="auto" w:fill="auto"/>
            <w:tcMar>
              <w:left w:w="20" w:type="dxa"/>
              <w:right w:w="20" w:type="dxa"/>
            </w:tcMar>
            <w:vAlign w:val="bottom"/>
          </w:tcPr>
          <w:p w14:paraId="36CA46D3" w14:textId="77777777" w:rsidR="00787570" w:rsidRDefault="00787570">
            <w:pPr>
              <w:rPr>
                <w:rFonts w:ascii="宋体"/>
              </w:rPr>
            </w:pPr>
          </w:p>
        </w:tc>
        <w:tc>
          <w:tcPr>
            <w:tcW w:w="0" w:type="auto"/>
            <w:gridSpan w:val="3"/>
            <w:tcBorders>
              <w:top w:val="single" w:sz="8" w:space="0" w:color="0071C5"/>
            </w:tcBorders>
            <w:shd w:val="clear" w:color="auto" w:fill="auto"/>
            <w:tcMar>
              <w:top w:w="40" w:type="dxa"/>
              <w:left w:w="20" w:type="dxa"/>
              <w:bottom w:w="40" w:type="dxa"/>
              <w:right w:w="20" w:type="dxa"/>
            </w:tcMar>
            <w:vAlign w:val="bottom"/>
          </w:tcPr>
          <w:p w14:paraId="36CA46D4" w14:textId="77777777" w:rsidR="00787570" w:rsidRDefault="000D56E2">
            <w:pPr>
              <w:jc w:val="center"/>
              <w:textAlignment w:val="bottom"/>
            </w:pPr>
            <w:r>
              <w:rPr>
                <w:rFonts w:ascii="Arial" w:eastAsia="宋体" w:hAnsi="Arial" w:cs="Arial"/>
                <w:b/>
                <w:bCs/>
                <w:color w:val="333333"/>
                <w:sz w:val="18"/>
                <w:szCs w:val="18"/>
              </w:rPr>
              <w:t>$ Impact</w:t>
            </w:r>
          </w:p>
        </w:tc>
        <w:tc>
          <w:tcPr>
            <w:tcW w:w="0" w:type="auto"/>
            <w:gridSpan w:val="3"/>
            <w:shd w:val="clear" w:color="auto" w:fill="auto"/>
            <w:tcMar>
              <w:left w:w="20" w:type="dxa"/>
              <w:right w:w="20" w:type="dxa"/>
            </w:tcMar>
            <w:vAlign w:val="bottom"/>
          </w:tcPr>
          <w:p w14:paraId="36CA46D5" w14:textId="77777777" w:rsidR="00787570" w:rsidRDefault="00787570">
            <w:pPr>
              <w:rPr>
                <w:rFonts w:ascii="宋体"/>
              </w:rPr>
            </w:pPr>
          </w:p>
        </w:tc>
        <w:tc>
          <w:tcPr>
            <w:tcW w:w="0" w:type="auto"/>
            <w:gridSpan w:val="6"/>
            <w:tcBorders>
              <w:top w:val="single" w:sz="8" w:space="0" w:color="0071C5"/>
            </w:tcBorders>
            <w:shd w:val="clear" w:color="auto" w:fill="auto"/>
            <w:tcMar>
              <w:top w:w="40" w:type="dxa"/>
              <w:left w:w="20" w:type="dxa"/>
              <w:bottom w:w="40" w:type="dxa"/>
              <w:right w:w="20" w:type="dxa"/>
            </w:tcMar>
            <w:vAlign w:val="bottom"/>
          </w:tcPr>
          <w:p w14:paraId="36CA46D6" w14:textId="77777777" w:rsidR="00787570" w:rsidRDefault="000D56E2">
            <w:pPr>
              <w:jc w:val="center"/>
              <w:textAlignment w:val="bottom"/>
            </w:pPr>
            <w:r>
              <w:rPr>
                <w:rFonts w:ascii="Arial" w:eastAsia="宋体" w:hAnsi="Arial" w:cs="Arial"/>
                <w:b/>
                <w:bCs/>
                <w:color w:val="333333"/>
                <w:sz w:val="18"/>
                <w:szCs w:val="18"/>
              </w:rPr>
              <w:t>%</w:t>
            </w:r>
          </w:p>
        </w:tc>
        <w:tc>
          <w:tcPr>
            <w:tcW w:w="0" w:type="auto"/>
            <w:gridSpan w:val="3"/>
            <w:shd w:val="clear" w:color="auto" w:fill="auto"/>
          </w:tcPr>
          <w:p w14:paraId="36CA46D7" w14:textId="77777777" w:rsidR="00787570" w:rsidRDefault="00787570">
            <w:pPr>
              <w:rPr>
                <w:rFonts w:ascii="宋体"/>
                <w:vanish/>
              </w:rPr>
            </w:pPr>
          </w:p>
        </w:tc>
        <w:tc>
          <w:tcPr>
            <w:tcW w:w="0" w:type="auto"/>
            <w:gridSpan w:val="3"/>
            <w:tcBorders>
              <w:top w:val="single" w:sz="8" w:space="0" w:color="0071C5"/>
            </w:tcBorders>
            <w:shd w:val="clear" w:color="auto" w:fill="auto"/>
            <w:tcMar>
              <w:left w:w="20" w:type="dxa"/>
              <w:right w:w="20" w:type="dxa"/>
            </w:tcMar>
            <w:vAlign w:val="bottom"/>
          </w:tcPr>
          <w:p w14:paraId="36CA46D8" w14:textId="77777777" w:rsidR="00787570" w:rsidRDefault="00787570">
            <w:pPr>
              <w:rPr>
                <w:rFonts w:ascii="宋体"/>
              </w:rPr>
            </w:pPr>
          </w:p>
        </w:tc>
        <w:tc>
          <w:tcPr>
            <w:tcW w:w="0" w:type="auto"/>
            <w:gridSpan w:val="3"/>
            <w:tcBorders>
              <w:top w:val="single" w:sz="8" w:space="0" w:color="0071C5"/>
            </w:tcBorders>
            <w:shd w:val="clear" w:color="auto" w:fill="auto"/>
            <w:tcMar>
              <w:top w:w="40" w:type="dxa"/>
              <w:left w:w="20" w:type="dxa"/>
              <w:bottom w:w="40" w:type="dxa"/>
              <w:right w:w="20" w:type="dxa"/>
            </w:tcMar>
            <w:vAlign w:val="bottom"/>
          </w:tcPr>
          <w:p w14:paraId="36CA46D9" w14:textId="77777777" w:rsidR="00787570" w:rsidRDefault="000D56E2">
            <w:pPr>
              <w:jc w:val="center"/>
              <w:textAlignment w:val="bottom"/>
            </w:pPr>
            <w:r>
              <w:rPr>
                <w:rFonts w:ascii="Arial" w:eastAsia="宋体" w:hAnsi="Arial" w:cs="Arial"/>
                <w:b/>
                <w:bCs/>
                <w:color w:val="333333"/>
                <w:sz w:val="18"/>
                <w:szCs w:val="18"/>
              </w:rPr>
              <w:t>$ Impact</w:t>
            </w:r>
          </w:p>
        </w:tc>
        <w:tc>
          <w:tcPr>
            <w:tcW w:w="0" w:type="auto"/>
            <w:shd w:val="clear" w:color="auto" w:fill="auto"/>
          </w:tcPr>
          <w:p w14:paraId="36CA46DA" w14:textId="77777777" w:rsidR="00787570" w:rsidRDefault="00787570">
            <w:pPr>
              <w:rPr>
                <w:rFonts w:ascii="宋体"/>
              </w:rPr>
            </w:pPr>
          </w:p>
        </w:tc>
        <w:tc>
          <w:tcPr>
            <w:tcW w:w="0" w:type="auto"/>
            <w:shd w:val="clear" w:color="auto" w:fill="auto"/>
          </w:tcPr>
          <w:p w14:paraId="36CA46DB" w14:textId="77777777" w:rsidR="00787570" w:rsidRDefault="00787570">
            <w:pPr>
              <w:rPr>
                <w:rFonts w:ascii="宋体"/>
              </w:rPr>
            </w:pPr>
          </w:p>
        </w:tc>
        <w:tc>
          <w:tcPr>
            <w:tcW w:w="0" w:type="auto"/>
            <w:shd w:val="clear" w:color="auto" w:fill="auto"/>
          </w:tcPr>
          <w:p w14:paraId="36CA46DC" w14:textId="77777777" w:rsidR="00787570" w:rsidRDefault="00787570">
            <w:pPr>
              <w:rPr>
                <w:rFonts w:ascii="宋体"/>
              </w:rPr>
            </w:pPr>
          </w:p>
        </w:tc>
        <w:tc>
          <w:tcPr>
            <w:tcW w:w="0" w:type="auto"/>
            <w:shd w:val="clear" w:color="auto" w:fill="auto"/>
          </w:tcPr>
          <w:p w14:paraId="36CA46DD" w14:textId="77777777" w:rsidR="00787570" w:rsidRDefault="00787570">
            <w:pPr>
              <w:rPr>
                <w:rFonts w:ascii="宋体"/>
              </w:rPr>
            </w:pPr>
          </w:p>
        </w:tc>
        <w:tc>
          <w:tcPr>
            <w:tcW w:w="0" w:type="auto"/>
            <w:shd w:val="clear" w:color="auto" w:fill="auto"/>
          </w:tcPr>
          <w:p w14:paraId="36CA46DE" w14:textId="77777777" w:rsidR="00787570" w:rsidRDefault="00787570">
            <w:pPr>
              <w:rPr>
                <w:rFonts w:ascii="宋体"/>
              </w:rPr>
            </w:pPr>
          </w:p>
        </w:tc>
        <w:tc>
          <w:tcPr>
            <w:tcW w:w="0" w:type="auto"/>
            <w:shd w:val="clear" w:color="auto" w:fill="auto"/>
          </w:tcPr>
          <w:p w14:paraId="36CA46DF" w14:textId="77777777" w:rsidR="00787570" w:rsidRDefault="00787570">
            <w:pPr>
              <w:rPr>
                <w:rFonts w:ascii="宋体"/>
              </w:rPr>
            </w:pPr>
          </w:p>
        </w:tc>
        <w:tc>
          <w:tcPr>
            <w:tcW w:w="0" w:type="auto"/>
            <w:shd w:val="clear" w:color="auto" w:fill="auto"/>
          </w:tcPr>
          <w:p w14:paraId="36CA46E0" w14:textId="77777777" w:rsidR="00787570" w:rsidRDefault="00787570">
            <w:pPr>
              <w:rPr>
                <w:rFonts w:ascii="宋体"/>
              </w:rPr>
            </w:pPr>
          </w:p>
        </w:tc>
        <w:tc>
          <w:tcPr>
            <w:tcW w:w="0" w:type="auto"/>
            <w:shd w:val="clear" w:color="auto" w:fill="auto"/>
          </w:tcPr>
          <w:p w14:paraId="36CA46E1" w14:textId="77777777" w:rsidR="00787570" w:rsidRDefault="00787570">
            <w:pPr>
              <w:rPr>
                <w:rFonts w:ascii="宋体"/>
              </w:rPr>
            </w:pPr>
          </w:p>
        </w:tc>
        <w:tc>
          <w:tcPr>
            <w:tcW w:w="0" w:type="auto"/>
            <w:shd w:val="clear" w:color="auto" w:fill="auto"/>
          </w:tcPr>
          <w:p w14:paraId="36CA46E2" w14:textId="77777777" w:rsidR="00787570" w:rsidRDefault="00787570">
            <w:pPr>
              <w:rPr>
                <w:rFonts w:ascii="宋体"/>
              </w:rPr>
            </w:pPr>
          </w:p>
        </w:tc>
        <w:tc>
          <w:tcPr>
            <w:tcW w:w="0" w:type="auto"/>
            <w:shd w:val="clear" w:color="auto" w:fill="auto"/>
          </w:tcPr>
          <w:p w14:paraId="36CA46E3" w14:textId="77777777" w:rsidR="00787570" w:rsidRDefault="00787570">
            <w:pPr>
              <w:rPr>
                <w:rFonts w:ascii="宋体"/>
              </w:rPr>
            </w:pPr>
          </w:p>
        </w:tc>
        <w:tc>
          <w:tcPr>
            <w:tcW w:w="0" w:type="auto"/>
            <w:shd w:val="clear" w:color="auto" w:fill="auto"/>
          </w:tcPr>
          <w:p w14:paraId="36CA46E4" w14:textId="77777777" w:rsidR="00787570" w:rsidRDefault="00787570">
            <w:pPr>
              <w:rPr>
                <w:rFonts w:ascii="宋体"/>
              </w:rPr>
            </w:pPr>
          </w:p>
        </w:tc>
        <w:tc>
          <w:tcPr>
            <w:tcW w:w="0" w:type="auto"/>
            <w:shd w:val="clear" w:color="auto" w:fill="auto"/>
          </w:tcPr>
          <w:p w14:paraId="36CA46E5" w14:textId="77777777" w:rsidR="00787570" w:rsidRDefault="00787570">
            <w:pPr>
              <w:rPr>
                <w:rFonts w:ascii="宋体"/>
              </w:rPr>
            </w:pPr>
          </w:p>
        </w:tc>
      </w:tr>
      <w:tr w:rsidR="00787570" w14:paraId="36CA4703" w14:textId="77777777">
        <w:trPr>
          <w:trHeight w:val="60"/>
        </w:trPr>
        <w:tc>
          <w:tcPr>
            <w:tcW w:w="0" w:type="auto"/>
            <w:gridSpan w:val="3"/>
            <w:tcBorders>
              <w:top w:val="single" w:sz="8" w:space="0" w:color="0071C5"/>
            </w:tcBorders>
            <w:shd w:val="clear" w:color="auto" w:fill="auto"/>
            <w:tcMar>
              <w:left w:w="20" w:type="dxa"/>
              <w:right w:w="20" w:type="dxa"/>
            </w:tcMar>
            <w:vAlign w:val="bottom"/>
          </w:tcPr>
          <w:p w14:paraId="36CA46E7" w14:textId="77777777" w:rsidR="00787570" w:rsidRDefault="00787570">
            <w:pPr>
              <w:rPr>
                <w:rFonts w:ascii="宋体"/>
              </w:rPr>
            </w:pPr>
          </w:p>
        </w:tc>
        <w:tc>
          <w:tcPr>
            <w:tcW w:w="0" w:type="auto"/>
            <w:gridSpan w:val="3"/>
            <w:tcBorders>
              <w:top w:val="single" w:sz="8" w:space="0" w:color="0071C5"/>
            </w:tcBorders>
            <w:shd w:val="clear" w:color="auto" w:fill="auto"/>
            <w:tcMar>
              <w:left w:w="20" w:type="dxa"/>
              <w:right w:w="20" w:type="dxa"/>
            </w:tcMar>
            <w:vAlign w:val="bottom"/>
          </w:tcPr>
          <w:p w14:paraId="36CA46E8" w14:textId="77777777" w:rsidR="00787570" w:rsidRDefault="00787570">
            <w:pPr>
              <w:rPr>
                <w:rFonts w:ascii="宋体"/>
              </w:rPr>
            </w:pPr>
          </w:p>
        </w:tc>
        <w:tc>
          <w:tcPr>
            <w:tcW w:w="0" w:type="auto"/>
            <w:gridSpan w:val="3"/>
            <w:tcBorders>
              <w:top w:val="single" w:sz="8" w:space="0" w:color="0071C5"/>
            </w:tcBorders>
            <w:shd w:val="clear" w:color="auto" w:fill="auto"/>
            <w:tcMar>
              <w:left w:w="20" w:type="dxa"/>
              <w:right w:w="20" w:type="dxa"/>
            </w:tcMar>
            <w:vAlign w:val="bottom"/>
          </w:tcPr>
          <w:p w14:paraId="36CA46E9"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46EA" w14:textId="77777777" w:rsidR="00787570" w:rsidRDefault="00787570">
            <w:pPr>
              <w:rPr>
                <w:rFonts w:ascii="宋体"/>
              </w:rPr>
            </w:pPr>
          </w:p>
        </w:tc>
        <w:tc>
          <w:tcPr>
            <w:tcW w:w="0" w:type="auto"/>
            <w:gridSpan w:val="3"/>
            <w:tcBorders>
              <w:top w:val="single" w:sz="8" w:space="0" w:color="0071C5"/>
            </w:tcBorders>
            <w:shd w:val="clear" w:color="auto" w:fill="auto"/>
            <w:tcMar>
              <w:left w:w="20" w:type="dxa"/>
              <w:right w:w="20" w:type="dxa"/>
            </w:tcMar>
            <w:vAlign w:val="bottom"/>
          </w:tcPr>
          <w:p w14:paraId="36CA46EB"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46EC" w14:textId="77777777" w:rsidR="00787570" w:rsidRDefault="00787570">
            <w:pPr>
              <w:rPr>
                <w:rFonts w:ascii="宋体"/>
              </w:rPr>
            </w:pPr>
          </w:p>
        </w:tc>
        <w:tc>
          <w:tcPr>
            <w:tcW w:w="0" w:type="auto"/>
            <w:gridSpan w:val="3"/>
            <w:tcBorders>
              <w:top w:val="single" w:sz="8" w:space="0" w:color="0071C5"/>
            </w:tcBorders>
            <w:shd w:val="clear" w:color="auto" w:fill="auto"/>
            <w:tcMar>
              <w:left w:w="20" w:type="dxa"/>
              <w:right w:w="20" w:type="dxa"/>
            </w:tcMar>
            <w:vAlign w:val="bottom"/>
          </w:tcPr>
          <w:p w14:paraId="36CA46ED" w14:textId="77777777" w:rsidR="00787570" w:rsidRDefault="00787570">
            <w:pPr>
              <w:rPr>
                <w:rFonts w:ascii="宋体"/>
              </w:rPr>
            </w:pPr>
          </w:p>
        </w:tc>
        <w:tc>
          <w:tcPr>
            <w:tcW w:w="0" w:type="auto"/>
            <w:gridSpan w:val="3"/>
            <w:tcBorders>
              <w:top w:val="single" w:sz="8" w:space="0" w:color="0071C5"/>
            </w:tcBorders>
            <w:shd w:val="clear" w:color="auto" w:fill="auto"/>
            <w:tcMar>
              <w:left w:w="20" w:type="dxa"/>
              <w:right w:w="20" w:type="dxa"/>
            </w:tcMar>
            <w:vAlign w:val="bottom"/>
          </w:tcPr>
          <w:p w14:paraId="36CA46EE"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46EF" w14:textId="77777777" w:rsidR="00787570" w:rsidRDefault="00787570">
            <w:pPr>
              <w:rPr>
                <w:rFonts w:ascii="宋体"/>
              </w:rPr>
            </w:pPr>
          </w:p>
        </w:tc>
        <w:tc>
          <w:tcPr>
            <w:tcW w:w="0" w:type="auto"/>
            <w:gridSpan w:val="3"/>
            <w:tcBorders>
              <w:top w:val="single" w:sz="8" w:space="0" w:color="0071C5"/>
            </w:tcBorders>
            <w:shd w:val="clear" w:color="auto" w:fill="auto"/>
            <w:tcMar>
              <w:left w:w="20" w:type="dxa"/>
              <w:right w:w="20" w:type="dxa"/>
            </w:tcMar>
            <w:vAlign w:val="bottom"/>
          </w:tcPr>
          <w:p w14:paraId="36CA46F0" w14:textId="77777777" w:rsidR="00787570" w:rsidRDefault="00787570">
            <w:pPr>
              <w:rPr>
                <w:rFonts w:ascii="宋体"/>
              </w:rPr>
            </w:pPr>
          </w:p>
        </w:tc>
        <w:tc>
          <w:tcPr>
            <w:tcW w:w="0" w:type="auto"/>
            <w:shd w:val="clear" w:color="auto" w:fill="auto"/>
          </w:tcPr>
          <w:p w14:paraId="36CA46F1" w14:textId="77777777" w:rsidR="00787570" w:rsidRDefault="00787570">
            <w:pPr>
              <w:rPr>
                <w:rFonts w:ascii="宋体"/>
              </w:rPr>
            </w:pPr>
          </w:p>
        </w:tc>
        <w:tc>
          <w:tcPr>
            <w:tcW w:w="0" w:type="auto"/>
            <w:shd w:val="clear" w:color="auto" w:fill="auto"/>
          </w:tcPr>
          <w:p w14:paraId="36CA46F2" w14:textId="77777777" w:rsidR="00787570" w:rsidRDefault="00787570">
            <w:pPr>
              <w:rPr>
                <w:rFonts w:ascii="宋体"/>
              </w:rPr>
            </w:pPr>
          </w:p>
        </w:tc>
        <w:tc>
          <w:tcPr>
            <w:tcW w:w="0" w:type="auto"/>
            <w:shd w:val="clear" w:color="auto" w:fill="auto"/>
          </w:tcPr>
          <w:p w14:paraId="36CA46F3" w14:textId="77777777" w:rsidR="00787570" w:rsidRDefault="00787570">
            <w:pPr>
              <w:rPr>
                <w:rFonts w:ascii="宋体"/>
              </w:rPr>
            </w:pPr>
          </w:p>
        </w:tc>
        <w:tc>
          <w:tcPr>
            <w:tcW w:w="0" w:type="auto"/>
            <w:shd w:val="clear" w:color="auto" w:fill="auto"/>
          </w:tcPr>
          <w:p w14:paraId="36CA46F4" w14:textId="77777777" w:rsidR="00787570" w:rsidRDefault="00787570">
            <w:pPr>
              <w:rPr>
                <w:rFonts w:ascii="宋体"/>
              </w:rPr>
            </w:pPr>
          </w:p>
        </w:tc>
        <w:tc>
          <w:tcPr>
            <w:tcW w:w="0" w:type="auto"/>
            <w:shd w:val="clear" w:color="auto" w:fill="auto"/>
          </w:tcPr>
          <w:p w14:paraId="36CA46F5" w14:textId="77777777" w:rsidR="00787570" w:rsidRDefault="00787570">
            <w:pPr>
              <w:rPr>
                <w:rFonts w:ascii="宋体"/>
              </w:rPr>
            </w:pPr>
          </w:p>
        </w:tc>
        <w:tc>
          <w:tcPr>
            <w:tcW w:w="0" w:type="auto"/>
            <w:shd w:val="clear" w:color="auto" w:fill="auto"/>
          </w:tcPr>
          <w:p w14:paraId="36CA46F6" w14:textId="77777777" w:rsidR="00787570" w:rsidRDefault="00787570">
            <w:pPr>
              <w:rPr>
                <w:rFonts w:ascii="宋体"/>
              </w:rPr>
            </w:pPr>
          </w:p>
        </w:tc>
        <w:tc>
          <w:tcPr>
            <w:tcW w:w="0" w:type="auto"/>
            <w:shd w:val="clear" w:color="auto" w:fill="auto"/>
          </w:tcPr>
          <w:p w14:paraId="36CA46F7" w14:textId="77777777" w:rsidR="00787570" w:rsidRDefault="00787570">
            <w:pPr>
              <w:rPr>
                <w:rFonts w:ascii="宋体"/>
              </w:rPr>
            </w:pPr>
          </w:p>
        </w:tc>
        <w:tc>
          <w:tcPr>
            <w:tcW w:w="0" w:type="auto"/>
            <w:shd w:val="clear" w:color="auto" w:fill="auto"/>
          </w:tcPr>
          <w:p w14:paraId="36CA46F8" w14:textId="77777777" w:rsidR="00787570" w:rsidRDefault="00787570">
            <w:pPr>
              <w:rPr>
                <w:rFonts w:ascii="宋体"/>
              </w:rPr>
            </w:pPr>
          </w:p>
        </w:tc>
        <w:tc>
          <w:tcPr>
            <w:tcW w:w="0" w:type="auto"/>
            <w:shd w:val="clear" w:color="auto" w:fill="auto"/>
          </w:tcPr>
          <w:p w14:paraId="36CA46F9" w14:textId="77777777" w:rsidR="00787570" w:rsidRDefault="00787570">
            <w:pPr>
              <w:rPr>
                <w:rFonts w:ascii="宋体"/>
              </w:rPr>
            </w:pPr>
          </w:p>
        </w:tc>
        <w:tc>
          <w:tcPr>
            <w:tcW w:w="0" w:type="auto"/>
            <w:shd w:val="clear" w:color="auto" w:fill="auto"/>
          </w:tcPr>
          <w:p w14:paraId="36CA46FA" w14:textId="77777777" w:rsidR="00787570" w:rsidRDefault="00787570">
            <w:pPr>
              <w:rPr>
                <w:rFonts w:ascii="宋体"/>
              </w:rPr>
            </w:pPr>
          </w:p>
        </w:tc>
        <w:tc>
          <w:tcPr>
            <w:tcW w:w="0" w:type="auto"/>
            <w:shd w:val="clear" w:color="auto" w:fill="auto"/>
          </w:tcPr>
          <w:p w14:paraId="36CA46FB" w14:textId="77777777" w:rsidR="00787570" w:rsidRDefault="00787570">
            <w:pPr>
              <w:rPr>
                <w:rFonts w:ascii="宋体"/>
              </w:rPr>
            </w:pPr>
          </w:p>
        </w:tc>
        <w:tc>
          <w:tcPr>
            <w:tcW w:w="0" w:type="auto"/>
            <w:shd w:val="clear" w:color="auto" w:fill="auto"/>
          </w:tcPr>
          <w:p w14:paraId="36CA46FC" w14:textId="77777777" w:rsidR="00787570" w:rsidRDefault="00787570">
            <w:pPr>
              <w:rPr>
                <w:rFonts w:ascii="宋体"/>
              </w:rPr>
            </w:pPr>
          </w:p>
        </w:tc>
        <w:tc>
          <w:tcPr>
            <w:tcW w:w="0" w:type="auto"/>
            <w:shd w:val="clear" w:color="auto" w:fill="auto"/>
          </w:tcPr>
          <w:p w14:paraId="36CA46FD" w14:textId="77777777" w:rsidR="00787570" w:rsidRDefault="00787570">
            <w:pPr>
              <w:rPr>
                <w:rFonts w:ascii="宋体"/>
              </w:rPr>
            </w:pPr>
          </w:p>
        </w:tc>
        <w:tc>
          <w:tcPr>
            <w:tcW w:w="0" w:type="auto"/>
            <w:shd w:val="clear" w:color="auto" w:fill="auto"/>
          </w:tcPr>
          <w:p w14:paraId="36CA46FE" w14:textId="77777777" w:rsidR="00787570" w:rsidRDefault="00787570">
            <w:pPr>
              <w:rPr>
                <w:rFonts w:ascii="宋体"/>
              </w:rPr>
            </w:pPr>
          </w:p>
        </w:tc>
        <w:tc>
          <w:tcPr>
            <w:tcW w:w="0" w:type="auto"/>
            <w:shd w:val="clear" w:color="auto" w:fill="auto"/>
          </w:tcPr>
          <w:p w14:paraId="36CA46FF" w14:textId="77777777" w:rsidR="00787570" w:rsidRDefault="00787570">
            <w:pPr>
              <w:rPr>
                <w:rFonts w:ascii="宋体"/>
              </w:rPr>
            </w:pPr>
          </w:p>
        </w:tc>
        <w:tc>
          <w:tcPr>
            <w:tcW w:w="0" w:type="auto"/>
            <w:shd w:val="clear" w:color="auto" w:fill="auto"/>
          </w:tcPr>
          <w:p w14:paraId="36CA4700" w14:textId="77777777" w:rsidR="00787570" w:rsidRDefault="00787570">
            <w:pPr>
              <w:rPr>
                <w:rFonts w:ascii="宋体"/>
              </w:rPr>
            </w:pPr>
          </w:p>
        </w:tc>
        <w:tc>
          <w:tcPr>
            <w:tcW w:w="0" w:type="auto"/>
            <w:shd w:val="clear" w:color="auto" w:fill="auto"/>
          </w:tcPr>
          <w:p w14:paraId="36CA4701" w14:textId="77777777" w:rsidR="00787570" w:rsidRDefault="00787570">
            <w:pPr>
              <w:rPr>
                <w:rFonts w:ascii="宋体"/>
              </w:rPr>
            </w:pPr>
          </w:p>
        </w:tc>
        <w:tc>
          <w:tcPr>
            <w:tcW w:w="0" w:type="auto"/>
            <w:shd w:val="clear" w:color="auto" w:fill="auto"/>
          </w:tcPr>
          <w:p w14:paraId="36CA4702" w14:textId="77777777" w:rsidR="00787570" w:rsidRDefault="00787570">
            <w:pPr>
              <w:rPr>
                <w:rFonts w:ascii="宋体"/>
              </w:rPr>
            </w:pPr>
          </w:p>
        </w:tc>
      </w:tr>
      <w:tr w:rsidR="00787570" w14:paraId="36CA4724" w14:textId="77777777">
        <w:tc>
          <w:tcPr>
            <w:tcW w:w="0" w:type="auto"/>
            <w:gridSpan w:val="3"/>
            <w:shd w:val="clear" w:color="auto" w:fill="auto"/>
            <w:tcMar>
              <w:top w:w="40" w:type="dxa"/>
              <w:left w:w="20" w:type="dxa"/>
              <w:bottom w:w="40" w:type="dxa"/>
              <w:right w:w="20" w:type="dxa"/>
            </w:tcMar>
            <w:vAlign w:val="center"/>
          </w:tcPr>
          <w:p w14:paraId="36CA4704" w14:textId="77777777" w:rsidR="00787570" w:rsidRDefault="000D56E2">
            <w:pPr>
              <w:textAlignment w:val="center"/>
            </w:pPr>
            <w:r>
              <w:rPr>
                <w:rFonts w:ascii="Arial" w:eastAsia="宋体" w:hAnsi="Arial" w:cs="Arial"/>
                <w:color w:val="333333"/>
                <w:sz w:val="18"/>
                <w:szCs w:val="18"/>
              </w:rPr>
              <w:t>Platform volume</w:t>
            </w:r>
          </w:p>
        </w:tc>
        <w:tc>
          <w:tcPr>
            <w:tcW w:w="0" w:type="auto"/>
            <w:gridSpan w:val="3"/>
            <w:shd w:val="clear" w:color="auto" w:fill="auto"/>
            <w:tcMar>
              <w:top w:w="40" w:type="dxa"/>
              <w:left w:w="20" w:type="dxa"/>
              <w:bottom w:w="40" w:type="dxa"/>
              <w:right w:w="20" w:type="dxa"/>
            </w:tcMar>
            <w:vAlign w:val="center"/>
          </w:tcPr>
          <w:p w14:paraId="36CA4705" w14:textId="77777777" w:rsidR="00787570" w:rsidRDefault="000D56E2">
            <w:pPr>
              <w:jc w:val="right"/>
              <w:textAlignment w:val="center"/>
            </w:pPr>
            <w:r>
              <w:rPr>
                <w:rFonts w:ascii="Arial" w:eastAsia="宋体" w:hAnsi="Arial" w:cs="Arial"/>
                <w:color w:val="0071C5"/>
                <w:sz w:val="18"/>
                <w:szCs w:val="18"/>
              </w:rPr>
              <w:t>up</w:t>
            </w:r>
          </w:p>
        </w:tc>
        <w:tc>
          <w:tcPr>
            <w:tcW w:w="0" w:type="auto"/>
            <w:gridSpan w:val="3"/>
            <w:shd w:val="clear" w:color="auto" w:fill="auto"/>
            <w:tcMar>
              <w:top w:w="40" w:type="dxa"/>
              <w:left w:w="20" w:type="dxa"/>
              <w:bottom w:w="40" w:type="dxa"/>
              <w:right w:w="20" w:type="dxa"/>
            </w:tcMar>
            <w:vAlign w:val="center"/>
          </w:tcPr>
          <w:p w14:paraId="36CA4706" w14:textId="77777777" w:rsidR="00787570" w:rsidRDefault="000D56E2">
            <w:pPr>
              <w:textAlignment w:val="center"/>
            </w:pPr>
            <w:r>
              <w:rPr>
                <w:rFonts w:ascii="Arial" w:eastAsia="宋体" w:hAnsi="Arial" w:cs="Arial"/>
                <w:color w:val="0071C5"/>
                <w:sz w:val="18"/>
                <w:szCs w:val="18"/>
              </w:rPr>
              <w:t>4%</w:t>
            </w:r>
          </w:p>
        </w:tc>
        <w:tc>
          <w:tcPr>
            <w:tcW w:w="0" w:type="auto"/>
            <w:gridSpan w:val="3"/>
            <w:shd w:val="clear" w:color="auto" w:fill="auto"/>
            <w:tcMar>
              <w:left w:w="20" w:type="dxa"/>
              <w:right w:w="20" w:type="dxa"/>
            </w:tcMar>
            <w:vAlign w:val="bottom"/>
          </w:tcPr>
          <w:p w14:paraId="36CA4707" w14:textId="77777777" w:rsidR="00787570" w:rsidRDefault="00787570">
            <w:pPr>
              <w:rPr>
                <w:rFonts w:ascii="宋体"/>
              </w:rPr>
            </w:pPr>
          </w:p>
        </w:tc>
        <w:tc>
          <w:tcPr>
            <w:tcW w:w="0" w:type="auto"/>
            <w:shd w:val="clear" w:color="auto" w:fill="auto"/>
            <w:tcMar>
              <w:top w:w="40" w:type="dxa"/>
              <w:left w:w="20" w:type="dxa"/>
              <w:bottom w:w="40" w:type="dxa"/>
            </w:tcMar>
            <w:vAlign w:val="center"/>
          </w:tcPr>
          <w:p w14:paraId="36CA4708" w14:textId="77777777" w:rsidR="00787570" w:rsidRDefault="000D56E2">
            <w:pPr>
              <w:textAlignment w:val="center"/>
            </w:pPr>
            <w:r>
              <w:rPr>
                <w:rFonts w:ascii="Arial" w:eastAsia="宋体" w:hAnsi="Arial" w:cs="Arial"/>
                <w:color w:val="0071C5"/>
                <w:sz w:val="18"/>
                <w:szCs w:val="18"/>
              </w:rPr>
              <w:t>$</w:t>
            </w:r>
          </w:p>
        </w:tc>
        <w:tc>
          <w:tcPr>
            <w:tcW w:w="0" w:type="auto"/>
            <w:shd w:val="clear" w:color="auto" w:fill="auto"/>
            <w:tcMar>
              <w:top w:w="40" w:type="dxa"/>
              <w:bottom w:w="40" w:type="dxa"/>
              <w:right w:w="0" w:type="dxa"/>
            </w:tcMar>
            <w:vAlign w:val="center"/>
          </w:tcPr>
          <w:p w14:paraId="36CA4709" w14:textId="77777777" w:rsidR="00787570" w:rsidRDefault="000D56E2">
            <w:pPr>
              <w:jc w:val="right"/>
              <w:textAlignment w:val="center"/>
            </w:pPr>
            <w:r>
              <w:rPr>
                <w:rFonts w:ascii="Arial" w:eastAsia="宋体" w:hAnsi="Arial" w:cs="Arial"/>
                <w:color w:val="0071C5"/>
                <w:sz w:val="18"/>
                <w:szCs w:val="18"/>
              </w:rPr>
              <w:t>242 </w:t>
            </w:r>
          </w:p>
        </w:tc>
        <w:tc>
          <w:tcPr>
            <w:tcW w:w="0" w:type="auto"/>
            <w:shd w:val="clear" w:color="auto" w:fill="auto"/>
            <w:tcMar>
              <w:top w:w="40" w:type="dxa"/>
              <w:bottom w:w="40" w:type="dxa"/>
              <w:right w:w="20" w:type="dxa"/>
            </w:tcMar>
            <w:vAlign w:val="center"/>
          </w:tcPr>
          <w:p w14:paraId="36CA470A"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470B" w14:textId="77777777" w:rsidR="00787570" w:rsidRDefault="00787570">
            <w:pPr>
              <w:rPr>
                <w:rFonts w:ascii="宋体"/>
              </w:rPr>
            </w:pPr>
          </w:p>
        </w:tc>
        <w:tc>
          <w:tcPr>
            <w:tcW w:w="0" w:type="auto"/>
            <w:gridSpan w:val="3"/>
            <w:shd w:val="clear" w:color="auto" w:fill="auto"/>
            <w:tcMar>
              <w:top w:w="40" w:type="dxa"/>
              <w:left w:w="20" w:type="dxa"/>
              <w:bottom w:w="40" w:type="dxa"/>
              <w:right w:w="20" w:type="dxa"/>
            </w:tcMar>
            <w:vAlign w:val="center"/>
          </w:tcPr>
          <w:p w14:paraId="36CA470C" w14:textId="77777777" w:rsidR="00787570" w:rsidRDefault="000D56E2">
            <w:pPr>
              <w:jc w:val="right"/>
              <w:textAlignment w:val="center"/>
            </w:pPr>
            <w:r>
              <w:rPr>
                <w:rFonts w:ascii="Arial" w:eastAsia="宋体" w:hAnsi="Arial" w:cs="Arial"/>
                <w:color w:val="0071C5"/>
                <w:sz w:val="18"/>
                <w:szCs w:val="18"/>
              </w:rPr>
              <w:t>up</w:t>
            </w:r>
          </w:p>
        </w:tc>
        <w:tc>
          <w:tcPr>
            <w:tcW w:w="0" w:type="auto"/>
            <w:gridSpan w:val="3"/>
            <w:shd w:val="clear" w:color="auto" w:fill="auto"/>
            <w:tcMar>
              <w:top w:w="40" w:type="dxa"/>
              <w:left w:w="20" w:type="dxa"/>
              <w:bottom w:w="40" w:type="dxa"/>
              <w:right w:w="20" w:type="dxa"/>
            </w:tcMar>
            <w:vAlign w:val="center"/>
          </w:tcPr>
          <w:p w14:paraId="36CA470D" w14:textId="77777777" w:rsidR="00787570" w:rsidRDefault="000D56E2">
            <w:pPr>
              <w:textAlignment w:val="center"/>
            </w:pPr>
            <w:r>
              <w:rPr>
                <w:rFonts w:ascii="Arial" w:eastAsia="宋体" w:hAnsi="Arial" w:cs="Arial"/>
                <w:color w:val="0071C5"/>
                <w:sz w:val="18"/>
                <w:szCs w:val="18"/>
              </w:rPr>
              <w:t>19%</w:t>
            </w:r>
          </w:p>
        </w:tc>
        <w:tc>
          <w:tcPr>
            <w:tcW w:w="0" w:type="auto"/>
            <w:gridSpan w:val="3"/>
            <w:shd w:val="clear" w:color="auto" w:fill="auto"/>
            <w:tcMar>
              <w:left w:w="20" w:type="dxa"/>
              <w:right w:w="20" w:type="dxa"/>
            </w:tcMar>
            <w:vAlign w:val="bottom"/>
          </w:tcPr>
          <w:p w14:paraId="36CA470E" w14:textId="77777777" w:rsidR="00787570" w:rsidRDefault="00787570">
            <w:pPr>
              <w:rPr>
                <w:rFonts w:ascii="宋体"/>
              </w:rPr>
            </w:pPr>
          </w:p>
        </w:tc>
        <w:tc>
          <w:tcPr>
            <w:tcW w:w="0" w:type="auto"/>
            <w:shd w:val="clear" w:color="auto" w:fill="auto"/>
            <w:tcMar>
              <w:top w:w="40" w:type="dxa"/>
              <w:left w:w="20" w:type="dxa"/>
              <w:bottom w:w="40" w:type="dxa"/>
            </w:tcMar>
            <w:vAlign w:val="center"/>
          </w:tcPr>
          <w:p w14:paraId="36CA470F" w14:textId="77777777" w:rsidR="00787570" w:rsidRDefault="000D56E2">
            <w:pPr>
              <w:textAlignment w:val="center"/>
            </w:pPr>
            <w:r>
              <w:rPr>
                <w:rFonts w:ascii="Arial" w:eastAsia="宋体" w:hAnsi="Arial" w:cs="Arial"/>
                <w:color w:val="0071C5"/>
                <w:sz w:val="18"/>
                <w:szCs w:val="18"/>
              </w:rPr>
              <w:t>$</w:t>
            </w:r>
          </w:p>
        </w:tc>
        <w:tc>
          <w:tcPr>
            <w:tcW w:w="0" w:type="auto"/>
            <w:shd w:val="clear" w:color="auto" w:fill="auto"/>
            <w:tcMar>
              <w:top w:w="40" w:type="dxa"/>
              <w:bottom w:w="40" w:type="dxa"/>
              <w:right w:w="0" w:type="dxa"/>
            </w:tcMar>
            <w:vAlign w:val="center"/>
          </w:tcPr>
          <w:p w14:paraId="36CA4710" w14:textId="77777777" w:rsidR="00787570" w:rsidRDefault="000D56E2">
            <w:pPr>
              <w:jc w:val="right"/>
              <w:textAlignment w:val="center"/>
            </w:pPr>
            <w:r>
              <w:rPr>
                <w:rFonts w:ascii="Arial" w:eastAsia="宋体" w:hAnsi="Arial" w:cs="Arial"/>
                <w:color w:val="0071C5"/>
                <w:sz w:val="18"/>
                <w:szCs w:val="18"/>
              </w:rPr>
              <w:t>2,870 </w:t>
            </w:r>
          </w:p>
        </w:tc>
        <w:tc>
          <w:tcPr>
            <w:tcW w:w="0" w:type="auto"/>
            <w:shd w:val="clear" w:color="auto" w:fill="auto"/>
            <w:tcMar>
              <w:top w:w="40" w:type="dxa"/>
              <w:bottom w:w="40" w:type="dxa"/>
              <w:right w:w="20" w:type="dxa"/>
            </w:tcMar>
            <w:vAlign w:val="center"/>
          </w:tcPr>
          <w:p w14:paraId="36CA4711" w14:textId="77777777" w:rsidR="00787570" w:rsidRDefault="00787570">
            <w:pPr>
              <w:jc w:val="right"/>
              <w:rPr>
                <w:rFonts w:ascii="宋体"/>
              </w:rPr>
            </w:pPr>
          </w:p>
        </w:tc>
        <w:tc>
          <w:tcPr>
            <w:tcW w:w="0" w:type="auto"/>
            <w:shd w:val="clear" w:color="auto" w:fill="auto"/>
          </w:tcPr>
          <w:p w14:paraId="36CA4712" w14:textId="77777777" w:rsidR="00787570" w:rsidRDefault="00787570">
            <w:pPr>
              <w:rPr>
                <w:rFonts w:ascii="宋体"/>
              </w:rPr>
            </w:pPr>
          </w:p>
        </w:tc>
        <w:tc>
          <w:tcPr>
            <w:tcW w:w="0" w:type="auto"/>
            <w:shd w:val="clear" w:color="auto" w:fill="auto"/>
          </w:tcPr>
          <w:p w14:paraId="36CA4713" w14:textId="77777777" w:rsidR="00787570" w:rsidRDefault="00787570">
            <w:pPr>
              <w:rPr>
                <w:rFonts w:ascii="宋体"/>
              </w:rPr>
            </w:pPr>
          </w:p>
        </w:tc>
        <w:tc>
          <w:tcPr>
            <w:tcW w:w="0" w:type="auto"/>
            <w:shd w:val="clear" w:color="auto" w:fill="auto"/>
          </w:tcPr>
          <w:p w14:paraId="36CA4714" w14:textId="77777777" w:rsidR="00787570" w:rsidRDefault="00787570">
            <w:pPr>
              <w:rPr>
                <w:rFonts w:ascii="宋体"/>
              </w:rPr>
            </w:pPr>
          </w:p>
        </w:tc>
        <w:tc>
          <w:tcPr>
            <w:tcW w:w="0" w:type="auto"/>
            <w:shd w:val="clear" w:color="auto" w:fill="auto"/>
          </w:tcPr>
          <w:p w14:paraId="36CA4715" w14:textId="77777777" w:rsidR="00787570" w:rsidRDefault="00787570">
            <w:pPr>
              <w:rPr>
                <w:rFonts w:ascii="宋体"/>
              </w:rPr>
            </w:pPr>
          </w:p>
        </w:tc>
        <w:tc>
          <w:tcPr>
            <w:tcW w:w="0" w:type="auto"/>
            <w:shd w:val="clear" w:color="auto" w:fill="auto"/>
          </w:tcPr>
          <w:p w14:paraId="36CA4716" w14:textId="77777777" w:rsidR="00787570" w:rsidRDefault="00787570">
            <w:pPr>
              <w:rPr>
                <w:rFonts w:ascii="宋体"/>
              </w:rPr>
            </w:pPr>
          </w:p>
        </w:tc>
        <w:tc>
          <w:tcPr>
            <w:tcW w:w="0" w:type="auto"/>
            <w:shd w:val="clear" w:color="auto" w:fill="auto"/>
          </w:tcPr>
          <w:p w14:paraId="36CA4717" w14:textId="77777777" w:rsidR="00787570" w:rsidRDefault="00787570">
            <w:pPr>
              <w:rPr>
                <w:rFonts w:ascii="宋体"/>
              </w:rPr>
            </w:pPr>
          </w:p>
        </w:tc>
        <w:tc>
          <w:tcPr>
            <w:tcW w:w="0" w:type="auto"/>
            <w:shd w:val="clear" w:color="auto" w:fill="auto"/>
          </w:tcPr>
          <w:p w14:paraId="36CA4718" w14:textId="77777777" w:rsidR="00787570" w:rsidRDefault="00787570">
            <w:pPr>
              <w:rPr>
                <w:rFonts w:ascii="宋体"/>
              </w:rPr>
            </w:pPr>
          </w:p>
        </w:tc>
        <w:tc>
          <w:tcPr>
            <w:tcW w:w="0" w:type="auto"/>
            <w:shd w:val="clear" w:color="auto" w:fill="auto"/>
          </w:tcPr>
          <w:p w14:paraId="36CA4719" w14:textId="77777777" w:rsidR="00787570" w:rsidRDefault="00787570">
            <w:pPr>
              <w:rPr>
                <w:rFonts w:ascii="宋体"/>
              </w:rPr>
            </w:pPr>
          </w:p>
        </w:tc>
        <w:tc>
          <w:tcPr>
            <w:tcW w:w="0" w:type="auto"/>
            <w:shd w:val="clear" w:color="auto" w:fill="auto"/>
          </w:tcPr>
          <w:p w14:paraId="36CA471A" w14:textId="77777777" w:rsidR="00787570" w:rsidRDefault="00787570">
            <w:pPr>
              <w:rPr>
                <w:rFonts w:ascii="宋体"/>
              </w:rPr>
            </w:pPr>
          </w:p>
        </w:tc>
        <w:tc>
          <w:tcPr>
            <w:tcW w:w="0" w:type="auto"/>
            <w:shd w:val="clear" w:color="auto" w:fill="auto"/>
          </w:tcPr>
          <w:p w14:paraId="36CA471B" w14:textId="77777777" w:rsidR="00787570" w:rsidRDefault="00787570">
            <w:pPr>
              <w:rPr>
                <w:rFonts w:ascii="宋体"/>
              </w:rPr>
            </w:pPr>
          </w:p>
        </w:tc>
        <w:tc>
          <w:tcPr>
            <w:tcW w:w="0" w:type="auto"/>
            <w:shd w:val="clear" w:color="auto" w:fill="auto"/>
          </w:tcPr>
          <w:p w14:paraId="36CA471C" w14:textId="77777777" w:rsidR="00787570" w:rsidRDefault="00787570">
            <w:pPr>
              <w:rPr>
                <w:rFonts w:ascii="宋体"/>
              </w:rPr>
            </w:pPr>
          </w:p>
        </w:tc>
        <w:tc>
          <w:tcPr>
            <w:tcW w:w="0" w:type="auto"/>
            <w:shd w:val="clear" w:color="auto" w:fill="auto"/>
          </w:tcPr>
          <w:p w14:paraId="36CA471D" w14:textId="77777777" w:rsidR="00787570" w:rsidRDefault="00787570">
            <w:pPr>
              <w:rPr>
                <w:rFonts w:ascii="宋体"/>
              </w:rPr>
            </w:pPr>
          </w:p>
        </w:tc>
        <w:tc>
          <w:tcPr>
            <w:tcW w:w="0" w:type="auto"/>
            <w:shd w:val="clear" w:color="auto" w:fill="auto"/>
          </w:tcPr>
          <w:p w14:paraId="36CA471E" w14:textId="77777777" w:rsidR="00787570" w:rsidRDefault="00787570">
            <w:pPr>
              <w:rPr>
                <w:rFonts w:ascii="宋体"/>
              </w:rPr>
            </w:pPr>
          </w:p>
        </w:tc>
        <w:tc>
          <w:tcPr>
            <w:tcW w:w="0" w:type="auto"/>
            <w:shd w:val="clear" w:color="auto" w:fill="auto"/>
          </w:tcPr>
          <w:p w14:paraId="36CA471F" w14:textId="77777777" w:rsidR="00787570" w:rsidRDefault="00787570">
            <w:pPr>
              <w:rPr>
                <w:rFonts w:ascii="宋体"/>
              </w:rPr>
            </w:pPr>
          </w:p>
        </w:tc>
        <w:tc>
          <w:tcPr>
            <w:tcW w:w="0" w:type="auto"/>
            <w:shd w:val="clear" w:color="auto" w:fill="auto"/>
          </w:tcPr>
          <w:p w14:paraId="36CA4720" w14:textId="77777777" w:rsidR="00787570" w:rsidRDefault="00787570">
            <w:pPr>
              <w:rPr>
                <w:rFonts w:ascii="宋体"/>
              </w:rPr>
            </w:pPr>
          </w:p>
        </w:tc>
        <w:tc>
          <w:tcPr>
            <w:tcW w:w="0" w:type="auto"/>
            <w:shd w:val="clear" w:color="auto" w:fill="auto"/>
          </w:tcPr>
          <w:p w14:paraId="36CA4721" w14:textId="77777777" w:rsidR="00787570" w:rsidRDefault="00787570">
            <w:pPr>
              <w:rPr>
                <w:rFonts w:ascii="宋体"/>
              </w:rPr>
            </w:pPr>
          </w:p>
        </w:tc>
        <w:tc>
          <w:tcPr>
            <w:tcW w:w="0" w:type="auto"/>
            <w:shd w:val="clear" w:color="auto" w:fill="auto"/>
          </w:tcPr>
          <w:p w14:paraId="36CA4722" w14:textId="77777777" w:rsidR="00787570" w:rsidRDefault="00787570">
            <w:pPr>
              <w:rPr>
                <w:rFonts w:ascii="宋体"/>
              </w:rPr>
            </w:pPr>
          </w:p>
        </w:tc>
        <w:tc>
          <w:tcPr>
            <w:tcW w:w="0" w:type="auto"/>
            <w:shd w:val="clear" w:color="auto" w:fill="auto"/>
          </w:tcPr>
          <w:p w14:paraId="36CA4723" w14:textId="77777777" w:rsidR="00787570" w:rsidRDefault="00787570">
            <w:pPr>
              <w:rPr>
                <w:rFonts w:ascii="宋体"/>
              </w:rPr>
            </w:pPr>
          </w:p>
        </w:tc>
      </w:tr>
      <w:tr w:rsidR="00787570" w14:paraId="36CA4743" w14:textId="77777777">
        <w:tc>
          <w:tcPr>
            <w:tcW w:w="0" w:type="auto"/>
            <w:gridSpan w:val="3"/>
            <w:shd w:val="clear" w:color="auto" w:fill="auto"/>
            <w:tcMar>
              <w:top w:w="40" w:type="dxa"/>
              <w:left w:w="20" w:type="dxa"/>
              <w:bottom w:w="40" w:type="dxa"/>
              <w:right w:w="20" w:type="dxa"/>
            </w:tcMar>
            <w:vAlign w:val="bottom"/>
          </w:tcPr>
          <w:p w14:paraId="36CA4725" w14:textId="77777777" w:rsidR="00787570" w:rsidRDefault="000D56E2">
            <w:pPr>
              <w:textAlignment w:val="bottom"/>
            </w:pPr>
            <w:r>
              <w:rPr>
                <w:rFonts w:ascii="Arial" w:eastAsia="宋体" w:hAnsi="Arial" w:cs="Arial"/>
                <w:color w:val="333333"/>
                <w:sz w:val="18"/>
                <w:szCs w:val="18"/>
              </w:rPr>
              <w:t>Platform ASP</w:t>
            </w:r>
          </w:p>
        </w:tc>
        <w:tc>
          <w:tcPr>
            <w:tcW w:w="0" w:type="auto"/>
            <w:gridSpan w:val="3"/>
            <w:shd w:val="clear" w:color="auto" w:fill="auto"/>
            <w:tcMar>
              <w:top w:w="40" w:type="dxa"/>
              <w:left w:w="20" w:type="dxa"/>
              <w:bottom w:w="40" w:type="dxa"/>
              <w:right w:w="20" w:type="dxa"/>
            </w:tcMar>
            <w:vAlign w:val="center"/>
          </w:tcPr>
          <w:p w14:paraId="36CA4726" w14:textId="77777777" w:rsidR="00787570" w:rsidRDefault="000D56E2">
            <w:pPr>
              <w:jc w:val="right"/>
              <w:textAlignment w:val="center"/>
            </w:pPr>
            <w:r>
              <w:rPr>
                <w:rFonts w:ascii="Arial" w:eastAsia="宋体" w:hAnsi="Arial" w:cs="Arial"/>
                <w:color w:val="0071C5"/>
                <w:sz w:val="18"/>
                <w:szCs w:val="18"/>
              </w:rPr>
              <w:t>down</w:t>
            </w:r>
          </w:p>
        </w:tc>
        <w:tc>
          <w:tcPr>
            <w:tcW w:w="0" w:type="auto"/>
            <w:gridSpan w:val="3"/>
            <w:shd w:val="clear" w:color="auto" w:fill="auto"/>
            <w:tcMar>
              <w:top w:w="40" w:type="dxa"/>
              <w:left w:w="20" w:type="dxa"/>
              <w:bottom w:w="40" w:type="dxa"/>
              <w:right w:w="20" w:type="dxa"/>
            </w:tcMar>
            <w:vAlign w:val="center"/>
          </w:tcPr>
          <w:p w14:paraId="36CA4727" w14:textId="77777777" w:rsidR="00787570" w:rsidRDefault="000D56E2">
            <w:pPr>
              <w:textAlignment w:val="center"/>
            </w:pPr>
            <w:r>
              <w:rPr>
                <w:rFonts w:ascii="Arial" w:eastAsia="宋体" w:hAnsi="Arial" w:cs="Arial"/>
                <w:color w:val="0071C5"/>
                <w:sz w:val="18"/>
                <w:szCs w:val="18"/>
              </w:rPr>
              <w:t>(15)%</w:t>
            </w:r>
          </w:p>
        </w:tc>
        <w:tc>
          <w:tcPr>
            <w:tcW w:w="0" w:type="auto"/>
            <w:gridSpan w:val="3"/>
            <w:shd w:val="clear" w:color="auto" w:fill="auto"/>
            <w:tcMar>
              <w:left w:w="20" w:type="dxa"/>
              <w:right w:w="20" w:type="dxa"/>
            </w:tcMar>
            <w:vAlign w:val="bottom"/>
          </w:tcPr>
          <w:p w14:paraId="36CA4728"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center"/>
          </w:tcPr>
          <w:p w14:paraId="36CA4729" w14:textId="77777777" w:rsidR="00787570" w:rsidRDefault="000D56E2">
            <w:pPr>
              <w:jc w:val="right"/>
              <w:textAlignment w:val="center"/>
            </w:pPr>
            <w:r>
              <w:rPr>
                <w:rFonts w:ascii="Arial" w:eastAsia="宋体" w:hAnsi="Arial" w:cs="Arial"/>
                <w:color w:val="0071C5"/>
                <w:sz w:val="18"/>
                <w:szCs w:val="18"/>
              </w:rPr>
              <w:t>(910)</w:t>
            </w:r>
          </w:p>
        </w:tc>
        <w:tc>
          <w:tcPr>
            <w:tcW w:w="0" w:type="auto"/>
            <w:shd w:val="clear" w:color="auto" w:fill="auto"/>
            <w:tcMar>
              <w:top w:w="40" w:type="dxa"/>
              <w:bottom w:w="40" w:type="dxa"/>
              <w:right w:w="20" w:type="dxa"/>
            </w:tcMar>
            <w:vAlign w:val="center"/>
          </w:tcPr>
          <w:p w14:paraId="36CA472A"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472B" w14:textId="77777777" w:rsidR="00787570" w:rsidRDefault="00787570">
            <w:pPr>
              <w:rPr>
                <w:rFonts w:ascii="宋体"/>
              </w:rPr>
            </w:pPr>
          </w:p>
        </w:tc>
        <w:tc>
          <w:tcPr>
            <w:tcW w:w="0" w:type="auto"/>
            <w:gridSpan w:val="3"/>
            <w:shd w:val="clear" w:color="auto" w:fill="auto"/>
            <w:tcMar>
              <w:top w:w="40" w:type="dxa"/>
              <w:left w:w="20" w:type="dxa"/>
              <w:bottom w:w="40" w:type="dxa"/>
              <w:right w:w="20" w:type="dxa"/>
            </w:tcMar>
            <w:vAlign w:val="center"/>
          </w:tcPr>
          <w:p w14:paraId="36CA472C" w14:textId="77777777" w:rsidR="00787570" w:rsidRDefault="000D56E2">
            <w:pPr>
              <w:jc w:val="right"/>
              <w:textAlignment w:val="center"/>
            </w:pPr>
            <w:r>
              <w:rPr>
                <w:rFonts w:ascii="Arial" w:eastAsia="宋体" w:hAnsi="Arial" w:cs="Arial"/>
                <w:color w:val="0071C5"/>
                <w:sz w:val="18"/>
                <w:szCs w:val="18"/>
              </w:rPr>
              <w:t>up</w:t>
            </w:r>
          </w:p>
        </w:tc>
        <w:tc>
          <w:tcPr>
            <w:tcW w:w="0" w:type="auto"/>
            <w:gridSpan w:val="3"/>
            <w:shd w:val="clear" w:color="auto" w:fill="auto"/>
            <w:tcMar>
              <w:top w:w="40" w:type="dxa"/>
              <w:left w:w="20" w:type="dxa"/>
              <w:bottom w:w="40" w:type="dxa"/>
              <w:right w:w="20" w:type="dxa"/>
            </w:tcMar>
            <w:vAlign w:val="center"/>
          </w:tcPr>
          <w:p w14:paraId="36CA472D" w14:textId="77777777" w:rsidR="00787570" w:rsidRDefault="000D56E2">
            <w:pPr>
              <w:textAlignment w:val="center"/>
            </w:pPr>
            <w:r>
              <w:rPr>
                <w:rFonts w:ascii="Arial" w:eastAsia="宋体" w:hAnsi="Arial" w:cs="Arial"/>
                <w:color w:val="0071C5"/>
                <w:sz w:val="18"/>
                <w:szCs w:val="18"/>
              </w:rPr>
              <w:t>—%</w:t>
            </w:r>
          </w:p>
        </w:tc>
        <w:tc>
          <w:tcPr>
            <w:tcW w:w="0" w:type="auto"/>
            <w:gridSpan w:val="3"/>
            <w:shd w:val="clear" w:color="auto" w:fill="auto"/>
            <w:tcMar>
              <w:left w:w="20" w:type="dxa"/>
              <w:right w:w="20" w:type="dxa"/>
            </w:tcMar>
            <w:vAlign w:val="bottom"/>
          </w:tcPr>
          <w:p w14:paraId="36CA472E"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center"/>
          </w:tcPr>
          <w:p w14:paraId="36CA472F" w14:textId="77777777" w:rsidR="00787570" w:rsidRDefault="000D56E2">
            <w:pPr>
              <w:jc w:val="right"/>
              <w:textAlignment w:val="center"/>
            </w:pPr>
            <w:r>
              <w:rPr>
                <w:rFonts w:ascii="Arial" w:eastAsia="宋体" w:hAnsi="Arial" w:cs="Arial"/>
                <w:color w:val="0071C5"/>
                <w:sz w:val="18"/>
                <w:szCs w:val="18"/>
              </w:rPr>
              <w:t>35 </w:t>
            </w:r>
          </w:p>
        </w:tc>
        <w:tc>
          <w:tcPr>
            <w:tcW w:w="0" w:type="auto"/>
            <w:shd w:val="clear" w:color="auto" w:fill="auto"/>
            <w:tcMar>
              <w:top w:w="40" w:type="dxa"/>
              <w:bottom w:w="40" w:type="dxa"/>
              <w:right w:w="20" w:type="dxa"/>
            </w:tcMar>
            <w:vAlign w:val="center"/>
          </w:tcPr>
          <w:p w14:paraId="36CA4730" w14:textId="77777777" w:rsidR="00787570" w:rsidRDefault="00787570">
            <w:pPr>
              <w:jc w:val="right"/>
              <w:rPr>
                <w:rFonts w:ascii="宋体"/>
              </w:rPr>
            </w:pPr>
          </w:p>
        </w:tc>
        <w:tc>
          <w:tcPr>
            <w:tcW w:w="0" w:type="auto"/>
            <w:shd w:val="clear" w:color="auto" w:fill="auto"/>
          </w:tcPr>
          <w:p w14:paraId="36CA4731" w14:textId="77777777" w:rsidR="00787570" w:rsidRDefault="00787570">
            <w:pPr>
              <w:rPr>
                <w:rFonts w:ascii="宋体"/>
              </w:rPr>
            </w:pPr>
          </w:p>
        </w:tc>
        <w:tc>
          <w:tcPr>
            <w:tcW w:w="0" w:type="auto"/>
            <w:shd w:val="clear" w:color="auto" w:fill="auto"/>
          </w:tcPr>
          <w:p w14:paraId="36CA4732" w14:textId="77777777" w:rsidR="00787570" w:rsidRDefault="00787570">
            <w:pPr>
              <w:rPr>
                <w:rFonts w:ascii="宋体"/>
              </w:rPr>
            </w:pPr>
          </w:p>
        </w:tc>
        <w:tc>
          <w:tcPr>
            <w:tcW w:w="0" w:type="auto"/>
            <w:shd w:val="clear" w:color="auto" w:fill="auto"/>
          </w:tcPr>
          <w:p w14:paraId="36CA4733" w14:textId="77777777" w:rsidR="00787570" w:rsidRDefault="00787570">
            <w:pPr>
              <w:rPr>
                <w:rFonts w:ascii="宋体"/>
              </w:rPr>
            </w:pPr>
          </w:p>
        </w:tc>
        <w:tc>
          <w:tcPr>
            <w:tcW w:w="0" w:type="auto"/>
            <w:shd w:val="clear" w:color="auto" w:fill="auto"/>
          </w:tcPr>
          <w:p w14:paraId="36CA4734" w14:textId="77777777" w:rsidR="00787570" w:rsidRDefault="00787570">
            <w:pPr>
              <w:rPr>
                <w:rFonts w:ascii="宋体"/>
              </w:rPr>
            </w:pPr>
          </w:p>
        </w:tc>
        <w:tc>
          <w:tcPr>
            <w:tcW w:w="0" w:type="auto"/>
            <w:shd w:val="clear" w:color="auto" w:fill="auto"/>
          </w:tcPr>
          <w:p w14:paraId="36CA4735" w14:textId="77777777" w:rsidR="00787570" w:rsidRDefault="00787570">
            <w:pPr>
              <w:rPr>
                <w:rFonts w:ascii="宋体"/>
              </w:rPr>
            </w:pPr>
          </w:p>
        </w:tc>
        <w:tc>
          <w:tcPr>
            <w:tcW w:w="0" w:type="auto"/>
            <w:shd w:val="clear" w:color="auto" w:fill="auto"/>
          </w:tcPr>
          <w:p w14:paraId="36CA4736" w14:textId="77777777" w:rsidR="00787570" w:rsidRDefault="00787570">
            <w:pPr>
              <w:rPr>
                <w:rFonts w:ascii="宋体"/>
              </w:rPr>
            </w:pPr>
          </w:p>
        </w:tc>
        <w:tc>
          <w:tcPr>
            <w:tcW w:w="0" w:type="auto"/>
            <w:shd w:val="clear" w:color="auto" w:fill="auto"/>
          </w:tcPr>
          <w:p w14:paraId="36CA4737" w14:textId="77777777" w:rsidR="00787570" w:rsidRDefault="00787570">
            <w:pPr>
              <w:rPr>
                <w:rFonts w:ascii="宋体"/>
              </w:rPr>
            </w:pPr>
          </w:p>
        </w:tc>
        <w:tc>
          <w:tcPr>
            <w:tcW w:w="0" w:type="auto"/>
            <w:shd w:val="clear" w:color="auto" w:fill="auto"/>
          </w:tcPr>
          <w:p w14:paraId="36CA4738" w14:textId="77777777" w:rsidR="00787570" w:rsidRDefault="00787570">
            <w:pPr>
              <w:rPr>
                <w:rFonts w:ascii="宋体"/>
              </w:rPr>
            </w:pPr>
          </w:p>
        </w:tc>
        <w:tc>
          <w:tcPr>
            <w:tcW w:w="0" w:type="auto"/>
            <w:shd w:val="clear" w:color="auto" w:fill="auto"/>
          </w:tcPr>
          <w:p w14:paraId="36CA4739" w14:textId="77777777" w:rsidR="00787570" w:rsidRDefault="00787570">
            <w:pPr>
              <w:rPr>
                <w:rFonts w:ascii="宋体"/>
              </w:rPr>
            </w:pPr>
          </w:p>
        </w:tc>
        <w:tc>
          <w:tcPr>
            <w:tcW w:w="0" w:type="auto"/>
            <w:shd w:val="clear" w:color="auto" w:fill="auto"/>
          </w:tcPr>
          <w:p w14:paraId="36CA473A" w14:textId="77777777" w:rsidR="00787570" w:rsidRDefault="00787570">
            <w:pPr>
              <w:rPr>
                <w:rFonts w:ascii="宋体"/>
              </w:rPr>
            </w:pPr>
          </w:p>
        </w:tc>
        <w:tc>
          <w:tcPr>
            <w:tcW w:w="0" w:type="auto"/>
            <w:shd w:val="clear" w:color="auto" w:fill="auto"/>
          </w:tcPr>
          <w:p w14:paraId="36CA473B" w14:textId="77777777" w:rsidR="00787570" w:rsidRDefault="00787570">
            <w:pPr>
              <w:rPr>
                <w:rFonts w:ascii="宋体"/>
              </w:rPr>
            </w:pPr>
          </w:p>
        </w:tc>
        <w:tc>
          <w:tcPr>
            <w:tcW w:w="0" w:type="auto"/>
            <w:shd w:val="clear" w:color="auto" w:fill="auto"/>
          </w:tcPr>
          <w:p w14:paraId="36CA473C" w14:textId="77777777" w:rsidR="00787570" w:rsidRDefault="00787570">
            <w:pPr>
              <w:rPr>
                <w:rFonts w:ascii="宋体"/>
              </w:rPr>
            </w:pPr>
          </w:p>
        </w:tc>
        <w:tc>
          <w:tcPr>
            <w:tcW w:w="0" w:type="auto"/>
            <w:shd w:val="clear" w:color="auto" w:fill="auto"/>
          </w:tcPr>
          <w:p w14:paraId="36CA473D" w14:textId="77777777" w:rsidR="00787570" w:rsidRDefault="00787570">
            <w:pPr>
              <w:rPr>
                <w:rFonts w:ascii="宋体"/>
              </w:rPr>
            </w:pPr>
          </w:p>
        </w:tc>
        <w:tc>
          <w:tcPr>
            <w:tcW w:w="0" w:type="auto"/>
            <w:shd w:val="clear" w:color="auto" w:fill="auto"/>
          </w:tcPr>
          <w:p w14:paraId="36CA473E" w14:textId="77777777" w:rsidR="00787570" w:rsidRDefault="00787570">
            <w:pPr>
              <w:rPr>
                <w:rFonts w:ascii="宋体"/>
              </w:rPr>
            </w:pPr>
          </w:p>
        </w:tc>
        <w:tc>
          <w:tcPr>
            <w:tcW w:w="0" w:type="auto"/>
            <w:shd w:val="clear" w:color="auto" w:fill="auto"/>
          </w:tcPr>
          <w:p w14:paraId="36CA473F" w14:textId="77777777" w:rsidR="00787570" w:rsidRDefault="00787570">
            <w:pPr>
              <w:rPr>
                <w:rFonts w:ascii="宋体"/>
              </w:rPr>
            </w:pPr>
          </w:p>
        </w:tc>
        <w:tc>
          <w:tcPr>
            <w:tcW w:w="0" w:type="auto"/>
            <w:shd w:val="clear" w:color="auto" w:fill="auto"/>
          </w:tcPr>
          <w:p w14:paraId="36CA4740" w14:textId="77777777" w:rsidR="00787570" w:rsidRDefault="00787570">
            <w:pPr>
              <w:rPr>
                <w:rFonts w:ascii="宋体"/>
              </w:rPr>
            </w:pPr>
          </w:p>
        </w:tc>
        <w:tc>
          <w:tcPr>
            <w:tcW w:w="0" w:type="auto"/>
            <w:shd w:val="clear" w:color="auto" w:fill="auto"/>
          </w:tcPr>
          <w:p w14:paraId="36CA4741" w14:textId="77777777" w:rsidR="00787570" w:rsidRDefault="00787570">
            <w:pPr>
              <w:rPr>
                <w:rFonts w:ascii="宋体"/>
              </w:rPr>
            </w:pPr>
          </w:p>
        </w:tc>
        <w:tc>
          <w:tcPr>
            <w:tcW w:w="0" w:type="auto"/>
            <w:shd w:val="clear" w:color="auto" w:fill="auto"/>
          </w:tcPr>
          <w:p w14:paraId="36CA4742" w14:textId="77777777" w:rsidR="00787570" w:rsidRDefault="00787570">
            <w:pPr>
              <w:rPr>
                <w:rFonts w:ascii="宋体"/>
              </w:rPr>
            </w:pPr>
          </w:p>
        </w:tc>
      </w:tr>
      <w:tr w:rsidR="00787570" w14:paraId="36CA4762" w14:textId="77777777">
        <w:tc>
          <w:tcPr>
            <w:tcW w:w="0" w:type="auto"/>
            <w:gridSpan w:val="3"/>
            <w:shd w:val="clear" w:color="auto" w:fill="auto"/>
            <w:tcMar>
              <w:top w:w="40" w:type="dxa"/>
              <w:left w:w="20" w:type="dxa"/>
              <w:bottom w:w="40" w:type="dxa"/>
              <w:right w:w="20" w:type="dxa"/>
            </w:tcMar>
            <w:vAlign w:val="bottom"/>
          </w:tcPr>
          <w:p w14:paraId="36CA4744" w14:textId="77777777" w:rsidR="00787570" w:rsidRDefault="000D56E2">
            <w:pPr>
              <w:textAlignment w:val="bottom"/>
            </w:pPr>
            <w:r>
              <w:rPr>
                <w:rFonts w:ascii="Arial" w:eastAsia="宋体" w:hAnsi="Arial" w:cs="Arial"/>
                <w:color w:val="333333"/>
                <w:sz w:val="18"/>
                <w:szCs w:val="18"/>
              </w:rPr>
              <w:t>Adjacent products</w:t>
            </w:r>
          </w:p>
        </w:tc>
        <w:tc>
          <w:tcPr>
            <w:tcW w:w="0" w:type="auto"/>
            <w:gridSpan w:val="3"/>
            <w:shd w:val="clear" w:color="auto" w:fill="auto"/>
            <w:tcMar>
              <w:top w:w="40" w:type="dxa"/>
              <w:left w:w="20" w:type="dxa"/>
              <w:bottom w:w="40" w:type="dxa"/>
              <w:right w:w="20" w:type="dxa"/>
            </w:tcMar>
            <w:vAlign w:val="center"/>
          </w:tcPr>
          <w:p w14:paraId="36CA4745" w14:textId="77777777" w:rsidR="00787570" w:rsidRDefault="000D56E2">
            <w:pPr>
              <w:jc w:val="right"/>
              <w:textAlignment w:val="center"/>
            </w:pPr>
            <w:r>
              <w:rPr>
                <w:rFonts w:ascii="Arial" w:eastAsia="宋体" w:hAnsi="Arial" w:cs="Arial"/>
                <w:color w:val="0071C5"/>
                <w:sz w:val="18"/>
                <w:szCs w:val="18"/>
              </w:rPr>
              <w:t>up</w:t>
            </w:r>
          </w:p>
        </w:tc>
        <w:tc>
          <w:tcPr>
            <w:tcW w:w="0" w:type="auto"/>
            <w:gridSpan w:val="3"/>
            <w:shd w:val="clear" w:color="auto" w:fill="auto"/>
            <w:tcMar>
              <w:top w:w="40" w:type="dxa"/>
              <w:left w:w="20" w:type="dxa"/>
              <w:bottom w:w="40" w:type="dxa"/>
              <w:right w:w="20" w:type="dxa"/>
            </w:tcMar>
            <w:vAlign w:val="center"/>
          </w:tcPr>
          <w:p w14:paraId="36CA4746" w14:textId="77777777" w:rsidR="00787570" w:rsidRDefault="000D56E2">
            <w:pPr>
              <w:textAlignment w:val="center"/>
            </w:pPr>
            <w:r>
              <w:rPr>
                <w:rFonts w:ascii="Arial" w:eastAsia="宋体" w:hAnsi="Arial" w:cs="Arial"/>
                <w:color w:val="0071C5"/>
                <w:sz w:val="18"/>
                <w:szCs w:val="18"/>
              </w:rPr>
              <w:t>34%</w:t>
            </w:r>
          </w:p>
        </w:tc>
        <w:tc>
          <w:tcPr>
            <w:tcW w:w="0" w:type="auto"/>
            <w:gridSpan w:val="3"/>
            <w:shd w:val="clear" w:color="auto" w:fill="auto"/>
            <w:tcMar>
              <w:left w:w="20" w:type="dxa"/>
              <w:right w:w="20" w:type="dxa"/>
            </w:tcMar>
            <w:vAlign w:val="bottom"/>
          </w:tcPr>
          <w:p w14:paraId="36CA4747"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center"/>
          </w:tcPr>
          <w:p w14:paraId="36CA4748" w14:textId="77777777" w:rsidR="00787570" w:rsidRDefault="000D56E2">
            <w:pPr>
              <w:jc w:val="right"/>
              <w:textAlignment w:val="center"/>
            </w:pPr>
            <w:r>
              <w:rPr>
                <w:rFonts w:ascii="Arial" w:eastAsia="宋体" w:hAnsi="Arial" w:cs="Arial"/>
                <w:color w:val="0071C5"/>
                <w:sz w:val="18"/>
                <w:szCs w:val="18"/>
              </w:rPr>
              <w:t>190 </w:t>
            </w:r>
          </w:p>
        </w:tc>
        <w:tc>
          <w:tcPr>
            <w:tcW w:w="0" w:type="auto"/>
            <w:shd w:val="clear" w:color="auto" w:fill="auto"/>
            <w:tcMar>
              <w:top w:w="40" w:type="dxa"/>
              <w:bottom w:w="40" w:type="dxa"/>
              <w:right w:w="20" w:type="dxa"/>
            </w:tcMar>
            <w:vAlign w:val="center"/>
          </w:tcPr>
          <w:p w14:paraId="36CA4749"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474A" w14:textId="77777777" w:rsidR="00787570" w:rsidRDefault="00787570">
            <w:pPr>
              <w:rPr>
                <w:rFonts w:ascii="宋体"/>
              </w:rPr>
            </w:pPr>
          </w:p>
        </w:tc>
        <w:tc>
          <w:tcPr>
            <w:tcW w:w="0" w:type="auto"/>
            <w:gridSpan w:val="3"/>
            <w:shd w:val="clear" w:color="auto" w:fill="auto"/>
            <w:tcMar>
              <w:top w:w="40" w:type="dxa"/>
              <w:left w:w="20" w:type="dxa"/>
              <w:bottom w:w="40" w:type="dxa"/>
              <w:right w:w="20" w:type="dxa"/>
            </w:tcMar>
            <w:vAlign w:val="center"/>
          </w:tcPr>
          <w:p w14:paraId="36CA474B" w14:textId="77777777" w:rsidR="00787570" w:rsidRDefault="000D56E2">
            <w:pPr>
              <w:jc w:val="right"/>
              <w:textAlignment w:val="center"/>
            </w:pPr>
            <w:r>
              <w:rPr>
                <w:rFonts w:ascii="Arial" w:eastAsia="宋体" w:hAnsi="Arial" w:cs="Arial"/>
                <w:color w:val="0071C5"/>
                <w:sz w:val="18"/>
                <w:szCs w:val="18"/>
              </w:rPr>
              <w:t>up</w:t>
            </w:r>
          </w:p>
        </w:tc>
        <w:tc>
          <w:tcPr>
            <w:tcW w:w="0" w:type="auto"/>
            <w:gridSpan w:val="3"/>
            <w:shd w:val="clear" w:color="auto" w:fill="auto"/>
            <w:tcMar>
              <w:top w:w="40" w:type="dxa"/>
              <w:left w:w="20" w:type="dxa"/>
              <w:bottom w:w="40" w:type="dxa"/>
              <w:right w:w="20" w:type="dxa"/>
            </w:tcMar>
            <w:vAlign w:val="center"/>
          </w:tcPr>
          <w:p w14:paraId="36CA474C" w14:textId="77777777" w:rsidR="00787570" w:rsidRDefault="000D56E2">
            <w:pPr>
              <w:textAlignment w:val="center"/>
            </w:pPr>
            <w:r>
              <w:rPr>
                <w:rFonts w:ascii="Arial" w:eastAsia="宋体" w:hAnsi="Arial" w:cs="Arial"/>
                <w:color w:val="0071C5"/>
                <w:sz w:val="18"/>
                <w:szCs w:val="18"/>
              </w:rPr>
              <w:t>60%</w:t>
            </w:r>
          </w:p>
        </w:tc>
        <w:tc>
          <w:tcPr>
            <w:tcW w:w="0" w:type="auto"/>
            <w:gridSpan w:val="3"/>
            <w:shd w:val="clear" w:color="auto" w:fill="auto"/>
            <w:tcMar>
              <w:left w:w="20" w:type="dxa"/>
              <w:right w:w="20" w:type="dxa"/>
            </w:tcMar>
            <w:vAlign w:val="bottom"/>
          </w:tcPr>
          <w:p w14:paraId="36CA474D"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center"/>
          </w:tcPr>
          <w:p w14:paraId="36CA474E" w14:textId="77777777" w:rsidR="00787570" w:rsidRDefault="000D56E2">
            <w:pPr>
              <w:jc w:val="right"/>
              <w:textAlignment w:val="center"/>
            </w:pPr>
            <w:r>
              <w:rPr>
                <w:rFonts w:ascii="Arial" w:eastAsia="宋体" w:hAnsi="Arial" w:cs="Arial"/>
                <w:color w:val="0071C5"/>
                <w:sz w:val="18"/>
                <w:szCs w:val="18"/>
              </w:rPr>
              <w:t>842 </w:t>
            </w:r>
          </w:p>
        </w:tc>
        <w:tc>
          <w:tcPr>
            <w:tcW w:w="0" w:type="auto"/>
            <w:shd w:val="clear" w:color="auto" w:fill="auto"/>
            <w:tcMar>
              <w:top w:w="40" w:type="dxa"/>
              <w:bottom w:w="40" w:type="dxa"/>
              <w:right w:w="20" w:type="dxa"/>
            </w:tcMar>
            <w:vAlign w:val="center"/>
          </w:tcPr>
          <w:p w14:paraId="36CA474F" w14:textId="77777777" w:rsidR="00787570" w:rsidRDefault="00787570">
            <w:pPr>
              <w:jc w:val="right"/>
              <w:rPr>
                <w:rFonts w:ascii="宋体"/>
              </w:rPr>
            </w:pPr>
          </w:p>
        </w:tc>
        <w:tc>
          <w:tcPr>
            <w:tcW w:w="0" w:type="auto"/>
            <w:shd w:val="clear" w:color="auto" w:fill="auto"/>
          </w:tcPr>
          <w:p w14:paraId="36CA4750" w14:textId="77777777" w:rsidR="00787570" w:rsidRDefault="00787570">
            <w:pPr>
              <w:rPr>
                <w:rFonts w:ascii="宋体"/>
              </w:rPr>
            </w:pPr>
          </w:p>
        </w:tc>
        <w:tc>
          <w:tcPr>
            <w:tcW w:w="0" w:type="auto"/>
            <w:shd w:val="clear" w:color="auto" w:fill="auto"/>
          </w:tcPr>
          <w:p w14:paraId="36CA4751" w14:textId="77777777" w:rsidR="00787570" w:rsidRDefault="00787570">
            <w:pPr>
              <w:rPr>
                <w:rFonts w:ascii="宋体"/>
              </w:rPr>
            </w:pPr>
          </w:p>
        </w:tc>
        <w:tc>
          <w:tcPr>
            <w:tcW w:w="0" w:type="auto"/>
            <w:shd w:val="clear" w:color="auto" w:fill="auto"/>
          </w:tcPr>
          <w:p w14:paraId="36CA4752" w14:textId="77777777" w:rsidR="00787570" w:rsidRDefault="00787570">
            <w:pPr>
              <w:rPr>
                <w:rFonts w:ascii="宋体"/>
              </w:rPr>
            </w:pPr>
          </w:p>
        </w:tc>
        <w:tc>
          <w:tcPr>
            <w:tcW w:w="0" w:type="auto"/>
            <w:shd w:val="clear" w:color="auto" w:fill="auto"/>
          </w:tcPr>
          <w:p w14:paraId="36CA4753" w14:textId="77777777" w:rsidR="00787570" w:rsidRDefault="00787570">
            <w:pPr>
              <w:rPr>
                <w:rFonts w:ascii="宋体"/>
              </w:rPr>
            </w:pPr>
          </w:p>
        </w:tc>
        <w:tc>
          <w:tcPr>
            <w:tcW w:w="0" w:type="auto"/>
            <w:shd w:val="clear" w:color="auto" w:fill="auto"/>
          </w:tcPr>
          <w:p w14:paraId="36CA4754" w14:textId="77777777" w:rsidR="00787570" w:rsidRDefault="00787570">
            <w:pPr>
              <w:rPr>
                <w:rFonts w:ascii="宋体"/>
              </w:rPr>
            </w:pPr>
          </w:p>
        </w:tc>
        <w:tc>
          <w:tcPr>
            <w:tcW w:w="0" w:type="auto"/>
            <w:shd w:val="clear" w:color="auto" w:fill="auto"/>
          </w:tcPr>
          <w:p w14:paraId="36CA4755" w14:textId="77777777" w:rsidR="00787570" w:rsidRDefault="00787570">
            <w:pPr>
              <w:rPr>
                <w:rFonts w:ascii="宋体"/>
              </w:rPr>
            </w:pPr>
          </w:p>
        </w:tc>
        <w:tc>
          <w:tcPr>
            <w:tcW w:w="0" w:type="auto"/>
            <w:shd w:val="clear" w:color="auto" w:fill="auto"/>
          </w:tcPr>
          <w:p w14:paraId="36CA4756" w14:textId="77777777" w:rsidR="00787570" w:rsidRDefault="00787570">
            <w:pPr>
              <w:rPr>
                <w:rFonts w:ascii="宋体"/>
              </w:rPr>
            </w:pPr>
          </w:p>
        </w:tc>
        <w:tc>
          <w:tcPr>
            <w:tcW w:w="0" w:type="auto"/>
            <w:shd w:val="clear" w:color="auto" w:fill="auto"/>
          </w:tcPr>
          <w:p w14:paraId="36CA4757" w14:textId="77777777" w:rsidR="00787570" w:rsidRDefault="00787570">
            <w:pPr>
              <w:rPr>
                <w:rFonts w:ascii="宋体"/>
              </w:rPr>
            </w:pPr>
          </w:p>
        </w:tc>
        <w:tc>
          <w:tcPr>
            <w:tcW w:w="0" w:type="auto"/>
            <w:shd w:val="clear" w:color="auto" w:fill="auto"/>
          </w:tcPr>
          <w:p w14:paraId="36CA4758" w14:textId="77777777" w:rsidR="00787570" w:rsidRDefault="00787570">
            <w:pPr>
              <w:rPr>
                <w:rFonts w:ascii="宋体"/>
              </w:rPr>
            </w:pPr>
          </w:p>
        </w:tc>
        <w:tc>
          <w:tcPr>
            <w:tcW w:w="0" w:type="auto"/>
            <w:shd w:val="clear" w:color="auto" w:fill="auto"/>
          </w:tcPr>
          <w:p w14:paraId="36CA4759" w14:textId="77777777" w:rsidR="00787570" w:rsidRDefault="00787570">
            <w:pPr>
              <w:rPr>
                <w:rFonts w:ascii="宋体"/>
              </w:rPr>
            </w:pPr>
          </w:p>
        </w:tc>
        <w:tc>
          <w:tcPr>
            <w:tcW w:w="0" w:type="auto"/>
            <w:shd w:val="clear" w:color="auto" w:fill="auto"/>
          </w:tcPr>
          <w:p w14:paraId="36CA475A" w14:textId="77777777" w:rsidR="00787570" w:rsidRDefault="00787570">
            <w:pPr>
              <w:rPr>
                <w:rFonts w:ascii="宋体"/>
              </w:rPr>
            </w:pPr>
          </w:p>
        </w:tc>
        <w:tc>
          <w:tcPr>
            <w:tcW w:w="0" w:type="auto"/>
            <w:shd w:val="clear" w:color="auto" w:fill="auto"/>
          </w:tcPr>
          <w:p w14:paraId="36CA475B" w14:textId="77777777" w:rsidR="00787570" w:rsidRDefault="00787570">
            <w:pPr>
              <w:rPr>
                <w:rFonts w:ascii="宋体"/>
              </w:rPr>
            </w:pPr>
          </w:p>
        </w:tc>
        <w:tc>
          <w:tcPr>
            <w:tcW w:w="0" w:type="auto"/>
            <w:shd w:val="clear" w:color="auto" w:fill="auto"/>
          </w:tcPr>
          <w:p w14:paraId="36CA475C" w14:textId="77777777" w:rsidR="00787570" w:rsidRDefault="00787570">
            <w:pPr>
              <w:rPr>
                <w:rFonts w:ascii="宋体"/>
              </w:rPr>
            </w:pPr>
          </w:p>
        </w:tc>
        <w:tc>
          <w:tcPr>
            <w:tcW w:w="0" w:type="auto"/>
            <w:shd w:val="clear" w:color="auto" w:fill="auto"/>
          </w:tcPr>
          <w:p w14:paraId="36CA475D" w14:textId="77777777" w:rsidR="00787570" w:rsidRDefault="00787570">
            <w:pPr>
              <w:rPr>
                <w:rFonts w:ascii="宋体"/>
              </w:rPr>
            </w:pPr>
          </w:p>
        </w:tc>
        <w:tc>
          <w:tcPr>
            <w:tcW w:w="0" w:type="auto"/>
            <w:shd w:val="clear" w:color="auto" w:fill="auto"/>
          </w:tcPr>
          <w:p w14:paraId="36CA475E" w14:textId="77777777" w:rsidR="00787570" w:rsidRDefault="00787570">
            <w:pPr>
              <w:rPr>
                <w:rFonts w:ascii="宋体"/>
              </w:rPr>
            </w:pPr>
          </w:p>
        </w:tc>
        <w:tc>
          <w:tcPr>
            <w:tcW w:w="0" w:type="auto"/>
            <w:shd w:val="clear" w:color="auto" w:fill="auto"/>
          </w:tcPr>
          <w:p w14:paraId="36CA475F" w14:textId="77777777" w:rsidR="00787570" w:rsidRDefault="00787570">
            <w:pPr>
              <w:rPr>
                <w:rFonts w:ascii="宋体"/>
              </w:rPr>
            </w:pPr>
          </w:p>
        </w:tc>
        <w:tc>
          <w:tcPr>
            <w:tcW w:w="0" w:type="auto"/>
            <w:shd w:val="clear" w:color="auto" w:fill="auto"/>
          </w:tcPr>
          <w:p w14:paraId="36CA4760" w14:textId="77777777" w:rsidR="00787570" w:rsidRDefault="00787570">
            <w:pPr>
              <w:rPr>
                <w:rFonts w:ascii="宋体"/>
              </w:rPr>
            </w:pPr>
          </w:p>
        </w:tc>
        <w:tc>
          <w:tcPr>
            <w:tcW w:w="0" w:type="auto"/>
            <w:shd w:val="clear" w:color="auto" w:fill="auto"/>
          </w:tcPr>
          <w:p w14:paraId="36CA4761" w14:textId="77777777" w:rsidR="00787570" w:rsidRDefault="00787570">
            <w:pPr>
              <w:rPr>
                <w:rFonts w:ascii="宋体"/>
              </w:rPr>
            </w:pPr>
          </w:p>
        </w:tc>
      </w:tr>
      <w:tr w:rsidR="00787570" w14:paraId="36CA477F" w14:textId="77777777">
        <w:trPr>
          <w:trHeight w:val="60"/>
        </w:trPr>
        <w:tc>
          <w:tcPr>
            <w:tcW w:w="0" w:type="auto"/>
            <w:gridSpan w:val="3"/>
            <w:shd w:val="clear" w:color="auto" w:fill="auto"/>
            <w:tcMar>
              <w:left w:w="20" w:type="dxa"/>
              <w:right w:w="20" w:type="dxa"/>
            </w:tcMar>
            <w:vAlign w:val="bottom"/>
          </w:tcPr>
          <w:p w14:paraId="36CA4763"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4764"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4765"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4766"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4767"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4768"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4769"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476A"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476B"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476C" w14:textId="77777777" w:rsidR="00787570" w:rsidRDefault="00787570">
            <w:pPr>
              <w:rPr>
                <w:rFonts w:ascii="宋体"/>
              </w:rPr>
            </w:pPr>
          </w:p>
        </w:tc>
        <w:tc>
          <w:tcPr>
            <w:tcW w:w="0" w:type="auto"/>
            <w:shd w:val="clear" w:color="auto" w:fill="auto"/>
          </w:tcPr>
          <w:p w14:paraId="36CA476D" w14:textId="77777777" w:rsidR="00787570" w:rsidRDefault="00787570">
            <w:pPr>
              <w:rPr>
                <w:rFonts w:ascii="宋体"/>
              </w:rPr>
            </w:pPr>
          </w:p>
        </w:tc>
        <w:tc>
          <w:tcPr>
            <w:tcW w:w="0" w:type="auto"/>
            <w:shd w:val="clear" w:color="auto" w:fill="auto"/>
          </w:tcPr>
          <w:p w14:paraId="36CA476E" w14:textId="77777777" w:rsidR="00787570" w:rsidRDefault="00787570">
            <w:pPr>
              <w:rPr>
                <w:rFonts w:ascii="宋体"/>
              </w:rPr>
            </w:pPr>
          </w:p>
        </w:tc>
        <w:tc>
          <w:tcPr>
            <w:tcW w:w="0" w:type="auto"/>
            <w:shd w:val="clear" w:color="auto" w:fill="auto"/>
          </w:tcPr>
          <w:p w14:paraId="36CA476F" w14:textId="77777777" w:rsidR="00787570" w:rsidRDefault="00787570">
            <w:pPr>
              <w:rPr>
                <w:rFonts w:ascii="宋体"/>
              </w:rPr>
            </w:pPr>
          </w:p>
        </w:tc>
        <w:tc>
          <w:tcPr>
            <w:tcW w:w="0" w:type="auto"/>
            <w:shd w:val="clear" w:color="auto" w:fill="auto"/>
          </w:tcPr>
          <w:p w14:paraId="36CA4770" w14:textId="77777777" w:rsidR="00787570" w:rsidRDefault="00787570">
            <w:pPr>
              <w:rPr>
                <w:rFonts w:ascii="宋体"/>
              </w:rPr>
            </w:pPr>
          </w:p>
        </w:tc>
        <w:tc>
          <w:tcPr>
            <w:tcW w:w="0" w:type="auto"/>
            <w:shd w:val="clear" w:color="auto" w:fill="auto"/>
          </w:tcPr>
          <w:p w14:paraId="36CA4771" w14:textId="77777777" w:rsidR="00787570" w:rsidRDefault="00787570">
            <w:pPr>
              <w:rPr>
                <w:rFonts w:ascii="宋体"/>
              </w:rPr>
            </w:pPr>
          </w:p>
        </w:tc>
        <w:tc>
          <w:tcPr>
            <w:tcW w:w="0" w:type="auto"/>
            <w:shd w:val="clear" w:color="auto" w:fill="auto"/>
          </w:tcPr>
          <w:p w14:paraId="36CA4772" w14:textId="77777777" w:rsidR="00787570" w:rsidRDefault="00787570">
            <w:pPr>
              <w:rPr>
                <w:rFonts w:ascii="宋体"/>
              </w:rPr>
            </w:pPr>
          </w:p>
        </w:tc>
        <w:tc>
          <w:tcPr>
            <w:tcW w:w="0" w:type="auto"/>
            <w:shd w:val="clear" w:color="auto" w:fill="auto"/>
          </w:tcPr>
          <w:p w14:paraId="36CA4773" w14:textId="77777777" w:rsidR="00787570" w:rsidRDefault="00787570">
            <w:pPr>
              <w:rPr>
                <w:rFonts w:ascii="宋体"/>
              </w:rPr>
            </w:pPr>
          </w:p>
        </w:tc>
        <w:tc>
          <w:tcPr>
            <w:tcW w:w="0" w:type="auto"/>
            <w:shd w:val="clear" w:color="auto" w:fill="auto"/>
          </w:tcPr>
          <w:p w14:paraId="36CA4774" w14:textId="77777777" w:rsidR="00787570" w:rsidRDefault="00787570">
            <w:pPr>
              <w:rPr>
                <w:rFonts w:ascii="宋体"/>
              </w:rPr>
            </w:pPr>
          </w:p>
        </w:tc>
        <w:tc>
          <w:tcPr>
            <w:tcW w:w="0" w:type="auto"/>
            <w:shd w:val="clear" w:color="auto" w:fill="auto"/>
          </w:tcPr>
          <w:p w14:paraId="36CA4775" w14:textId="77777777" w:rsidR="00787570" w:rsidRDefault="00787570">
            <w:pPr>
              <w:rPr>
                <w:rFonts w:ascii="宋体"/>
              </w:rPr>
            </w:pPr>
          </w:p>
        </w:tc>
        <w:tc>
          <w:tcPr>
            <w:tcW w:w="0" w:type="auto"/>
            <w:shd w:val="clear" w:color="auto" w:fill="auto"/>
          </w:tcPr>
          <w:p w14:paraId="36CA4776" w14:textId="77777777" w:rsidR="00787570" w:rsidRDefault="00787570">
            <w:pPr>
              <w:rPr>
                <w:rFonts w:ascii="宋体"/>
              </w:rPr>
            </w:pPr>
          </w:p>
        </w:tc>
        <w:tc>
          <w:tcPr>
            <w:tcW w:w="0" w:type="auto"/>
            <w:shd w:val="clear" w:color="auto" w:fill="auto"/>
          </w:tcPr>
          <w:p w14:paraId="36CA4777" w14:textId="77777777" w:rsidR="00787570" w:rsidRDefault="00787570">
            <w:pPr>
              <w:rPr>
                <w:rFonts w:ascii="宋体"/>
              </w:rPr>
            </w:pPr>
          </w:p>
        </w:tc>
        <w:tc>
          <w:tcPr>
            <w:tcW w:w="0" w:type="auto"/>
            <w:shd w:val="clear" w:color="auto" w:fill="auto"/>
          </w:tcPr>
          <w:p w14:paraId="36CA4778" w14:textId="77777777" w:rsidR="00787570" w:rsidRDefault="00787570">
            <w:pPr>
              <w:rPr>
                <w:rFonts w:ascii="宋体"/>
              </w:rPr>
            </w:pPr>
          </w:p>
        </w:tc>
        <w:tc>
          <w:tcPr>
            <w:tcW w:w="0" w:type="auto"/>
            <w:shd w:val="clear" w:color="auto" w:fill="auto"/>
          </w:tcPr>
          <w:p w14:paraId="36CA4779" w14:textId="77777777" w:rsidR="00787570" w:rsidRDefault="00787570">
            <w:pPr>
              <w:rPr>
                <w:rFonts w:ascii="宋体"/>
              </w:rPr>
            </w:pPr>
          </w:p>
        </w:tc>
        <w:tc>
          <w:tcPr>
            <w:tcW w:w="0" w:type="auto"/>
            <w:shd w:val="clear" w:color="auto" w:fill="auto"/>
          </w:tcPr>
          <w:p w14:paraId="36CA477A" w14:textId="77777777" w:rsidR="00787570" w:rsidRDefault="00787570">
            <w:pPr>
              <w:rPr>
                <w:rFonts w:ascii="宋体"/>
              </w:rPr>
            </w:pPr>
          </w:p>
        </w:tc>
        <w:tc>
          <w:tcPr>
            <w:tcW w:w="0" w:type="auto"/>
            <w:shd w:val="clear" w:color="auto" w:fill="auto"/>
          </w:tcPr>
          <w:p w14:paraId="36CA477B" w14:textId="77777777" w:rsidR="00787570" w:rsidRDefault="00787570">
            <w:pPr>
              <w:rPr>
                <w:rFonts w:ascii="宋体"/>
              </w:rPr>
            </w:pPr>
          </w:p>
        </w:tc>
        <w:tc>
          <w:tcPr>
            <w:tcW w:w="0" w:type="auto"/>
            <w:shd w:val="clear" w:color="auto" w:fill="auto"/>
          </w:tcPr>
          <w:p w14:paraId="36CA477C" w14:textId="77777777" w:rsidR="00787570" w:rsidRDefault="00787570">
            <w:pPr>
              <w:rPr>
                <w:rFonts w:ascii="宋体"/>
              </w:rPr>
            </w:pPr>
          </w:p>
        </w:tc>
        <w:tc>
          <w:tcPr>
            <w:tcW w:w="0" w:type="auto"/>
            <w:shd w:val="clear" w:color="auto" w:fill="auto"/>
          </w:tcPr>
          <w:p w14:paraId="36CA477D" w14:textId="77777777" w:rsidR="00787570" w:rsidRDefault="00787570">
            <w:pPr>
              <w:rPr>
                <w:rFonts w:ascii="宋体"/>
              </w:rPr>
            </w:pPr>
          </w:p>
        </w:tc>
        <w:tc>
          <w:tcPr>
            <w:tcW w:w="0" w:type="auto"/>
            <w:shd w:val="clear" w:color="auto" w:fill="auto"/>
          </w:tcPr>
          <w:p w14:paraId="36CA477E" w14:textId="77777777" w:rsidR="00787570" w:rsidRDefault="00787570">
            <w:pPr>
              <w:rPr>
                <w:rFonts w:ascii="宋体"/>
              </w:rPr>
            </w:pPr>
          </w:p>
        </w:tc>
      </w:tr>
      <w:tr w:rsidR="00787570" w14:paraId="36CA47A0" w14:textId="77777777">
        <w:tc>
          <w:tcPr>
            <w:tcW w:w="0" w:type="auto"/>
            <w:gridSpan w:val="3"/>
            <w:shd w:val="clear" w:color="auto" w:fill="auto"/>
            <w:tcMar>
              <w:top w:w="40" w:type="dxa"/>
              <w:left w:w="20" w:type="dxa"/>
              <w:bottom w:w="40" w:type="dxa"/>
              <w:right w:w="20" w:type="dxa"/>
            </w:tcMar>
            <w:vAlign w:val="bottom"/>
          </w:tcPr>
          <w:p w14:paraId="36CA4780" w14:textId="77777777" w:rsidR="00787570" w:rsidRDefault="000D56E2">
            <w:pPr>
              <w:textAlignment w:val="bottom"/>
            </w:pPr>
            <w:r>
              <w:rPr>
                <w:rFonts w:ascii="Arial" w:eastAsia="宋体" w:hAnsi="Arial" w:cs="Arial"/>
                <w:b/>
                <w:bCs/>
                <w:color w:val="333333"/>
                <w:sz w:val="18"/>
                <w:szCs w:val="18"/>
              </w:rPr>
              <w:t>Total change in revenue</w:t>
            </w:r>
          </w:p>
        </w:tc>
        <w:tc>
          <w:tcPr>
            <w:tcW w:w="0" w:type="auto"/>
            <w:gridSpan w:val="3"/>
            <w:shd w:val="clear" w:color="auto" w:fill="auto"/>
            <w:tcMar>
              <w:left w:w="20" w:type="dxa"/>
              <w:right w:w="20" w:type="dxa"/>
            </w:tcMar>
            <w:vAlign w:val="bottom"/>
          </w:tcPr>
          <w:p w14:paraId="36CA4781"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4782"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4783" w14:textId="77777777" w:rsidR="00787570" w:rsidRDefault="00787570">
            <w:pPr>
              <w:rPr>
                <w:rFonts w:ascii="宋体"/>
              </w:rPr>
            </w:pPr>
          </w:p>
        </w:tc>
        <w:tc>
          <w:tcPr>
            <w:tcW w:w="0" w:type="auto"/>
            <w:tcBorders>
              <w:top w:val="single" w:sz="8" w:space="0" w:color="333333"/>
              <w:bottom w:val="double" w:sz="6" w:space="0" w:color="000000"/>
            </w:tcBorders>
            <w:shd w:val="clear" w:color="auto" w:fill="auto"/>
            <w:tcMar>
              <w:top w:w="40" w:type="dxa"/>
              <w:left w:w="20" w:type="dxa"/>
              <w:bottom w:w="40" w:type="dxa"/>
            </w:tcMar>
            <w:vAlign w:val="bottom"/>
          </w:tcPr>
          <w:p w14:paraId="36CA4784" w14:textId="77777777" w:rsidR="00787570" w:rsidRDefault="000D56E2">
            <w:pPr>
              <w:textAlignment w:val="bottom"/>
            </w:pPr>
            <w:r>
              <w:rPr>
                <w:rFonts w:ascii="Arial" w:eastAsia="宋体" w:hAnsi="Arial" w:cs="Arial"/>
                <w:b/>
                <w:bCs/>
                <w:color w:val="0071C5"/>
                <w:sz w:val="18"/>
                <w:szCs w:val="18"/>
              </w:rPr>
              <w:t>$</w:t>
            </w:r>
          </w:p>
        </w:tc>
        <w:tc>
          <w:tcPr>
            <w:tcW w:w="0" w:type="auto"/>
            <w:tcBorders>
              <w:top w:val="single" w:sz="8" w:space="0" w:color="333333"/>
              <w:bottom w:val="double" w:sz="6" w:space="0" w:color="000000"/>
            </w:tcBorders>
            <w:shd w:val="clear" w:color="auto" w:fill="auto"/>
            <w:tcMar>
              <w:top w:w="40" w:type="dxa"/>
              <w:bottom w:w="40" w:type="dxa"/>
              <w:right w:w="0" w:type="dxa"/>
            </w:tcMar>
            <w:vAlign w:val="bottom"/>
          </w:tcPr>
          <w:p w14:paraId="36CA4785" w14:textId="77777777" w:rsidR="00787570" w:rsidRDefault="000D56E2">
            <w:pPr>
              <w:jc w:val="right"/>
              <w:textAlignment w:val="bottom"/>
            </w:pPr>
            <w:r>
              <w:rPr>
                <w:rFonts w:ascii="Arial" w:eastAsia="宋体" w:hAnsi="Arial" w:cs="Arial"/>
                <w:b/>
                <w:bCs/>
                <w:color w:val="0071C5"/>
                <w:sz w:val="18"/>
                <w:szCs w:val="18"/>
              </w:rPr>
              <w:t>(478)</w:t>
            </w:r>
          </w:p>
        </w:tc>
        <w:tc>
          <w:tcPr>
            <w:tcW w:w="0" w:type="auto"/>
            <w:tcBorders>
              <w:top w:val="single" w:sz="8" w:space="0" w:color="333333"/>
              <w:bottom w:val="double" w:sz="6" w:space="0" w:color="000000"/>
            </w:tcBorders>
            <w:shd w:val="clear" w:color="auto" w:fill="auto"/>
            <w:tcMar>
              <w:top w:w="40" w:type="dxa"/>
              <w:bottom w:w="40" w:type="dxa"/>
              <w:right w:w="20" w:type="dxa"/>
            </w:tcMar>
            <w:vAlign w:val="bottom"/>
          </w:tcPr>
          <w:p w14:paraId="36CA4786"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4787"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4788"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4789"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478A" w14:textId="77777777" w:rsidR="00787570" w:rsidRDefault="00787570">
            <w:pPr>
              <w:rPr>
                <w:rFonts w:ascii="宋体"/>
              </w:rPr>
            </w:pPr>
          </w:p>
        </w:tc>
        <w:tc>
          <w:tcPr>
            <w:tcW w:w="0" w:type="auto"/>
            <w:tcBorders>
              <w:top w:val="single" w:sz="8" w:space="0" w:color="333333"/>
              <w:bottom w:val="double" w:sz="6" w:space="0" w:color="000000"/>
            </w:tcBorders>
            <w:shd w:val="clear" w:color="auto" w:fill="auto"/>
            <w:tcMar>
              <w:top w:w="40" w:type="dxa"/>
              <w:left w:w="20" w:type="dxa"/>
              <w:bottom w:w="40" w:type="dxa"/>
            </w:tcMar>
            <w:vAlign w:val="bottom"/>
          </w:tcPr>
          <w:p w14:paraId="36CA478B" w14:textId="77777777" w:rsidR="00787570" w:rsidRDefault="000D56E2">
            <w:pPr>
              <w:textAlignment w:val="bottom"/>
            </w:pPr>
            <w:r>
              <w:rPr>
                <w:rFonts w:ascii="Arial" w:eastAsia="宋体" w:hAnsi="Arial" w:cs="Arial"/>
                <w:b/>
                <w:bCs/>
                <w:color w:val="0071C5"/>
                <w:sz w:val="18"/>
                <w:szCs w:val="18"/>
              </w:rPr>
              <w:t>$</w:t>
            </w:r>
          </w:p>
        </w:tc>
        <w:tc>
          <w:tcPr>
            <w:tcW w:w="0" w:type="auto"/>
            <w:tcBorders>
              <w:top w:val="single" w:sz="8" w:space="0" w:color="333333"/>
              <w:bottom w:val="double" w:sz="6" w:space="0" w:color="000000"/>
            </w:tcBorders>
            <w:shd w:val="clear" w:color="auto" w:fill="auto"/>
            <w:tcMar>
              <w:top w:w="40" w:type="dxa"/>
              <w:bottom w:w="40" w:type="dxa"/>
              <w:right w:w="0" w:type="dxa"/>
            </w:tcMar>
            <w:vAlign w:val="bottom"/>
          </w:tcPr>
          <w:p w14:paraId="36CA478C" w14:textId="77777777" w:rsidR="00787570" w:rsidRDefault="000D56E2">
            <w:pPr>
              <w:jc w:val="right"/>
              <w:textAlignment w:val="bottom"/>
            </w:pPr>
            <w:r>
              <w:rPr>
                <w:rFonts w:ascii="Arial" w:eastAsia="宋体" w:hAnsi="Arial" w:cs="Arial"/>
                <w:b/>
                <w:bCs/>
                <w:color w:val="0071C5"/>
                <w:sz w:val="18"/>
                <w:szCs w:val="18"/>
              </w:rPr>
              <w:t>3,747</w:t>
            </w:r>
            <w:r>
              <w:rPr>
                <w:rFonts w:ascii="Arial" w:eastAsia="宋体" w:hAnsi="Arial" w:cs="Arial"/>
                <w:color w:val="0071C5"/>
                <w:sz w:val="18"/>
                <w:szCs w:val="18"/>
              </w:rPr>
              <w:t> </w:t>
            </w:r>
          </w:p>
        </w:tc>
        <w:tc>
          <w:tcPr>
            <w:tcW w:w="0" w:type="auto"/>
            <w:tcBorders>
              <w:top w:val="single" w:sz="8" w:space="0" w:color="333333"/>
              <w:bottom w:val="double" w:sz="6" w:space="0" w:color="000000"/>
            </w:tcBorders>
            <w:shd w:val="clear" w:color="auto" w:fill="auto"/>
            <w:tcMar>
              <w:top w:w="40" w:type="dxa"/>
              <w:bottom w:w="40" w:type="dxa"/>
              <w:right w:w="20" w:type="dxa"/>
            </w:tcMar>
            <w:vAlign w:val="bottom"/>
          </w:tcPr>
          <w:p w14:paraId="36CA478D" w14:textId="77777777" w:rsidR="00787570" w:rsidRDefault="00787570">
            <w:pPr>
              <w:jc w:val="right"/>
              <w:rPr>
                <w:rFonts w:ascii="宋体"/>
              </w:rPr>
            </w:pPr>
          </w:p>
        </w:tc>
        <w:tc>
          <w:tcPr>
            <w:tcW w:w="0" w:type="auto"/>
            <w:shd w:val="clear" w:color="auto" w:fill="auto"/>
          </w:tcPr>
          <w:p w14:paraId="36CA478E" w14:textId="77777777" w:rsidR="00787570" w:rsidRDefault="00787570">
            <w:pPr>
              <w:rPr>
                <w:rFonts w:ascii="宋体"/>
              </w:rPr>
            </w:pPr>
          </w:p>
        </w:tc>
        <w:tc>
          <w:tcPr>
            <w:tcW w:w="0" w:type="auto"/>
            <w:shd w:val="clear" w:color="auto" w:fill="auto"/>
          </w:tcPr>
          <w:p w14:paraId="36CA478F" w14:textId="77777777" w:rsidR="00787570" w:rsidRDefault="00787570">
            <w:pPr>
              <w:rPr>
                <w:rFonts w:ascii="宋体"/>
              </w:rPr>
            </w:pPr>
          </w:p>
        </w:tc>
        <w:tc>
          <w:tcPr>
            <w:tcW w:w="0" w:type="auto"/>
            <w:shd w:val="clear" w:color="auto" w:fill="auto"/>
          </w:tcPr>
          <w:p w14:paraId="36CA4790" w14:textId="77777777" w:rsidR="00787570" w:rsidRDefault="00787570">
            <w:pPr>
              <w:rPr>
                <w:rFonts w:ascii="宋体"/>
              </w:rPr>
            </w:pPr>
          </w:p>
        </w:tc>
        <w:tc>
          <w:tcPr>
            <w:tcW w:w="0" w:type="auto"/>
            <w:shd w:val="clear" w:color="auto" w:fill="auto"/>
          </w:tcPr>
          <w:p w14:paraId="36CA4791" w14:textId="77777777" w:rsidR="00787570" w:rsidRDefault="00787570">
            <w:pPr>
              <w:rPr>
                <w:rFonts w:ascii="宋体"/>
              </w:rPr>
            </w:pPr>
          </w:p>
        </w:tc>
        <w:tc>
          <w:tcPr>
            <w:tcW w:w="0" w:type="auto"/>
            <w:shd w:val="clear" w:color="auto" w:fill="auto"/>
          </w:tcPr>
          <w:p w14:paraId="36CA4792" w14:textId="77777777" w:rsidR="00787570" w:rsidRDefault="00787570">
            <w:pPr>
              <w:rPr>
                <w:rFonts w:ascii="宋体"/>
              </w:rPr>
            </w:pPr>
          </w:p>
        </w:tc>
        <w:tc>
          <w:tcPr>
            <w:tcW w:w="0" w:type="auto"/>
            <w:shd w:val="clear" w:color="auto" w:fill="auto"/>
          </w:tcPr>
          <w:p w14:paraId="36CA4793" w14:textId="77777777" w:rsidR="00787570" w:rsidRDefault="00787570">
            <w:pPr>
              <w:rPr>
                <w:rFonts w:ascii="宋体"/>
              </w:rPr>
            </w:pPr>
          </w:p>
        </w:tc>
        <w:tc>
          <w:tcPr>
            <w:tcW w:w="0" w:type="auto"/>
            <w:shd w:val="clear" w:color="auto" w:fill="auto"/>
          </w:tcPr>
          <w:p w14:paraId="36CA4794" w14:textId="77777777" w:rsidR="00787570" w:rsidRDefault="00787570">
            <w:pPr>
              <w:rPr>
                <w:rFonts w:ascii="宋体"/>
              </w:rPr>
            </w:pPr>
          </w:p>
        </w:tc>
        <w:tc>
          <w:tcPr>
            <w:tcW w:w="0" w:type="auto"/>
            <w:shd w:val="clear" w:color="auto" w:fill="auto"/>
          </w:tcPr>
          <w:p w14:paraId="36CA4795" w14:textId="77777777" w:rsidR="00787570" w:rsidRDefault="00787570">
            <w:pPr>
              <w:rPr>
                <w:rFonts w:ascii="宋体"/>
              </w:rPr>
            </w:pPr>
          </w:p>
        </w:tc>
        <w:tc>
          <w:tcPr>
            <w:tcW w:w="0" w:type="auto"/>
            <w:shd w:val="clear" w:color="auto" w:fill="auto"/>
          </w:tcPr>
          <w:p w14:paraId="36CA4796" w14:textId="77777777" w:rsidR="00787570" w:rsidRDefault="00787570">
            <w:pPr>
              <w:rPr>
                <w:rFonts w:ascii="宋体"/>
              </w:rPr>
            </w:pPr>
          </w:p>
        </w:tc>
        <w:tc>
          <w:tcPr>
            <w:tcW w:w="0" w:type="auto"/>
            <w:shd w:val="clear" w:color="auto" w:fill="auto"/>
          </w:tcPr>
          <w:p w14:paraId="36CA4797" w14:textId="77777777" w:rsidR="00787570" w:rsidRDefault="00787570">
            <w:pPr>
              <w:rPr>
                <w:rFonts w:ascii="宋体"/>
              </w:rPr>
            </w:pPr>
          </w:p>
        </w:tc>
        <w:tc>
          <w:tcPr>
            <w:tcW w:w="0" w:type="auto"/>
            <w:shd w:val="clear" w:color="auto" w:fill="auto"/>
          </w:tcPr>
          <w:p w14:paraId="36CA4798" w14:textId="77777777" w:rsidR="00787570" w:rsidRDefault="00787570">
            <w:pPr>
              <w:rPr>
                <w:rFonts w:ascii="宋体"/>
              </w:rPr>
            </w:pPr>
          </w:p>
        </w:tc>
        <w:tc>
          <w:tcPr>
            <w:tcW w:w="0" w:type="auto"/>
            <w:shd w:val="clear" w:color="auto" w:fill="auto"/>
          </w:tcPr>
          <w:p w14:paraId="36CA4799" w14:textId="77777777" w:rsidR="00787570" w:rsidRDefault="00787570">
            <w:pPr>
              <w:rPr>
                <w:rFonts w:ascii="宋体"/>
              </w:rPr>
            </w:pPr>
          </w:p>
        </w:tc>
        <w:tc>
          <w:tcPr>
            <w:tcW w:w="0" w:type="auto"/>
            <w:shd w:val="clear" w:color="auto" w:fill="auto"/>
          </w:tcPr>
          <w:p w14:paraId="36CA479A" w14:textId="77777777" w:rsidR="00787570" w:rsidRDefault="00787570">
            <w:pPr>
              <w:rPr>
                <w:rFonts w:ascii="宋体"/>
              </w:rPr>
            </w:pPr>
          </w:p>
        </w:tc>
        <w:tc>
          <w:tcPr>
            <w:tcW w:w="0" w:type="auto"/>
            <w:shd w:val="clear" w:color="auto" w:fill="auto"/>
          </w:tcPr>
          <w:p w14:paraId="36CA479B" w14:textId="77777777" w:rsidR="00787570" w:rsidRDefault="00787570">
            <w:pPr>
              <w:rPr>
                <w:rFonts w:ascii="宋体"/>
              </w:rPr>
            </w:pPr>
          </w:p>
        </w:tc>
        <w:tc>
          <w:tcPr>
            <w:tcW w:w="0" w:type="auto"/>
            <w:shd w:val="clear" w:color="auto" w:fill="auto"/>
          </w:tcPr>
          <w:p w14:paraId="36CA479C" w14:textId="77777777" w:rsidR="00787570" w:rsidRDefault="00787570">
            <w:pPr>
              <w:rPr>
                <w:rFonts w:ascii="宋体"/>
              </w:rPr>
            </w:pPr>
          </w:p>
        </w:tc>
        <w:tc>
          <w:tcPr>
            <w:tcW w:w="0" w:type="auto"/>
            <w:shd w:val="clear" w:color="auto" w:fill="auto"/>
          </w:tcPr>
          <w:p w14:paraId="36CA479D" w14:textId="77777777" w:rsidR="00787570" w:rsidRDefault="00787570">
            <w:pPr>
              <w:rPr>
                <w:rFonts w:ascii="宋体"/>
              </w:rPr>
            </w:pPr>
          </w:p>
        </w:tc>
        <w:tc>
          <w:tcPr>
            <w:tcW w:w="0" w:type="auto"/>
            <w:shd w:val="clear" w:color="auto" w:fill="auto"/>
          </w:tcPr>
          <w:p w14:paraId="36CA479E" w14:textId="77777777" w:rsidR="00787570" w:rsidRDefault="00787570">
            <w:pPr>
              <w:rPr>
                <w:rFonts w:ascii="宋体"/>
              </w:rPr>
            </w:pPr>
          </w:p>
        </w:tc>
        <w:tc>
          <w:tcPr>
            <w:tcW w:w="0" w:type="auto"/>
            <w:shd w:val="clear" w:color="auto" w:fill="auto"/>
          </w:tcPr>
          <w:p w14:paraId="36CA479F" w14:textId="77777777" w:rsidR="00787570" w:rsidRDefault="00787570">
            <w:pPr>
              <w:rPr>
                <w:rFonts w:ascii="宋体"/>
              </w:rPr>
            </w:pPr>
          </w:p>
        </w:tc>
      </w:tr>
      <w:tr w:rsidR="00787570" w14:paraId="36CA47BD" w14:textId="77777777">
        <w:trPr>
          <w:hidden/>
        </w:trPr>
        <w:tc>
          <w:tcPr>
            <w:tcW w:w="0" w:type="auto"/>
            <w:gridSpan w:val="3"/>
            <w:shd w:val="clear" w:color="auto" w:fill="auto"/>
          </w:tcPr>
          <w:p w14:paraId="36CA47A1" w14:textId="77777777" w:rsidR="00787570" w:rsidRDefault="00787570">
            <w:pPr>
              <w:rPr>
                <w:rFonts w:ascii="宋体"/>
                <w:vanish/>
              </w:rPr>
            </w:pPr>
          </w:p>
        </w:tc>
        <w:tc>
          <w:tcPr>
            <w:tcW w:w="0" w:type="auto"/>
            <w:gridSpan w:val="3"/>
            <w:shd w:val="clear" w:color="auto" w:fill="auto"/>
          </w:tcPr>
          <w:p w14:paraId="36CA47A2" w14:textId="77777777" w:rsidR="00787570" w:rsidRDefault="00787570">
            <w:pPr>
              <w:rPr>
                <w:rFonts w:ascii="宋体"/>
                <w:vanish/>
              </w:rPr>
            </w:pPr>
          </w:p>
        </w:tc>
        <w:tc>
          <w:tcPr>
            <w:tcW w:w="0" w:type="auto"/>
            <w:gridSpan w:val="3"/>
            <w:shd w:val="clear" w:color="auto" w:fill="auto"/>
          </w:tcPr>
          <w:p w14:paraId="36CA47A3" w14:textId="77777777" w:rsidR="00787570" w:rsidRDefault="00787570">
            <w:pPr>
              <w:rPr>
                <w:rFonts w:ascii="宋体"/>
                <w:vanish/>
              </w:rPr>
            </w:pPr>
          </w:p>
        </w:tc>
        <w:tc>
          <w:tcPr>
            <w:tcW w:w="0" w:type="auto"/>
            <w:gridSpan w:val="3"/>
            <w:shd w:val="clear" w:color="auto" w:fill="auto"/>
          </w:tcPr>
          <w:p w14:paraId="36CA47A4" w14:textId="77777777" w:rsidR="00787570" w:rsidRDefault="00787570">
            <w:pPr>
              <w:rPr>
                <w:rFonts w:ascii="宋体"/>
                <w:vanish/>
              </w:rPr>
            </w:pPr>
          </w:p>
        </w:tc>
        <w:tc>
          <w:tcPr>
            <w:tcW w:w="0" w:type="auto"/>
            <w:gridSpan w:val="3"/>
            <w:shd w:val="clear" w:color="auto" w:fill="auto"/>
          </w:tcPr>
          <w:p w14:paraId="36CA47A5" w14:textId="77777777" w:rsidR="00787570" w:rsidRDefault="00787570">
            <w:pPr>
              <w:rPr>
                <w:rFonts w:ascii="宋体"/>
                <w:vanish/>
              </w:rPr>
            </w:pPr>
          </w:p>
        </w:tc>
        <w:tc>
          <w:tcPr>
            <w:tcW w:w="0" w:type="auto"/>
            <w:gridSpan w:val="3"/>
            <w:shd w:val="clear" w:color="auto" w:fill="auto"/>
          </w:tcPr>
          <w:p w14:paraId="36CA47A6" w14:textId="77777777" w:rsidR="00787570" w:rsidRDefault="00787570">
            <w:pPr>
              <w:rPr>
                <w:rFonts w:ascii="宋体"/>
                <w:vanish/>
              </w:rPr>
            </w:pPr>
          </w:p>
        </w:tc>
        <w:tc>
          <w:tcPr>
            <w:tcW w:w="0" w:type="auto"/>
            <w:gridSpan w:val="3"/>
            <w:shd w:val="clear" w:color="auto" w:fill="auto"/>
          </w:tcPr>
          <w:p w14:paraId="36CA47A7" w14:textId="77777777" w:rsidR="00787570" w:rsidRDefault="00787570">
            <w:pPr>
              <w:rPr>
                <w:rFonts w:ascii="宋体"/>
                <w:vanish/>
              </w:rPr>
            </w:pPr>
          </w:p>
        </w:tc>
        <w:tc>
          <w:tcPr>
            <w:tcW w:w="0" w:type="auto"/>
            <w:gridSpan w:val="3"/>
            <w:shd w:val="clear" w:color="auto" w:fill="auto"/>
          </w:tcPr>
          <w:p w14:paraId="36CA47A8" w14:textId="77777777" w:rsidR="00787570" w:rsidRDefault="00787570">
            <w:pPr>
              <w:rPr>
                <w:rFonts w:ascii="宋体"/>
                <w:vanish/>
              </w:rPr>
            </w:pPr>
          </w:p>
        </w:tc>
        <w:tc>
          <w:tcPr>
            <w:tcW w:w="0" w:type="auto"/>
            <w:gridSpan w:val="3"/>
            <w:shd w:val="clear" w:color="auto" w:fill="auto"/>
          </w:tcPr>
          <w:p w14:paraId="36CA47A9" w14:textId="77777777" w:rsidR="00787570" w:rsidRDefault="00787570">
            <w:pPr>
              <w:rPr>
                <w:rFonts w:ascii="宋体"/>
                <w:vanish/>
              </w:rPr>
            </w:pPr>
          </w:p>
        </w:tc>
        <w:tc>
          <w:tcPr>
            <w:tcW w:w="0" w:type="auto"/>
            <w:gridSpan w:val="3"/>
            <w:shd w:val="clear" w:color="auto" w:fill="auto"/>
          </w:tcPr>
          <w:p w14:paraId="36CA47AA" w14:textId="77777777" w:rsidR="00787570" w:rsidRDefault="00787570">
            <w:pPr>
              <w:rPr>
                <w:rFonts w:ascii="宋体"/>
                <w:vanish/>
              </w:rPr>
            </w:pPr>
          </w:p>
        </w:tc>
        <w:tc>
          <w:tcPr>
            <w:tcW w:w="0" w:type="auto"/>
            <w:shd w:val="clear" w:color="auto" w:fill="auto"/>
          </w:tcPr>
          <w:p w14:paraId="36CA47AB" w14:textId="77777777" w:rsidR="00787570" w:rsidRDefault="00787570">
            <w:pPr>
              <w:rPr>
                <w:rFonts w:ascii="宋体"/>
              </w:rPr>
            </w:pPr>
          </w:p>
        </w:tc>
        <w:tc>
          <w:tcPr>
            <w:tcW w:w="0" w:type="auto"/>
            <w:shd w:val="clear" w:color="auto" w:fill="auto"/>
          </w:tcPr>
          <w:p w14:paraId="36CA47AC" w14:textId="77777777" w:rsidR="00787570" w:rsidRDefault="00787570">
            <w:pPr>
              <w:rPr>
                <w:rFonts w:ascii="宋体"/>
              </w:rPr>
            </w:pPr>
          </w:p>
        </w:tc>
        <w:tc>
          <w:tcPr>
            <w:tcW w:w="0" w:type="auto"/>
            <w:shd w:val="clear" w:color="auto" w:fill="auto"/>
          </w:tcPr>
          <w:p w14:paraId="36CA47AD" w14:textId="77777777" w:rsidR="00787570" w:rsidRDefault="00787570">
            <w:pPr>
              <w:rPr>
                <w:rFonts w:ascii="宋体"/>
              </w:rPr>
            </w:pPr>
          </w:p>
        </w:tc>
        <w:tc>
          <w:tcPr>
            <w:tcW w:w="0" w:type="auto"/>
            <w:shd w:val="clear" w:color="auto" w:fill="auto"/>
          </w:tcPr>
          <w:p w14:paraId="36CA47AE" w14:textId="77777777" w:rsidR="00787570" w:rsidRDefault="00787570">
            <w:pPr>
              <w:rPr>
                <w:rFonts w:ascii="宋体"/>
              </w:rPr>
            </w:pPr>
          </w:p>
        </w:tc>
        <w:tc>
          <w:tcPr>
            <w:tcW w:w="0" w:type="auto"/>
            <w:shd w:val="clear" w:color="auto" w:fill="auto"/>
          </w:tcPr>
          <w:p w14:paraId="36CA47AF" w14:textId="77777777" w:rsidR="00787570" w:rsidRDefault="00787570">
            <w:pPr>
              <w:rPr>
                <w:rFonts w:ascii="宋体"/>
              </w:rPr>
            </w:pPr>
          </w:p>
        </w:tc>
        <w:tc>
          <w:tcPr>
            <w:tcW w:w="0" w:type="auto"/>
            <w:shd w:val="clear" w:color="auto" w:fill="auto"/>
          </w:tcPr>
          <w:p w14:paraId="36CA47B0" w14:textId="77777777" w:rsidR="00787570" w:rsidRDefault="00787570">
            <w:pPr>
              <w:rPr>
                <w:rFonts w:ascii="宋体"/>
              </w:rPr>
            </w:pPr>
          </w:p>
        </w:tc>
        <w:tc>
          <w:tcPr>
            <w:tcW w:w="0" w:type="auto"/>
            <w:shd w:val="clear" w:color="auto" w:fill="auto"/>
          </w:tcPr>
          <w:p w14:paraId="36CA47B1" w14:textId="77777777" w:rsidR="00787570" w:rsidRDefault="00787570">
            <w:pPr>
              <w:rPr>
                <w:rFonts w:ascii="宋体"/>
              </w:rPr>
            </w:pPr>
          </w:p>
        </w:tc>
        <w:tc>
          <w:tcPr>
            <w:tcW w:w="0" w:type="auto"/>
            <w:shd w:val="clear" w:color="auto" w:fill="auto"/>
          </w:tcPr>
          <w:p w14:paraId="36CA47B2" w14:textId="77777777" w:rsidR="00787570" w:rsidRDefault="00787570">
            <w:pPr>
              <w:rPr>
                <w:rFonts w:ascii="宋体"/>
              </w:rPr>
            </w:pPr>
          </w:p>
        </w:tc>
        <w:tc>
          <w:tcPr>
            <w:tcW w:w="0" w:type="auto"/>
            <w:shd w:val="clear" w:color="auto" w:fill="auto"/>
          </w:tcPr>
          <w:p w14:paraId="36CA47B3" w14:textId="77777777" w:rsidR="00787570" w:rsidRDefault="00787570">
            <w:pPr>
              <w:rPr>
                <w:rFonts w:ascii="宋体"/>
              </w:rPr>
            </w:pPr>
          </w:p>
        </w:tc>
        <w:tc>
          <w:tcPr>
            <w:tcW w:w="0" w:type="auto"/>
            <w:shd w:val="clear" w:color="auto" w:fill="auto"/>
          </w:tcPr>
          <w:p w14:paraId="36CA47B4" w14:textId="77777777" w:rsidR="00787570" w:rsidRDefault="00787570">
            <w:pPr>
              <w:rPr>
                <w:rFonts w:ascii="宋体"/>
              </w:rPr>
            </w:pPr>
          </w:p>
        </w:tc>
        <w:tc>
          <w:tcPr>
            <w:tcW w:w="0" w:type="auto"/>
            <w:shd w:val="clear" w:color="auto" w:fill="auto"/>
          </w:tcPr>
          <w:p w14:paraId="36CA47B5" w14:textId="77777777" w:rsidR="00787570" w:rsidRDefault="00787570">
            <w:pPr>
              <w:rPr>
                <w:rFonts w:ascii="宋体"/>
              </w:rPr>
            </w:pPr>
          </w:p>
        </w:tc>
        <w:tc>
          <w:tcPr>
            <w:tcW w:w="0" w:type="auto"/>
            <w:shd w:val="clear" w:color="auto" w:fill="auto"/>
          </w:tcPr>
          <w:p w14:paraId="36CA47B6" w14:textId="77777777" w:rsidR="00787570" w:rsidRDefault="00787570">
            <w:pPr>
              <w:rPr>
                <w:rFonts w:ascii="宋体"/>
              </w:rPr>
            </w:pPr>
          </w:p>
        </w:tc>
        <w:tc>
          <w:tcPr>
            <w:tcW w:w="0" w:type="auto"/>
            <w:shd w:val="clear" w:color="auto" w:fill="auto"/>
          </w:tcPr>
          <w:p w14:paraId="36CA47B7" w14:textId="77777777" w:rsidR="00787570" w:rsidRDefault="00787570">
            <w:pPr>
              <w:rPr>
                <w:rFonts w:ascii="宋体"/>
              </w:rPr>
            </w:pPr>
          </w:p>
        </w:tc>
        <w:tc>
          <w:tcPr>
            <w:tcW w:w="0" w:type="auto"/>
            <w:shd w:val="clear" w:color="auto" w:fill="auto"/>
          </w:tcPr>
          <w:p w14:paraId="36CA47B8" w14:textId="77777777" w:rsidR="00787570" w:rsidRDefault="00787570">
            <w:pPr>
              <w:rPr>
                <w:rFonts w:ascii="宋体"/>
              </w:rPr>
            </w:pPr>
          </w:p>
        </w:tc>
        <w:tc>
          <w:tcPr>
            <w:tcW w:w="0" w:type="auto"/>
            <w:shd w:val="clear" w:color="auto" w:fill="auto"/>
          </w:tcPr>
          <w:p w14:paraId="36CA47B9" w14:textId="77777777" w:rsidR="00787570" w:rsidRDefault="00787570">
            <w:pPr>
              <w:rPr>
                <w:rFonts w:ascii="宋体"/>
              </w:rPr>
            </w:pPr>
          </w:p>
        </w:tc>
        <w:tc>
          <w:tcPr>
            <w:tcW w:w="0" w:type="auto"/>
            <w:shd w:val="clear" w:color="auto" w:fill="auto"/>
          </w:tcPr>
          <w:p w14:paraId="36CA47BA" w14:textId="77777777" w:rsidR="00787570" w:rsidRDefault="00787570">
            <w:pPr>
              <w:rPr>
                <w:rFonts w:ascii="宋体"/>
              </w:rPr>
            </w:pPr>
          </w:p>
        </w:tc>
        <w:tc>
          <w:tcPr>
            <w:tcW w:w="0" w:type="auto"/>
            <w:shd w:val="clear" w:color="auto" w:fill="auto"/>
          </w:tcPr>
          <w:p w14:paraId="36CA47BB" w14:textId="77777777" w:rsidR="00787570" w:rsidRDefault="00787570">
            <w:pPr>
              <w:rPr>
                <w:rFonts w:ascii="宋体"/>
              </w:rPr>
            </w:pPr>
          </w:p>
        </w:tc>
        <w:tc>
          <w:tcPr>
            <w:tcW w:w="0" w:type="auto"/>
            <w:shd w:val="clear" w:color="auto" w:fill="auto"/>
          </w:tcPr>
          <w:p w14:paraId="36CA47BC" w14:textId="77777777" w:rsidR="00787570" w:rsidRDefault="00787570">
            <w:pPr>
              <w:rPr>
                <w:rFonts w:ascii="宋体"/>
              </w:rPr>
            </w:pPr>
          </w:p>
        </w:tc>
      </w:tr>
      <w:tr w:rsidR="00787570" w14:paraId="36CA47DA" w14:textId="77777777">
        <w:trPr>
          <w:hidden/>
        </w:trPr>
        <w:tc>
          <w:tcPr>
            <w:tcW w:w="0" w:type="auto"/>
            <w:gridSpan w:val="3"/>
            <w:shd w:val="clear" w:color="auto" w:fill="auto"/>
          </w:tcPr>
          <w:p w14:paraId="36CA47BE" w14:textId="77777777" w:rsidR="00787570" w:rsidRDefault="00787570">
            <w:pPr>
              <w:rPr>
                <w:rFonts w:ascii="宋体"/>
                <w:vanish/>
              </w:rPr>
            </w:pPr>
          </w:p>
        </w:tc>
        <w:tc>
          <w:tcPr>
            <w:tcW w:w="0" w:type="auto"/>
            <w:gridSpan w:val="3"/>
            <w:shd w:val="clear" w:color="auto" w:fill="auto"/>
          </w:tcPr>
          <w:p w14:paraId="36CA47BF" w14:textId="77777777" w:rsidR="00787570" w:rsidRDefault="00787570">
            <w:pPr>
              <w:rPr>
                <w:rFonts w:ascii="宋体"/>
                <w:vanish/>
              </w:rPr>
            </w:pPr>
          </w:p>
        </w:tc>
        <w:tc>
          <w:tcPr>
            <w:tcW w:w="0" w:type="auto"/>
            <w:gridSpan w:val="3"/>
            <w:shd w:val="clear" w:color="auto" w:fill="auto"/>
          </w:tcPr>
          <w:p w14:paraId="36CA47C0" w14:textId="77777777" w:rsidR="00787570" w:rsidRDefault="00787570">
            <w:pPr>
              <w:rPr>
                <w:rFonts w:ascii="宋体"/>
                <w:vanish/>
              </w:rPr>
            </w:pPr>
          </w:p>
        </w:tc>
        <w:tc>
          <w:tcPr>
            <w:tcW w:w="0" w:type="auto"/>
            <w:gridSpan w:val="3"/>
            <w:shd w:val="clear" w:color="auto" w:fill="auto"/>
          </w:tcPr>
          <w:p w14:paraId="36CA47C1" w14:textId="77777777" w:rsidR="00787570" w:rsidRDefault="00787570">
            <w:pPr>
              <w:rPr>
                <w:rFonts w:ascii="宋体"/>
                <w:vanish/>
              </w:rPr>
            </w:pPr>
          </w:p>
        </w:tc>
        <w:tc>
          <w:tcPr>
            <w:tcW w:w="0" w:type="auto"/>
            <w:gridSpan w:val="3"/>
            <w:shd w:val="clear" w:color="auto" w:fill="auto"/>
          </w:tcPr>
          <w:p w14:paraId="36CA47C2" w14:textId="77777777" w:rsidR="00787570" w:rsidRDefault="00787570">
            <w:pPr>
              <w:rPr>
                <w:rFonts w:ascii="宋体"/>
                <w:vanish/>
              </w:rPr>
            </w:pPr>
          </w:p>
        </w:tc>
        <w:tc>
          <w:tcPr>
            <w:tcW w:w="0" w:type="auto"/>
            <w:gridSpan w:val="3"/>
            <w:shd w:val="clear" w:color="auto" w:fill="auto"/>
          </w:tcPr>
          <w:p w14:paraId="36CA47C3" w14:textId="77777777" w:rsidR="00787570" w:rsidRDefault="00787570">
            <w:pPr>
              <w:rPr>
                <w:rFonts w:ascii="宋体"/>
                <w:vanish/>
              </w:rPr>
            </w:pPr>
          </w:p>
        </w:tc>
        <w:tc>
          <w:tcPr>
            <w:tcW w:w="0" w:type="auto"/>
            <w:gridSpan w:val="3"/>
            <w:shd w:val="clear" w:color="auto" w:fill="auto"/>
          </w:tcPr>
          <w:p w14:paraId="36CA47C4" w14:textId="77777777" w:rsidR="00787570" w:rsidRDefault="00787570">
            <w:pPr>
              <w:rPr>
                <w:rFonts w:ascii="宋体"/>
                <w:vanish/>
              </w:rPr>
            </w:pPr>
          </w:p>
        </w:tc>
        <w:tc>
          <w:tcPr>
            <w:tcW w:w="0" w:type="auto"/>
            <w:gridSpan w:val="3"/>
            <w:shd w:val="clear" w:color="auto" w:fill="auto"/>
          </w:tcPr>
          <w:p w14:paraId="36CA47C5" w14:textId="77777777" w:rsidR="00787570" w:rsidRDefault="00787570">
            <w:pPr>
              <w:rPr>
                <w:rFonts w:ascii="宋体"/>
                <w:vanish/>
              </w:rPr>
            </w:pPr>
          </w:p>
        </w:tc>
        <w:tc>
          <w:tcPr>
            <w:tcW w:w="0" w:type="auto"/>
            <w:gridSpan w:val="3"/>
            <w:shd w:val="clear" w:color="auto" w:fill="auto"/>
          </w:tcPr>
          <w:p w14:paraId="36CA47C6" w14:textId="77777777" w:rsidR="00787570" w:rsidRDefault="00787570">
            <w:pPr>
              <w:rPr>
                <w:rFonts w:ascii="宋体"/>
                <w:vanish/>
              </w:rPr>
            </w:pPr>
          </w:p>
        </w:tc>
        <w:tc>
          <w:tcPr>
            <w:tcW w:w="0" w:type="auto"/>
            <w:gridSpan w:val="3"/>
            <w:shd w:val="clear" w:color="auto" w:fill="auto"/>
          </w:tcPr>
          <w:p w14:paraId="36CA47C7" w14:textId="77777777" w:rsidR="00787570" w:rsidRDefault="00787570">
            <w:pPr>
              <w:rPr>
                <w:rFonts w:ascii="宋体"/>
                <w:vanish/>
              </w:rPr>
            </w:pPr>
          </w:p>
        </w:tc>
        <w:tc>
          <w:tcPr>
            <w:tcW w:w="0" w:type="auto"/>
            <w:shd w:val="clear" w:color="auto" w:fill="auto"/>
          </w:tcPr>
          <w:p w14:paraId="36CA47C8" w14:textId="77777777" w:rsidR="00787570" w:rsidRDefault="00787570">
            <w:pPr>
              <w:rPr>
                <w:rFonts w:ascii="宋体"/>
              </w:rPr>
            </w:pPr>
          </w:p>
        </w:tc>
        <w:tc>
          <w:tcPr>
            <w:tcW w:w="0" w:type="auto"/>
            <w:shd w:val="clear" w:color="auto" w:fill="auto"/>
          </w:tcPr>
          <w:p w14:paraId="36CA47C9" w14:textId="77777777" w:rsidR="00787570" w:rsidRDefault="00787570">
            <w:pPr>
              <w:rPr>
                <w:rFonts w:ascii="宋体"/>
              </w:rPr>
            </w:pPr>
          </w:p>
        </w:tc>
        <w:tc>
          <w:tcPr>
            <w:tcW w:w="0" w:type="auto"/>
            <w:shd w:val="clear" w:color="auto" w:fill="auto"/>
          </w:tcPr>
          <w:p w14:paraId="36CA47CA" w14:textId="77777777" w:rsidR="00787570" w:rsidRDefault="00787570">
            <w:pPr>
              <w:rPr>
                <w:rFonts w:ascii="宋体"/>
              </w:rPr>
            </w:pPr>
          </w:p>
        </w:tc>
        <w:tc>
          <w:tcPr>
            <w:tcW w:w="0" w:type="auto"/>
            <w:shd w:val="clear" w:color="auto" w:fill="auto"/>
          </w:tcPr>
          <w:p w14:paraId="36CA47CB" w14:textId="77777777" w:rsidR="00787570" w:rsidRDefault="00787570">
            <w:pPr>
              <w:rPr>
                <w:rFonts w:ascii="宋体"/>
              </w:rPr>
            </w:pPr>
          </w:p>
        </w:tc>
        <w:tc>
          <w:tcPr>
            <w:tcW w:w="0" w:type="auto"/>
            <w:shd w:val="clear" w:color="auto" w:fill="auto"/>
          </w:tcPr>
          <w:p w14:paraId="36CA47CC" w14:textId="77777777" w:rsidR="00787570" w:rsidRDefault="00787570">
            <w:pPr>
              <w:rPr>
                <w:rFonts w:ascii="宋体"/>
              </w:rPr>
            </w:pPr>
          </w:p>
        </w:tc>
        <w:tc>
          <w:tcPr>
            <w:tcW w:w="0" w:type="auto"/>
            <w:shd w:val="clear" w:color="auto" w:fill="auto"/>
          </w:tcPr>
          <w:p w14:paraId="36CA47CD" w14:textId="77777777" w:rsidR="00787570" w:rsidRDefault="00787570">
            <w:pPr>
              <w:rPr>
                <w:rFonts w:ascii="宋体"/>
              </w:rPr>
            </w:pPr>
          </w:p>
        </w:tc>
        <w:tc>
          <w:tcPr>
            <w:tcW w:w="0" w:type="auto"/>
            <w:shd w:val="clear" w:color="auto" w:fill="auto"/>
          </w:tcPr>
          <w:p w14:paraId="36CA47CE" w14:textId="77777777" w:rsidR="00787570" w:rsidRDefault="00787570">
            <w:pPr>
              <w:rPr>
                <w:rFonts w:ascii="宋体"/>
              </w:rPr>
            </w:pPr>
          </w:p>
        </w:tc>
        <w:tc>
          <w:tcPr>
            <w:tcW w:w="0" w:type="auto"/>
            <w:shd w:val="clear" w:color="auto" w:fill="auto"/>
          </w:tcPr>
          <w:p w14:paraId="36CA47CF" w14:textId="77777777" w:rsidR="00787570" w:rsidRDefault="00787570">
            <w:pPr>
              <w:rPr>
                <w:rFonts w:ascii="宋体"/>
              </w:rPr>
            </w:pPr>
          </w:p>
        </w:tc>
        <w:tc>
          <w:tcPr>
            <w:tcW w:w="0" w:type="auto"/>
            <w:shd w:val="clear" w:color="auto" w:fill="auto"/>
          </w:tcPr>
          <w:p w14:paraId="36CA47D0" w14:textId="77777777" w:rsidR="00787570" w:rsidRDefault="00787570">
            <w:pPr>
              <w:rPr>
                <w:rFonts w:ascii="宋体"/>
              </w:rPr>
            </w:pPr>
          </w:p>
        </w:tc>
        <w:tc>
          <w:tcPr>
            <w:tcW w:w="0" w:type="auto"/>
            <w:shd w:val="clear" w:color="auto" w:fill="auto"/>
          </w:tcPr>
          <w:p w14:paraId="36CA47D1" w14:textId="77777777" w:rsidR="00787570" w:rsidRDefault="00787570">
            <w:pPr>
              <w:rPr>
                <w:rFonts w:ascii="宋体"/>
              </w:rPr>
            </w:pPr>
          </w:p>
        </w:tc>
        <w:tc>
          <w:tcPr>
            <w:tcW w:w="0" w:type="auto"/>
            <w:shd w:val="clear" w:color="auto" w:fill="auto"/>
          </w:tcPr>
          <w:p w14:paraId="36CA47D2" w14:textId="77777777" w:rsidR="00787570" w:rsidRDefault="00787570">
            <w:pPr>
              <w:rPr>
                <w:rFonts w:ascii="宋体"/>
              </w:rPr>
            </w:pPr>
          </w:p>
        </w:tc>
        <w:tc>
          <w:tcPr>
            <w:tcW w:w="0" w:type="auto"/>
            <w:shd w:val="clear" w:color="auto" w:fill="auto"/>
          </w:tcPr>
          <w:p w14:paraId="36CA47D3" w14:textId="77777777" w:rsidR="00787570" w:rsidRDefault="00787570">
            <w:pPr>
              <w:rPr>
                <w:rFonts w:ascii="宋体"/>
              </w:rPr>
            </w:pPr>
          </w:p>
        </w:tc>
        <w:tc>
          <w:tcPr>
            <w:tcW w:w="0" w:type="auto"/>
            <w:shd w:val="clear" w:color="auto" w:fill="auto"/>
          </w:tcPr>
          <w:p w14:paraId="36CA47D4" w14:textId="77777777" w:rsidR="00787570" w:rsidRDefault="00787570">
            <w:pPr>
              <w:rPr>
                <w:rFonts w:ascii="宋体"/>
              </w:rPr>
            </w:pPr>
          </w:p>
        </w:tc>
        <w:tc>
          <w:tcPr>
            <w:tcW w:w="0" w:type="auto"/>
            <w:shd w:val="clear" w:color="auto" w:fill="auto"/>
          </w:tcPr>
          <w:p w14:paraId="36CA47D5" w14:textId="77777777" w:rsidR="00787570" w:rsidRDefault="00787570">
            <w:pPr>
              <w:rPr>
                <w:rFonts w:ascii="宋体"/>
              </w:rPr>
            </w:pPr>
          </w:p>
        </w:tc>
        <w:tc>
          <w:tcPr>
            <w:tcW w:w="0" w:type="auto"/>
            <w:shd w:val="clear" w:color="auto" w:fill="auto"/>
          </w:tcPr>
          <w:p w14:paraId="36CA47D6" w14:textId="77777777" w:rsidR="00787570" w:rsidRDefault="00787570">
            <w:pPr>
              <w:rPr>
                <w:rFonts w:ascii="宋体"/>
              </w:rPr>
            </w:pPr>
          </w:p>
        </w:tc>
        <w:tc>
          <w:tcPr>
            <w:tcW w:w="0" w:type="auto"/>
            <w:shd w:val="clear" w:color="auto" w:fill="auto"/>
          </w:tcPr>
          <w:p w14:paraId="36CA47D7" w14:textId="77777777" w:rsidR="00787570" w:rsidRDefault="00787570">
            <w:pPr>
              <w:rPr>
                <w:rFonts w:ascii="宋体"/>
              </w:rPr>
            </w:pPr>
          </w:p>
        </w:tc>
        <w:tc>
          <w:tcPr>
            <w:tcW w:w="0" w:type="auto"/>
            <w:shd w:val="clear" w:color="auto" w:fill="auto"/>
          </w:tcPr>
          <w:p w14:paraId="36CA47D8" w14:textId="77777777" w:rsidR="00787570" w:rsidRDefault="00787570">
            <w:pPr>
              <w:rPr>
                <w:rFonts w:ascii="宋体"/>
              </w:rPr>
            </w:pPr>
          </w:p>
        </w:tc>
        <w:tc>
          <w:tcPr>
            <w:tcW w:w="0" w:type="auto"/>
            <w:shd w:val="clear" w:color="auto" w:fill="auto"/>
          </w:tcPr>
          <w:p w14:paraId="36CA47D9" w14:textId="77777777" w:rsidR="00787570" w:rsidRDefault="00787570">
            <w:pPr>
              <w:rPr>
                <w:rFonts w:ascii="宋体"/>
              </w:rPr>
            </w:pPr>
          </w:p>
        </w:tc>
      </w:tr>
      <w:tr w:rsidR="00787570" w14:paraId="36CA47F7" w14:textId="77777777">
        <w:trPr>
          <w:hidden/>
        </w:trPr>
        <w:tc>
          <w:tcPr>
            <w:tcW w:w="0" w:type="auto"/>
            <w:gridSpan w:val="3"/>
            <w:shd w:val="clear" w:color="auto" w:fill="auto"/>
          </w:tcPr>
          <w:p w14:paraId="36CA47DB" w14:textId="77777777" w:rsidR="00787570" w:rsidRDefault="00787570">
            <w:pPr>
              <w:rPr>
                <w:rFonts w:ascii="宋体"/>
                <w:vanish/>
              </w:rPr>
            </w:pPr>
          </w:p>
        </w:tc>
        <w:tc>
          <w:tcPr>
            <w:tcW w:w="0" w:type="auto"/>
            <w:gridSpan w:val="3"/>
            <w:shd w:val="clear" w:color="auto" w:fill="auto"/>
          </w:tcPr>
          <w:p w14:paraId="36CA47DC" w14:textId="77777777" w:rsidR="00787570" w:rsidRDefault="00787570">
            <w:pPr>
              <w:rPr>
                <w:rFonts w:ascii="宋体"/>
                <w:vanish/>
              </w:rPr>
            </w:pPr>
          </w:p>
        </w:tc>
        <w:tc>
          <w:tcPr>
            <w:tcW w:w="0" w:type="auto"/>
            <w:gridSpan w:val="3"/>
            <w:shd w:val="clear" w:color="auto" w:fill="auto"/>
          </w:tcPr>
          <w:p w14:paraId="36CA47DD" w14:textId="77777777" w:rsidR="00787570" w:rsidRDefault="00787570">
            <w:pPr>
              <w:rPr>
                <w:rFonts w:ascii="宋体"/>
                <w:vanish/>
              </w:rPr>
            </w:pPr>
          </w:p>
        </w:tc>
        <w:tc>
          <w:tcPr>
            <w:tcW w:w="0" w:type="auto"/>
            <w:gridSpan w:val="3"/>
            <w:shd w:val="clear" w:color="auto" w:fill="auto"/>
          </w:tcPr>
          <w:p w14:paraId="36CA47DE" w14:textId="77777777" w:rsidR="00787570" w:rsidRDefault="00787570">
            <w:pPr>
              <w:rPr>
                <w:rFonts w:ascii="宋体"/>
                <w:vanish/>
              </w:rPr>
            </w:pPr>
          </w:p>
        </w:tc>
        <w:tc>
          <w:tcPr>
            <w:tcW w:w="0" w:type="auto"/>
            <w:gridSpan w:val="3"/>
            <w:shd w:val="clear" w:color="auto" w:fill="auto"/>
          </w:tcPr>
          <w:p w14:paraId="36CA47DF" w14:textId="77777777" w:rsidR="00787570" w:rsidRDefault="00787570">
            <w:pPr>
              <w:rPr>
                <w:rFonts w:ascii="宋体"/>
                <w:vanish/>
              </w:rPr>
            </w:pPr>
          </w:p>
        </w:tc>
        <w:tc>
          <w:tcPr>
            <w:tcW w:w="0" w:type="auto"/>
            <w:gridSpan w:val="3"/>
            <w:shd w:val="clear" w:color="auto" w:fill="auto"/>
          </w:tcPr>
          <w:p w14:paraId="36CA47E0" w14:textId="77777777" w:rsidR="00787570" w:rsidRDefault="00787570">
            <w:pPr>
              <w:rPr>
                <w:rFonts w:ascii="宋体"/>
                <w:vanish/>
              </w:rPr>
            </w:pPr>
          </w:p>
        </w:tc>
        <w:tc>
          <w:tcPr>
            <w:tcW w:w="0" w:type="auto"/>
            <w:gridSpan w:val="3"/>
            <w:shd w:val="clear" w:color="auto" w:fill="auto"/>
          </w:tcPr>
          <w:p w14:paraId="36CA47E1" w14:textId="77777777" w:rsidR="00787570" w:rsidRDefault="00787570">
            <w:pPr>
              <w:rPr>
                <w:rFonts w:ascii="宋体"/>
                <w:vanish/>
              </w:rPr>
            </w:pPr>
          </w:p>
        </w:tc>
        <w:tc>
          <w:tcPr>
            <w:tcW w:w="0" w:type="auto"/>
            <w:gridSpan w:val="3"/>
            <w:shd w:val="clear" w:color="auto" w:fill="auto"/>
          </w:tcPr>
          <w:p w14:paraId="36CA47E2" w14:textId="77777777" w:rsidR="00787570" w:rsidRDefault="00787570">
            <w:pPr>
              <w:rPr>
                <w:rFonts w:ascii="宋体"/>
                <w:vanish/>
              </w:rPr>
            </w:pPr>
          </w:p>
        </w:tc>
        <w:tc>
          <w:tcPr>
            <w:tcW w:w="0" w:type="auto"/>
            <w:gridSpan w:val="3"/>
            <w:shd w:val="clear" w:color="auto" w:fill="auto"/>
          </w:tcPr>
          <w:p w14:paraId="36CA47E3" w14:textId="77777777" w:rsidR="00787570" w:rsidRDefault="00787570">
            <w:pPr>
              <w:rPr>
                <w:rFonts w:ascii="宋体"/>
                <w:vanish/>
              </w:rPr>
            </w:pPr>
          </w:p>
        </w:tc>
        <w:tc>
          <w:tcPr>
            <w:tcW w:w="0" w:type="auto"/>
            <w:gridSpan w:val="3"/>
            <w:shd w:val="clear" w:color="auto" w:fill="auto"/>
          </w:tcPr>
          <w:p w14:paraId="36CA47E4" w14:textId="77777777" w:rsidR="00787570" w:rsidRDefault="00787570">
            <w:pPr>
              <w:rPr>
                <w:rFonts w:ascii="宋体"/>
                <w:vanish/>
              </w:rPr>
            </w:pPr>
          </w:p>
        </w:tc>
        <w:tc>
          <w:tcPr>
            <w:tcW w:w="0" w:type="auto"/>
            <w:shd w:val="clear" w:color="auto" w:fill="auto"/>
          </w:tcPr>
          <w:p w14:paraId="36CA47E5" w14:textId="77777777" w:rsidR="00787570" w:rsidRDefault="00787570">
            <w:pPr>
              <w:rPr>
                <w:rFonts w:ascii="宋体"/>
              </w:rPr>
            </w:pPr>
          </w:p>
        </w:tc>
        <w:tc>
          <w:tcPr>
            <w:tcW w:w="0" w:type="auto"/>
            <w:shd w:val="clear" w:color="auto" w:fill="auto"/>
          </w:tcPr>
          <w:p w14:paraId="36CA47E6" w14:textId="77777777" w:rsidR="00787570" w:rsidRDefault="00787570">
            <w:pPr>
              <w:rPr>
                <w:rFonts w:ascii="宋体"/>
              </w:rPr>
            </w:pPr>
          </w:p>
        </w:tc>
        <w:tc>
          <w:tcPr>
            <w:tcW w:w="0" w:type="auto"/>
            <w:shd w:val="clear" w:color="auto" w:fill="auto"/>
          </w:tcPr>
          <w:p w14:paraId="36CA47E7" w14:textId="77777777" w:rsidR="00787570" w:rsidRDefault="00787570">
            <w:pPr>
              <w:rPr>
                <w:rFonts w:ascii="宋体"/>
              </w:rPr>
            </w:pPr>
          </w:p>
        </w:tc>
        <w:tc>
          <w:tcPr>
            <w:tcW w:w="0" w:type="auto"/>
            <w:shd w:val="clear" w:color="auto" w:fill="auto"/>
          </w:tcPr>
          <w:p w14:paraId="36CA47E8" w14:textId="77777777" w:rsidR="00787570" w:rsidRDefault="00787570">
            <w:pPr>
              <w:rPr>
                <w:rFonts w:ascii="宋体"/>
              </w:rPr>
            </w:pPr>
          </w:p>
        </w:tc>
        <w:tc>
          <w:tcPr>
            <w:tcW w:w="0" w:type="auto"/>
            <w:shd w:val="clear" w:color="auto" w:fill="auto"/>
          </w:tcPr>
          <w:p w14:paraId="36CA47E9" w14:textId="77777777" w:rsidR="00787570" w:rsidRDefault="00787570">
            <w:pPr>
              <w:rPr>
                <w:rFonts w:ascii="宋体"/>
              </w:rPr>
            </w:pPr>
          </w:p>
        </w:tc>
        <w:tc>
          <w:tcPr>
            <w:tcW w:w="0" w:type="auto"/>
            <w:shd w:val="clear" w:color="auto" w:fill="auto"/>
          </w:tcPr>
          <w:p w14:paraId="36CA47EA" w14:textId="77777777" w:rsidR="00787570" w:rsidRDefault="00787570">
            <w:pPr>
              <w:rPr>
                <w:rFonts w:ascii="宋体"/>
              </w:rPr>
            </w:pPr>
          </w:p>
        </w:tc>
        <w:tc>
          <w:tcPr>
            <w:tcW w:w="0" w:type="auto"/>
            <w:shd w:val="clear" w:color="auto" w:fill="auto"/>
          </w:tcPr>
          <w:p w14:paraId="36CA47EB" w14:textId="77777777" w:rsidR="00787570" w:rsidRDefault="00787570">
            <w:pPr>
              <w:rPr>
                <w:rFonts w:ascii="宋体"/>
              </w:rPr>
            </w:pPr>
          </w:p>
        </w:tc>
        <w:tc>
          <w:tcPr>
            <w:tcW w:w="0" w:type="auto"/>
            <w:shd w:val="clear" w:color="auto" w:fill="auto"/>
          </w:tcPr>
          <w:p w14:paraId="36CA47EC" w14:textId="77777777" w:rsidR="00787570" w:rsidRDefault="00787570">
            <w:pPr>
              <w:rPr>
                <w:rFonts w:ascii="宋体"/>
              </w:rPr>
            </w:pPr>
          </w:p>
        </w:tc>
        <w:tc>
          <w:tcPr>
            <w:tcW w:w="0" w:type="auto"/>
            <w:shd w:val="clear" w:color="auto" w:fill="auto"/>
          </w:tcPr>
          <w:p w14:paraId="36CA47ED" w14:textId="77777777" w:rsidR="00787570" w:rsidRDefault="00787570">
            <w:pPr>
              <w:rPr>
                <w:rFonts w:ascii="宋体"/>
              </w:rPr>
            </w:pPr>
          </w:p>
        </w:tc>
        <w:tc>
          <w:tcPr>
            <w:tcW w:w="0" w:type="auto"/>
            <w:shd w:val="clear" w:color="auto" w:fill="auto"/>
          </w:tcPr>
          <w:p w14:paraId="36CA47EE" w14:textId="77777777" w:rsidR="00787570" w:rsidRDefault="00787570">
            <w:pPr>
              <w:rPr>
                <w:rFonts w:ascii="宋体"/>
              </w:rPr>
            </w:pPr>
          </w:p>
        </w:tc>
        <w:tc>
          <w:tcPr>
            <w:tcW w:w="0" w:type="auto"/>
            <w:shd w:val="clear" w:color="auto" w:fill="auto"/>
          </w:tcPr>
          <w:p w14:paraId="36CA47EF" w14:textId="77777777" w:rsidR="00787570" w:rsidRDefault="00787570">
            <w:pPr>
              <w:rPr>
                <w:rFonts w:ascii="宋体"/>
              </w:rPr>
            </w:pPr>
          </w:p>
        </w:tc>
        <w:tc>
          <w:tcPr>
            <w:tcW w:w="0" w:type="auto"/>
            <w:shd w:val="clear" w:color="auto" w:fill="auto"/>
          </w:tcPr>
          <w:p w14:paraId="36CA47F0" w14:textId="77777777" w:rsidR="00787570" w:rsidRDefault="00787570">
            <w:pPr>
              <w:rPr>
                <w:rFonts w:ascii="宋体"/>
              </w:rPr>
            </w:pPr>
          </w:p>
        </w:tc>
        <w:tc>
          <w:tcPr>
            <w:tcW w:w="0" w:type="auto"/>
            <w:shd w:val="clear" w:color="auto" w:fill="auto"/>
          </w:tcPr>
          <w:p w14:paraId="36CA47F1" w14:textId="77777777" w:rsidR="00787570" w:rsidRDefault="00787570">
            <w:pPr>
              <w:rPr>
                <w:rFonts w:ascii="宋体"/>
              </w:rPr>
            </w:pPr>
          </w:p>
        </w:tc>
        <w:tc>
          <w:tcPr>
            <w:tcW w:w="0" w:type="auto"/>
            <w:shd w:val="clear" w:color="auto" w:fill="auto"/>
          </w:tcPr>
          <w:p w14:paraId="36CA47F2" w14:textId="77777777" w:rsidR="00787570" w:rsidRDefault="00787570">
            <w:pPr>
              <w:rPr>
                <w:rFonts w:ascii="宋体"/>
              </w:rPr>
            </w:pPr>
          </w:p>
        </w:tc>
        <w:tc>
          <w:tcPr>
            <w:tcW w:w="0" w:type="auto"/>
            <w:shd w:val="clear" w:color="auto" w:fill="auto"/>
          </w:tcPr>
          <w:p w14:paraId="36CA47F3" w14:textId="77777777" w:rsidR="00787570" w:rsidRDefault="00787570">
            <w:pPr>
              <w:rPr>
                <w:rFonts w:ascii="宋体"/>
              </w:rPr>
            </w:pPr>
          </w:p>
        </w:tc>
        <w:tc>
          <w:tcPr>
            <w:tcW w:w="0" w:type="auto"/>
            <w:shd w:val="clear" w:color="auto" w:fill="auto"/>
          </w:tcPr>
          <w:p w14:paraId="36CA47F4" w14:textId="77777777" w:rsidR="00787570" w:rsidRDefault="00787570">
            <w:pPr>
              <w:rPr>
                <w:rFonts w:ascii="宋体"/>
              </w:rPr>
            </w:pPr>
          </w:p>
        </w:tc>
        <w:tc>
          <w:tcPr>
            <w:tcW w:w="0" w:type="auto"/>
            <w:shd w:val="clear" w:color="auto" w:fill="auto"/>
          </w:tcPr>
          <w:p w14:paraId="36CA47F5" w14:textId="77777777" w:rsidR="00787570" w:rsidRDefault="00787570">
            <w:pPr>
              <w:rPr>
                <w:rFonts w:ascii="宋体"/>
              </w:rPr>
            </w:pPr>
          </w:p>
        </w:tc>
        <w:tc>
          <w:tcPr>
            <w:tcW w:w="0" w:type="auto"/>
            <w:shd w:val="clear" w:color="auto" w:fill="auto"/>
          </w:tcPr>
          <w:p w14:paraId="36CA47F6" w14:textId="77777777" w:rsidR="00787570" w:rsidRDefault="00787570">
            <w:pPr>
              <w:rPr>
                <w:rFonts w:ascii="宋体"/>
              </w:rPr>
            </w:pPr>
          </w:p>
        </w:tc>
      </w:tr>
      <w:tr w:rsidR="00787570" w14:paraId="36CA4814" w14:textId="77777777">
        <w:trPr>
          <w:hidden/>
        </w:trPr>
        <w:tc>
          <w:tcPr>
            <w:tcW w:w="0" w:type="auto"/>
            <w:gridSpan w:val="3"/>
            <w:shd w:val="clear" w:color="auto" w:fill="auto"/>
          </w:tcPr>
          <w:p w14:paraId="36CA47F8" w14:textId="77777777" w:rsidR="00787570" w:rsidRDefault="00787570">
            <w:pPr>
              <w:rPr>
                <w:rFonts w:ascii="宋体"/>
                <w:vanish/>
              </w:rPr>
            </w:pPr>
          </w:p>
        </w:tc>
        <w:tc>
          <w:tcPr>
            <w:tcW w:w="0" w:type="auto"/>
            <w:gridSpan w:val="3"/>
            <w:shd w:val="clear" w:color="auto" w:fill="auto"/>
          </w:tcPr>
          <w:p w14:paraId="36CA47F9" w14:textId="77777777" w:rsidR="00787570" w:rsidRDefault="00787570">
            <w:pPr>
              <w:rPr>
                <w:rFonts w:ascii="宋体"/>
                <w:vanish/>
              </w:rPr>
            </w:pPr>
          </w:p>
        </w:tc>
        <w:tc>
          <w:tcPr>
            <w:tcW w:w="0" w:type="auto"/>
            <w:gridSpan w:val="3"/>
            <w:shd w:val="clear" w:color="auto" w:fill="auto"/>
          </w:tcPr>
          <w:p w14:paraId="36CA47FA" w14:textId="77777777" w:rsidR="00787570" w:rsidRDefault="00787570">
            <w:pPr>
              <w:rPr>
                <w:rFonts w:ascii="宋体"/>
                <w:vanish/>
              </w:rPr>
            </w:pPr>
          </w:p>
        </w:tc>
        <w:tc>
          <w:tcPr>
            <w:tcW w:w="0" w:type="auto"/>
            <w:gridSpan w:val="3"/>
            <w:shd w:val="clear" w:color="auto" w:fill="auto"/>
          </w:tcPr>
          <w:p w14:paraId="36CA47FB" w14:textId="77777777" w:rsidR="00787570" w:rsidRDefault="00787570">
            <w:pPr>
              <w:rPr>
                <w:rFonts w:ascii="宋体"/>
                <w:vanish/>
              </w:rPr>
            </w:pPr>
          </w:p>
        </w:tc>
        <w:tc>
          <w:tcPr>
            <w:tcW w:w="0" w:type="auto"/>
            <w:gridSpan w:val="3"/>
            <w:shd w:val="clear" w:color="auto" w:fill="auto"/>
          </w:tcPr>
          <w:p w14:paraId="36CA47FC" w14:textId="77777777" w:rsidR="00787570" w:rsidRDefault="00787570">
            <w:pPr>
              <w:rPr>
                <w:rFonts w:ascii="宋体"/>
                <w:vanish/>
              </w:rPr>
            </w:pPr>
          </w:p>
        </w:tc>
        <w:tc>
          <w:tcPr>
            <w:tcW w:w="0" w:type="auto"/>
            <w:gridSpan w:val="3"/>
            <w:shd w:val="clear" w:color="auto" w:fill="auto"/>
          </w:tcPr>
          <w:p w14:paraId="36CA47FD" w14:textId="77777777" w:rsidR="00787570" w:rsidRDefault="00787570">
            <w:pPr>
              <w:rPr>
                <w:rFonts w:ascii="宋体"/>
                <w:vanish/>
              </w:rPr>
            </w:pPr>
          </w:p>
        </w:tc>
        <w:tc>
          <w:tcPr>
            <w:tcW w:w="0" w:type="auto"/>
            <w:gridSpan w:val="3"/>
            <w:shd w:val="clear" w:color="auto" w:fill="auto"/>
          </w:tcPr>
          <w:p w14:paraId="36CA47FE" w14:textId="77777777" w:rsidR="00787570" w:rsidRDefault="00787570">
            <w:pPr>
              <w:rPr>
                <w:rFonts w:ascii="宋体"/>
                <w:vanish/>
              </w:rPr>
            </w:pPr>
          </w:p>
        </w:tc>
        <w:tc>
          <w:tcPr>
            <w:tcW w:w="0" w:type="auto"/>
            <w:gridSpan w:val="3"/>
            <w:shd w:val="clear" w:color="auto" w:fill="auto"/>
          </w:tcPr>
          <w:p w14:paraId="36CA47FF" w14:textId="77777777" w:rsidR="00787570" w:rsidRDefault="00787570">
            <w:pPr>
              <w:rPr>
                <w:rFonts w:ascii="宋体"/>
                <w:vanish/>
              </w:rPr>
            </w:pPr>
          </w:p>
        </w:tc>
        <w:tc>
          <w:tcPr>
            <w:tcW w:w="0" w:type="auto"/>
            <w:gridSpan w:val="3"/>
            <w:shd w:val="clear" w:color="auto" w:fill="auto"/>
          </w:tcPr>
          <w:p w14:paraId="36CA4800" w14:textId="77777777" w:rsidR="00787570" w:rsidRDefault="00787570">
            <w:pPr>
              <w:rPr>
                <w:rFonts w:ascii="宋体"/>
                <w:vanish/>
              </w:rPr>
            </w:pPr>
          </w:p>
        </w:tc>
        <w:tc>
          <w:tcPr>
            <w:tcW w:w="0" w:type="auto"/>
            <w:gridSpan w:val="3"/>
            <w:shd w:val="clear" w:color="auto" w:fill="auto"/>
          </w:tcPr>
          <w:p w14:paraId="36CA4801" w14:textId="77777777" w:rsidR="00787570" w:rsidRDefault="00787570">
            <w:pPr>
              <w:rPr>
                <w:rFonts w:ascii="宋体"/>
                <w:vanish/>
              </w:rPr>
            </w:pPr>
          </w:p>
        </w:tc>
        <w:tc>
          <w:tcPr>
            <w:tcW w:w="0" w:type="auto"/>
            <w:shd w:val="clear" w:color="auto" w:fill="auto"/>
          </w:tcPr>
          <w:p w14:paraId="36CA4802" w14:textId="77777777" w:rsidR="00787570" w:rsidRDefault="00787570">
            <w:pPr>
              <w:rPr>
                <w:rFonts w:ascii="宋体"/>
              </w:rPr>
            </w:pPr>
          </w:p>
        </w:tc>
        <w:tc>
          <w:tcPr>
            <w:tcW w:w="0" w:type="auto"/>
            <w:shd w:val="clear" w:color="auto" w:fill="auto"/>
          </w:tcPr>
          <w:p w14:paraId="36CA4803" w14:textId="77777777" w:rsidR="00787570" w:rsidRDefault="00787570">
            <w:pPr>
              <w:rPr>
                <w:rFonts w:ascii="宋体"/>
              </w:rPr>
            </w:pPr>
          </w:p>
        </w:tc>
        <w:tc>
          <w:tcPr>
            <w:tcW w:w="0" w:type="auto"/>
            <w:shd w:val="clear" w:color="auto" w:fill="auto"/>
          </w:tcPr>
          <w:p w14:paraId="36CA4804" w14:textId="77777777" w:rsidR="00787570" w:rsidRDefault="00787570">
            <w:pPr>
              <w:rPr>
                <w:rFonts w:ascii="宋体"/>
              </w:rPr>
            </w:pPr>
          </w:p>
        </w:tc>
        <w:tc>
          <w:tcPr>
            <w:tcW w:w="0" w:type="auto"/>
            <w:shd w:val="clear" w:color="auto" w:fill="auto"/>
          </w:tcPr>
          <w:p w14:paraId="36CA4805" w14:textId="77777777" w:rsidR="00787570" w:rsidRDefault="00787570">
            <w:pPr>
              <w:rPr>
                <w:rFonts w:ascii="宋体"/>
              </w:rPr>
            </w:pPr>
          </w:p>
        </w:tc>
        <w:tc>
          <w:tcPr>
            <w:tcW w:w="0" w:type="auto"/>
            <w:shd w:val="clear" w:color="auto" w:fill="auto"/>
          </w:tcPr>
          <w:p w14:paraId="36CA4806" w14:textId="77777777" w:rsidR="00787570" w:rsidRDefault="00787570">
            <w:pPr>
              <w:rPr>
                <w:rFonts w:ascii="宋体"/>
              </w:rPr>
            </w:pPr>
          </w:p>
        </w:tc>
        <w:tc>
          <w:tcPr>
            <w:tcW w:w="0" w:type="auto"/>
            <w:shd w:val="clear" w:color="auto" w:fill="auto"/>
          </w:tcPr>
          <w:p w14:paraId="36CA4807" w14:textId="77777777" w:rsidR="00787570" w:rsidRDefault="00787570">
            <w:pPr>
              <w:rPr>
                <w:rFonts w:ascii="宋体"/>
              </w:rPr>
            </w:pPr>
          </w:p>
        </w:tc>
        <w:tc>
          <w:tcPr>
            <w:tcW w:w="0" w:type="auto"/>
            <w:shd w:val="clear" w:color="auto" w:fill="auto"/>
          </w:tcPr>
          <w:p w14:paraId="36CA4808" w14:textId="77777777" w:rsidR="00787570" w:rsidRDefault="00787570">
            <w:pPr>
              <w:rPr>
                <w:rFonts w:ascii="宋体"/>
              </w:rPr>
            </w:pPr>
          </w:p>
        </w:tc>
        <w:tc>
          <w:tcPr>
            <w:tcW w:w="0" w:type="auto"/>
            <w:shd w:val="clear" w:color="auto" w:fill="auto"/>
          </w:tcPr>
          <w:p w14:paraId="36CA4809" w14:textId="77777777" w:rsidR="00787570" w:rsidRDefault="00787570">
            <w:pPr>
              <w:rPr>
                <w:rFonts w:ascii="宋体"/>
              </w:rPr>
            </w:pPr>
          </w:p>
        </w:tc>
        <w:tc>
          <w:tcPr>
            <w:tcW w:w="0" w:type="auto"/>
            <w:shd w:val="clear" w:color="auto" w:fill="auto"/>
          </w:tcPr>
          <w:p w14:paraId="36CA480A" w14:textId="77777777" w:rsidR="00787570" w:rsidRDefault="00787570">
            <w:pPr>
              <w:rPr>
                <w:rFonts w:ascii="宋体"/>
              </w:rPr>
            </w:pPr>
          </w:p>
        </w:tc>
        <w:tc>
          <w:tcPr>
            <w:tcW w:w="0" w:type="auto"/>
            <w:shd w:val="clear" w:color="auto" w:fill="auto"/>
          </w:tcPr>
          <w:p w14:paraId="36CA480B" w14:textId="77777777" w:rsidR="00787570" w:rsidRDefault="00787570">
            <w:pPr>
              <w:rPr>
                <w:rFonts w:ascii="宋体"/>
              </w:rPr>
            </w:pPr>
          </w:p>
        </w:tc>
        <w:tc>
          <w:tcPr>
            <w:tcW w:w="0" w:type="auto"/>
            <w:shd w:val="clear" w:color="auto" w:fill="auto"/>
          </w:tcPr>
          <w:p w14:paraId="36CA480C" w14:textId="77777777" w:rsidR="00787570" w:rsidRDefault="00787570">
            <w:pPr>
              <w:rPr>
                <w:rFonts w:ascii="宋体"/>
              </w:rPr>
            </w:pPr>
          </w:p>
        </w:tc>
        <w:tc>
          <w:tcPr>
            <w:tcW w:w="0" w:type="auto"/>
            <w:shd w:val="clear" w:color="auto" w:fill="auto"/>
          </w:tcPr>
          <w:p w14:paraId="36CA480D" w14:textId="77777777" w:rsidR="00787570" w:rsidRDefault="00787570">
            <w:pPr>
              <w:rPr>
                <w:rFonts w:ascii="宋体"/>
              </w:rPr>
            </w:pPr>
          </w:p>
        </w:tc>
        <w:tc>
          <w:tcPr>
            <w:tcW w:w="0" w:type="auto"/>
            <w:shd w:val="clear" w:color="auto" w:fill="auto"/>
          </w:tcPr>
          <w:p w14:paraId="36CA480E" w14:textId="77777777" w:rsidR="00787570" w:rsidRDefault="00787570">
            <w:pPr>
              <w:rPr>
                <w:rFonts w:ascii="宋体"/>
              </w:rPr>
            </w:pPr>
          </w:p>
        </w:tc>
        <w:tc>
          <w:tcPr>
            <w:tcW w:w="0" w:type="auto"/>
            <w:shd w:val="clear" w:color="auto" w:fill="auto"/>
          </w:tcPr>
          <w:p w14:paraId="36CA480F" w14:textId="77777777" w:rsidR="00787570" w:rsidRDefault="00787570">
            <w:pPr>
              <w:rPr>
                <w:rFonts w:ascii="宋体"/>
              </w:rPr>
            </w:pPr>
          </w:p>
        </w:tc>
        <w:tc>
          <w:tcPr>
            <w:tcW w:w="0" w:type="auto"/>
            <w:shd w:val="clear" w:color="auto" w:fill="auto"/>
          </w:tcPr>
          <w:p w14:paraId="36CA4810" w14:textId="77777777" w:rsidR="00787570" w:rsidRDefault="00787570">
            <w:pPr>
              <w:rPr>
                <w:rFonts w:ascii="宋体"/>
              </w:rPr>
            </w:pPr>
          </w:p>
        </w:tc>
        <w:tc>
          <w:tcPr>
            <w:tcW w:w="0" w:type="auto"/>
            <w:shd w:val="clear" w:color="auto" w:fill="auto"/>
          </w:tcPr>
          <w:p w14:paraId="36CA4811" w14:textId="77777777" w:rsidR="00787570" w:rsidRDefault="00787570">
            <w:pPr>
              <w:rPr>
                <w:rFonts w:ascii="宋体"/>
              </w:rPr>
            </w:pPr>
          </w:p>
        </w:tc>
        <w:tc>
          <w:tcPr>
            <w:tcW w:w="0" w:type="auto"/>
            <w:shd w:val="clear" w:color="auto" w:fill="auto"/>
          </w:tcPr>
          <w:p w14:paraId="36CA4812" w14:textId="77777777" w:rsidR="00787570" w:rsidRDefault="00787570">
            <w:pPr>
              <w:rPr>
                <w:rFonts w:ascii="宋体"/>
              </w:rPr>
            </w:pPr>
          </w:p>
        </w:tc>
        <w:tc>
          <w:tcPr>
            <w:tcW w:w="0" w:type="auto"/>
            <w:shd w:val="clear" w:color="auto" w:fill="auto"/>
          </w:tcPr>
          <w:p w14:paraId="36CA4813" w14:textId="77777777" w:rsidR="00787570" w:rsidRDefault="00787570">
            <w:pPr>
              <w:rPr>
                <w:rFonts w:ascii="宋体"/>
              </w:rPr>
            </w:pPr>
          </w:p>
        </w:tc>
      </w:tr>
      <w:tr w:rsidR="00787570" w14:paraId="36CA4831" w14:textId="77777777">
        <w:trPr>
          <w:hidden/>
        </w:trPr>
        <w:tc>
          <w:tcPr>
            <w:tcW w:w="0" w:type="auto"/>
            <w:gridSpan w:val="3"/>
            <w:shd w:val="clear" w:color="auto" w:fill="auto"/>
          </w:tcPr>
          <w:p w14:paraId="36CA4815" w14:textId="77777777" w:rsidR="00787570" w:rsidRDefault="00787570">
            <w:pPr>
              <w:rPr>
                <w:rFonts w:ascii="宋体"/>
                <w:vanish/>
              </w:rPr>
            </w:pPr>
          </w:p>
        </w:tc>
        <w:tc>
          <w:tcPr>
            <w:tcW w:w="0" w:type="auto"/>
            <w:gridSpan w:val="3"/>
            <w:shd w:val="clear" w:color="auto" w:fill="auto"/>
          </w:tcPr>
          <w:p w14:paraId="36CA4816" w14:textId="77777777" w:rsidR="00787570" w:rsidRDefault="00787570">
            <w:pPr>
              <w:rPr>
                <w:rFonts w:ascii="宋体"/>
                <w:vanish/>
              </w:rPr>
            </w:pPr>
          </w:p>
        </w:tc>
        <w:tc>
          <w:tcPr>
            <w:tcW w:w="0" w:type="auto"/>
            <w:gridSpan w:val="3"/>
            <w:shd w:val="clear" w:color="auto" w:fill="auto"/>
          </w:tcPr>
          <w:p w14:paraId="36CA4817" w14:textId="77777777" w:rsidR="00787570" w:rsidRDefault="00787570">
            <w:pPr>
              <w:rPr>
                <w:rFonts w:ascii="宋体"/>
                <w:vanish/>
              </w:rPr>
            </w:pPr>
          </w:p>
        </w:tc>
        <w:tc>
          <w:tcPr>
            <w:tcW w:w="0" w:type="auto"/>
            <w:gridSpan w:val="3"/>
            <w:shd w:val="clear" w:color="auto" w:fill="auto"/>
          </w:tcPr>
          <w:p w14:paraId="36CA4818" w14:textId="77777777" w:rsidR="00787570" w:rsidRDefault="00787570">
            <w:pPr>
              <w:rPr>
                <w:rFonts w:ascii="宋体"/>
                <w:vanish/>
              </w:rPr>
            </w:pPr>
          </w:p>
        </w:tc>
        <w:tc>
          <w:tcPr>
            <w:tcW w:w="0" w:type="auto"/>
            <w:gridSpan w:val="3"/>
            <w:shd w:val="clear" w:color="auto" w:fill="auto"/>
          </w:tcPr>
          <w:p w14:paraId="36CA4819" w14:textId="77777777" w:rsidR="00787570" w:rsidRDefault="00787570">
            <w:pPr>
              <w:rPr>
                <w:rFonts w:ascii="宋体"/>
                <w:vanish/>
              </w:rPr>
            </w:pPr>
          </w:p>
        </w:tc>
        <w:tc>
          <w:tcPr>
            <w:tcW w:w="0" w:type="auto"/>
            <w:gridSpan w:val="3"/>
            <w:shd w:val="clear" w:color="auto" w:fill="auto"/>
          </w:tcPr>
          <w:p w14:paraId="36CA481A" w14:textId="77777777" w:rsidR="00787570" w:rsidRDefault="00787570">
            <w:pPr>
              <w:rPr>
                <w:rFonts w:ascii="宋体"/>
                <w:vanish/>
              </w:rPr>
            </w:pPr>
          </w:p>
        </w:tc>
        <w:tc>
          <w:tcPr>
            <w:tcW w:w="0" w:type="auto"/>
            <w:gridSpan w:val="3"/>
            <w:shd w:val="clear" w:color="auto" w:fill="auto"/>
          </w:tcPr>
          <w:p w14:paraId="36CA481B" w14:textId="77777777" w:rsidR="00787570" w:rsidRDefault="00787570">
            <w:pPr>
              <w:rPr>
                <w:rFonts w:ascii="宋体"/>
                <w:vanish/>
              </w:rPr>
            </w:pPr>
          </w:p>
        </w:tc>
        <w:tc>
          <w:tcPr>
            <w:tcW w:w="0" w:type="auto"/>
            <w:gridSpan w:val="3"/>
            <w:shd w:val="clear" w:color="auto" w:fill="auto"/>
          </w:tcPr>
          <w:p w14:paraId="36CA481C" w14:textId="77777777" w:rsidR="00787570" w:rsidRDefault="00787570">
            <w:pPr>
              <w:rPr>
                <w:rFonts w:ascii="宋体"/>
                <w:vanish/>
              </w:rPr>
            </w:pPr>
          </w:p>
        </w:tc>
        <w:tc>
          <w:tcPr>
            <w:tcW w:w="0" w:type="auto"/>
            <w:gridSpan w:val="3"/>
            <w:shd w:val="clear" w:color="auto" w:fill="auto"/>
          </w:tcPr>
          <w:p w14:paraId="36CA481D" w14:textId="77777777" w:rsidR="00787570" w:rsidRDefault="00787570">
            <w:pPr>
              <w:rPr>
                <w:rFonts w:ascii="宋体"/>
                <w:vanish/>
              </w:rPr>
            </w:pPr>
          </w:p>
        </w:tc>
        <w:tc>
          <w:tcPr>
            <w:tcW w:w="0" w:type="auto"/>
            <w:gridSpan w:val="3"/>
            <w:shd w:val="clear" w:color="auto" w:fill="auto"/>
          </w:tcPr>
          <w:p w14:paraId="36CA481E" w14:textId="77777777" w:rsidR="00787570" w:rsidRDefault="00787570">
            <w:pPr>
              <w:rPr>
                <w:rFonts w:ascii="宋体"/>
                <w:vanish/>
              </w:rPr>
            </w:pPr>
          </w:p>
        </w:tc>
        <w:tc>
          <w:tcPr>
            <w:tcW w:w="0" w:type="auto"/>
            <w:shd w:val="clear" w:color="auto" w:fill="auto"/>
          </w:tcPr>
          <w:p w14:paraId="36CA481F" w14:textId="77777777" w:rsidR="00787570" w:rsidRDefault="00787570">
            <w:pPr>
              <w:rPr>
                <w:rFonts w:ascii="宋体"/>
              </w:rPr>
            </w:pPr>
          </w:p>
        </w:tc>
        <w:tc>
          <w:tcPr>
            <w:tcW w:w="0" w:type="auto"/>
            <w:shd w:val="clear" w:color="auto" w:fill="auto"/>
          </w:tcPr>
          <w:p w14:paraId="36CA4820" w14:textId="77777777" w:rsidR="00787570" w:rsidRDefault="00787570">
            <w:pPr>
              <w:rPr>
                <w:rFonts w:ascii="宋体"/>
              </w:rPr>
            </w:pPr>
          </w:p>
        </w:tc>
        <w:tc>
          <w:tcPr>
            <w:tcW w:w="0" w:type="auto"/>
            <w:shd w:val="clear" w:color="auto" w:fill="auto"/>
          </w:tcPr>
          <w:p w14:paraId="36CA4821" w14:textId="77777777" w:rsidR="00787570" w:rsidRDefault="00787570">
            <w:pPr>
              <w:rPr>
                <w:rFonts w:ascii="宋体"/>
              </w:rPr>
            </w:pPr>
          </w:p>
        </w:tc>
        <w:tc>
          <w:tcPr>
            <w:tcW w:w="0" w:type="auto"/>
            <w:shd w:val="clear" w:color="auto" w:fill="auto"/>
          </w:tcPr>
          <w:p w14:paraId="36CA4822" w14:textId="77777777" w:rsidR="00787570" w:rsidRDefault="00787570">
            <w:pPr>
              <w:rPr>
                <w:rFonts w:ascii="宋体"/>
              </w:rPr>
            </w:pPr>
          </w:p>
        </w:tc>
        <w:tc>
          <w:tcPr>
            <w:tcW w:w="0" w:type="auto"/>
            <w:shd w:val="clear" w:color="auto" w:fill="auto"/>
          </w:tcPr>
          <w:p w14:paraId="36CA4823" w14:textId="77777777" w:rsidR="00787570" w:rsidRDefault="00787570">
            <w:pPr>
              <w:rPr>
                <w:rFonts w:ascii="宋体"/>
              </w:rPr>
            </w:pPr>
          </w:p>
        </w:tc>
        <w:tc>
          <w:tcPr>
            <w:tcW w:w="0" w:type="auto"/>
            <w:shd w:val="clear" w:color="auto" w:fill="auto"/>
          </w:tcPr>
          <w:p w14:paraId="36CA4824" w14:textId="77777777" w:rsidR="00787570" w:rsidRDefault="00787570">
            <w:pPr>
              <w:rPr>
                <w:rFonts w:ascii="宋体"/>
              </w:rPr>
            </w:pPr>
          </w:p>
        </w:tc>
        <w:tc>
          <w:tcPr>
            <w:tcW w:w="0" w:type="auto"/>
            <w:shd w:val="clear" w:color="auto" w:fill="auto"/>
          </w:tcPr>
          <w:p w14:paraId="36CA4825" w14:textId="77777777" w:rsidR="00787570" w:rsidRDefault="00787570">
            <w:pPr>
              <w:rPr>
                <w:rFonts w:ascii="宋体"/>
              </w:rPr>
            </w:pPr>
          </w:p>
        </w:tc>
        <w:tc>
          <w:tcPr>
            <w:tcW w:w="0" w:type="auto"/>
            <w:shd w:val="clear" w:color="auto" w:fill="auto"/>
          </w:tcPr>
          <w:p w14:paraId="36CA4826" w14:textId="77777777" w:rsidR="00787570" w:rsidRDefault="00787570">
            <w:pPr>
              <w:rPr>
                <w:rFonts w:ascii="宋体"/>
              </w:rPr>
            </w:pPr>
          </w:p>
        </w:tc>
        <w:tc>
          <w:tcPr>
            <w:tcW w:w="0" w:type="auto"/>
            <w:shd w:val="clear" w:color="auto" w:fill="auto"/>
          </w:tcPr>
          <w:p w14:paraId="36CA4827" w14:textId="77777777" w:rsidR="00787570" w:rsidRDefault="00787570">
            <w:pPr>
              <w:rPr>
                <w:rFonts w:ascii="宋体"/>
              </w:rPr>
            </w:pPr>
          </w:p>
        </w:tc>
        <w:tc>
          <w:tcPr>
            <w:tcW w:w="0" w:type="auto"/>
            <w:shd w:val="clear" w:color="auto" w:fill="auto"/>
          </w:tcPr>
          <w:p w14:paraId="36CA4828" w14:textId="77777777" w:rsidR="00787570" w:rsidRDefault="00787570">
            <w:pPr>
              <w:rPr>
                <w:rFonts w:ascii="宋体"/>
              </w:rPr>
            </w:pPr>
          </w:p>
        </w:tc>
        <w:tc>
          <w:tcPr>
            <w:tcW w:w="0" w:type="auto"/>
            <w:shd w:val="clear" w:color="auto" w:fill="auto"/>
          </w:tcPr>
          <w:p w14:paraId="36CA4829" w14:textId="77777777" w:rsidR="00787570" w:rsidRDefault="00787570">
            <w:pPr>
              <w:rPr>
                <w:rFonts w:ascii="宋体"/>
              </w:rPr>
            </w:pPr>
          </w:p>
        </w:tc>
        <w:tc>
          <w:tcPr>
            <w:tcW w:w="0" w:type="auto"/>
            <w:shd w:val="clear" w:color="auto" w:fill="auto"/>
          </w:tcPr>
          <w:p w14:paraId="36CA482A" w14:textId="77777777" w:rsidR="00787570" w:rsidRDefault="00787570">
            <w:pPr>
              <w:rPr>
                <w:rFonts w:ascii="宋体"/>
              </w:rPr>
            </w:pPr>
          </w:p>
        </w:tc>
        <w:tc>
          <w:tcPr>
            <w:tcW w:w="0" w:type="auto"/>
            <w:shd w:val="clear" w:color="auto" w:fill="auto"/>
          </w:tcPr>
          <w:p w14:paraId="36CA482B" w14:textId="77777777" w:rsidR="00787570" w:rsidRDefault="00787570">
            <w:pPr>
              <w:rPr>
                <w:rFonts w:ascii="宋体"/>
              </w:rPr>
            </w:pPr>
          </w:p>
        </w:tc>
        <w:tc>
          <w:tcPr>
            <w:tcW w:w="0" w:type="auto"/>
            <w:shd w:val="clear" w:color="auto" w:fill="auto"/>
          </w:tcPr>
          <w:p w14:paraId="36CA482C" w14:textId="77777777" w:rsidR="00787570" w:rsidRDefault="00787570">
            <w:pPr>
              <w:rPr>
                <w:rFonts w:ascii="宋体"/>
              </w:rPr>
            </w:pPr>
          </w:p>
        </w:tc>
        <w:tc>
          <w:tcPr>
            <w:tcW w:w="0" w:type="auto"/>
            <w:shd w:val="clear" w:color="auto" w:fill="auto"/>
          </w:tcPr>
          <w:p w14:paraId="36CA482D" w14:textId="77777777" w:rsidR="00787570" w:rsidRDefault="00787570">
            <w:pPr>
              <w:rPr>
                <w:rFonts w:ascii="宋体"/>
              </w:rPr>
            </w:pPr>
          </w:p>
        </w:tc>
        <w:tc>
          <w:tcPr>
            <w:tcW w:w="0" w:type="auto"/>
            <w:shd w:val="clear" w:color="auto" w:fill="auto"/>
          </w:tcPr>
          <w:p w14:paraId="36CA482E" w14:textId="77777777" w:rsidR="00787570" w:rsidRDefault="00787570">
            <w:pPr>
              <w:rPr>
                <w:rFonts w:ascii="宋体"/>
              </w:rPr>
            </w:pPr>
          </w:p>
        </w:tc>
        <w:tc>
          <w:tcPr>
            <w:tcW w:w="0" w:type="auto"/>
            <w:shd w:val="clear" w:color="auto" w:fill="auto"/>
          </w:tcPr>
          <w:p w14:paraId="36CA482F" w14:textId="77777777" w:rsidR="00787570" w:rsidRDefault="00787570">
            <w:pPr>
              <w:rPr>
                <w:rFonts w:ascii="宋体"/>
              </w:rPr>
            </w:pPr>
          </w:p>
        </w:tc>
        <w:tc>
          <w:tcPr>
            <w:tcW w:w="0" w:type="auto"/>
            <w:shd w:val="clear" w:color="auto" w:fill="auto"/>
          </w:tcPr>
          <w:p w14:paraId="36CA4830" w14:textId="77777777" w:rsidR="00787570" w:rsidRDefault="00787570">
            <w:pPr>
              <w:rPr>
                <w:rFonts w:ascii="宋体"/>
              </w:rPr>
            </w:pPr>
          </w:p>
        </w:tc>
      </w:tr>
      <w:tr w:rsidR="00787570" w14:paraId="36CA484E" w14:textId="77777777">
        <w:trPr>
          <w:hidden/>
        </w:trPr>
        <w:tc>
          <w:tcPr>
            <w:tcW w:w="0" w:type="auto"/>
            <w:gridSpan w:val="3"/>
            <w:shd w:val="clear" w:color="auto" w:fill="auto"/>
          </w:tcPr>
          <w:p w14:paraId="36CA4832" w14:textId="77777777" w:rsidR="00787570" w:rsidRDefault="00787570">
            <w:pPr>
              <w:rPr>
                <w:rFonts w:ascii="宋体"/>
                <w:vanish/>
              </w:rPr>
            </w:pPr>
          </w:p>
        </w:tc>
        <w:tc>
          <w:tcPr>
            <w:tcW w:w="0" w:type="auto"/>
            <w:gridSpan w:val="3"/>
            <w:shd w:val="clear" w:color="auto" w:fill="auto"/>
          </w:tcPr>
          <w:p w14:paraId="36CA4833" w14:textId="77777777" w:rsidR="00787570" w:rsidRDefault="00787570">
            <w:pPr>
              <w:rPr>
                <w:rFonts w:ascii="宋体"/>
                <w:vanish/>
              </w:rPr>
            </w:pPr>
          </w:p>
        </w:tc>
        <w:tc>
          <w:tcPr>
            <w:tcW w:w="0" w:type="auto"/>
            <w:gridSpan w:val="3"/>
            <w:shd w:val="clear" w:color="auto" w:fill="auto"/>
          </w:tcPr>
          <w:p w14:paraId="36CA4834" w14:textId="77777777" w:rsidR="00787570" w:rsidRDefault="00787570">
            <w:pPr>
              <w:rPr>
                <w:rFonts w:ascii="宋体"/>
                <w:vanish/>
              </w:rPr>
            </w:pPr>
          </w:p>
        </w:tc>
        <w:tc>
          <w:tcPr>
            <w:tcW w:w="0" w:type="auto"/>
            <w:gridSpan w:val="3"/>
            <w:shd w:val="clear" w:color="auto" w:fill="auto"/>
          </w:tcPr>
          <w:p w14:paraId="36CA4835" w14:textId="77777777" w:rsidR="00787570" w:rsidRDefault="00787570">
            <w:pPr>
              <w:rPr>
                <w:rFonts w:ascii="宋体"/>
                <w:vanish/>
              </w:rPr>
            </w:pPr>
          </w:p>
        </w:tc>
        <w:tc>
          <w:tcPr>
            <w:tcW w:w="0" w:type="auto"/>
            <w:gridSpan w:val="3"/>
            <w:shd w:val="clear" w:color="auto" w:fill="auto"/>
          </w:tcPr>
          <w:p w14:paraId="36CA4836" w14:textId="77777777" w:rsidR="00787570" w:rsidRDefault="00787570">
            <w:pPr>
              <w:rPr>
                <w:rFonts w:ascii="宋体"/>
                <w:vanish/>
              </w:rPr>
            </w:pPr>
          </w:p>
        </w:tc>
        <w:tc>
          <w:tcPr>
            <w:tcW w:w="0" w:type="auto"/>
            <w:gridSpan w:val="3"/>
            <w:shd w:val="clear" w:color="auto" w:fill="auto"/>
          </w:tcPr>
          <w:p w14:paraId="36CA4837" w14:textId="77777777" w:rsidR="00787570" w:rsidRDefault="00787570">
            <w:pPr>
              <w:rPr>
                <w:rFonts w:ascii="宋体"/>
                <w:vanish/>
              </w:rPr>
            </w:pPr>
          </w:p>
        </w:tc>
        <w:tc>
          <w:tcPr>
            <w:tcW w:w="0" w:type="auto"/>
            <w:gridSpan w:val="3"/>
            <w:shd w:val="clear" w:color="auto" w:fill="auto"/>
          </w:tcPr>
          <w:p w14:paraId="36CA4838" w14:textId="77777777" w:rsidR="00787570" w:rsidRDefault="00787570">
            <w:pPr>
              <w:rPr>
                <w:rFonts w:ascii="宋体"/>
                <w:vanish/>
              </w:rPr>
            </w:pPr>
          </w:p>
        </w:tc>
        <w:tc>
          <w:tcPr>
            <w:tcW w:w="0" w:type="auto"/>
            <w:gridSpan w:val="3"/>
            <w:shd w:val="clear" w:color="auto" w:fill="auto"/>
          </w:tcPr>
          <w:p w14:paraId="36CA4839" w14:textId="77777777" w:rsidR="00787570" w:rsidRDefault="00787570">
            <w:pPr>
              <w:rPr>
                <w:rFonts w:ascii="宋体"/>
                <w:vanish/>
              </w:rPr>
            </w:pPr>
          </w:p>
        </w:tc>
        <w:tc>
          <w:tcPr>
            <w:tcW w:w="0" w:type="auto"/>
            <w:gridSpan w:val="3"/>
            <w:shd w:val="clear" w:color="auto" w:fill="auto"/>
          </w:tcPr>
          <w:p w14:paraId="36CA483A" w14:textId="77777777" w:rsidR="00787570" w:rsidRDefault="00787570">
            <w:pPr>
              <w:rPr>
                <w:rFonts w:ascii="宋体"/>
                <w:vanish/>
              </w:rPr>
            </w:pPr>
          </w:p>
        </w:tc>
        <w:tc>
          <w:tcPr>
            <w:tcW w:w="0" w:type="auto"/>
            <w:gridSpan w:val="3"/>
            <w:shd w:val="clear" w:color="auto" w:fill="auto"/>
          </w:tcPr>
          <w:p w14:paraId="36CA483B" w14:textId="77777777" w:rsidR="00787570" w:rsidRDefault="00787570">
            <w:pPr>
              <w:rPr>
                <w:rFonts w:ascii="宋体"/>
                <w:vanish/>
              </w:rPr>
            </w:pPr>
          </w:p>
        </w:tc>
        <w:tc>
          <w:tcPr>
            <w:tcW w:w="0" w:type="auto"/>
            <w:shd w:val="clear" w:color="auto" w:fill="auto"/>
          </w:tcPr>
          <w:p w14:paraId="36CA483C" w14:textId="77777777" w:rsidR="00787570" w:rsidRDefault="00787570">
            <w:pPr>
              <w:rPr>
                <w:rFonts w:ascii="宋体"/>
              </w:rPr>
            </w:pPr>
          </w:p>
        </w:tc>
        <w:tc>
          <w:tcPr>
            <w:tcW w:w="0" w:type="auto"/>
            <w:shd w:val="clear" w:color="auto" w:fill="auto"/>
          </w:tcPr>
          <w:p w14:paraId="36CA483D" w14:textId="77777777" w:rsidR="00787570" w:rsidRDefault="00787570">
            <w:pPr>
              <w:rPr>
                <w:rFonts w:ascii="宋体"/>
              </w:rPr>
            </w:pPr>
          </w:p>
        </w:tc>
        <w:tc>
          <w:tcPr>
            <w:tcW w:w="0" w:type="auto"/>
            <w:shd w:val="clear" w:color="auto" w:fill="auto"/>
          </w:tcPr>
          <w:p w14:paraId="36CA483E" w14:textId="77777777" w:rsidR="00787570" w:rsidRDefault="00787570">
            <w:pPr>
              <w:rPr>
                <w:rFonts w:ascii="宋体"/>
              </w:rPr>
            </w:pPr>
          </w:p>
        </w:tc>
        <w:tc>
          <w:tcPr>
            <w:tcW w:w="0" w:type="auto"/>
            <w:shd w:val="clear" w:color="auto" w:fill="auto"/>
          </w:tcPr>
          <w:p w14:paraId="36CA483F" w14:textId="77777777" w:rsidR="00787570" w:rsidRDefault="00787570">
            <w:pPr>
              <w:rPr>
                <w:rFonts w:ascii="宋体"/>
              </w:rPr>
            </w:pPr>
          </w:p>
        </w:tc>
        <w:tc>
          <w:tcPr>
            <w:tcW w:w="0" w:type="auto"/>
            <w:shd w:val="clear" w:color="auto" w:fill="auto"/>
          </w:tcPr>
          <w:p w14:paraId="36CA4840" w14:textId="77777777" w:rsidR="00787570" w:rsidRDefault="00787570">
            <w:pPr>
              <w:rPr>
                <w:rFonts w:ascii="宋体"/>
              </w:rPr>
            </w:pPr>
          </w:p>
        </w:tc>
        <w:tc>
          <w:tcPr>
            <w:tcW w:w="0" w:type="auto"/>
            <w:shd w:val="clear" w:color="auto" w:fill="auto"/>
          </w:tcPr>
          <w:p w14:paraId="36CA4841" w14:textId="77777777" w:rsidR="00787570" w:rsidRDefault="00787570">
            <w:pPr>
              <w:rPr>
                <w:rFonts w:ascii="宋体"/>
              </w:rPr>
            </w:pPr>
          </w:p>
        </w:tc>
        <w:tc>
          <w:tcPr>
            <w:tcW w:w="0" w:type="auto"/>
            <w:shd w:val="clear" w:color="auto" w:fill="auto"/>
          </w:tcPr>
          <w:p w14:paraId="36CA4842" w14:textId="77777777" w:rsidR="00787570" w:rsidRDefault="00787570">
            <w:pPr>
              <w:rPr>
                <w:rFonts w:ascii="宋体"/>
              </w:rPr>
            </w:pPr>
          </w:p>
        </w:tc>
        <w:tc>
          <w:tcPr>
            <w:tcW w:w="0" w:type="auto"/>
            <w:shd w:val="clear" w:color="auto" w:fill="auto"/>
          </w:tcPr>
          <w:p w14:paraId="36CA4843" w14:textId="77777777" w:rsidR="00787570" w:rsidRDefault="00787570">
            <w:pPr>
              <w:rPr>
                <w:rFonts w:ascii="宋体"/>
              </w:rPr>
            </w:pPr>
          </w:p>
        </w:tc>
        <w:tc>
          <w:tcPr>
            <w:tcW w:w="0" w:type="auto"/>
            <w:shd w:val="clear" w:color="auto" w:fill="auto"/>
          </w:tcPr>
          <w:p w14:paraId="36CA4844" w14:textId="77777777" w:rsidR="00787570" w:rsidRDefault="00787570">
            <w:pPr>
              <w:rPr>
                <w:rFonts w:ascii="宋体"/>
              </w:rPr>
            </w:pPr>
          </w:p>
        </w:tc>
        <w:tc>
          <w:tcPr>
            <w:tcW w:w="0" w:type="auto"/>
            <w:shd w:val="clear" w:color="auto" w:fill="auto"/>
          </w:tcPr>
          <w:p w14:paraId="36CA4845" w14:textId="77777777" w:rsidR="00787570" w:rsidRDefault="00787570">
            <w:pPr>
              <w:rPr>
                <w:rFonts w:ascii="宋体"/>
              </w:rPr>
            </w:pPr>
          </w:p>
        </w:tc>
        <w:tc>
          <w:tcPr>
            <w:tcW w:w="0" w:type="auto"/>
            <w:shd w:val="clear" w:color="auto" w:fill="auto"/>
          </w:tcPr>
          <w:p w14:paraId="36CA4846" w14:textId="77777777" w:rsidR="00787570" w:rsidRDefault="00787570">
            <w:pPr>
              <w:rPr>
                <w:rFonts w:ascii="宋体"/>
              </w:rPr>
            </w:pPr>
          </w:p>
        </w:tc>
        <w:tc>
          <w:tcPr>
            <w:tcW w:w="0" w:type="auto"/>
            <w:shd w:val="clear" w:color="auto" w:fill="auto"/>
          </w:tcPr>
          <w:p w14:paraId="36CA4847" w14:textId="77777777" w:rsidR="00787570" w:rsidRDefault="00787570">
            <w:pPr>
              <w:rPr>
                <w:rFonts w:ascii="宋体"/>
              </w:rPr>
            </w:pPr>
          </w:p>
        </w:tc>
        <w:tc>
          <w:tcPr>
            <w:tcW w:w="0" w:type="auto"/>
            <w:shd w:val="clear" w:color="auto" w:fill="auto"/>
          </w:tcPr>
          <w:p w14:paraId="36CA4848" w14:textId="77777777" w:rsidR="00787570" w:rsidRDefault="00787570">
            <w:pPr>
              <w:rPr>
                <w:rFonts w:ascii="宋体"/>
              </w:rPr>
            </w:pPr>
          </w:p>
        </w:tc>
        <w:tc>
          <w:tcPr>
            <w:tcW w:w="0" w:type="auto"/>
            <w:shd w:val="clear" w:color="auto" w:fill="auto"/>
          </w:tcPr>
          <w:p w14:paraId="36CA4849" w14:textId="77777777" w:rsidR="00787570" w:rsidRDefault="00787570">
            <w:pPr>
              <w:rPr>
                <w:rFonts w:ascii="宋体"/>
              </w:rPr>
            </w:pPr>
          </w:p>
        </w:tc>
        <w:tc>
          <w:tcPr>
            <w:tcW w:w="0" w:type="auto"/>
            <w:shd w:val="clear" w:color="auto" w:fill="auto"/>
          </w:tcPr>
          <w:p w14:paraId="36CA484A" w14:textId="77777777" w:rsidR="00787570" w:rsidRDefault="00787570">
            <w:pPr>
              <w:rPr>
                <w:rFonts w:ascii="宋体"/>
              </w:rPr>
            </w:pPr>
          </w:p>
        </w:tc>
        <w:tc>
          <w:tcPr>
            <w:tcW w:w="0" w:type="auto"/>
            <w:shd w:val="clear" w:color="auto" w:fill="auto"/>
          </w:tcPr>
          <w:p w14:paraId="36CA484B" w14:textId="77777777" w:rsidR="00787570" w:rsidRDefault="00787570">
            <w:pPr>
              <w:rPr>
                <w:rFonts w:ascii="宋体"/>
              </w:rPr>
            </w:pPr>
          </w:p>
        </w:tc>
        <w:tc>
          <w:tcPr>
            <w:tcW w:w="0" w:type="auto"/>
            <w:shd w:val="clear" w:color="auto" w:fill="auto"/>
          </w:tcPr>
          <w:p w14:paraId="36CA484C" w14:textId="77777777" w:rsidR="00787570" w:rsidRDefault="00787570">
            <w:pPr>
              <w:rPr>
                <w:rFonts w:ascii="宋体"/>
              </w:rPr>
            </w:pPr>
          </w:p>
        </w:tc>
        <w:tc>
          <w:tcPr>
            <w:tcW w:w="0" w:type="auto"/>
            <w:shd w:val="clear" w:color="auto" w:fill="auto"/>
          </w:tcPr>
          <w:p w14:paraId="36CA484D" w14:textId="77777777" w:rsidR="00787570" w:rsidRDefault="00787570">
            <w:pPr>
              <w:rPr>
                <w:rFonts w:ascii="宋体"/>
              </w:rPr>
            </w:pPr>
          </w:p>
        </w:tc>
      </w:tr>
    </w:tbl>
    <w:p w14:paraId="36CA484F" w14:textId="77777777" w:rsidR="00787570" w:rsidRDefault="00787570">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95"/>
        <w:gridCol w:w="416"/>
        <w:gridCol w:w="36"/>
        <w:gridCol w:w="47"/>
        <w:gridCol w:w="4254"/>
        <w:gridCol w:w="36"/>
        <w:gridCol w:w="47"/>
        <w:gridCol w:w="3369"/>
        <w:gridCol w:w="36"/>
      </w:tblGrid>
      <w:tr w:rsidR="00787570" w14:paraId="36CA4859" w14:textId="77777777">
        <w:tc>
          <w:tcPr>
            <w:tcW w:w="50" w:type="pct"/>
            <w:shd w:val="clear" w:color="auto" w:fill="auto"/>
            <w:vAlign w:val="bottom"/>
          </w:tcPr>
          <w:p w14:paraId="36CA4850" w14:textId="77777777" w:rsidR="00787570" w:rsidRDefault="00787570">
            <w:pPr>
              <w:rPr>
                <w:rFonts w:ascii="宋体"/>
              </w:rPr>
            </w:pPr>
          </w:p>
        </w:tc>
        <w:tc>
          <w:tcPr>
            <w:tcW w:w="220" w:type="pct"/>
            <w:shd w:val="clear" w:color="auto" w:fill="auto"/>
            <w:vAlign w:val="bottom"/>
          </w:tcPr>
          <w:p w14:paraId="36CA4851" w14:textId="77777777" w:rsidR="00787570" w:rsidRDefault="00787570">
            <w:pPr>
              <w:rPr>
                <w:rFonts w:ascii="宋体"/>
              </w:rPr>
            </w:pPr>
          </w:p>
        </w:tc>
        <w:tc>
          <w:tcPr>
            <w:tcW w:w="5" w:type="pct"/>
            <w:shd w:val="clear" w:color="auto" w:fill="auto"/>
            <w:vAlign w:val="bottom"/>
          </w:tcPr>
          <w:p w14:paraId="36CA4852" w14:textId="77777777" w:rsidR="00787570" w:rsidRDefault="00787570">
            <w:pPr>
              <w:rPr>
                <w:rFonts w:ascii="宋体"/>
              </w:rPr>
            </w:pPr>
          </w:p>
        </w:tc>
        <w:tc>
          <w:tcPr>
            <w:tcW w:w="50" w:type="pct"/>
            <w:shd w:val="clear" w:color="auto" w:fill="auto"/>
            <w:vAlign w:val="bottom"/>
          </w:tcPr>
          <w:p w14:paraId="36CA4853" w14:textId="77777777" w:rsidR="00787570" w:rsidRDefault="00787570">
            <w:pPr>
              <w:rPr>
                <w:rFonts w:ascii="宋体"/>
              </w:rPr>
            </w:pPr>
          </w:p>
        </w:tc>
        <w:tc>
          <w:tcPr>
            <w:tcW w:w="2572" w:type="pct"/>
            <w:shd w:val="clear" w:color="auto" w:fill="auto"/>
            <w:vAlign w:val="bottom"/>
          </w:tcPr>
          <w:p w14:paraId="36CA4854" w14:textId="77777777" w:rsidR="00787570" w:rsidRDefault="00787570">
            <w:pPr>
              <w:rPr>
                <w:rFonts w:ascii="宋体"/>
              </w:rPr>
            </w:pPr>
          </w:p>
        </w:tc>
        <w:tc>
          <w:tcPr>
            <w:tcW w:w="5" w:type="pct"/>
            <w:shd w:val="clear" w:color="auto" w:fill="auto"/>
            <w:vAlign w:val="bottom"/>
          </w:tcPr>
          <w:p w14:paraId="36CA4855" w14:textId="77777777" w:rsidR="00787570" w:rsidRDefault="00787570">
            <w:pPr>
              <w:rPr>
                <w:rFonts w:ascii="宋体"/>
              </w:rPr>
            </w:pPr>
          </w:p>
        </w:tc>
        <w:tc>
          <w:tcPr>
            <w:tcW w:w="50" w:type="pct"/>
            <w:shd w:val="clear" w:color="auto" w:fill="auto"/>
            <w:vAlign w:val="bottom"/>
          </w:tcPr>
          <w:p w14:paraId="36CA4856" w14:textId="77777777" w:rsidR="00787570" w:rsidRDefault="00787570">
            <w:pPr>
              <w:rPr>
                <w:rFonts w:ascii="宋体"/>
              </w:rPr>
            </w:pPr>
          </w:p>
        </w:tc>
        <w:tc>
          <w:tcPr>
            <w:tcW w:w="2042" w:type="pct"/>
            <w:shd w:val="clear" w:color="auto" w:fill="auto"/>
            <w:vAlign w:val="bottom"/>
          </w:tcPr>
          <w:p w14:paraId="36CA4857" w14:textId="77777777" w:rsidR="00787570" w:rsidRDefault="00787570">
            <w:pPr>
              <w:rPr>
                <w:rFonts w:ascii="宋体"/>
              </w:rPr>
            </w:pPr>
          </w:p>
        </w:tc>
        <w:tc>
          <w:tcPr>
            <w:tcW w:w="5" w:type="pct"/>
            <w:shd w:val="clear" w:color="auto" w:fill="auto"/>
            <w:vAlign w:val="bottom"/>
          </w:tcPr>
          <w:p w14:paraId="36CA4858" w14:textId="77777777" w:rsidR="00787570" w:rsidRDefault="00787570">
            <w:pPr>
              <w:rPr>
                <w:rFonts w:ascii="宋体"/>
              </w:rPr>
            </w:pPr>
          </w:p>
        </w:tc>
      </w:tr>
      <w:tr w:rsidR="00787570" w14:paraId="36CA485D" w14:textId="77777777">
        <w:tc>
          <w:tcPr>
            <w:tcW w:w="0" w:type="auto"/>
            <w:gridSpan w:val="3"/>
            <w:tcBorders>
              <w:top w:val="single" w:sz="8" w:space="0" w:color="0071C5"/>
            </w:tcBorders>
            <w:shd w:val="clear" w:color="auto" w:fill="auto"/>
            <w:tcMar>
              <w:left w:w="20" w:type="dxa"/>
              <w:right w:w="20" w:type="dxa"/>
            </w:tcMar>
            <w:vAlign w:val="center"/>
          </w:tcPr>
          <w:p w14:paraId="36CA485A" w14:textId="77777777" w:rsidR="00787570" w:rsidRDefault="000D56E2">
            <w:pPr>
              <w:textAlignment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Viewer9_files/intc-20200926_g2.jpg"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36CA5C3D" wp14:editId="36CA5C3E">
                  <wp:extent cx="304800" cy="304800"/>
                  <wp:effectExtent l="0" t="0" r="0" b="0"/>
                  <wp:docPr id="79" name="图片 97" descr="IMG_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97" descr="IMG_329"/>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8" w:space="0" w:color="0071C5"/>
            </w:tcBorders>
            <w:shd w:val="clear" w:color="auto" w:fill="auto"/>
            <w:tcMar>
              <w:top w:w="40" w:type="dxa"/>
              <w:left w:w="20" w:type="dxa"/>
              <w:bottom w:w="40" w:type="dxa"/>
              <w:right w:w="20" w:type="dxa"/>
            </w:tcMar>
            <w:vAlign w:val="center"/>
          </w:tcPr>
          <w:p w14:paraId="36CA485B" w14:textId="77777777" w:rsidR="00787570" w:rsidRDefault="000D56E2">
            <w:pPr>
              <w:textAlignment w:val="center"/>
            </w:pPr>
            <w:r>
              <w:rPr>
                <w:rFonts w:ascii="Arial" w:eastAsia="宋体" w:hAnsi="Arial" w:cs="Arial"/>
                <w:color w:val="333333"/>
                <w:sz w:val="16"/>
                <w:szCs w:val="16"/>
              </w:rPr>
              <w:t>MD&amp;A</w:t>
            </w:r>
          </w:p>
        </w:tc>
        <w:tc>
          <w:tcPr>
            <w:tcW w:w="0" w:type="auto"/>
            <w:gridSpan w:val="3"/>
            <w:tcBorders>
              <w:top w:val="single" w:sz="8" w:space="0" w:color="0071C5"/>
            </w:tcBorders>
            <w:shd w:val="clear" w:color="auto" w:fill="auto"/>
            <w:tcMar>
              <w:top w:w="40" w:type="dxa"/>
              <w:left w:w="20" w:type="dxa"/>
              <w:bottom w:w="40" w:type="dxa"/>
              <w:right w:w="20" w:type="dxa"/>
            </w:tcMar>
            <w:vAlign w:val="center"/>
          </w:tcPr>
          <w:p w14:paraId="36CA485C" w14:textId="77777777" w:rsidR="00787570" w:rsidRDefault="000D56E2">
            <w:pPr>
              <w:jc w:val="right"/>
              <w:textAlignment w:val="center"/>
            </w:pPr>
            <w:r>
              <w:rPr>
                <w:rFonts w:ascii="Arial" w:eastAsia="宋体" w:hAnsi="Arial" w:cs="Arial"/>
                <w:color w:val="333333"/>
                <w:sz w:val="16"/>
                <w:szCs w:val="16"/>
              </w:rPr>
              <w:t>28</w:t>
            </w:r>
          </w:p>
        </w:tc>
      </w:tr>
    </w:tbl>
    <w:p w14:paraId="36CA485E" w14:textId="77777777" w:rsidR="00787570" w:rsidRDefault="000D56E2">
      <w:r>
        <w:pict w14:anchorId="36CA5C3F">
          <v:rect id="_x0000_i1054" style="width:415.3pt;height:1.5pt" o:hralign="center" o:hrstd="t" o:hr="t" fillcolor="#a0a0a0" stroked="f"/>
        </w:pict>
      </w:r>
    </w:p>
    <w:p w14:paraId="36CA485F" w14:textId="77777777" w:rsidR="00787570" w:rsidRDefault="000D56E2">
      <w:pPr>
        <w:spacing w:after="180"/>
        <w:jc w:val="right"/>
      </w:pPr>
      <w:hyperlink r:id="rId56" w:anchor="i32771df14e9449d2bec5be911426bf04_7" w:history="1">
        <w:r>
          <w:rPr>
            <w:rStyle w:val="a5"/>
            <w:rFonts w:ascii="Arial" w:eastAsia="宋体" w:hAnsi="Arial" w:cs="Arial"/>
            <w:b/>
            <w:bCs/>
            <w:sz w:val="16"/>
            <w:szCs w:val="16"/>
          </w:rPr>
          <w:t>Table of Contents</w:t>
        </w:r>
      </w:hyperlink>
    </w:p>
    <w:p w14:paraId="36CA4860" w14:textId="77777777" w:rsidR="00787570" w:rsidRDefault="00787570">
      <w:pPr>
        <w:spacing w:after="180"/>
        <w:jc w:val="right"/>
      </w:pPr>
    </w:p>
    <w:tbl>
      <w:tblPr>
        <w:tblW w:w="5000" w:type="pct"/>
        <w:tblCellMar>
          <w:top w:w="15" w:type="dxa"/>
          <w:left w:w="15" w:type="dxa"/>
          <w:bottom w:w="15" w:type="dxa"/>
          <w:right w:w="15" w:type="dxa"/>
        </w:tblCellMar>
        <w:tblLook w:val="04A0" w:firstRow="1" w:lastRow="0" w:firstColumn="1" w:lastColumn="0" w:noHBand="0" w:noVBand="1"/>
      </w:tblPr>
      <w:tblGrid>
        <w:gridCol w:w="69"/>
        <w:gridCol w:w="8231"/>
        <w:gridCol w:w="36"/>
      </w:tblGrid>
      <w:tr w:rsidR="00787570" w14:paraId="36CA4864" w14:textId="77777777">
        <w:tc>
          <w:tcPr>
            <w:tcW w:w="50" w:type="pct"/>
            <w:shd w:val="clear" w:color="auto" w:fill="auto"/>
          </w:tcPr>
          <w:p w14:paraId="36CA4861" w14:textId="77777777" w:rsidR="00787570" w:rsidRDefault="00787570">
            <w:pPr>
              <w:rPr>
                <w:rFonts w:ascii="宋体"/>
              </w:rPr>
            </w:pPr>
          </w:p>
        </w:tc>
        <w:tc>
          <w:tcPr>
            <w:tcW w:w="4945" w:type="pct"/>
            <w:shd w:val="clear" w:color="auto" w:fill="auto"/>
          </w:tcPr>
          <w:p w14:paraId="36CA4862" w14:textId="77777777" w:rsidR="00787570" w:rsidRDefault="00787570">
            <w:pPr>
              <w:rPr>
                <w:rFonts w:ascii="宋体"/>
              </w:rPr>
            </w:pPr>
          </w:p>
        </w:tc>
        <w:tc>
          <w:tcPr>
            <w:tcW w:w="5" w:type="pct"/>
            <w:shd w:val="clear" w:color="auto" w:fill="auto"/>
          </w:tcPr>
          <w:p w14:paraId="36CA4863" w14:textId="77777777" w:rsidR="00787570" w:rsidRDefault="00787570">
            <w:pPr>
              <w:rPr>
                <w:rFonts w:ascii="宋体"/>
              </w:rPr>
            </w:pPr>
          </w:p>
        </w:tc>
      </w:tr>
      <w:tr w:rsidR="00787570" w14:paraId="36CA4866" w14:textId="77777777">
        <w:tc>
          <w:tcPr>
            <w:tcW w:w="0" w:type="auto"/>
            <w:gridSpan w:val="3"/>
            <w:tcBorders>
              <w:bottom w:val="single" w:sz="8" w:space="0" w:color="333333"/>
            </w:tcBorders>
            <w:shd w:val="clear" w:color="auto" w:fill="auto"/>
            <w:tcMar>
              <w:top w:w="40" w:type="dxa"/>
              <w:left w:w="20" w:type="dxa"/>
              <w:bottom w:w="40" w:type="dxa"/>
              <w:right w:w="20" w:type="dxa"/>
            </w:tcMar>
            <w:vAlign w:val="bottom"/>
          </w:tcPr>
          <w:p w14:paraId="36CA4865" w14:textId="77777777" w:rsidR="00787570" w:rsidRDefault="000D56E2">
            <w:pPr>
              <w:textAlignment w:val="bottom"/>
            </w:pPr>
            <w:r>
              <w:rPr>
                <w:rFonts w:ascii="Arial" w:eastAsia="宋体" w:hAnsi="Arial" w:cs="Arial"/>
                <w:b/>
                <w:bCs/>
                <w:color w:val="0071C5"/>
                <w:sz w:val="20"/>
                <w:szCs w:val="20"/>
              </w:rPr>
              <w:t>OPERATING INCOME SUMMARY</w:t>
            </w:r>
          </w:p>
        </w:tc>
      </w:tr>
    </w:tbl>
    <w:p w14:paraId="36CA4867" w14:textId="77777777" w:rsidR="00787570" w:rsidRDefault="000D56E2">
      <w:pPr>
        <w:spacing w:before="180" w:after="180"/>
      </w:pPr>
      <w:r>
        <w:rPr>
          <w:rFonts w:ascii="Arial" w:eastAsia="宋体" w:hAnsi="Arial" w:cs="Arial"/>
          <w:color w:val="333333"/>
          <w:sz w:val="18"/>
          <w:szCs w:val="18"/>
        </w:rPr>
        <w:t xml:space="preserve">Operating income in Q3 2020 decreased 39% from Q3 </w:t>
      </w:r>
      <w:r>
        <w:rPr>
          <w:rFonts w:ascii="Arial" w:eastAsia="宋体" w:hAnsi="Arial" w:cs="Arial"/>
          <w:color w:val="333333"/>
          <w:sz w:val="18"/>
          <w:szCs w:val="18"/>
        </w:rPr>
        <w:t>2019, with an operating margin of 32%. Operating income YTD 2020 increased 26%, with an operating margin of 42%.</w:t>
      </w:r>
    </w:p>
    <w:tbl>
      <w:tblPr>
        <w:tblW w:w="5000" w:type="pct"/>
        <w:tblCellMar>
          <w:top w:w="15" w:type="dxa"/>
          <w:left w:w="15" w:type="dxa"/>
          <w:bottom w:w="15" w:type="dxa"/>
          <w:right w:w="15" w:type="dxa"/>
        </w:tblCellMar>
        <w:tblLook w:val="04A0" w:firstRow="1" w:lastRow="0" w:firstColumn="1" w:lastColumn="0" w:noHBand="0" w:noVBand="1"/>
      </w:tblPr>
      <w:tblGrid>
        <w:gridCol w:w="137"/>
        <w:gridCol w:w="856"/>
        <w:gridCol w:w="41"/>
        <w:gridCol w:w="36"/>
        <w:gridCol w:w="36"/>
        <w:gridCol w:w="36"/>
        <w:gridCol w:w="38"/>
        <w:gridCol w:w="7119"/>
        <w:gridCol w:w="37"/>
      </w:tblGrid>
      <w:tr w:rsidR="00787570" w14:paraId="36CA4871" w14:textId="77777777">
        <w:tc>
          <w:tcPr>
            <w:tcW w:w="50" w:type="pct"/>
            <w:shd w:val="clear" w:color="auto" w:fill="auto"/>
          </w:tcPr>
          <w:p w14:paraId="36CA4868" w14:textId="77777777" w:rsidR="00787570" w:rsidRDefault="00787570">
            <w:pPr>
              <w:rPr>
                <w:rFonts w:ascii="宋体"/>
              </w:rPr>
            </w:pPr>
          </w:p>
        </w:tc>
        <w:tc>
          <w:tcPr>
            <w:tcW w:w="539" w:type="pct"/>
            <w:shd w:val="clear" w:color="auto" w:fill="auto"/>
          </w:tcPr>
          <w:p w14:paraId="36CA4869" w14:textId="77777777" w:rsidR="00787570" w:rsidRDefault="00787570">
            <w:pPr>
              <w:rPr>
                <w:rFonts w:ascii="宋体"/>
              </w:rPr>
            </w:pPr>
          </w:p>
        </w:tc>
        <w:tc>
          <w:tcPr>
            <w:tcW w:w="5" w:type="pct"/>
            <w:shd w:val="clear" w:color="auto" w:fill="auto"/>
          </w:tcPr>
          <w:p w14:paraId="36CA486A" w14:textId="77777777" w:rsidR="00787570" w:rsidRDefault="00787570">
            <w:pPr>
              <w:rPr>
                <w:rFonts w:ascii="宋体"/>
              </w:rPr>
            </w:pPr>
          </w:p>
        </w:tc>
        <w:tc>
          <w:tcPr>
            <w:tcW w:w="5" w:type="pct"/>
            <w:shd w:val="clear" w:color="auto" w:fill="auto"/>
          </w:tcPr>
          <w:p w14:paraId="36CA486B" w14:textId="77777777" w:rsidR="00787570" w:rsidRDefault="00787570">
            <w:pPr>
              <w:rPr>
                <w:rFonts w:ascii="宋体"/>
              </w:rPr>
            </w:pPr>
          </w:p>
        </w:tc>
        <w:tc>
          <w:tcPr>
            <w:tcW w:w="24" w:type="pct"/>
            <w:shd w:val="clear" w:color="auto" w:fill="auto"/>
          </w:tcPr>
          <w:p w14:paraId="36CA486C" w14:textId="77777777" w:rsidR="00787570" w:rsidRDefault="00787570">
            <w:pPr>
              <w:rPr>
                <w:rFonts w:ascii="宋体"/>
              </w:rPr>
            </w:pPr>
          </w:p>
        </w:tc>
        <w:tc>
          <w:tcPr>
            <w:tcW w:w="5" w:type="pct"/>
            <w:shd w:val="clear" w:color="auto" w:fill="auto"/>
          </w:tcPr>
          <w:p w14:paraId="36CA486D" w14:textId="77777777" w:rsidR="00787570" w:rsidRDefault="00787570">
            <w:pPr>
              <w:rPr>
                <w:rFonts w:ascii="宋体"/>
              </w:rPr>
            </w:pPr>
          </w:p>
        </w:tc>
        <w:tc>
          <w:tcPr>
            <w:tcW w:w="50" w:type="pct"/>
            <w:shd w:val="clear" w:color="auto" w:fill="auto"/>
          </w:tcPr>
          <w:p w14:paraId="36CA486E" w14:textId="77777777" w:rsidR="00787570" w:rsidRDefault="00787570">
            <w:pPr>
              <w:rPr>
                <w:rFonts w:ascii="宋体"/>
              </w:rPr>
            </w:pPr>
          </w:p>
        </w:tc>
        <w:tc>
          <w:tcPr>
            <w:tcW w:w="4316" w:type="pct"/>
            <w:shd w:val="clear" w:color="auto" w:fill="auto"/>
          </w:tcPr>
          <w:p w14:paraId="36CA486F" w14:textId="77777777" w:rsidR="00787570" w:rsidRDefault="00787570">
            <w:pPr>
              <w:rPr>
                <w:rFonts w:ascii="宋体"/>
              </w:rPr>
            </w:pPr>
          </w:p>
        </w:tc>
        <w:tc>
          <w:tcPr>
            <w:tcW w:w="5" w:type="pct"/>
            <w:shd w:val="clear" w:color="auto" w:fill="auto"/>
          </w:tcPr>
          <w:p w14:paraId="36CA4870" w14:textId="77777777" w:rsidR="00787570" w:rsidRDefault="00787570">
            <w:pPr>
              <w:rPr>
                <w:rFonts w:ascii="宋体"/>
              </w:rPr>
            </w:pPr>
          </w:p>
        </w:tc>
      </w:tr>
      <w:tr w:rsidR="00787570" w14:paraId="36CA4875" w14:textId="77777777">
        <w:tc>
          <w:tcPr>
            <w:tcW w:w="0" w:type="auto"/>
            <w:gridSpan w:val="3"/>
            <w:shd w:val="clear" w:color="auto" w:fill="auto"/>
            <w:tcMar>
              <w:top w:w="40" w:type="dxa"/>
              <w:left w:w="20" w:type="dxa"/>
              <w:bottom w:w="40" w:type="dxa"/>
              <w:right w:w="20" w:type="dxa"/>
            </w:tcMar>
            <w:vAlign w:val="bottom"/>
          </w:tcPr>
          <w:p w14:paraId="36CA4872" w14:textId="77777777" w:rsidR="00787570" w:rsidRDefault="000D56E2">
            <w:pPr>
              <w:textAlignment w:val="bottom"/>
            </w:pPr>
            <w:r>
              <w:rPr>
                <w:rFonts w:ascii="Arial" w:eastAsia="宋体" w:hAnsi="Arial" w:cs="Arial"/>
                <w:b/>
                <w:bCs/>
                <w:color w:val="333333"/>
                <w:sz w:val="18"/>
                <w:szCs w:val="18"/>
              </w:rPr>
              <w:t>(In Millions)</w:t>
            </w:r>
          </w:p>
        </w:tc>
        <w:tc>
          <w:tcPr>
            <w:tcW w:w="0" w:type="auto"/>
            <w:gridSpan w:val="3"/>
            <w:shd w:val="clear" w:color="auto" w:fill="auto"/>
            <w:tcMar>
              <w:left w:w="20" w:type="dxa"/>
              <w:right w:w="20" w:type="dxa"/>
            </w:tcMar>
            <w:vAlign w:val="bottom"/>
          </w:tcPr>
          <w:p w14:paraId="36CA4873"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4874" w14:textId="77777777" w:rsidR="00787570" w:rsidRDefault="00787570">
            <w:pPr>
              <w:rPr>
                <w:rFonts w:ascii="宋体"/>
              </w:rPr>
            </w:pPr>
          </w:p>
        </w:tc>
      </w:tr>
      <w:tr w:rsidR="00787570" w14:paraId="36CA487B" w14:textId="77777777">
        <w:tc>
          <w:tcPr>
            <w:tcW w:w="0" w:type="auto"/>
            <w:tcBorders>
              <w:top w:val="single" w:sz="8" w:space="0" w:color="0071C5"/>
            </w:tcBorders>
            <w:shd w:val="clear" w:color="auto" w:fill="auto"/>
            <w:tcMar>
              <w:top w:w="40" w:type="dxa"/>
              <w:left w:w="20" w:type="dxa"/>
              <w:bottom w:w="40" w:type="dxa"/>
            </w:tcMar>
            <w:vAlign w:val="bottom"/>
          </w:tcPr>
          <w:p w14:paraId="36CA4876" w14:textId="77777777" w:rsidR="00787570" w:rsidRDefault="000D56E2">
            <w:pPr>
              <w:textAlignment w:val="bottom"/>
            </w:pPr>
            <w:r>
              <w:rPr>
                <w:rFonts w:ascii="Arial" w:eastAsia="宋体" w:hAnsi="Arial" w:cs="Arial"/>
                <w:b/>
                <w:bCs/>
                <w:color w:val="0071C5"/>
                <w:sz w:val="18"/>
                <w:szCs w:val="18"/>
              </w:rPr>
              <w:t>$</w:t>
            </w:r>
          </w:p>
        </w:tc>
        <w:tc>
          <w:tcPr>
            <w:tcW w:w="0" w:type="auto"/>
            <w:tcBorders>
              <w:top w:val="single" w:sz="8" w:space="0" w:color="0071C5"/>
            </w:tcBorders>
            <w:shd w:val="clear" w:color="auto" w:fill="auto"/>
            <w:tcMar>
              <w:top w:w="40" w:type="dxa"/>
              <w:bottom w:w="40" w:type="dxa"/>
              <w:right w:w="0" w:type="dxa"/>
            </w:tcMar>
            <w:vAlign w:val="bottom"/>
          </w:tcPr>
          <w:p w14:paraId="36CA4877" w14:textId="77777777" w:rsidR="00787570" w:rsidRDefault="000D56E2">
            <w:pPr>
              <w:jc w:val="right"/>
              <w:textAlignment w:val="bottom"/>
            </w:pPr>
            <w:r>
              <w:rPr>
                <w:rFonts w:ascii="Arial" w:eastAsia="宋体" w:hAnsi="Arial" w:cs="Arial"/>
                <w:b/>
                <w:bCs/>
                <w:color w:val="0071C5"/>
                <w:sz w:val="18"/>
                <w:szCs w:val="18"/>
              </w:rPr>
              <w:t>1,903</w:t>
            </w:r>
            <w:r>
              <w:rPr>
                <w:rFonts w:ascii="Arial" w:eastAsia="宋体" w:hAnsi="Arial" w:cs="Arial"/>
                <w:color w:val="0071C5"/>
                <w:sz w:val="18"/>
                <w:szCs w:val="18"/>
              </w:rPr>
              <w:t> </w:t>
            </w:r>
          </w:p>
        </w:tc>
        <w:tc>
          <w:tcPr>
            <w:tcW w:w="0" w:type="auto"/>
            <w:tcBorders>
              <w:top w:val="single" w:sz="8" w:space="0" w:color="0071C5"/>
            </w:tcBorders>
            <w:shd w:val="clear" w:color="auto" w:fill="auto"/>
            <w:tcMar>
              <w:top w:w="40" w:type="dxa"/>
              <w:bottom w:w="40" w:type="dxa"/>
              <w:right w:w="20" w:type="dxa"/>
            </w:tcMar>
            <w:vAlign w:val="bottom"/>
          </w:tcPr>
          <w:p w14:paraId="36CA4878"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4879" w14:textId="77777777" w:rsidR="00787570" w:rsidRDefault="00787570">
            <w:pPr>
              <w:rPr>
                <w:rFonts w:ascii="宋体"/>
              </w:rPr>
            </w:pPr>
          </w:p>
        </w:tc>
        <w:tc>
          <w:tcPr>
            <w:tcW w:w="0" w:type="auto"/>
            <w:gridSpan w:val="3"/>
            <w:tcBorders>
              <w:top w:val="single" w:sz="8" w:space="0" w:color="0071C5"/>
            </w:tcBorders>
            <w:shd w:val="clear" w:color="auto" w:fill="auto"/>
            <w:tcMar>
              <w:top w:w="40" w:type="dxa"/>
              <w:left w:w="20" w:type="dxa"/>
              <w:bottom w:w="40" w:type="dxa"/>
              <w:right w:w="20" w:type="dxa"/>
            </w:tcMar>
            <w:vAlign w:val="bottom"/>
          </w:tcPr>
          <w:p w14:paraId="36CA487A" w14:textId="77777777" w:rsidR="00787570" w:rsidRDefault="000D56E2">
            <w:pPr>
              <w:textAlignment w:val="bottom"/>
            </w:pPr>
            <w:r>
              <w:rPr>
                <w:rFonts w:ascii="Arial" w:eastAsia="宋体" w:hAnsi="Arial" w:cs="Arial"/>
                <w:b/>
                <w:bCs/>
                <w:color w:val="333333"/>
                <w:sz w:val="18"/>
                <w:szCs w:val="18"/>
              </w:rPr>
              <w:t>Q3 2020 DCG Operating Income</w:t>
            </w:r>
          </w:p>
        </w:tc>
      </w:tr>
      <w:tr w:rsidR="00787570" w14:paraId="36CA4880" w14:textId="77777777">
        <w:tc>
          <w:tcPr>
            <w:tcW w:w="0" w:type="auto"/>
            <w:gridSpan w:val="2"/>
            <w:tcBorders>
              <w:top w:val="single" w:sz="8" w:space="0" w:color="333333"/>
            </w:tcBorders>
            <w:shd w:val="clear" w:color="auto" w:fill="auto"/>
            <w:tcMar>
              <w:top w:w="40" w:type="dxa"/>
              <w:left w:w="20" w:type="dxa"/>
              <w:bottom w:w="40" w:type="dxa"/>
              <w:right w:w="0" w:type="dxa"/>
            </w:tcMar>
          </w:tcPr>
          <w:p w14:paraId="36CA487C" w14:textId="77777777" w:rsidR="00787570" w:rsidRDefault="000D56E2">
            <w:pPr>
              <w:jc w:val="right"/>
              <w:textAlignment w:val="top"/>
            </w:pPr>
            <w:r>
              <w:rPr>
                <w:rFonts w:ascii="Arial" w:eastAsia="宋体" w:hAnsi="Arial" w:cs="Arial"/>
                <w:color w:val="0071C5"/>
                <w:sz w:val="18"/>
                <w:szCs w:val="18"/>
              </w:rPr>
              <w:t>(695)</w:t>
            </w:r>
          </w:p>
        </w:tc>
        <w:tc>
          <w:tcPr>
            <w:tcW w:w="0" w:type="auto"/>
            <w:tcBorders>
              <w:top w:val="single" w:sz="8" w:space="0" w:color="333333"/>
            </w:tcBorders>
            <w:shd w:val="clear" w:color="auto" w:fill="auto"/>
            <w:tcMar>
              <w:top w:w="40" w:type="dxa"/>
              <w:bottom w:w="40" w:type="dxa"/>
              <w:right w:w="20" w:type="dxa"/>
            </w:tcMar>
          </w:tcPr>
          <w:p w14:paraId="36CA487D"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487E" w14:textId="77777777" w:rsidR="00787570" w:rsidRDefault="00787570">
            <w:pPr>
              <w:rPr>
                <w:rFonts w:ascii="宋体"/>
              </w:rPr>
            </w:pPr>
          </w:p>
        </w:tc>
        <w:tc>
          <w:tcPr>
            <w:tcW w:w="0" w:type="auto"/>
            <w:gridSpan w:val="3"/>
            <w:tcBorders>
              <w:top w:val="single" w:sz="8" w:space="0" w:color="333333"/>
            </w:tcBorders>
            <w:shd w:val="clear" w:color="auto" w:fill="auto"/>
            <w:tcMar>
              <w:top w:w="40" w:type="dxa"/>
              <w:left w:w="20" w:type="dxa"/>
              <w:bottom w:w="40" w:type="dxa"/>
              <w:right w:w="20" w:type="dxa"/>
            </w:tcMar>
          </w:tcPr>
          <w:p w14:paraId="36CA487F" w14:textId="77777777" w:rsidR="00787570" w:rsidRDefault="000D56E2">
            <w:pPr>
              <w:textAlignment w:val="top"/>
            </w:pPr>
            <w:r>
              <w:rPr>
                <w:rFonts w:ascii="Arial" w:eastAsia="宋体" w:hAnsi="Arial" w:cs="Arial"/>
                <w:color w:val="0071C5"/>
                <w:sz w:val="18"/>
                <w:szCs w:val="18"/>
              </w:rPr>
              <w:t>Lower gross margin from platform revenue</w:t>
            </w:r>
          </w:p>
        </w:tc>
      </w:tr>
      <w:tr w:rsidR="00787570" w14:paraId="36CA4885" w14:textId="77777777">
        <w:tc>
          <w:tcPr>
            <w:tcW w:w="0" w:type="auto"/>
            <w:gridSpan w:val="2"/>
            <w:shd w:val="clear" w:color="auto" w:fill="auto"/>
            <w:tcMar>
              <w:top w:w="40" w:type="dxa"/>
              <w:left w:w="20" w:type="dxa"/>
              <w:bottom w:w="40" w:type="dxa"/>
              <w:right w:w="0" w:type="dxa"/>
            </w:tcMar>
          </w:tcPr>
          <w:p w14:paraId="36CA4881" w14:textId="77777777" w:rsidR="00787570" w:rsidRDefault="000D56E2">
            <w:pPr>
              <w:jc w:val="right"/>
              <w:textAlignment w:val="top"/>
            </w:pPr>
            <w:r>
              <w:rPr>
                <w:rFonts w:ascii="Arial" w:eastAsia="宋体" w:hAnsi="Arial" w:cs="Arial"/>
                <w:color w:val="0071C5"/>
                <w:sz w:val="18"/>
                <w:szCs w:val="18"/>
              </w:rPr>
              <w:t>(280)</w:t>
            </w:r>
          </w:p>
        </w:tc>
        <w:tc>
          <w:tcPr>
            <w:tcW w:w="0" w:type="auto"/>
            <w:shd w:val="clear" w:color="auto" w:fill="auto"/>
            <w:tcMar>
              <w:top w:w="40" w:type="dxa"/>
              <w:bottom w:w="40" w:type="dxa"/>
              <w:right w:w="20" w:type="dxa"/>
            </w:tcMar>
          </w:tcPr>
          <w:p w14:paraId="36CA4882"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4883" w14:textId="77777777" w:rsidR="00787570" w:rsidRDefault="00787570">
            <w:pPr>
              <w:rPr>
                <w:rFonts w:ascii="宋体"/>
              </w:rPr>
            </w:pPr>
          </w:p>
        </w:tc>
        <w:tc>
          <w:tcPr>
            <w:tcW w:w="0" w:type="auto"/>
            <w:gridSpan w:val="3"/>
            <w:shd w:val="clear" w:color="auto" w:fill="auto"/>
            <w:tcMar>
              <w:top w:w="40" w:type="dxa"/>
              <w:left w:w="20" w:type="dxa"/>
              <w:bottom w:w="40" w:type="dxa"/>
              <w:right w:w="20" w:type="dxa"/>
            </w:tcMar>
          </w:tcPr>
          <w:p w14:paraId="36CA4884" w14:textId="77777777" w:rsidR="00787570" w:rsidRDefault="000D56E2">
            <w:pPr>
              <w:textAlignment w:val="top"/>
            </w:pPr>
            <w:r>
              <w:rPr>
                <w:rFonts w:ascii="Arial" w:eastAsia="宋体" w:hAnsi="Arial" w:cs="Arial"/>
                <w:color w:val="0071C5"/>
                <w:sz w:val="18"/>
                <w:szCs w:val="18"/>
              </w:rPr>
              <w:t xml:space="preserve">Lower DCG </w:t>
            </w:r>
            <w:r>
              <w:rPr>
                <w:rFonts w:ascii="Arial" w:eastAsia="宋体" w:hAnsi="Arial" w:cs="Arial"/>
                <w:color w:val="0071C5"/>
                <w:sz w:val="18"/>
                <w:szCs w:val="18"/>
              </w:rPr>
              <w:t>adjacent product margin</w:t>
            </w:r>
          </w:p>
        </w:tc>
      </w:tr>
      <w:tr w:rsidR="00787570" w14:paraId="36CA488A" w14:textId="77777777">
        <w:tc>
          <w:tcPr>
            <w:tcW w:w="0" w:type="auto"/>
            <w:gridSpan w:val="2"/>
            <w:shd w:val="clear" w:color="auto" w:fill="auto"/>
            <w:tcMar>
              <w:top w:w="40" w:type="dxa"/>
              <w:left w:w="20" w:type="dxa"/>
              <w:bottom w:w="40" w:type="dxa"/>
              <w:right w:w="0" w:type="dxa"/>
            </w:tcMar>
          </w:tcPr>
          <w:p w14:paraId="36CA4886" w14:textId="77777777" w:rsidR="00787570" w:rsidRDefault="000D56E2">
            <w:pPr>
              <w:jc w:val="right"/>
              <w:textAlignment w:val="top"/>
            </w:pPr>
            <w:r>
              <w:rPr>
                <w:rFonts w:ascii="Arial" w:eastAsia="宋体" w:hAnsi="Arial" w:cs="Arial"/>
                <w:color w:val="0071C5"/>
                <w:sz w:val="18"/>
                <w:szCs w:val="18"/>
              </w:rPr>
              <w:t>(135)</w:t>
            </w:r>
          </w:p>
        </w:tc>
        <w:tc>
          <w:tcPr>
            <w:tcW w:w="0" w:type="auto"/>
            <w:shd w:val="clear" w:color="auto" w:fill="auto"/>
            <w:tcMar>
              <w:top w:w="40" w:type="dxa"/>
              <w:bottom w:w="40" w:type="dxa"/>
              <w:right w:w="20" w:type="dxa"/>
            </w:tcMar>
          </w:tcPr>
          <w:p w14:paraId="36CA4887"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4888" w14:textId="77777777" w:rsidR="00787570" w:rsidRDefault="00787570">
            <w:pPr>
              <w:rPr>
                <w:rFonts w:ascii="宋体"/>
              </w:rPr>
            </w:pPr>
          </w:p>
        </w:tc>
        <w:tc>
          <w:tcPr>
            <w:tcW w:w="0" w:type="auto"/>
            <w:gridSpan w:val="3"/>
            <w:shd w:val="clear" w:color="auto" w:fill="auto"/>
            <w:tcMar>
              <w:top w:w="40" w:type="dxa"/>
              <w:left w:w="20" w:type="dxa"/>
              <w:bottom w:w="40" w:type="dxa"/>
              <w:right w:w="20" w:type="dxa"/>
            </w:tcMar>
          </w:tcPr>
          <w:p w14:paraId="36CA4889" w14:textId="77777777" w:rsidR="00787570" w:rsidRDefault="000D56E2">
            <w:pPr>
              <w:textAlignment w:val="top"/>
            </w:pPr>
            <w:r>
              <w:rPr>
                <w:rFonts w:ascii="Arial" w:eastAsia="宋体" w:hAnsi="Arial" w:cs="Arial"/>
                <w:color w:val="0071C5"/>
                <w:sz w:val="18"/>
                <w:szCs w:val="18"/>
              </w:rPr>
              <w:t>Higher period charges due to reserved non-qualified platform products associated with our 10nm process technology</w:t>
            </w:r>
          </w:p>
        </w:tc>
      </w:tr>
      <w:tr w:rsidR="00787570" w14:paraId="36CA488F" w14:textId="77777777">
        <w:tc>
          <w:tcPr>
            <w:tcW w:w="0" w:type="auto"/>
            <w:gridSpan w:val="2"/>
            <w:shd w:val="clear" w:color="auto" w:fill="auto"/>
            <w:tcMar>
              <w:top w:w="40" w:type="dxa"/>
              <w:left w:w="20" w:type="dxa"/>
              <w:bottom w:w="40" w:type="dxa"/>
              <w:right w:w="0" w:type="dxa"/>
            </w:tcMar>
          </w:tcPr>
          <w:p w14:paraId="36CA488B" w14:textId="77777777" w:rsidR="00787570" w:rsidRDefault="000D56E2">
            <w:pPr>
              <w:jc w:val="right"/>
              <w:textAlignment w:val="top"/>
            </w:pPr>
            <w:r>
              <w:rPr>
                <w:rFonts w:ascii="Arial" w:eastAsia="宋体" w:hAnsi="Arial" w:cs="Arial"/>
                <w:color w:val="0071C5"/>
                <w:sz w:val="18"/>
                <w:szCs w:val="18"/>
              </w:rPr>
              <w:t>(130)</w:t>
            </w:r>
          </w:p>
        </w:tc>
        <w:tc>
          <w:tcPr>
            <w:tcW w:w="0" w:type="auto"/>
            <w:shd w:val="clear" w:color="auto" w:fill="auto"/>
            <w:tcMar>
              <w:top w:w="40" w:type="dxa"/>
              <w:bottom w:w="40" w:type="dxa"/>
              <w:right w:w="20" w:type="dxa"/>
            </w:tcMar>
          </w:tcPr>
          <w:p w14:paraId="36CA488C"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488D" w14:textId="77777777" w:rsidR="00787570" w:rsidRDefault="00787570">
            <w:pPr>
              <w:rPr>
                <w:rFonts w:ascii="宋体"/>
              </w:rPr>
            </w:pPr>
          </w:p>
        </w:tc>
        <w:tc>
          <w:tcPr>
            <w:tcW w:w="0" w:type="auto"/>
            <w:gridSpan w:val="3"/>
            <w:shd w:val="clear" w:color="auto" w:fill="auto"/>
            <w:tcMar>
              <w:top w:w="40" w:type="dxa"/>
              <w:left w:w="20" w:type="dxa"/>
              <w:bottom w:w="40" w:type="dxa"/>
              <w:right w:w="20" w:type="dxa"/>
            </w:tcMar>
          </w:tcPr>
          <w:p w14:paraId="36CA488E" w14:textId="77777777" w:rsidR="00787570" w:rsidRDefault="000D56E2">
            <w:pPr>
              <w:textAlignment w:val="top"/>
            </w:pPr>
            <w:r>
              <w:rPr>
                <w:rFonts w:ascii="Arial" w:eastAsia="宋体" w:hAnsi="Arial" w:cs="Arial"/>
                <w:color w:val="0071C5"/>
                <w:sz w:val="18"/>
                <w:szCs w:val="18"/>
              </w:rPr>
              <w:t>Higher operating expenses</w:t>
            </w:r>
          </w:p>
        </w:tc>
      </w:tr>
      <w:tr w:rsidR="00787570" w14:paraId="36CA4894" w14:textId="77777777">
        <w:tc>
          <w:tcPr>
            <w:tcW w:w="0" w:type="auto"/>
            <w:gridSpan w:val="2"/>
            <w:shd w:val="clear" w:color="auto" w:fill="auto"/>
            <w:tcMar>
              <w:top w:w="40" w:type="dxa"/>
              <w:left w:w="20" w:type="dxa"/>
              <w:bottom w:w="40" w:type="dxa"/>
              <w:right w:w="0" w:type="dxa"/>
            </w:tcMar>
          </w:tcPr>
          <w:p w14:paraId="36CA4890" w14:textId="77777777" w:rsidR="00787570" w:rsidRDefault="000D56E2">
            <w:pPr>
              <w:jc w:val="right"/>
              <w:textAlignment w:val="top"/>
            </w:pPr>
            <w:r>
              <w:rPr>
                <w:rFonts w:ascii="Arial" w:eastAsia="宋体" w:hAnsi="Arial" w:cs="Arial"/>
                <w:color w:val="0071C5"/>
                <w:sz w:val="18"/>
                <w:szCs w:val="18"/>
              </w:rPr>
              <w:t>(95)</w:t>
            </w:r>
          </w:p>
        </w:tc>
        <w:tc>
          <w:tcPr>
            <w:tcW w:w="0" w:type="auto"/>
            <w:shd w:val="clear" w:color="auto" w:fill="auto"/>
            <w:tcMar>
              <w:top w:w="40" w:type="dxa"/>
              <w:bottom w:w="40" w:type="dxa"/>
              <w:right w:w="20" w:type="dxa"/>
            </w:tcMar>
          </w:tcPr>
          <w:p w14:paraId="36CA4891"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4892" w14:textId="77777777" w:rsidR="00787570" w:rsidRDefault="00787570">
            <w:pPr>
              <w:rPr>
                <w:rFonts w:ascii="宋体"/>
              </w:rPr>
            </w:pPr>
          </w:p>
        </w:tc>
        <w:tc>
          <w:tcPr>
            <w:tcW w:w="0" w:type="auto"/>
            <w:gridSpan w:val="3"/>
            <w:shd w:val="clear" w:color="auto" w:fill="auto"/>
            <w:tcMar>
              <w:top w:w="40" w:type="dxa"/>
              <w:left w:w="20" w:type="dxa"/>
              <w:bottom w:w="40" w:type="dxa"/>
              <w:right w:w="20" w:type="dxa"/>
            </w:tcMar>
          </w:tcPr>
          <w:p w14:paraId="36CA4893" w14:textId="77777777" w:rsidR="00787570" w:rsidRDefault="000D56E2">
            <w:pPr>
              <w:textAlignment w:val="top"/>
            </w:pPr>
            <w:r>
              <w:rPr>
                <w:rFonts w:ascii="Arial" w:eastAsia="宋体" w:hAnsi="Arial" w:cs="Arial"/>
                <w:color w:val="0071C5"/>
                <w:sz w:val="18"/>
                <w:szCs w:val="18"/>
              </w:rPr>
              <w:t>Higher platform unit cost</w:t>
            </w:r>
          </w:p>
        </w:tc>
      </w:tr>
      <w:tr w:rsidR="00787570" w14:paraId="36CA4899" w14:textId="77777777">
        <w:tc>
          <w:tcPr>
            <w:tcW w:w="0" w:type="auto"/>
            <w:gridSpan w:val="2"/>
            <w:shd w:val="clear" w:color="auto" w:fill="auto"/>
            <w:tcMar>
              <w:top w:w="40" w:type="dxa"/>
              <w:left w:w="20" w:type="dxa"/>
              <w:bottom w:w="40" w:type="dxa"/>
              <w:right w:w="0" w:type="dxa"/>
            </w:tcMar>
          </w:tcPr>
          <w:p w14:paraId="36CA4895" w14:textId="77777777" w:rsidR="00787570" w:rsidRDefault="000D56E2">
            <w:pPr>
              <w:jc w:val="right"/>
              <w:textAlignment w:val="top"/>
            </w:pPr>
            <w:r>
              <w:rPr>
                <w:rFonts w:ascii="Arial" w:eastAsia="宋体" w:hAnsi="Arial" w:cs="Arial"/>
                <w:color w:val="0071C5"/>
                <w:sz w:val="18"/>
                <w:szCs w:val="18"/>
              </w:rPr>
              <w:t>135 </w:t>
            </w:r>
          </w:p>
        </w:tc>
        <w:tc>
          <w:tcPr>
            <w:tcW w:w="0" w:type="auto"/>
            <w:shd w:val="clear" w:color="auto" w:fill="auto"/>
            <w:tcMar>
              <w:top w:w="40" w:type="dxa"/>
              <w:bottom w:w="40" w:type="dxa"/>
              <w:right w:w="20" w:type="dxa"/>
            </w:tcMar>
          </w:tcPr>
          <w:p w14:paraId="36CA4896"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4897" w14:textId="77777777" w:rsidR="00787570" w:rsidRDefault="00787570">
            <w:pPr>
              <w:rPr>
                <w:rFonts w:ascii="宋体"/>
              </w:rPr>
            </w:pPr>
          </w:p>
        </w:tc>
        <w:tc>
          <w:tcPr>
            <w:tcW w:w="0" w:type="auto"/>
            <w:gridSpan w:val="3"/>
            <w:shd w:val="clear" w:color="auto" w:fill="auto"/>
            <w:tcMar>
              <w:top w:w="40" w:type="dxa"/>
              <w:left w:w="20" w:type="dxa"/>
              <w:bottom w:w="40" w:type="dxa"/>
              <w:right w:w="20" w:type="dxa"/>
            </w:tcMar>
          </w:tcPr>
          <w:p w14:paraId="36CA4898" w14:textId="77777777" w:rsidR="00787570" w:rsidRDefault="000D56E2">
            <w:pPr>
              <w:textAlignment w:val="top"/>
            </w:pPr>
            <w:r>
              <w:rPr>
                <w:rFonts w:ascii="Arial" w:eastAsia="宋体" w:hAnsi="Arial" w:cs="Arial"/>
                <w:color w:val="0071C5"/>
                <w:sz w:val="18"/>
                <w:szCs w:val="18"/>
              </w:rPr>
              <w:t xml:space="preserve">Lower period charges due to </w:t>
            </w:r>
            <w:r>
              <w:rPr>
                <w:rFonts w:ascii="Arial" w:eastAsia="宋体" w:hAnsi="Arial" w:cs="Arial"/>
                <w:color w:val="0071C5"/>
                <w:sz w:val="18"/>
                <w:szCs w:val="18"/>
              </w:rPr>
              <w:t>lower factory start-up costs associated with the initial ramp of 10nm</w:t>
            </w:r>
          </w:p>
        </w:tc>
      </w:tr>
      <w:tr w:rsidR="00787570" w14:paraId="36CA489D" w14:textId="77777777">
        <w:trPr>
          <w:hidden/>
        </w:trPr>
        <w:tc>
          <w:tcPr>
            <w:tcW w:w="0" w:type="auto"/>
            <w:gridSpan w:val="3"/>
            <w:shd w:val="clear" w:color="auto" w:fill="auto"/>
          </w:tcPr>
          <w:p w14:paraId="36CA489A" w14:textId="77777777" w:rsidR="00787570" w:rsidRDefault="00787570">
            <w:pPr>
              <w:rPr>
                <w:rFonts w:ascii="宋体"/>
                <w:vanish/>
              </w:rPr>
            </w:pPr>
          </w:p>
        </w:tc>
        <w:tc>
          <w:tcPr>
            <w:tcW w:w="0" w:type="auto"/>
            <w:gridSpan w:val="3"/>
            <w:shd w:val="clear" w:color="auto" w:fill="auto"/>
          </w:tcPr>
          <w:p w14:paraId="36CA489B" w14:textId="77777777" w:rsidR="00787570" w:rsidRDefault="00787570">
            <w:pPr>
              <w:rPr>
                <w:rFonts w:ascii="宋体"/>
                <w:vanish/>
              </w:rPr>
            </w:pPr>
          </w:p>
        </w:tc>
        <w:tc>
          <w:tcPr>
            <w:tcW w:w="0" w:type="auto"/>
            <w:gridSpan w:val="3"/>
            <w:shd w:val="clear" w:color="auto" w:fill="auto"/>
          </w:tcPr>
          <w:p w14:paraId="36CA489C" w14:textId="77777777" w:rsidR="00787570" w:rsidRDefault="00787570">
            <w:pPr>
              <w:rPr>
                <w:rFonts w:ascii="宋体"/>
                <w:vanish/>
              </w:rPr>
            </w:pPr>
          </w:p>
        </w:tc>
      </w:tr>
      <w:tr w:rsidR="00787570" w14:paraId="36CA48A1" w14:textId="77777777">
        <w:trPr>
          <w:hidden/>
        </w:trPr>
        <w:tc>
          <w:tcPr>
            <w:tcW w:w="0" w:type="auto"/>
            <w:gridSpan w:val="3"/>
            <w:shd w:val="clear" w:color="auto" w:fill="auto"/>
          </w:tcPr>
          <w:p w14:paraId="36CA489E" w14:textId="77777777" w:rsidR="00787570" w:rsidRDefault="00787570">
            <w:pPr>
              <w:rPr>
                <w:rFonts w:ascii="宋体"/>
                <w:vanish/>
              </w:rPr>
            </w:pPr>
          </w:p>
        </w:tc>
        <w:tc>
          <w:tcPr>
            <w:tcW w:w="0" w:type="auto"/>
            <w:gridSpan w:val="3"/>
            <w:shd w:val="clear" w:color="auto" w:fill="auto"/>
          </w:tcPr>
          <w:p w14:paraId="36CA489F" w14:textId="77777777" w:rsidR="00787570" w:rsidRDefault="00787570">
            <w:pPr>
              <w:rPr>
                <w:rFonts w:ascii="宋体"/>
                <w:vanish/>
              </w:rPr>
            </w:pPr>
          </w:p>
        </w:tc>
        <w:tc>
          <w:tcPr>
            <w:tcW w:w="0" w:type="auto"/>
            <w:gridSpan w:val="3"/>
            <w:shd w:val="clear" w:color="auto" w:fill="auto"/>
          </w:tcPr>
          <w:p w14:paraId="36CA48A0" w14:textId="77777777" w:rsidR="00787570" w:rsidRDefault="00787570">
            <w:pPr>
              <w:rPr>
                <w:rFonts w:ascii="宋体"/>
                <w:vanish/>
              </w:rPr>
            </w:pPr>
          </w:p>
        </w:tc>
      </w:tr>
      <w:tr w:rsidR="00787570" w14:paraId="36CA48A5" w14:textId="77777777">
        <w:trPr>
          <w:hidden/>
        </w:trPr>
        <w:tc>
          <w:tcPr>
            <w:tcW w:w="0" w:type="auto"/>
            <w:gridSpan w:val="3"/>
            <w:shd w:val="clear" w:color="auto" w:fill="auto"/>
          </w:tcPr>
          <w:p w14:paraId="36CA48A2" w14:textId="77777777" w:rsidR="00787570" w:rsidRDefault="00787570">
            <w:pPr>
              <w:rPr>
                <w:rFonts w:ascii="宋体"/>
                <w:vanish/>
              </w:rPr>
            </w:pPr>
          </w:p>
        </w:tc>
        <w:tc>
          <w:tcPr>
            <w:tcW w:w="0" w:type="auto"/>
            <w:gridSpan w:val="3"/>
            <w:shd w:val="clear" w:color="auto" w:fill="auto"/>
          </w:tcPr>
          <w:p w14:paraId="36CA48A3" w14:textId="77777777" w:rsidR="00787570" w:rsidRDefault="00787570">
            <w:pPr>
              <w:rPr>
                <w:rFonts w:ascii="宋体"/>
                <w:vanish/>
              </w:rPr>
            </w:pPr>
          </w:p>
        </w:tc>
        <w:tc>
          <w:tcPr>
            <w:tcW w:w="0" w:type="auto"/>
            <w:gridSpan w:val="3"/>
            <w:shd w:val="clear" w:color="auto" w:fill="auto"/>
          </w:tcPr>
          <w:p w14:paraId="36CA48A4" w14:textId="77777777" w:rsidR="00787570" w:rsidRDefault="00787570">
            <w:pPr>
              <w:rPr>
                <w:rFonts w:ascii="宋体"/>
                <w:vanish/>
              </w:rPr>
            </w:pPr>
          </w:p>
        </w:tc>
      </w:tr>
      <w:tr w:rsidR="00787570" w14:paraId="36CA48A9" w14:textId="77777777">
        <w:trPr>
          <w:hidden/>
        </w:trPr>
        <w:tc>
          <w:tcPr>
            <w:tcW w:w="0" w:type="auto"/>
            <w:gridSpan w:val="3"/>
            <w:shd w:val="clear" w:color="auto" w:fill="auto"/>
          </w:tcPr>
          <w:p w14:paraId="36CA48A6" w14:textId="77777777" w:rsidR="00787570" w:rsidRDefault="00787570">
            <w:pPr>
              <w:rPr>
                <w:rFonts w:ascii="宋体"/>
                <w:vanish/>
              </w:rPr>
            </w:pPr>
          </w:p>
        </w:tc>
        <w:tc>
          <w:tcPr>
            <w:tcW w:w="0" w:type="auto"/>
            <w:gridSpan w:val="3"/>
            <w:shd w:val="clear" w:color="auto" w:fill="auto"/>
          </w:tcPr>
          <w:p w14:paraId="36CA48A7" w14:textId="77777777" w:rsidR="00787570" w:rsidRDefault="00787570">
            <w:pPr>
              <w:rPr>
                <w:rFonts w:ascii="宋体"/>
                <w:vanish/>
              </w:rPr>
            </w:pPr>
          </w:p>
        </w:tc>
        <w:tc>
          <w:tcPr>
            <w:tcW w:w="0" w:type="auto"/>
            <w:gridSpan w:val="3"/>
            <w:shd w:val="clear" w:color="auto" w:fill="auto"/>
          </w:tcPr>
          <w:p w14:paraId="36CA48A8" w14:textId="77777777" w:rsidR="00787570" w:rsidRDefault="00787570">
            <w:pPr>
              <w:rPr>
                <w:rFonts w:ascii="宋体"/>
                <w:vanish/>
              </w:rPr>
            </w:pPr>
          </w:p>
        </w:tc>
      </w:tr>
      <w:tr w:rsidR="00787570" w14:paraId="36CA48AD" w14:textId="77777777">
        <w:trPr>
          <w:hidden/>
        </w:trPr>
        <w:tc>
          <w:tcPr>
            <w:tcW w:w="0" w:type="auto"/>
            <w:gridSpan w:val="3"/>
            <w:shd w:val="clear" w:color="auto" w:fill="auto"/>
          </w:tcPr>
          <w:p w14:paraId="36CA48AA" w14:textId="77777777" w:rsidR="00787570" w:rsidRDefault="00787570">
            <w:pPr>
              <w:rPr>
                <w:rFonts w:ascii="宋体"/>
                <w:vanish/>
              </w:rPr>
            </w:pPr>
          </w:p>
        </w:tc>
        <w:tc>
          <w:tcPr>
            <w:tcW w:w="0" w:type="auto"/>
            <w:gridSpan w:val="3"/>
            <w:shd w:val="clear" w:color="auto" w:fill="auto"/>
          </w:tcPr>
          <w:p w14:paraId="36CA48AB" w14:textId="77777777" w:rsidR="00787570" w:rsidRDefault="00787570">
            <w:pPr>
              <w:rPr>
                <w:rFonts w:ascii="宋体"/>
                <w:vanish/>
              </w:rPr>
            </w:pPr>
          </w:p>
        </w:tc>
        <w:tc>
          <w:tcPr>
            <w:tcW w:w="0" w:type="auto"/>
            <w:gridSpan w:val="3"/>
            <w:shd w:val="clear" w:color="auto" w:fill="auto"/>
          </w:tcPr>
          <w:p w14:paraId="36CA48AC" w14:textId="77777777" w:rsidR="00787570" w:rsidRDefault="00787570">
            <w:pPr>
              <w:rPr>
                <w:rFonts w:ascii="宋体"/>
                <w:vanish/>
              </w:rPr>
            </w:pPr>
          </w:p>
        </w:tc>
      </w:tr>
      <w:tr w:rsidR="00787570" w14:paraId="36CA48B1" w14:textId="77777777">
        <w:trPr>
          <w:hidden/>
        </w:trPr>
        <w:tc>
          <w:tcPr>
            <w:tcW w:w="0" w:type="auto"/>
            <w:gridSpan w:val="3"/>
            <w:shd w:val="clear" w:color="auto" w:fill="auto"/>
          </w:tcPr>
          <w:p w14:paraId="36CA48AE" w14:textId="77777777" w:rsidR="00787570" w:rsidRDefault="00787570">
            <w:pPr>
              <w:rPr>
                <w:rFonts w:ascii="宋体"/>
                <w:vanish/>
              </w:rPr>
            </w:pPr>
          </w:p>
        </w:tc>
        <w:tc>
          <w:tcPr>
            <w:tcW w:w="0" w:type="auto"/>
            <w:gridSpan w:val="3"/>
            <w:shd w:val="clear" w:color="auto" w:fill="auto"/>
          </w:tcPr>
          <w:p w14:paraId="36CA48AF" w14:textId="77777777" w:rsidR="00787570" w:rsidRDefault="00787570">
            <w:pPr>
              <w:rPr>
                <w:rFonts w:ascii="宋体"/>
                <w:vanish/>
              </w:rPr>
            </w:pPr>
          </w:p>
        </w:tc>
        <w:tc>
          <w:tcPr>
            <w:tcW w:w="0" w:type="auto"/>
            <w:gridSpan w:val="3"/>
            <w:shd w:val="clear" w:color="auto" w:fill="auto"/>
          </w:tcPr>
          <w:p w14:paraId="36CA48B0" w14:textId="77777777" w:rsidR="00787570" w:rsidRDefault="00787570">
            <w:pPr>
              <w:rPr>
                <w:rFonts w:ascii="宋体"/>
                <w:vanish/>
              </w:rPr>
            </w:pPr>
          </w:p>
        </w:tc>
      </w:tr>
      <w:tr w:rsidR="00787570" w14:paraId="36CA48B6" w14:textId="77777777">
        <w:tc>
          <w:tcPr>
            <w:tcW w:w="0" w:type="auto"/>
            <w:gridSpan w:val="2"/>
            <w:shd w:val="clear" w:color="auto" w:fill="auto"/>
            <w:tcMar>
              <w:top w:w="40" w:type="dxa"/>
              <w:left w:w="20" w:type="dxa"/>
              <w:bottom w:w="40" w:type="dxa"/>
              <w:right w:w="0" w:type="dxa"/>
            </w:tcMar>
          </w:tcPr>
          <w:p w14:paraId="36CA48B2" w14:textId="77777777" w:rsidR="00787570" w:rsidRDefault="000D56E2">
            <w:pPr>
              <w:jc w:val="right"/>
              <w:textAlignment w:val="top"/>
            </w:pPr>
            <w:r>
              <w:rPr>
                <w:rFonts w:ascii="Arial" w:eastAsia="宋体" w:hAnsi="Arial" w:cs="Arial"/>
                <w:color w:val="0071C5"/>
                <w:sz w:val="18"/>
                <w:szCs w:val="18"/>
              </w:rPr>
              <w:t>(12)</w:t>
            </w:r>
          </w:p>
        </w:tc>
        <w:tc>
          <w:tcPr>
            <w:tcW w:w="0" w:type="auto"/>
            <w:shd w:val="clear" w:color="auto" w:fill="auto"/>
            <w:tcMar>
              <w:top w:w="40" w:type="dxa"/>
              <w:bottom w:w="40" w:type="dxa"/>
              <w:right w:w="20" w:type="dxa"/>
            </w:tcMar>
          </w:tcPr>
          <w:p w14:paraId="36CA48B3"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48B4" w14:textId="77777777" w:rsidR="00787570" w:rsidRDefault="00787570">
            <w:pPr>
              <w:rPr>
                <w:rFonts w:ascii="宋体"/>
              </w:rPr>
            </w:pPr>
          </w:p>
        </w:tc>
        <w:tc>
          <w:tcPr>
            <w:tcW w:w="0" w:type="auto"/>
            <w:gridSpan w:val="3"/>
            <w:shd w:val="clear" w:color="auto" w:fill="auto"/>
            <w:tcMar>
              <w:top w:w="40" w:type="dxa"/>
              <w:left w:w="20" w:type="dxa"/>
              <w:bottom w:w="40" w:type="dxa"/>
              <w:right w:w="20" w:type="dxa"/>
            </w:tcMar>
          </w:tcPr>
          <w:p w14:paraId="36CA48B5" w14:textId="77777777" w:rsidR="00787570" w:rsidRDefault="000D56E2">
            <w:pPr>
              <w:textAlignment w:val="top"/>
            </w:pPr>
            <w:r>
              <w:rPr>
                <w:rFonts w:ascii="Arial" w:eastAsia="宋体" w:hAnsi="Arial" w:cs="Arial"/>
                <w:color w:val="0071C5"/>
                <w:sz w:val="18"/>
                <w:szCs w:val="18"/>
              </w:rPr>
              <w:t>Other</w:t>
            </w:r>
          </w:p>
        </w:tc>
      </w:tr>
      <w:tr w:rsidR="00787570" w14:paraId="36CA48BC" w14:textId="77777777">
        <w:tc>
          <w:tcPr>
            <w:tcW w:w="0" w:type="auto"/>
            <w:tcBorders>
              <w:top w:val="single" w:sz="8" w:space="0" w:color="333333"/>
            </w:tcBorders>
            <w:shd w:val="clear" w:color="auto" w:fill="auto"/>
            <w:tcMar>
              <w:top w:w="40" w:type="dxa"/>
              <w:left w:w="20" w:type="dxa"/>
              <w:bottom w:w="40" w:type="dxa"/>
            </w:tcMar>
            <w:vAlign w:val="bottom"/>
          </w:tcPr>
          <w:p w14:paraId="36CA48B7" w14:textId="77777777" w:rsidR="00787570" w:rsidRDefault="000D56E2">
            <w:pPr>
              <w:textAlignment w:val="bottom"/>
            </w:pPr>
            <w:r>
              <w:rPr>
                <w:rFonts w:ascii="Arial" w:eastAsia="宋体" w:hAnsi="Arial" w:cs="Arial"/>
                <w:b/>
                <w:bCs/>
                <w:color w:val="333333"/>
                <w:sz w:val="18"/>
                <w:szCs w:val="18"/>
              </w:rPr>
              <w:t>$</w:t>
            </w:r>
          </w:p>
        </w:tc>
        <w:tc>
          <w:tcPr>
            <w:tcW w:w="0" w:type="auto"/>
            <w:tcBorders>
              <w:top w:val="single" w:sz="8" w:space="0" w:color="333333"/>
            </w:tcBorders>
            <w:shd w:val="clear" w:color="auto" w:fill="auto"/>
            <w:tcMar>
              <w:top w:w="40" w:type="dxa"/>
              <w:bottom w:w="40" w:type="dxa"/>
              <w:right w:w="0" w:type="dxa"/>
            </w:tcMar>
            <w:vAlign w:val="bottom"/>
          </w:tcPr>
          <w:p w14:paraId="36CA48B8" w14:textId="77777777" w:rsidR="00787570" w:rsidRDefault="000D56E2">
            <w:pPr>
              <w:jc w:val="right"/>
              <w:textAlignment w:val="bottom"/>
            </w:pPr>
            <w:r>
              <w:rPr>
                <w:rFonts w:ascii="Arial" w:eastAsia="宋体" w:hAnsi="Arial" w:cs="Arial"/>
                <w:b/>
                <w:bCs/>
                <w:color w:val="333333"/>
                <w:sz w:val="18"/>
                <w:szCs w:val="18"/>
              </w:rPr>
              <w:t>3,115</w:t>
            </w:r>
            <w:r>
              <w:rPr>
                <w:rFonts w:ascii="Arial" w:eastAsia="宋体" w:hAnsi="Arial" w:cs="Arial"/>
                <w:color w:val="333333"/>
                <w:sz w:val="18"/>
                <w:szCs w:val="18"/>
              </w:rPr>
              <w:t> </w:t>
            </w:r>
          </w:p>
        </w:tc>
        <w:tc>
          <w:tcPr>
            <w:tcW w:w="0" w:type="auto"/>
            <w:tcBorders>
              <w:top w:val="single" w:sz="8" w:space="0" w:color="333333"/>
            </w:tcBorders>
            <w:shd w:val="clear" w:color="auto" w:fill="auto"/>
            <w:tcMar>
              <w:top w:w="40" w:type="dxa"/>
              <w:bottom w:w="40" w:type="dxa"/>
              <w:right w:w="20" w:type="dxa"/>
            </w:tcMar>
            <w:vAlign w:val="bottom"/>
          </w:tcPr>
          <w:p w14:paraId="36CA48B9"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48BA" w14:textId="77777777" w:rsidR="00787570" w:rsidRDefault="00787570">
            <w:pPr>
              <w:rPr>
                <w:rFonts w:ascii="宋体"/>
              </w:rPr>
            </w:pPr>
          </w:p>
        </w:tc>
        <w:tc>
          <w:tcPr>
            <w:tcW w:w="0" w:type="auto"/>
            <w:gridSpan w:val="3"/>
            <w:tcBorders>
              <w:top w:val="single" w:sz="8" w:space="0" w:color="333333"/>
            </w:tcBorders>
            <w:shd w:val="clear" w:color="auto" w:fill="auto"/>
            <w:tcMar>
              <w:top w:w="40" w:type="dxa"/>
              <w:left w:w="20" w:type="dxa"/>
              <w:bottom w:w="40" w:type="dxa"/>
              <w:right w:w="20" w:type="dxa"/>
            </w:tcMar>
            <w:vAlign w:val="bottom"/>
          </w:tcPr>
          <w:p w14:paraId="36CA48BB" w14:textId="77777777" w:rsidR="00787570" w:rsidRDefault="000D56E2">
            <w:pPr>
              <w:textAlignment w:val="bottom"/>
            </w:pPr>
            <w:r>
              <w:rPr>
                <w:rFonts w:ascii="Arial" w:eastAsia="宋体" w:hAnsi="Arial" w:cs="Arial"/>
                <w:b/>
                <w:bCs/>
                <w:color w:val="333333"/>
                <w:sz w:val="18"/>
                <w:szCs w:val="18"/>
              </w:rPr>
              <w:t>Q3 2019 DCG Operating Income</w:t>
            </w:r>
          </w:p>
        </w:tc>
      </w:tr>
      <w:tr w:rsidR="00787570" w14:paraId="36CA48C0" w14:textId="77777777">
        <w:trPr>
          <w:trHeight w:val="160"/>
        </w:trPr>
        <w:tc>
          <w:tcPr>
            <w:tcW w:w="0" w:type="auto"/>
            <w:gridSpan w:val="3"/>
            <w:tcBorders>
              <w:top w:val="single" w:sz="8" w:space="0" w:color="333333"/>
            </w:tcBorders>
            <w:shd w:val="clear" w:color="auto" w:fill="auto"/>
            <w:tcMar>
              <w:left w:w="20" w:type="dxa"/>
              <w:right w:w="20" w:type="dxa"/>
            </w:tcMar>
            <w:vAlign w:val="bottom"/>
          </w:tcPr>
          <w:p w14:paraId="36CA48BD"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48BE" w14:textId="77777777" w:rsidR="00787570" w:rsidRDefault="00787570">
            <w:pPr>
              <w:rPr>
                <w:rFonts w:ascii="宋体"/>
              </w:rPr>
            </w:pPr>
          </w:p>
        </w:tc>
        <w:tc>
          <w:tcPr>
            <w:tcW w:w="0" w:type="auto"/>
            <w:gridSpan w:val="3"/>
            <w:tcBorders>
              <w:top w:val="single" w:sz="8" w:space="0" w:color="333333"/>
            </w:tcBorders>
            <w:shd w:val="clear" w:color="auto" w:fill="auto"/>
            <w:tcMar>
              <w:left w:w="20" w:type="dxa"/>
              <w:right w:w="20" w:type="dxa"/>
            </w:tcMar>
            <w:vAlign w:val="bottom"/>
          </w:tcPr>
          <w:p w14:paraId="36CA48BF" w14:textId="77777777" w:rsidR="00787570" w:rsidRDefault="00787570">
            <w:pPr>
              <w:rPr>
                <w:rFonts w:ascii="宋体"/>
              </w:rPr>
            </w:pPr>
          </w:p>
        </w:tc>
      </w:tr>
      <w:tr w:rsidR="00787570" w14:paraId="36CA48C6" w14:textId="77777777">
        <w:tc>
          <w:tcPr>
            <w:tcW w:w="0" w:type="auto"/>
            <w:tcBorders>
              <w:top w:val="single" w:sz="8" w:space="0" w:color="333333"/>
            </w:tcBorders>
            <w:shd w:val="clear" w:color="auto" w:fill="auto"/>
            <w:tcMar>
              <w:top w:w="40" w:type="dxa"/>
              <w:left w:w="20" w:type="dxa"/>
              <w:bottom w:w="40" w:type="dxa"/>
            </w:tcMar>
            <w:vAlign w:val="bottom"/>
          </w:tcPr>
          <w:p w14:paraId="36CA48C1" w14:textId="77777777" w:rsidR="00787570" w:rsidRDefault="000D56E2">
            <w:pPr>
              <w:textAlignment w:val="bottom"/>
            </w:pPr>
            <w:r>
              <w:rPr>
                <w:rFonts w:ascii="Arial" w:eastAsia="宋体" w:hAnsi="Arial" w:cs="Arial"/>
                <w:b/>
                <w:bCs/>
                <w:color w:val="0071C5"/>
                <w:sz w:val="18"/>
                <w:szCs w:val="18"/>
              </w:rPr>
              <w:t>$</w:t>
            </w:r>
          </w:p>
        </w:tc>
        <w:tc>
          <w:tcPr>
            <w:tcW w:w="0" w:type="auto"/>
            <w:tcBorders>
              <w:top w:val="single" w:sz="8" w:space="0" w:color="333333"/>
            </w:tcBorders>
            <w:shd w:val="clear" w:color="auto" w:fill="auto"/>
            <w:tcMar>
              <w:top w:w="40" w:type="dxa"/>
              <w:bottom w:w="40" w:type="dxa"/>
              <w:right w:w="0" w:type="dxa"/>
            </w:tcMar>
            <w:vAlign w:val="bottom"/>
          </w:tcPr>
          <w:p w14:paraId="36CA48C2" w14:textId="77777777" w:rsidR="00787570" w:rsidRDefault="000D56E2">
            <w:pPr>
              <w:jc w:val="right"/>
              <w:textAlignment w:val="bottom"/>
            </w:pPr>
            <w:r>
              <w:rPr>
                <w:rFonts w:ascii="Arial" w:eastAsia="宋体" w:hAnsi="Arial" w:cs="Arial"/>
                <w:b/>
                <w:bCs/>
                <w:color w:val="0071C5"/>
                <w:sz w:val="18"/>
                <w:szCs w:val="18"/>
              </w:rPr>
              <w:t>8,494</w:t>
            </w:r>
            <w:r>
              <w:rPr>
                <w:rFonts w:ascii="Arial" w:eastAsia="宋体" w:hAnsi="Arial" w:cs="Arial"/>
                <w:color w:val="0071C5"/>
                <w:sz w:val="18"/>
                <w:szCs w:val="18"/>
              </w:rPr>
              <w:t> </w:t>
            </w:r>
          </w:p>
        </w:tc>
        <w:tc>
          <w:tcPr>
            <w:tcW w:w="0" w:type="auto"/>
            <w:tcBorders>
              <w:top w:val="single" w:sz="8" w:space="0" w:color="333333"/>
            </w:tcBorders>
            <w:shd w:val="clear" w:color="auto" w:fill="auto"/>
            <w:tcMar>
              <w:top w:w="40" w:type="dxa"/>
              <w:bottom w:w="40" w:type="dxa"/>
              <w:right w:w="20" w:type="dxa"/>
            </w:tcMar>
            <w:vAlign w:val="bottom"/>
          </w:tcPr>
          <w:p w14:paraId="36CA48C3"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48C4" w14:textId="77777777" w:rsidR="00787570" w:rsidRDefault="00787570">
            <w:pPr>
              <w:rPr>
                <w:rFonts w:ascii="宋体"/>
              </w:rPr>
            </w:pPr>
          </w:p>
        </w:tc>
        <w:tc>
          <w:tcPr>
            <w:tcW w:w="0" w:type="auto"/>
            <w:gridSpan w:val="3"/>
            <w:tcBorders>
              <w:top w:val="single" w:sz="8" w:space="0" w:color="333333"/>
            </w:tcBorders>
            <w:shd w:val="clear" w:color="auto" w:fill="auto"/>
            <w:tcMar>
              <w:top w:w="40" w:type="dxa"/>
              <w:left w:w="20" w:type="dxa"/>
              <w:bottom w:w="40" w:type="dxa"/>
              <w:right w:w="20" w:type="dxa"/>
            </w:tcMar>
            <w:vAlign w:val="bottom"/>
          </w:tcPr>
          <w:p w14:paraId="36CA48C5" w14:textId="77777777" w:rsidR="00787570" w:rsidRDefault="000D56E2">
            <w:pPr>
              <w:textAlignment w:val="bottom"/>
            </w:pPr>
            <w:r>
              <w:rPr>
                <w:rFonts w:ascii="Arial" w:eastAsia="宋体" w:hAnsi="Arial" w:cs="Arial"/>
                <w:b/>
                <w:bCs/>
                <w:color w:val="333333"/>
                <w:sz w:val="18"/>
                <w:szCs w:val="18"/>
              </w:rPr>
              <w:t>YTD 2020 DCG Operating Income</w:t>
            </w:r>
          </w:p>
        </w:tc>
      </w:tr>
      <w:tr w:rsidR="00787570" w14:paraId="36CA48CB" w14:textId="77777777">
        <w:tc>
          <w:tcPr>
            <w:tcW w:w="0" w:type="auto"/>
            <w:gridSpan w:val="2"/>
            <w:tcBorders>
              <w:top w:val="single" w:sz="8" w:space="0" w:color="333333"/>
            </w:tcBorders>
            <w:shd w:val="clear" w:color="auto" w:fill="auto"/>
            <w:tcMar>
              <w:top w:w="40" w:type="dxa"/>
              <w:left w:w="20" w:type="dxa"/>
              <w:bottom w:w="40" w:type="dxa"/>
              <w:right w:w="0" w:type="dxa"/>
            </w:tcMar>
          </w:tcPr>
          <w:p w14:paraId="36CA48C7" w14:textId="77777777" w:rsidR="00787570" w:rsidRDefault="000D56E2">
            <w:pPr>
              <w:jc w:val="right"/>
              <w:textAlignment w:val="top"/>
            </w:pPr>
            <w:r>
              <w:rPr>
                <w:rFonts w:ascii="Arial" w:eastAsia="宋体" w:hAnsi="Arial" w:cs="Arial"/>
                <w:color w:val="0071C5"/>
                <w:sz w:val="18"/>
                <w:szCs w:val="18"/>
              </w:rPr>
              <w:t>2,540 </w:t>
            </w:r>
          </w:p>
        </w:tc>
        <w:tc>
          <w:tcPr>
            <w:tcW w:w="0" w:type="auto"/>
            <w:tcBorders>
              <w:top w:val="single" w:sz="8" w:space="0" w:color="333333"/>
            </w:tcBorders>
            <w:shd w:val="clear" w:color="auto" w:fill="auto"/>
            <w:tcMar>
              <w:top w:w="40" w:type="dxa"/>
              <w:bottom w:w="40" w:type="dxa"/>
              <w:right w:w="20" w:type="dxa"/>
            </w:tcMar>
          </w:tcPr>
          <w:p w14:paraId="36CA48C8"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48C9" w14:textId="77777777" w:rsidR="00787570" w:rsidRDefault="00787570">
            <w:pPr>
              <w:rPr>
                <w:rFonts w:ascii="宋体"/>
              </w:rPr>
            </w:pPr>
          </w:p>
        </w:tc>
        <w:tc>
          <w:tcPr>
            <w:tcW w:w="0" w:type="auto"/>
            <w:gridSpan w:val="3"/>
            <w:tcBorders>
              <w:top w:val="single" w:sz="8" w:space="0" w:color="333333"/>
            </w:tcBorders>
            <w:shd w:val="clear" w:color="auto" w:fill="auto"/>
            <w:tcMar>
              <w:top w:w="40" w:type="dxa"/>
              <w:left w:w="20" w:type="dxa"/>
              <w:bottom w:w="40" w:type="dxa"/>
              <w:right w:w="20" w:type="dxa"/>
            </w:tcMar>
          </w:tcPr>
          <w:p w14:paraId="36CA48CA" w14:textId="77777777" w:rsidR="00787570" w:rsidRDefault="000D56E2">
            <w:pPr>
              <w:textAlignment w:val="top"/>
            </w:pPr>
            <w:r>
              <w:rPr>
                <w:rFonts w:ascii="Arial" w:eastAsia="宋体" w:hAnsi="Arial" w:cs="Arial"/>
                <w:color w:val="0071C5"/>
                <w:sz w:val="18"/>
                <w:szCs w:val="18"/>
              </w:rPr>
              <w:t>Higher gross margin from platform revenue</w:t>
            </w:r>
          </w:p>
        </w:tc>
      </w:tr>
      <w:tr w:rsidR="00787570" w14:paraId="36CA48D0" w14:textId="77777777">
        <w:tc>
          <w:tcPr>
            <w:tcW w:w="0" w:type="auto"/>
            <w:gridSpan w:val="2"/>
            <w:shd w:val="clear" w:color="auto" w:fill="auto"/>
            <w:tcMar>
              <w:top w:w="40" w:type="dxa"/>
              <w:left w:w="20" w:type="dxa"/>
              <w:bottom w:w="40" w:type="dxa"/>
              <w:right w:w="0" w:type="dxa"/>
            </w:tcMar>
          </w:tcPr>
          <w:p w14:paraId="36CA48CC" w14:textId="77777777" w:rsidR="00787570" w:rsidRDefault="000D56E2">
            <w:pPr>
              <w:jc w:val="right"/>
              <w:textAlignment w:val="top"/>
            </w:pPr>
            <w:r>
              <w:rPr>
                <w:rFonts w:ascii="Arial" w:eastAsia="宋体" w:hAnsi="Arial" w:cs="Arial"/>
                <w:color w:val="0071C5"/>
                <w:sz w:val="18"/>
                <w:szCs w:val="18"/>
              </w:rPr>
              <w:t>280 </w:t>
            </w:r>
          </w:p>
        </w:tc>
        <w:tc>
          <w:tcPr>
            <w:tcW w:w="0" w:type="auto"/>
            <w:shd w:val="clear" w:color="auto" w:fill="auto"/>
            <w:tcMar>
              <w:top w:w="40" w:type="dxa"/>
              <w:bottom w:w="40" w:type="dxa"/>
              <w:right w:w="20" w:type="dxa"/>
            </w:tcMar>
          </w:tcPr>
          <w:p w14:paraId="36CA48CD"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48CE" w14:textId="77777777" w:rsidR="00787570" w:rsidRDefault="00787570">
            <w:pPr>
              <w:rPr>
                <w:rFonts w:ascii="宋体"/>
              </w:rPr>
            </w:pPr>
          </w:p>
        </w:tc>
        <w:tc>
          <w:tcPr>
            <w:tcW w:w="0" w:type="auto"/>
            <w:gridSpan w:val="3"/>
            <w:shd w:val="clear" w:color="auto" w:fill="auto"/>
            <w:tcMar>
              <w:top w:w="40" w:type="dxa"/>
              <w:left w:w="20" w:type="dxa"/>
              <w:bottom w:w="40" w:type="dxa"/>
              <w:right w:w="20" w:type="dxa"/>
            </w:tcMar>
          </w:tcPr>
          <w:p w14:paraId="36CA48CF" w14:textId="77777777" w:rsidR="00787570" w:rsidRDefault="000D56E2">
            <w:pPr>
              <w:textAlignment w:val="top"/>
            </w:pPr>
            <w:r>
              <w:rPr>
                <w:rFonts w:ascii="Arial" w:eastAsia="宋体" w:hAnsi="Arial" w:cs="Arial"/>
                <w:color w:val="0071C5"/>
                <w:sz w:val="18"/>
                <w:szCs w:val="18"/>
              </w:rPr>
              <w:t>Lower period charges due to lower factory start-up costs associated with the initial ramp of 10nm</w:t>
            </w:r>
          </w:p>
        </w:tc>
      </w:tr>
      <w:tr w:rsidR="00787570" w14:paraId="36CA48D5" w14:textId="77777777">
        <w:tc>
          <w:tcPr>
            <w:tcW w:w="0" w:type="auto"/>
            <w:gridSpan w:val="2"/>
            <w:shd w:val="clear" w:color="auto" w:fill="auto"/>
            <w:tcMar>
              <w:top w:w="40" w:type="dxa"/>
              <w:left w:w="20" w:type="dxa"/>
              <w:bottom w:w="40" w:type="dxa"/>
              <w:right w:w="0" w:type="dxa"/>
            </w:tcMar>
          </w:tcPr>
          <w:p w14:paraId="36CA48D1" w14:textId="77777777" w:rsidR="00787570" w:rsidRDefault="000D56E2">
            <w:pPr>
              <w:jc w:val="right"/>
              <w:textAlignment w:val="top"/>
            </w:pPr>
            <w:r>
              <w:rPr>
                <w:rFonts w:ascii="Arial" w:eastAsia="宋体" w:hAnsi="Arial" w:cs="Arial"/>
                <w:color w:val="0071C5"/>
                <w:sz w:val="18"/>
                <w:szCs w:val="18"/>
              </w:rPr>
              <w:t>(440)</w:t>
            </w:r>
          </w:p>
        </w:tc>
        <w:tc>
          <w:tcPr>
            <w:tcW w:w="0" w:type="auto"/>
            <w:shd w:val="clear" w:color="auto" w:fill="auto"/>
            <w:tcMar>
              <w:top w:w="40" w:type="dxa"/>
              <w:bottom w:w="40" w:type="dxa"/>
              <w:right w:w="20" w:type="dxa"/>
            </w:tcMar>
          </w:tcPr>
          <w:p w14:paraId="36CA48D2"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48D3" w14:textId="77777777" w:rsidR="00787570" w:rsidRDefault="00787570">
            <w:pPr>
              <w:rPr>
                <w:rFonts w:ascii="宋体"/>
              </w:rPr>
            </w:pPr>
          </w:p>
        </w:tc>
        <w:tc>
          <w:tcPr>
            <w:tcW w:w="0" w:type="auto"/>
            <w:gridSpan w:val="3"/>
            <w:shd w:val="clear" w:color="auto" w:fill="auto"/>
            <w:tcMar>
              <w:top w:w="40" w:type="dxa"/>
              <w:left w:w="20" w:type="dxa"/>
              <w:bottom w:w="40" w:type="dxa"/>
              <w:right w:w="20" w:type="dxa"/>
            </w:tcMar>
          </w:tcPr>
          <w:p w14:paraId="36CA48D4" w14:textId="77777777" w:rsidR="00787570" w:rsidRDefault="000D56E2">
            <w:pPr>
              <w:textAlignment w:val="top"/>
            </w:pPr>
            <w:r>
              <w:rPr>
                <w:rFonts w:ascii="Arial" w:eastAsia="宋体" w:hAnsi="Arial" w:cs="Arial"/>
                <w:color w:val="0071C5"/>
                <w:sz w:val="18"/>
                <w:szCs w:val="18"/>
              </w:rPr>
              <w:t>Lower DCG adjacent product margin</w:t>
            </w:r>
          </w:p>
        </w:tc>
      </w:tr>
      <w:tr w:rsidR="00787570" w14:paraId="36CA48DA" w14:textId="77777777">
        <w:tc>
          <w:tcPr>
            <w:tcW w:w="0" w:type="auto"/>
            <w:gridSpan w:val="2"/>
            <w:shd w:val="clear" w:color="auto" w:fill="auto"/>
            <w:tcMar>
              <w:top w:w="40" w:type="dxa"/>
              <w:left w:w="20" w:type="dxa"/>
              <w:bottom w:w="40" w:type="dxa"/>
              <w:right w:w="0" w:type="dxa"/>
            </w:tcMar>
          </w:tcPr>
          <w:p w14:paraId="36CA48D6" w14:textId="77777777" w:rsidR="00787570" w:rsidRDefault="000D56E2">
            <w:pPr>
              <w:jc w:val="right"/>
              <w:textAlignment w:val="top"/>
            </w:pPr>
            <w:r>
              <w:rPr>
                <w:rFonts w:ascii="Arial" w:eastAsia="宋体" w:hAnsi="Arial" w:cs="Arial"/>
                <w:color w:val="0071C5"/>
                <w:sz w:val="18"/>
                <w:szCs w:val="18"/>
              </w:rPr>
              <w:t>(220)</w:t>
            </w:r>
          </w:p>
        </w:tc>
        <w:tc>
          <w:tcPr>
            <w:tcW w:w="0" w:type="auto"/>
            <w:shd w:val="clear" w:color="auto" w:fill="auto"/>
            <w:tcMar>
              <w:top w:w="40" w:type="dxa"/>
              <w:bottom w:w="40" w:type="dxa"/>
              <w:right w:w="20" w:type="dxa"/>
            </w:tcMar>
          </w:tcPr>
          <w:p w14:paraId="36CA48D7"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48D8" w14:textId="77777777" w:rsidR="00787570" w:rsidRDefault="00787570">
            <w:pPr>
              <w:rPr>
                <w:rFonts w:ascii="宋体"/>
              </w:rPr>
            </w:pPr>
          </w:p>
        </w:tc>
        <w:tc>
          <w:tcPr>
            <w:tcW w:w="0" w:type="auto"/>
            <w:gridSpan w:val="3"/>
            <w:shd w:val="clear" w:color="auto" w:fill="auto"/>
            <w:tcMar>
              <w:top w:w="40" w:type="dxa"/>
              <w:left w:w="20" w:type="dxa"/>
              <w:bottom w:w="40" w:type="dxa"/>
              <w:right w:w="20" w:type="dxa"/>
            </w:tcMar>
          </w:tcPr>
          <w:p w14:paraId="36CA48D9" w14:textId="77777777" w:rsidR="00787570" w:rsidRDefault="000D56E2">
            <w:pPr>
              <w:textAlignment w:val="top"/>
            </w:pPr>
            <w:r>
              <w:rPr>
                <w:rFonts w:ascii="Arial" w:eastAsia="宋体" w:hAnsi="Arial" w:cs="Arial"/>
                <w:color w:val="0071C5"/>
                <w:sz w:val="18"/>
                <w:szCs w:val="18"/>
              </w:rPr>
              <w:t>Higher platform unit cost</w:t>
            </w:r>
          </w:p>
        </w:tc>
      </w:tr>
      <w:tr w:rsidR="00787570" w14:paraId="36CA48DF" w14:textId="77777777">
        <w:tc>
          <w:tcPr>
            <w:tcW w:w="0" w:type="auto"/>
            <w:gridSpan w:val="2"/>
            <w:shd w:val="clear" w:color="auto" w:fill="auto"/>
            <w:tcMar>
              <w:top w:w="40" w:type="dxa"/>
              <w:left w:w="20" w:type="dxa"/>
              <w:bottom w:w="40" w:type="dxa"/>
              <w:right w:w="0" w:type="dxa"/>
            </w:tcMar>
          </w:tcPr>
          <w:p w14:paraId="36CA48DB" w14:textId="77777777" w:rsidR="00787570" w:rsidRDefault="000D56E2">
            <w:pPr>
              <w:jc w:val="right"/>
              <w:textAlignment w:val="top"/>
            </w:pPr>
            <w:r>
              <w:rPr>
                <w:rFonts w:ascii="Arial" w:eastAsia="宋体" w:hAnsi="Arial" w:cs="Arial"/>
                <w:color w:val="0071C5"/>
                <w:sz w:val="18"/>
                <w:szCs w:val="18"/>
              </w:rPr>
              <w:t>(205)</w:t>
            </w:r>
          </w:p>
        </w:tc>
        <w:tc>
          <w:tcPr>
            <w:tcW w:w="0" w:type="auto"/>
            <w:shd w:val="clear" w:color="auto" w:fill="auto"/>
            <w:tcMar>
              <w:top w:w="40" w:type="dxa"/>
              <w:bottom w:w="40" w:type="dxa"/>
              <w:right w:w="20" w:type="dxa"/>
            </w:tcMar>
          </w:tcPr>
          <w:p w14:paraId="36CA48DC"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48DD" w14:textId="77777777" w:rsidR="00787570" w:rsidRDefault="00787570">
            <w:pPr>
              <w:rPr>
                <w:rFonts w:ascii="宋体"/>
              </w:rPr>
            </w:pPr>
          </w:p>
        </w:tc>
        <w:tc>
          <w:tcPr>
            <w:tcW w:w="0" w:type="auto"/>
            <w:gridSpan w:val="3"/>
            <w:shd w:val="clear" w:color="auto" w:fill="auto"/>
            <w:tcMar>
              <w:top w:w="40" w:type="dxa"/>
              <w:left w:w="20" w:type="dxa"/>
              <w:bottom w:w="40" w:type="dxa"/>
              <w:right w:w="20" w:type="dxa"/>
            </w:tcMar>
          </w:tcPr>
          <w:p w14:paraId="36CA48DE" w14:textId="77777777" w:rsidR="00787570" w:rsidRDefault="000D56E2">
            <w:pPr>
              <w:textAlignment w:val="top"/>
            </w:pPr>
            <w:r>
              <w:rPr>
                <w:rFonts w:ascii="Arial" w:eastAsia="宋体" w:hAnsi="Arial" w:cs="Arial"/>
                <w:color w:val="0071C5"/>
                <w:sz w:val="18"/>
                <w:szCs w:val="18"/>
              </w:rPr>
              <w:t>Higher operating expenses</w:t>
            </w:r>
          </w:p>
        </w:tc>
      </w:tr>
      <w:tr w:rsidR="00787570" w14:paraId="36CA48E4" w14:textId="77777777">
        <w:tc>
          <w:tcPr>
            <w:tcW w:w="0" w:type="auto"/>
            <w:gridSpan w:val="2"/>
            <w:shd w:val="clear" w:color="auto" w:fill="auto"/>
            <w:tcMar>
              <w:top w:w="40" w:type="dxa"/>
              <w:left w:w="20" w:type="dxa"/>
              <w:bottom w:w="40" w:type="dxa"/>
              <w:right w:w="0" w:type="dxa"/>
            </w:tcMar>
          </w:tcPr>
          <w:p w14:paraId="36CA48E0" w14:textId="77777777" w:rsidR="00787570" w:rsidRDefault="000D56E2">
            <w:pPr>
              <w:jc w:val="right"/>
              <w:textAlignment w:val="top"/>
            </w:pPr>
            <w:r>
              <w:rPr>
                <w:rFonts w:ascii="Arial" w:eastAsia="宋体" w:hAnsi="Arial" w:cs="Arial"/>
                <w:color w:val="0071C5"/>
                <w:sz w:val="18"/>
                <w:szCs w:val="18"/>
              </w:rPr>
              <w:t>(145)</w:t>
            </w:r>
          </w:p>
        </w:tc>
        <w:tc>
          <w:tcPr>
            <w:tcW w:w="0" w:type="auto"/>
            <w:shd w:val="clear" w:color="auto" w:fill="auto"/>
            <w:tcMar>
              <w:top w:w="40" w:type="dxa"/>
              <w:bottom w:w="40" w:type="dxa"/>
              <w:right w:w="20" w:type="dxa"/>
            </w:tcMar>
          </w:tcPr>
          <w:p w14:paraId="36CA48E1"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48E2" w14:textId="77777777" w:rsidR="00787570" w:rsidRDefault="00787570">
            <w:pPr>
              <w:rPr>
                <w:rFonts w:ascii="宋体"/>
              </w:rPr>
            </w:pPr>
          </w:p>
        </w:tc>
        <w:tc>
          <w:tcPr>
            <w:tcW w:w="0" w:type="auto"/>
            <w:gridSpan w:val="3"/>
            <w:shd w:val="clear" w:color="auto" w:fill="auto"/>
            <w:tcMar>
              <w:top w:w="40" w:type="dxa"/>
              <w:left w:w="20" w:type="dxa"/>
              <w:bottom w:w="40" w:type="dxa"/>
              <w:right w:w="20" w:type="dxa"/>
            </w:tcMar>
          </w:tcPr>
          <w:p w14:paraId="36CA48E3" w14:textId="77777777" w:rsidR="00787570" w:rsidRDefault="000D56E2">
            <w:pPr>
              <w:textAlignment w:val="top"/>
            </w:pPr>
            <w:r>
              <w:rPr>
                <w:rFonts w:ascii="Arial" w:eastAsia="宋体" w:hAnsi="Arial" w:cs="Arial"/>
                <w:color w:val="0071C5"/>
                <w:sz w:val="18"/>
                <w:szCs w:val="18"/>
              </w:rPr>
              <w:t xml:space="preserve">Higher period charges due to </w:t>
            </w:r>
            <w:r>
              <w:rPr>
                <w:rFonts w:ascii="Arial" w:eastAsia="宋体" w:hAnsi="Arial" w:cs="Arial"/>
                <w:color w:val="0071C5"/>
                <w:sz w:val="18"/>
                <w:szCs w:val="18"/>
              </w:rPr>
              <w:t>reserved non-qualified platform products associated with our 10nm process technology</w:t>
            </w:r>
          </w:p>
        </w:tc>
      </w:tr>
      <w:tr w:rsidR="00787570" w14:paraId="36CA48E8" w14:textId="77777777">
        <w:trPr>
          <w:hidden/>
        </w:trPr>
        <w:tc>
          <w:tcPr>
            <w:tcW w:w="0" w:type="auto"/>
            <w:gridSpan w:val="3"/>
            <w:shd w:val="clear" w:color="auto" w:fill="auto"/>
          </w:tcPr>
          <w:p w14:paraId="36CA48E5" w14:textId="77777777" w:rsidR="00787570" w:rsidRDefault="00787570">
            <w:pPr>
              <w:rPr>
                <w:rFonts w:ascii="宋体"/>
                <w:vanish/>
              </w:rPr>
            </w:pPr>
          </w:p>
        </w:tc>
        <w:tc>
          <w:tcPr>
            <w:tcW w:w="0" w:type="auto"/>
            <w:gridSpan w:val="3"/>
            <w:shd w:val="clear" w:color="auto" w:fill="auto"/>
          </w:tcPr>
          <w:p w14:paraId="36CA48E6" w14:textId="77777777" w:rsidR="00787570" w:rsidRDefault="00787570">
            <w:pPr>
              <w:rPr>
                <w:rFonts w:ascii="宋体"/>
                <w:vanish/>
              </w:rPr>
            </w:pPr>
          </w:p>
        </w:tc>
        <w:tc>
          <w:tcPr>
            <w:tcW w:w="0" w:type="auto"/>
            <w:gridSpan w:val="3"/>
            <w:shd w:val="clear" w:color="auto" w:fill="auto"/>
          </w:tcPr>
          <w:p w14:paraId="36CA48E7" w14:textId="77777777" w:rsidR="00787570" w:rsidRDefault="00787570">
            <w:pPr>
              <w:rPr>
                <w:rFonts w:ascii="宋体"/>
                <w:vanish/>
              </w:rPr>
            </w:pPr>
          </w:p>
        </w:tc>
      </w:tr>
      <w:tr w:rsidR="00787570" w14:paraId="36CA48EC" w14:textId="77777777">
        <w:trPr>
          <w:hidden/>
        </w:trPr>
        <w:tc>
          <w:tcPr>
            <w:tcW w:w="0" w:type="auto"/>
            <w:gridSpan w:val="3"/>
            <w:shd w:val="clear" w:color="auto" w:fill="auto"/>
          </w:tcPr>
          <w:p w14:paraId="36CA48E9" w14:textId="77777777" w:rsidR="00787570" w:rsidRDefault="00787570">
            <w:pPr>
              <w:rPr>
                <w:rFonts w:ascii="宋体"/>
                <w:vanish/>
              </w:rPr>
            </w:pPr>
          </w:p>
        </w:tc>
        <w:tc>
          <w:tcPr>
            <w:tcW w:w="0" w:type="auto"/>
            <w:gridSpan w:val="3"/>
            <w:shd w:val="clear" w:color="auto" w:fill="auto"/>
          </w:tcPr>
          <w:p w14:paraId="36CA48EA" w14:textId="77777777" w:rsidR="00787570" w:rsidRDefault="00787570">
            <w:pPr>
              <w:rPr>
                <w:rFonts w:ascii="宋体"/>
                <w:vanish/>
              </w:rPr>
            </w:pPr>
          </w:p>
        </w:tc>
        <w:tc>
          <w:tcPr>
            <w:tcW w:w="0" w:type="auto"/>
            <w:gridSpan w:val="3"/>
            <w:shd w:val="clear" w:color="auto" w:fill="auto"/>
          </w:tcPr>
          <w:p w14:paraId="36CA48EB" w14:textId="77777777" w:rsidR="00787570" w:rsidRDefault="00787570">
            <w:pPr>
              <w:rPr>
                <w:rFonts w:ascii="宋体"/>
                <w:vanish/>
              </w:rPr>
            </w:pPr>
          </w:p>
        </w:tc>
      </w:tr>
      <w:tr w:rsidR="00787570" w14:paraId="36CA48F0" w14:textId="77777777">
        <w:trPr>
          <w:hidden/>
        </w:trPr>
        <w:tc>
          <w:tcPr>
            <w:tcW w:w="0" w:type="auto"/>
            <w:gridSpan w:val="3"/>
            <w:shd w:val="clear" w:color="auto" w:fill="auto"/>
          </w:tcPr>
          <w:p w14:paraId="36CA48ED" w14:textId="77777777" w:rsidR="00787570" w:rsidRDefault="00787570">
            <w:pPr>
              <w:rPr>
                <w:rFonts w:ascii="宋体"/>
                <w:vanish/>
              </w:rPr>
            </w:pPr>
          </w:p>
        </w:tc>
        <w:tc>
          <w:tcPr>
            <w:tcW w:w="0" w:type="auto"/>
            <w:gridSpan w:val="3"/>
            <w:shd w:val="clear" w:color="auto" w:fill="auto"/>
          </w:tcPr>
          <w:p w14:paraId="36CA48EE" w14:textId="77777777" w:rsidR="00787570" w:rsidRDefault="00787570">
            <w:pPr>
              <w:rPr>
                <w:rFonts w:ascii="宋体"/>
                <w:vanish/>
              </w:rPr>
            </w:pPr>
          </w:p>
        </w:tc>
        <w:tc>
          <w:tcPr>
            <w:tcW w:w="0" w:type="auto"/>
            <w:gridSpan w:val="3"/>
            <w:shd w:val="clear" w:color="auto" w:fill="auto"/>
          </w:tcPr>
          <w:p w14:paraId="36CA48EF" w14:textId="77777777" w:rsidR="00787570" w:rsidRDefault="00787570">
            <w:pPr>
              <w:rPr>
                <w:rFonts w:ascii="宋体"/>
                <w:vanish/>
              </w:rPr>
            </w:pPr>
          </w:p>
        </w:tc>
      </w:tr>
      <w:tr w:rsidR="00787570" w14:paraId="36CA48F4" w14:textId="77777777">
        <w:trPr>
          <w:hidden/>
        </w:trPr>
        <w:tc>
          <w:tcPr>
            <w:tcW w:w="0" w:type="auto"/>
            <w:gridSpan w:val="3"/>
            <w:shd w:val="clear" w:color="auto" w:fill="auto"/>
          </w:tcPr>
          <w:p w14:paraId="36CA48F1" w14:textId="77777777" w:rsidR="00787570" w:rsidRDefault="00787570">
            <w:pPr>
              <w:rPr>
                <w:rFonts w:ascii="宋体"/>
                <w:vanish/>
              </w:rPr>
            </w:pPr>
          </w:p>
        </w:tc>
        <w:tc>
          <w:tcPr>
            <w:tcW w:w="0" w:type="auto"/>
            <w:gridSpan w:val="3"/>
            <w:shd w:val="clear" w:color="auto" w:fill="auto"/>
          </w:tcPr>
          <w:p w14:paraId="36CA48F2" w14:textId="77777777" w:rsidR="00787570" w:rsidRDefault="00787570">
            <w:pPr>
              <w:rPr>
                <w:rFonts w:ascii="宋体"/>
                <w:vanish/>
              </w:rPr>
            </w:pPr>
          </w:p>
        </w:tc>
        <w:tc>
          <w:tcPr>
            <w:tcW w:w="0" w:type="auto"/>
            <w:gridSpan w:val="3"/>
            <w:shd w:val="clear" w:color="auto" w:fill="auto"/>
          </w:tcPr>
          <w:p w14:paraId="36CA48F3" w14:textId="77777777" w:rsidR="00787570" w:rsidRDefault="00787570">
            <w:pPr>
              <w:rPr>
                <w:rFonts w:ascii="宋体"/>
                <w:vanish/>
              </w:rPr>
            </w:pPr>
          </w:p>
        </w:tc>
      </w:tr>
      <w:tr w:rsidR="00787570" w14:paraId="36CA48F9" w14:textId="77777777">
        <w:tc>
          <w:tcPr>
            <w:tcW w:w="0" w:type="auto"/>
            <w:gridSpan w:val="2"/>
            <w:shd w:val="clear" w:color="auto" w:fill="auto"/>
            <w:tcMar>
              <w:top w:w="40" w:type="dxa"/>
              <w:left w:w="20" w:type="dxa"/>
              <w:bottom w:w="40" w:type="dxa"/>
              <w:right w:w="0" w:type="dxa"/>
            </w:tcMar>
          </w:tcPr>
          <w:p w14:paraId="36CA48F5" w14:textId="77777777" w:rsidR="00787570" w:rsidRDefault="000D56E2">
            <w:pPr>
              <w:jc w:val="right"/>
              <w:textAlignment w:val="top"/>
            </w:pPr>
            <w:r>
              <w:rPr>
                <w:rFonts w:ascii="Arial" w:eastAsia="宋体" w:hAnsi="Arial" w:cs="Arial"/>
                <w:color w:val="0071C5"/>
                <w:sz w:val="18"/>
                <w:szCs w:val="18"/>
              </w:rPr>
              <w:t>(72)</w:t>
            </w:r>
          </w:p>
        </w:tc>
        <w:tc>
          <w:tcPr>
            <w:tcW w:w="0" w:type="auto"/>
            <w:shd w:val="clear" w:color="auto" w:fill="auto"/>
            <w:tcMar>
              <w:top w:w="40" w:type="dxa"/>
              <w:bottom w:w="40" w:type="dxa"/>
              <w:right w:w="20" w:type="dxa"/>
            </w:tcMar>
          </w:tcPr>
          <w:p w14:paraId="36CA48F6"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48F7" w14:textId="77777777" w:rsidR="00787570" w:rsidRDefault="00787570">
            <w:pPr>
              <w:rPr>
                <w:rFonts w:ascii="宋体"/>
              </w:rPr>
            </w:pPr>
          </w:p>
        </w:tc>
        <w:tc>
          <w:tcPr>
            <w:tcW w:w="0" w:type="auto"/>
            <w:gridSpan w:val="3"/>
            <w:shd w:val="clear" w:color="auto" w:fill="auto"/>
            <w:tcMar>
              <w:top w:w="40" w:type="dxa"/>
              <w:left w:w="20" w:type="dxa"/>
              <w:bottom w:w="40" w:type="dxa"/>
              <w:right w:w="20" w:type="dxa"/>
            </w:tcMar>
          </w:tcPr>
          <w:p w14:paraId="36CA48F8" w14:textId="77777777" w:rsidR="00787570" w:rsidRDefault="000D56E2">
            <w:pPr>
              <w:textAlignment w:val="top"/>
            </w:pPr>
            <w:r>
              <w:rPr>
                <w:rFonts w:ascii="Arial" w:eastAsia="宋体" w:hAnsi="Arial" w:cs="Arial"/>
                <w:color w:val="0071C5"/>
                <w:sz w:val="18"/>
                <w:szCs w:val="18"/>
              </w:rPr>
              <w:t>Other</w:t>
            </w:r>
          </w:p>
        </w:tc>
      </w:tr>
      <w:tr w:rsidR="00787570" w14:paraId="36CA48FF" w14:textId="77777777">
        <w:tc>
          <w:tcPr>
            <w:tcW w:w="0" w:type="auto"/>
            <w:tcBorders>
              <w:top w:val="single" w:sz="8" w:space="0" w:color="333333"/>
              <w:bottom w:val="single" w:sz="8" w:space="0" w:color="333333"/>
            </w:tcBorders>
            <w:shd w:val="clear" w:color="auto" w:fill="auto"/>
            <w:tcMar>
              <w:top w:w="40" w:type="dxa"/>
              <w:left w:w="20" w:type="dxa"/>
              <w:bottom w:w="40" w:type="dxa"/>
            </w:tcMar>
            <w:vAlign w:val="bottom"/>
          </w:tcPr>
          <w:p w14:paraId="36CA48FA" w14:textId="77777777" w:rsidR="00787570" w:rsidRDefault="000D56E2">
            <w:pPr>
              <w:textAlignment w:val="bottom"/>
            </w:pPr>
            <w:r>
              <w:rPr>
                <w:rFonts w:ascii="Arial" w:eastAsia="宋体" w:hAnsi="Arial" w:cs="Arial"/>
                <w:b/>
                <w:bCs/>
                <w:color w:val="333333"/>
                <w:sz w:val="18"/>
                <w:szCs w:val="18"/>
              </w:rPr>
              <w:t>$</w:t>
            </w:r>
          </w:p>
        </w:tc>
        <w:tc>
          <w:tcPr>
            <w:tcW w:w="0" w:type="auto"/>
            <w:tcBorders>
              <w:top w:val="single" w:sz="8" w:space="0" w:color="333333"/>
              <w:bottom w:val="single" w:sz="8" w:space="0" w:color="333333"/>
            </w:tcBorders>
            <w:shd w:val="clear" w:color="auto" w:fill="auto"/>
            <w:tcMar>
              <w:top w:w="40" w:type="dxa"/>
              <w:bottom w:w="40" w:type="dxa"/>
              <w:right w:w="0" w:type="dxa"/>
            </w:tcMar>
            <w:vAlign w:val="bottom"/>
          </w:tcPr>
          <w:p w14:paraId="36CA48FB" w14:textId="77777777" w:rsidR="00787570" w:rsidRDefault="000D56E2">
            <w:pPr>
              <w:jc w:val="right"/>
              <w:textAlignment w:val="bottom"/>
            </w:pPr>
            <w:r>
              <w:rPr>
                <w:rFonts w:ascii="Arial" w:eastAsia="宋体" w:hAnsi="Arial" w:cs="Arial"/>
                <w:b/>
                <w:bCs/>
                <w:color w:val="333333"/>
                <w:sz w:val="18"/>
                <w:szCs w:val="18"/>
              </w:rPr>
              <w:t>6,756</w:t>
            </w:r>
            <w:r>
              <w:rPr>
                <w:rFonts w:ascii="Arial" w:eastAsia="宋体" w:hAnsi="Arial" w:cs="Arial"/>
                <w:color w:val="333333"/>
                <w:sz w:val="18"/>
                <w:szCs w:val="18"/>
              </w:rPr>
              <w:t> </w:t>
            </w:r>
          </w:p>
        </w:tc>
        <w:tc>
          <w:tcPr>
            <w:tcW w:w="0" w:type="auto"/>
            <w:tcBorders>
              <w:top w:val="single" w:sz="8" w:space="0" w:color="333333"/>
              <w:bottom w:val="single" w:sz="8" w:space="0" w:color="333333"/>
            </w:tcBorders>
            <w:shd w:val="clear" w:color="auto" w:fill="auto"/>
            <w:tcMar>
              <w:top w:w="40" w:type="dxa"/>
              <w:bottom w:w="40" w:type="dxa"/>
              <w:right w:w="20" w:type="dxa"/>
            </w:tcMar>
            <w:vAlign w:val="bottom"/>
          </w:tcPr>
          <w:p w14:paraId="36CA48FC"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48FD" w14:textId="77777777" w:rsidR="00787570" w:rsidRDefault="00787570">
            <w:pPr>
              <w:rPr>
                <w:rFonts w:ascii="宋体"/>
              </w:rPr>
            </w:pPr>
          </w:p>
        </w:tc>
        <w:tc>
          <w:tcPr>
            <w:tcW w:w="0" w:type="auto"/>
            <w:gridSpan w:val="3"/>
            <w:tcBorders>
              <w:top w:val="single" w:sz="8" w:space="0" w:color="333333"/>
              <w:bottom w:val="single" w:sz="8" w:space="0" w:color="333333"/>
            </w:tcBorders>
            <w:shd w:val="clear" w:color="auto" w:fill="auto"/>
            <w:tcMar>
              <w:top w:w="40" w:type="dxa"/>
              <w:left w:w="20" w:type="dxa"/>
              <w:bottom w:w="40" w:type="dxa"/>
              <w:right w:w="20" w:type="dxa"/>
            </w:tcMar>
            <w:vAlign w:val="bottom"/>
          </w:tcPr>
          <w:p w14:paraId="36CA48FE" w14:textId="77777777" w:rsidR="00787570" w:rsidRDefault="000D56E2">
            <w:pPr>
              <w:textAlignment w:val="bottom"/>
            </w:pPr>
            <w:r>
              <w:rPr>
                <w:rFonts w:ascii="Arial" w:eastAsia="宋体" w:hAnsi="Arial" w:cs="Arial"/>
                <w:b/>
                <w:bCs/>
                <w:color w:val="333333"/>
                <w:sz w:val="18"/>
                <w:szCs w:val="18"/>
              </w:rPr>
              <w:t>YTD 2019 DCG Operating Income</w:t>
            </w:r>
          </w:p>
        </w:tc>
      </w:tr>
    </w:tbl>
    <w:p w14:paraId="36CA4900" w14:textId="77777777" w:rsidR="00787570" w:rsidRDefault="00787570">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95"/>
        <w:gridCol w:w="416"/>
        <w:gridCol w:w="36"/>
        <w:gridCol w:w="47"/>
        <w:gridCol w:w="4254"/>
        <w:gridCol w:w="36"/>
        <w:gridCol w:w="47"/>
        <w:gridCol w:w="3369"/>
        <w:gridCol w:w="36"/>
      </w:tblGrid>
      <w:tr w:rsidR="00787570" w14:paraId="36CA490A" w14:textId="77777777">
        <w:tc>
          <w:tcPr>
            <w:tcW w:w="50" w:type="pct"/>
            <w:shd w:val="clear" w:color="auto" w:fill="auto"/>
            <w:vAlign w:val="bottom"/>
          </w:tcPr>
          <w:p w14:paraId="36CA4901" w14:textId="77777777" w:rsidR="00787570" w:rsidRDefault="00787570">
            <w:pPr>
              <w:rPr>
                <w:rFonts w:ascii="宋体"/>
              </w:rPr>
            </w:pPr>
          </w:p>
        </w:tc>
        <w:tc>
          <w:tcPr>
            <w:tcW w:w="220" w:type="pct"/>
            <w:shd w:val="clear" w:color="auto" w:fill="auto"/>
            <w:vAlign w:val="bottom"/>
          </w:tcPr>
          <w:p w14:paraId="36CA4902" w14:textId="77777777" w:rsidR="00787570" w:rsidRDefault="00787570">
            <w:pPr>
              <w:rPr>
                <w:rFonts w:ascii="宋体"/>
              </w:rPr>
            </w:pPr>
          </w:p>
        </w:tc>
        <w:tc>
          <w:tcPr>
            <w:tcW w:w="5" w:type="pct"/>
            <w:shd w:val="clear" w:color="auto" w:fill="auto"/>
            <w:vAlign w:val="bottom"/>
          </w:tcPr>
          <w:p w14:paraId="36CA4903" w14:textId="77777777" w:rsidR="00787570" w:rsidRDefault="00787570">
            <w:pPr>
              <w:rPr>
                <w:rFonts w:ascii="宋体"/>
              </w:rPr>
            </w:pPr>
          </w:p>
        </w:tc>
        <w:tc>
          <w:tcPr>
            <w:tcW w:w="50" w:type="pct"/>
            <w:shd w:val="clear" w:color="auto" w:fill="auto"/>
            <w:vAlign w:val="bottom"/>
          </w:tcPr>
          <w:p w14:paraId="36CA4904" w14:textId="77777777" w:rsidR="00787570" w:rsidRDefault="00787570">
            <w:pPr>
              <w:rPr>
                <w:rFonts w:ascii="宋体"/>
              </w:rPr>
            </w:pPr>
          </w:p>
        </w:tc>
        <w:tc>
          <w:tcPr>
            <w:tcW w:w="2572" w:type="pct"/>
            <w:shd w:val="clear" w:color="auto" w:fill="auto"/>
            <w:vAlign w:val="bottom"/>
          </w:tcPr>
          <w:p w14:paraId="36CA4905" w14:textId="77777777" w:rsidR="00787570" w:rsidRDefault="00787570">
            <w:pPr>
              <w:rPr>
                <w:rFonts w:ascii="宋体"/>
              </w:rPr>
            </w:pPr>
          </w:p>
        </w:tc>
        <w:tc>
          <w:tcPr>
            <w:tcW w:w="5" w:type="pct"/>
            <w:shd w:val="clear" w:color="auto" w:fill="auto"/>
            <w:vAlign w:val="bottom"/>
          </w:tcPr>
          <w:p w14:paraId="36CA4906" w14:textId="77777777" w:rsidR="00787570" w:rsidRDefault="00787570">
            <w:pPr>
              <w:rPr>
                <w:rFonts w:ascii="宋体"/>
              </w:rPr>
            </w:pPr>
          </w:p>
        </w:tc>
        <w:tc>
          <w:tcPr>
            <w:tcW w:w="50" w:type="pct"/>
            <w:shd w:val="clear" w:color="auto" w:fill="auto"/>
            <w:vAlign w:val="bottom"/>
          </w:tcPr>
          <w:p w14:paraId="36CA4907" w14:textId="77777777" w:rsidR="00787570" w:rsidRDefault="00787570">
            <w:pPr>
              <w:rPr>
                <w:rFonts w:ascii="宋体"/>
              </w:rPr>
            </w:pPr>
          </w:p>
        </w:tc>
        <w:tc>
          <w:tcPr>
            <w:tcW w:w="2042" w:type="pct"/>
            <w:shd w:val="clear" w:color="auto" w:fill="auto"/>
            <w:vAlign w:val="bottom"/>
          </w:tcPr>
          <w:p w14:paraId="36CA4908" w14:textId="77777777" w:rsidR="00787570" w:rsidRDefault="00787570">
            <w:pPr>
              <w:rPr>
                <w:rFonts w:ascii="宋体"/>
              </w:rPr>
            </w:pPr>
          </w:p>
        </w:tc>
        <w:tc>
          <w:tcPr>
            <w:tcW w:w="5" w:type="pct"/>
            <w:shd w:val="clear" w:color="auto" w:fill="auto"/>
            <w:vAlign w:val="bottom"/>
          </w:tcPr>
          <w:p w14:paraId="36CA4909" w14:textId="77777777" w:rsidR="00787570" w:rsidRDefault="00787570">
            <w:pPr>
              <w:rPr>
                <w:rFonts w:ascii="宋体"/>
              </w:rPr>
            </w:pPr>
          </w:p>
        </w:tc>
      </w:tr>
      <w:tr w:rsidR="00787570" w14:paraId="36CA490E" w14:textId="77777777">
        <w:tc>
          <w:tcPr>
            <w:tcW w:w="0" w:type="auto"/>
            <w:gridSpan w:val="3"/>
            <w:tcBorders>
              <w:top w:val="single" w:sz="8" w:space="0" w:color="0071C5"/>
            </w:tcBorders>
            <w:shd w:val="clear" w:color="auto" w:fill="auto"/>
            <w:tcMar>
              <w:left w:w="20" w:type="dxa"/>
              <w:right w:w="20" w:type="dxa"/>
            </w:tcMar>
            <w:vAlign w:val="center"/>
          </w:tcPr>
          <w:p w14:paraId="36CA490B" w14:textId="77777777" w:rsidR="00787570" w:rsidRDefault="000D56E2">
            <w:pPr>
              <w:textAlignment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Viewer9_files/intc-20200926_g2.jpg"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36CA5C40" wp14:editId="36CA5C41">
                  <wp:extent cx="304800" cy="304800"/>
                  <wp:effectExtent l="0" t="0" r="0" b="0"/>
                  <wp:docPr id="71" name="图片 99" descr="IMG_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99" descr="IMG_329"/>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8" w:space="0" w:color="0071C5"/>
            </w:tcBorders>
            <w:shd w:val="clear" w:color="auto" w:fill="auto"/>
            <w:tcMar>
              <w:top w:w="40" w:type="dxa"/>
              <w:left w:w="20" w:type="dxa"/>
              <w:bottom w:w="40" w:type="dxa"/>
              <w:right w:w="20" w:type="dxa"/>
            </w:tcMar>
            <w:vAlign w:val="center"/>
          </w:tcPr>
          <w:p w14:paraId="36CA490C" w14:textId="77777777" w:rsidR="00787570" w:rsidRDefault="000D56E2">
            <w:pPr>
              <w:textAlignment w:val="center"/>
            </w:pPr>
            <w:r>
              <w:rPr>
                <w:rFonts w:ascii="Arial" w:eastAsia="宋体" w:hAnsi="Arial" w:cs="Arial"/>
                <w:color w:val="333333"/>
                <w:sz w:val="16"/>
                <w:szCs w:val="16"/>
              </w:rPr>
              <w:t>MD&amp;A</w:t>
            </w:r>
          </w:p>
        </w:tc>
        <w:tc>
          <w:tcPr>
            <w:tcW w:w="0" w:type="auto"/>
            <w:gridSpan w:val="3"/>
            <w:tcBorders>
              <w:top w:val="single" w:sz="8" w:space="0" w:color="0071C5"/>
            </w:tcBorders>
            <w:shd w:val="clear" w:color="auto" w:fill="auto"/>
            <w:tcMar>
              <w:top w:w="40" w:type="dxa"/>
              <w:left w:w="20" w:type="dxa"/>
              <w:bottom w:w="40" w:type="dxa"/>
              <w:right w:w="20" w:type="dxa"/>
            </w:tcMar>
            <w:vAlign w:val="center"/>
          </w:tcPr>
          <w:p w14:paraId="36CA490D" w14:textId="77777777" w:rsidR="00787570" w:rsidRDefault="000D56E2">
            <w:pPr>
              <w:jc w:val="right"/>
              <w:textAlignment w:val="center"/>
            </w:pPr>
            <w:r>
              <w:rPr>
                <w:rFonts w:ascii="Arial" w:eastAsia="宋体" w:hAnsi="Arial" w:cs="Arial"/>
                <w:color w:val="333333"/>
                <w:sz w:val="16"/>
                <w:szCs w:val="16"/>
              </w:rPr>
              <w:t>29</w:t>
            </w:r>
          </w:p>
        </w:tc>
      </w:tr>
    </w:tbl>
    <w:p w14:paraId="36CA490F" w14:textId="77777777" w:rsidR="00787570" w:rsidRDefault="000D56E2">
      <w:r>
        <w:pict w14:anchorId="36CA5C42">
          <v:rect id="_x0000_i1055" style="width:415.3pt;height:1.5pt" o:hralign="center" o:hrstd="t" o:hr="t" fillcolor="#a0a0a0" stroked="f"/>
        </w:pict>
      </w:r>
    </w:p>
    <w:p w14:paraId="36CA4910" w14:textId="77777777" w:rsidR="00787570" w:rsidRDefault="000D56E2">
      <w:pPr>
        <w:spacing w:after="180"/>
        <w:jc w:val="right"/>
      </w:pPr>
      <w:hyperlink r:id="rId57" w:anchor="i32771df14e9449d2bec5be911426bf04_7" w:history="1">
        <w:r>
          <w:rPr>
            <w:rStyle w:val="a5"/>
            <w:rFonts w:ascii="Arial" w:eastAsia="宋体" w:hAnsi="Arial" w:cs="Arial"/>
            <w:b/>
            <w:bCs/>
            <w:sz w:val="16"/>
            <w:szCs w:val="16"/>
          </w:rPr>
          <w:t>Table of Contents</w:t>
        </w:r>
      </w:hyperlink>
    </w:p>
    <w:p w14:paraId="36CA4911" w14:textId="77777777" w:rsidR="00787570" w:rsidRDefault="00787570">
      <w:pPr>
        <w:spacing w:after="180"/>
        <w:jc w:val="right"/>
      </w:pPr>
    </w:p>
    <w:p w14:paraId="36CA4912" w14:textId="77777777" w:rsidR="00787570" w:rsidRDefault="000D56E2">
      <w:pPr>
        <w:spacing w:after="180"/>
      </w:pPr>
      <w:r>
        <w:rPr>
          <w:rFonts w:ascii="Arial" w:eastAsia="宋体" w:hAnsi="Arial" w:cs="Arial"/>
          <w:b/>
          <w:bCs/>
          <w:color w:val="0071C5"/>
          <w:sz w:val="28"/>
          <w:szCs w:val="28"/>
        </w:rPr>
        <w:t xml:space="preserve">INTERNET OF THINGS </w:t>
      </w:r>
    </w:p>
    <w:p w14:paraId="36CA4913" w14:textId="77777777" w:rsidR="00787570" w:rsidRDefault="000D56E2">
      <w:pPr>
        <w:spacing w:after="180"/>
      </w:pPr>
      <w:r>
        <w:rPr>
          <w:rFonts w:ascii="Arial" w:eastAsia="宋体" w:hAnsi="Arial" w:cs="Arial"/>
          <w:color w:val="333333"/>
          <w:sz w:val="18"/>
          <w:szCs w:val="18"/>
        </w:rPr>
        <w:t xml:space="preserve">As more intelligence is moving to the edge, more </w:t>
      </w:r>
      <w:r>
        <w:rPr>
          <w:rFonts w:ascii="Arial" w:eastAsia="宋体" w:hAnsi="Arial" w:cs="Arial"/>
          <w:color w:val="333333"/>
          <w:sz w:val="18"/>
          <w:szCs w:val="18"/>
        </w:rPr>
        <w:t>industries are harnessing the power of data to create business value, to innovate, and to grow. We are using our architecture, accelerators, and software assets, combined with scale and partners, to develop a growing Internet of Things portfolio. Our Inter</w:t>
      </w:r>
      <w:r>
        <w:rPr>
          <w:rFonts w:ascii="Arial" w:eastAsia="宋体" w:hAnsi="Arial" w:cs="Arial"/>
          <w:color w:val="333333"/>
          <w:sz w:val="18"/>
          <w:szCs w:val="18"/>
        </w:rPr>
        <w:t>net of Things portfolio is comprised of our IOTG and Mobileye businesses.</w:t>
      </w:r>
    </w:p>
    <w:p w14:paraId="36CA4914" w14:textId="77777777" w:rsidR="00787570" w:rsidRDefault="000D56E2">
      <w:pPr>
        <w:spacing w:after="180"/>
      </w:pPr>
      <w:r>
        <w:rPr>
          <w:rFonts w:ascii="Arial" w:eastAsia="宋体" w:hAnsi="Arial" w:cs="Arial"/>
          <w:color w:val="333333"/>
          <w:sz w:val="18"/>
          <w:szCs w:val="18"/>
        </w:rPr>
        <w:t>IOTG develops high-performance compute for targeted verticals and embedded markets. Our customers include retailers, manufacturers, health care providers, energy companies, automaker</w:t>
      </w:r>
      <w:r>
        <w:rPr>
          <w:rFonts w:ascii="Arial" w:eastAsia="宋体" w:hAnsi="Arial" w:cs="Arial"/>
          <w:color w:val="333333"/>
          <w:sz w:val="18"/>
          <w:szCs w:val="18"/>
        </w:rPr>
        <w:t xml:space="preserve">s, and governments. We facilitate our customers creating, storing, and processing data generated by connected devices to accelerate business transformations. </w:t>
      </w:r>
    </w:p>
    <w:p w14:paraId="36CA4915" w14:textId="77777777" w:rsidR="00787570" w:rsidRDefault="000D56E2">
      <w:pPr>
        <w:spacing w:after="180"/>
      </w:pPr>
      <w:r>
        <w:rPr>
          <w:rFonts w:ascii="Arial" w:eastAsia="宋体" w:hAnsi="Arial" w:cs="Arial"/>
          <w:color w:val="333333"/>
          <w:sz w:val="18"/>
          <w:szCs w:val="18"/>
        </w:rPr>
        <w:t>Mobileye is the global leader in driving assistance and automation solutions. Our product portfol</w:t>
      </w:r>
      <w:r>
        <w:rPr>
          <w:rFonts w:ascii="Arial" w:eastAsia="宋体" w:hAnsi="Arial" w:cs="Arial"/>
          <w:color w:val="333333"/>
          <w:sz w:val="18"/>
          <w:szCs w:val="18"/>
        </w:rPr>
        <w:t xml:space="preserve">io employs a broad set of technologies, covering computer vision and machine learning-based sensing, data analysis, localization, mapping, and driving policy technology for ADAS and autonomous driving. Mobileye’s ADAS products form the building blocks for </w:t>
      </w:r>
      <w:r>
        <w:rPr>
          <w:rFonts w:ascii="Arial" w:eastAsia="宋体" w:hAnsi="Arial" w:cs="Arial"/>
          <w:color w:val="333333"/>
          <w:sz w:val="18"/>
          <w:szCs w:val="18"/>
        </w:rPr>
        <w:t>higher levels of autonomy. Our customers and strategic partners include major global OEMs and Tier 1 automotive system integrators.</w:t>
      </w:r>
    </w:p>
    <w:tbl>
      <w:tblPr>
        <w:tblW w:w="10830" w:type="dxa"/>
        <w:tblCellMar>
          <w:top w:w="15" w:type="dxa"/>
          <w:left w:w="15" w:type="dxa"/>
          <w:bottom w:w="15" w:type="dxa"/>
          <w:right w:w="15" w:type="dxa"/>
        </w:tblCellMar>
        <w:tblLook w:val="04A0" w:firstRow="1" w:lastRow="0" w:firstColumn="1" w:lastColumn="0" w:noHBand="0" w:noVBand="1"/>
      </w:tblPr>
      <w:tblGrid>
        <w:gridCol w:w="36"/>
        <w:gridCol w:w="79"/>
        <w:gridCol w:w="36"/>
        <w:gridCol w:w="36"/>
        <w:gridCol w:w="5102"/>
        <w:gridCol w:w="36"/>
        <w:gridCol w:w="36"/>
        <w:gridCol w:w="257"/>
        <w:gridCol w:w="36"/>
        <w:gridCol w:w="36"/>
        <w:gridCol w:w="5104"/>
        <w:gridCol w:w="36"/>
      </w:tblGrid>
      <w:tr w:rsidR="00787570" w14:paraId="36CA4922" w14:textId="77777777">
        <w:tc>
          <w:tcPr>
            <w:tcW w:w="20" w:type="dxa"/>
            <w:shd w:val="clear" w:color="auto" w:fill="auto"/>
          </w:tcPr>
          <w:p w14:paraId="36CA4916" w14:textId="77777777" w:rsidR="00787570" w:rsidRDefault="00787570">
            <w:pPr>
              <w:rPr>
                <w:rFonts w:ascii="宋体"/>
              </w:rPr>
            </w:pPr>
          </w:p>
        </w:tc>
        <w:tc>
          <w:tcPr>
            <w:tcW w:w="80" w:type="dxa"/>
            <w:shd w:val="clear" w:color="auto" w:fill="auto"/>
          </w:tcPr>
          <w:p w14:paraId="36CA4917" w14:textId="77777777" w:rsidR="00787570" w:rsidRDefault="00787570">
            <w:pPr>
              <w:rPr>
                <w:rFonts w:ascii="宋体"/>
              </w:rPr>
            </w:pPr>
          </w:p>
        </w:tc>
        <w:tc>
          <w:tcPr>
            <w:tcW w:w="20" w:type="dxa"/>
            <w:shd w:val="clear" w:color="auto" w:fill="auto"/>
          </w:tcPr>
          <w:p w14:paraId="36CA4918" w14:textId="77777777" w:rsidR="00787570" w:rsidRDefault="00787570">
            <w:pPr>
              <w:rPr>
                <w:rFonts w:ascii="宋体"/>
              </w:rPr>
            </w:pPr>
          </w:p>
        </w:tc>
        <w:tc>
          <w:tcPr>
            <w:tcW w:w="20" w:type="dxa"/>
            <w:shd w:val="clear" w:color="auto" w:fill="auto"/>
          </w:tcPr>
          <w:p w14:paraId="36CA4919" w14:textId="77777777" w:rsidR="00787570" w:rsidRDefault="00787570">
            <w:pPr>
              <w:rPr>
                <w:rFonts w:ascii="宋体"/>
              </w:rPr>
            </w:pPr>
          </w:p>
        </w:tc>
        <w:tc>
          <w:tcPr>
            <w:tcW w:w="5165" w:type="dxa"/>
            <w:shd w:val="clear" w:color="auto" w:fill="auto"/>
          </w:tcPr>
          <w:p w14:paraId="36CA491A" w14:textId="77777777" w:rsidR="00787570" w:rsidRDefault="00787570">
            <w:pPr>
              <w:rPr>
                <w:rFonts w:ascii="宋体"/>
              </w:rPr>
            </w:pPr>
          </w:p>
        </w:tc>
        <w:tc>
          <w:tcPr>
            <w:tcW w:w="20" w:type="dxa"/>
            <w:shd w:val="clear" w:color="auto" w:fill="auto"/>
          </w:tcPr>
          <w:p w14:paraId="36CA491B" w14:textId="77777777" w:rsidR="00787570" w:rsidRDefault="00787570">
            <w:pPr>
              <w:rPr>
                <w:rFonts w:ascii="宋体"/>
              </w:rPr>
            </w:pPr>
          </w:p>
        </w:tc>
        <w:tc>
          <w:tcPr>
            <w:tcW w:w="20" w:type="dxa"/>
            <w:shd w:val="clear" w:color="auto" w:fill="auto"/>
          </w:tcPr>
          <w:p w14:paraId="36CA491C" w14:textId="77777777" w:rsidR="00787570" w:rsidRDefault="00787570">
            <w:pPr>
              <w:rPr>
                <w:rFonts w:ascii="宋体"/>
              </w:rPr>
            </w:pPr>
          </w:p>
        </w:tc>
        <w:tc>
          <w:tcPr>
            <w:tcW w:w="260" w:type="dxa"/>
            <w:shd w:val="clear" w:color="auto" w:fill="auto"/>
          </w:tcPr>
          <w:p w14:paraId="36CA491D" w14:textId="77777777" w:rsidR="00787570" w:rsidRDefault="00787570">
            <w:pPr>
              <w:rPr>
                <w:rFonts w:ascii="宋体"/>
              </w:rPr>
            </w:pPr>
          </w:p>
        </w:tc>
        <w:tc>
          <w:tcPr>
            <w:tcW w:w="20" w:type="dxa"/>
            <w:shd w:val="clear" w:color="auto" w:fill="auto"/>
          </w:tcPr>
          <w:p w14:paraId="36CA491E" w14:textId="77777777" w:rsidR="00787570" w:rsidRDefault="00787570">
            <w:pPr>
              <w:rPr>
                <w:rFonts w:ascii="宋体"/>
              </w:rPr>
            </w:pPr>
          </w:p>
        </w:tc>
        <w:tc>
          <w:tcPr>
            <w:tcW w:w="20" w:type="dxa"/>
            <w:shd w:val="clear" w:color="auto" w:fill="auto"/>
          </w:tcPr>
          <w:p w14:paraId="36CA491F" w14:textId="77777777" w:rsidR="00787570" w:rsidRDefault="00787570">
            <w:pPr>
              <w:rPr>
                <w:rFonts w:ascii="宋体"/>
              </w:rPr>
            </w:pPr>
          </w:p>
        </w:tc>
        <w:tc>
          <w:tcPr>
            <w:tcW w:w="5165" w:type="dxa"/>
            <w:shd w:val="clear" w:color="auto" w:fill="auto"/>
          </w:tcPr>
          <w:p w14:paraId="36CA4920" w14:textId="77777777" w:rsidR="00787570" w:rsidRDefault="00787570">
            <w:pPr>
              <w:rPr>
                <w:rFonts w:ascii="宋体"/>
              </w:rPr>
            </w:pPr>
          </w:p>
        </w:tc>
        <w:tc>
          <w:tcPr>
            <w:tcW w:w="20" w:type="dxa"/>
            <w:shd w:val="clear" w:color="auto" w:fill="auto"/>
          </w:tcPr>
          <w:p w14:paraId="36CA4921" w14:textId="77777777" w:rsidR="00787570" w:rsidRDefault="00787570">
            <w:pPr>
              <w:rPr>
                <w:rFonts w:ascii="宋体"/>
              </w:rPr>
            </w:pPr>
          </w:p>
        </w:tc>
      </w:tr>
      <w:tr w:rsidR="00787570" w14:paraId="36CA4927" w14:textId="77777777">
        <w:tc>
          <w:tcPr>
            <w:tcW w:w="0" w:type="auto"/>
            <w:gridSpan w:val="3"/>
            <w:shd w:val="clear" w:color="auto" w:fill="auto"/>
            <w:tcMar>
              <w:left w:w="20" w:type="dxa"/>
              <w:right w:w="20" w:type="dxa"/>
            </w:tcMar>
            <w:vAlign w:val="bottom"/>
          </w:tcPr>
          <w:p w14:paraId="36CA4923" w14:textId="77777777" w:rsidR="00787570" w:rsidRDefault="00787570">
            <w:pPr>
              <w:rPr>
                <w:rFonts w:ascii="宋体"/>
              </w:rPr>
            </w:pPr>
          </w:p>
        </w:tc>
        <w:tc>
          <w:tcPr>
            <w:tcW w:w="0" w:type="auto"/>
            <w:gridSpan w:val="3"/>
            <w:tcBorders>
              <w:bottom w:val="single" w:sz="8" w:space="0" w:color="333333"/>
            </w:tcBorders>
            <w:shd w:val="clear" w:color="auto" w:fill="auto"/>
            <w:tcMar>
              <w:top w:w="40" w:type="dxa"/>
              <w:left w:w="20" w:type="dxa"/>
              <w:bottom w:w="40" w:type="dxa"/>
              <w:right w:w="20" w:type="dxa"/>
            </w:tcMar>
            <w:vAlign w:val="bottom"/>
          </w:tcPr>
          <w:p w14:paraId="36CA4924" w14:textId="77777777" w:rsidR="00787570" w:rsidRDefault="000D56E2">
            <w:pPr>
              <w:jc w:val="center"/>
              <w:textAlignment w:val="bottom"/>
            </w:pPr>
            <w:r>
              <w:rPr>
                <w:rFonts w:ascii="Arial" w:eastAsia="宋体" w:hAnsi="Arial" w:cs="Arial"/>
                <w:b/>
                <w:bCs/>
                <w:color w:val="0071C5"/>
                <w:sz w:val="20"/>
                <w:szCs w:val="20"/>
              </w:rPr>
              <w:t>INTERNET OF THINGS REVENUE $B</w:t>
            </w:r>
          </w:p>
        </w:tc>
        <w:tc>
          <w:tcPr>
            <w:tcW w:w="0" w:type="auto"/>
            <w:gridSpan w:val="3"/>
            <w:shd w:val="clear" w:color="auto" w:fill="auto"/>
            <w:tcMar>
              <w:left w:w="20" w:type="dxa"/>
              <w:right w:w="20" w:type="dxa"/>
            </w:tcMar>
            <w:vAlign w:val="bottom"/>
          </w:tcPr>
          <w:p w14:paraId="36CA4925" w14:textId="77777777" w:rsidR="00787570" w:rsidRDefault="00787570">
            <w:pPr>
              <w:rPr>
                <w:rFonts w:ascii="宋体"/>
              </w:rPr>
            </w:pPr>
          </w:p>
        </w:tc>
        <w:tc>
          <w:tcPr>
            <w:tcW w:w="0" w:type="auto"/>
            <w:gridSpan w:val="3"/>
            <w:tcBorders>
              <w:bottom w:val="single" w:sz="8" w:space="0" w:color="333333"/>
            </w:tcBorders>
            <w:shd w:val="clear" w:color="auto" w:fill="auto"/>
            <w:tcMar>
              <w:top w:w="40" w:type="dxa"/>
              <w:left w:w="20" w:type="dxa"/>
              <w:bottom w:w="40" w:type="dxa"/>
              <w:right w:w="20" w:type="dxa"/>
            </w:tcMar>
            <w:vAlign w:val="bottom"/>
          </w:tcPr>
          <w:p w14:paraId="36CA4926" w14:textId="77777777" w:rsidR="00787570" w:rsidRDefault="000D56E2">
            <w:pPr>
              <w:jc w:val="center"/>
              <w:textAlignment w:val="bottom"/>
            </w:pPr>
            <w:r>
              <w:rPr>
                <w:rFonts w:ascii="Arial" w:eastAsia="宋体" w:hAnsi="Arial" w:cs="Arial"/>
                <w:b/>
                <w:bCs/>
                <w:color w:val="0071C5"/>
                <w:sz w:val="20"/>
                <w:szCs w:val="20"/>
              </w:rPr>
              <w:t>INTERNET OF THINGS OPERATING INCOME $B</w:t>
            </w:r>
          </w:p>
        </w:tc>
      </w:tr>
    </w:tbl>
    <w:p w14:paraId="36CA4928" w14:textId="77777777" w:rsidR="00787570" w:rsidRDefault="000D56E2">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Viewer9_files/intc-20200926_g9.jpg"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36CA5C43" wp14:editId="36CA5C44">
            <wp:extent cx="304800" cy="304800"/>
            <wp:effectExtent l="0" t="0" r="0" b="0"/>
            <wp:docPr id="64" name="图片 101" descr="IMG_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101" descr="IMG_292"/>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/INTEL/./Inline XBRL Viewer9_files/intc-202009</w:instrText>
      </w:r>
      <w:r>
        <w:rPr>
          <w:rFonts w:ascii="宋体" w:eastAsia="宋体" w:hAnsi="宋体" w:cs="宋体"/>
        </w:rPr>
        <w:instrText xml:space="preserve">26_g10.jpg"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36CA5C45" wp14:editId="36CA5C46">
            <wp:extent cx="304800" cy="304800"/>
            <wp:effectExtent l="0" t="0" r="0" b="0"/>
            <wp:docPr id="65" name="图片 102" descr="IMG_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102" descr="IMG_293"/>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bl>
      <w:tblPr>
        <w:tblW w:w="10950" w:type="dxa"/>
        <w:tblCellMar>
          <w:top w:w="15" w:type="dxa"/>
          <w:left w:w="15" w:type="dxa"/>
          <w:bottom w:w="15" w:type="dxa"/>
          <w:right w:w="15" w:type="dxa"/>
        </w:tblCellMar>
        <w:tblLook w:val="04A0" w:firstRow="1" w:lastRow="0" w:firstColumn="1" w:lastColumn="0" w:noHBand="0" w:noVBand="1"/>
      </w:tblPr>
      <w:tblGrid>
        <w:gridCol w:w="37"/>
        <w:gridCol w:w="1490"/>
        <w:gridCol w:w="36"/>
        <w:gridCol w:w="36"/>
        <w:gridCol w:w="1194"/>
        <w:gridCol w:w="36"/>
        <w:gridCol w:w="36"/>
        <w:gridCol w:w="1260"/>
        <w:gridCol w:w="36"/>
        <w:gridCol w:w="36"/>
        <w:gridCol w:w="1359"/>
        <w:gridCol w:w="36"/>
        <w:gridCol w:w="36"/>
        <w:gridCol w:w="1185"/>
        <w:gridCol w:w="36"/>
        <w:gridCol w:w="36"/>
        <w:gridCol w:w="1383"/>
        <w:gridCol w:w="36"/>
        <w:gridCol w:w="36"/>
        <w:gridCol w:w="1274"/>
        <w:gridCol w:w="36"/>
        <w:gridCol w:w="36"/>
        <w:gridCol w:w="1228"/>
        <w:gridCol w:w="36"/>
      </w:tblGrid>
      <w:tr w:rsidR="00787570" w14:paraId="36CA4941" w14:textId="77777777">
        <w:tc>
          <w:tcPr>
            <w:tcW w:w="20" w:type="dxa"/>
            <w:shd w:val="clear" w:color="auto" w:fill="auto"/>
          </w:tcPr>
          <w:p w14:paraId="36CA4929" w14:textId="77777777" w:rsidR="00787570" w:rsidRDefault="00787570">
            <w:pPr>
              <w:rPr>
                <w:rFonts w:ascii="宋体"/>
              </w:rPr>
            </w:pPr>
          </w:p>
        </w:tc>
        <w:tc>
          <w:tcPr>
            <w:tcW w:w="1535" w:type="dxa"/>
            <w:shd w:val="clear" w:color="auto" w:fill="auto"/>
          </w:tcPr>
          <w:p w14:paraId="36CA492A" w14:textId="77777777" w:rsidR="00787570" w:rsidRDefault="00787570">
            <w:pPr>
              <w:rPr>
                <w:rFonts w:ascii="宋体"/>
              </w:rPr>
            </w:pPr>
          </w:p>
        </w:tc>
        <w:tc>
          <w:tcPr>
            <w:tcW w:w="20" w:type="dxa"/>
            <w:shd w:val="clear" w:color="auto" w:fill="auto"/>
          </w:tcPr>
          <w:p w14:paraId="36CA492B" w14:textId="77777777" w:rsidR="00787570" w:rsidRDefault="00787570">
            <w:pPr>
              <w:rPr>
                <w:rFonts w:ascii="宋体"/>
              </w:rPr>
            </w:pPr>
          </w:p>
        </w:tc>
        <w:tc>
          <w:tcPr>
            <w:tcW w:w="20" w:type="dxa"/>
            <w:shd w:val="clear" w:color="auto" w:fill="auto"/>
          </w:tcPr>
          <w:p w14:paraId="36CA492C" w14:textId="77777777" w:rsidR="00787570" w:rsidRDefault="00787570">
            <w:pPr>
              <w:rPr>
                <w:rFonts w:ascii="宋体"/>
              </w:rPr>
            </w:pPr>
          </w:p>
        </w:tc>
        <w:tc>
          <w:tcPr>
            <w:tcW w:w="1220" w:type="dxa"/>
            <w:shd w:val="clear" w:color="auto" w:fill="auto"/>
          </w:tcPr>
          <w:p w14:paraId="36CA492D" w14:textId="77777777" w:rsidR="00787570" w:rsidRDefault="00787570">
            <w:pPr>
              <w:rPr>
                <w:rFonts w:ascii="宋体"/>
              </w:rPr>
            </w:pPr>
          </w:p>
        </w:tc>
        <w:tc>
          <w:tcPr>
            <w:tcW w:w="20" w:type="dxa"/>
            <w:shd w:val="clear" w:color="auto" w:fill="auto"/>
          </w:tcPr>
          <w:p w14:paraId="36CA492E" w14:textId="77777777" w:rsidR="00787570" w:rsidRDefault="00787570">
            <w:pPr>
              <w:rPr>
                <w:rFonts w:ascii="宋体"/>
              </w:rPr>
            </w:pPr>
          </w:p>
        </w:tc>
        <w:tc>
          <w:tcPr>
            <w:tcW w:w="20" w:type="dxa"/>
            <w:shd w:val="clear" w:color="auto" w:fill="auto"/>
          </w:tcPr>
          <w:p w14:paraId="36CA492F" w14:textId="77777777" w:rsidR="00787570" w:rsidRDefault="00787570">
            <w:pPr>
              <w:rPr>
                <w:rFonts w:ascii="宋体"/>
              </w:rPr>
            </w:pPr>
          </w:p>
        </w:tc>
        <w:tc>
          <w:tcPr>
            <w:tcW w:w="1280" w:type="dxa"/>
            <w:shd w:val="clear" w:color="auto" w:fill="auto"/>
          </w:tcPr>
          <w:p w14:paraId="36CA4930" w14:textId="77777777" w:rsidR="00787570" w:rsidRDefault="00787570">
            <w:pPr>
              <w:rPr>
                <w:rFonts w:ascii="宋体"/>
              </w:rPr>
            </w:pPr>
          </w:p>
        </w:tc>
        <w:tc>
          <w:tcPr>
            <w:tcW w:w="20" w:type="dxa"/>
            <w:shd w:val="clear" w:color="auto" w:fill="auto"/>
          </w:tcPr>
          <w:p w14:paraId="36CA4931" w14:textId="77777777" w:rsidR="00787570" w:rsidRDefault="00787570">
            <w:pPr>
              <w:rPr>
                <w:rFonts w:ascii="宋体"/>
              </w:rPr>
            </w:pPr>
          </w:p>
        </w:tc>
        <w:tc>
          <w:tcPr>
            <w:tcW w:w="20" w:type="dxa"/>
            <w:shd w:val="clear" w:color="auto" w:fill="auto"/>
          </w:tcPr>
          <w:p w14:paraId="36CA4932" w14:textId="77777777" w:rsidR="00787570" w:rsidRDefault="00787570">
            <w:pPr>
              <w:rPr>
                <w:rFonts w:ascii="宋体"/>
              </w:rPr>
            </w:pPr>
          </w:p>
        </w:tc>
        <w:tc>
          <w:tcPr>
            <w:tcW w:w="1400" w:type="dxa"/>
            <w:shd w:val="clear" w:color="auto" w:fill="auto"/>
          </w:tcPr>
          <w:p w14:paraId="36CA4933" w14:textId="77777777" w:rsidR="00787570" w:rsidRDefault="00787570">
            <w:pPr>
              <w:rPr>
                <w:rFonts w:ascii="宋体"/>
              </w:rPr>
            </w:pPr>
          </w:p>
        </w:tc>
        <w:tc>
          <w:tcPr>
            <w:tcW w:w="20" w:type="dxa"/>
            <w:shd w:val="clear" w:color="auto" w:fill="auto"/>
          </w:tcPr>
          <w:p w14:paraId="36CA4934" w14:textId="77777777" w:rsidR="00787570" w:rsidRDefault="00787570">
            <w:pPr>
              <w:rPr>
                <w:rFonts w:ascii="宋体"/>
              </w:rPr>
            </w:pPr>
          </w:p>
        </w:tc>
        <w:tc>
          <w:tcPr>
            <w:tcW w:w="20" w:type="dxa"/>
            <w:shd w:val="clear" w:color="auto" w:fill="auto"/>
          </w:tcPr>
          <w:p w14:paraId="36CA4935" w14:textId="77777777" w:rsidR="00787570" w:rsidRDefault="00787570">
            <w:pPr>
              <w:rPr>
                <w:rFonts w:ascii="宋体"/>
              </w:rPr>
            </w:pPr>
          </w:p>
        </w:tc>
        <w:tc>
          <w:tcPr>
            <w:tcW w:w="1220" w:type="dxa"/>
            <w:shd w:val="clear" w:color="auto" w:fill="auto"/>
          </w:tcPr>
          <w:p w14:paraId="36CA4936" w14:textId="77777777" w:rsidR="00787570" w:rsidRDefault="00787570">
            <w:pPr>
              <w:rPr>
                <w:rFonts w:ascii="宋体"/>
              </w:rPr>
            </w:pPr>
          </w:p>
        </w:tc>
        <w:tc>
          <w:tcPr>
            <w:tcW w:w="20" w:type="dxa"/>
            <w:shd w:val="clear" w:color="auto" w:fill="auto"/>
          </w:tcPr>
          <w:p w14:paraId="36CA4937" w14:textId="77777777" w:rsidR="00787570" w:rsidRDefault="00787570">
            <w:pPr>
              <w:rPr>
                <w:rFonts w:ascii="宋体"/>
              </w:rPr>
            </w:pPr>
          </w:p>
        </w:tc>
        <w:tc>
          <w:tcPr>
            <w:tcW w:w="20" w:type="dxa"/>
            <w:shd w:val="clear" w:color="auto" w:fill="auto"/>
          </w:tcPr>
          <w:p w14:paraId="36CA4938" w14:textId="77777777" w:rsidR="00787570" w:rsidRDefault="00787570">
            <w:pPr>
              <w:rPr>
                <w:rFonts w:ascii="宋体"/>
              </w:rPr>
            </w:pPr>
          </w:p>
        </w:tc>
        <w:tc>
          <w:tcPr>
            <w:tcW w:w="1415" w:type="dxa"/>
            <w:shd w:val="clear" w:color="auto" w:fill="auto"/>
          </w:tcPr>
          <w:p w14:paraId="36CA4939" w14:textId="77777777" w:rsidR="00787570" w:rsidRDefault="00787570">
            <w:pPr>
              <w:rPr>
                <w:rFonts w:ascii="宋体"/>
              </w:rPr>
            </w:pPr>
          </w:p>
        </w:tc>
        <w:tc>
          <w:tcPr>
            <w:tcW w:w="20" w:type="dxa"/>
            <w:shd w:val="clear" w:color="auto" w:fill="auto"/>
          </w:tcPr>
          <w:p w14:paraId="36CA493A" w14:textId="77777777" w:rsidR="00787570" w:rsidRDefault="00787570">
            <w:pPr>
              <w:rPr>
                <w:rFonts w:ascii="宋体"/>
              </w:rPr>
            </w:pPr>
          </w:p>
        </w:tc>
        <w:tc>
          <w:tcPr>
            <w:tcW w:w="20" w:type="dxa"/>
            <w:shd w:val="clear" w:color="auto" w:fill="auto"/>
          </w:tcPr>
          <w:p w14:paraId="36CA493B" w14:textId="77777777" w:rsidR="00787570" w:rsidRDefault="00787570">
            <w:pPr>
              <w:rPr>
                <w:rFonts w:ascii="宋体"/>
              </w:rPr>
            </w:pPr>
          </w:p>
        </w:tc>
        <w:tc>
          <w:tcPr>
            <w:tcW w:w="1295" w:type="dxa"/>
            <w:shd w:val="clear" w:color="auto" w:fill="auto"/>
          </w:tcPr>
          <w:p w14:paraId="36CA493C" w14:textId="77777777" w:rsidR="00787570" w:rsidRDefault="00787570">
            <w:pPr>
              <w:rPr>
                <w:rFonts w:ascii="宋体"/>
              </w:rPr>
            </w:pPr>
          </w:p>
        </w:tc>
        <w:tc>
          <w:tcPr>
            <w:tcW w:w="20" w:type="dxa"/>
            <w:shd w:val="clear" w:color="auto" w:fill="auto"/>
          </w:tcPr>
          <w:p w14:paraId="36CA493D" w14:textId="77777777" w:rsidR="00787570" w:rsidRDefault="00787570">
            <w:pPr>
              <w:rPr>
                <w:rFonts w:ascii="宋体"/>
              </w:rPr>
            </w:pPr>
          </w:p>
        </w:tc>
        <w:tc>
          <w:tcPr>
            <w:tcW w:w="20" w:type="dxa"/>
            <w:shd w:val="clear" w:color="auto" w:fill="auto"/>
          </w:tcPr>
          <w:p w14:paraId="36CA493E" w14:textId="77777777" w:rsidR="00787570" w:rsidRDefault="00787570">
            <w:pPr>
              <w:rPr>
                <w:rFonts w:ascii="宋体"/>
              </w:rPr>
            </w:pPr>
          </w:p>
        </w:tc>
        <w:tc>
          <w:tcPr>
            <w:tcW w:w="1265" w:type="dxa"/>
            <w:shd w:val="clear" w:color="auto" w:fill="auto"/>
          </w:tcPr>
          <w:p w14:paraId="36CA493F" w14:textId="77777777" w:rsidR="00787570" w:rsidRDefault="00787570">
            <w:pPr>
              <w:rPr>
                <w:rFonts w:ascii="宋体"/>
              </w:rPr>
            </w:pPr>
          </w:p>
        </w:tc>
        <w:tc>
          <w:tcPr>
            <w:tcW w:w="20" w:type="dxa"/>
            <w:shd w:val="clear" w:color="auto" w:fill="auto"/>
          </w:tcPr>
          <w:p w14:paraId="36CA4940" w14:textId="77777777" w:rsidR="00787570" w:rsidRDefault="00787570">
            <w:pPr>
              <w:rPr>
                <w:rFonts w:ascii="宋体"/>
              </w:rPr>
            </w:pPr>
          </w:p>
        </w:tc>
      </w:tr>
      <w:tr w:rsidR="00787570" w14:paraId="36CA494A" w14:textId="77777777">
        <w:tc>
          <w:tcPr>
            <w:tcW w:w="0" w:type="auto"/>
            <w:gridSpan w:val="3"/>
            <w:shd w:val="clear" w:color="auto" w:fill="auto"/>
            <w:tcMar>
              <w:left w:w="20" w:type="dxa"/>
              <w:right w:w="20" w:type="dxa"/>
            </w:tcMar>
            <w:vAlign w:val="bottom"/>
          </w:tcPr>
          <w:p w14:paraId="36CA4942" w14:textId="77777777" w:rsidR="00787570" w:rsidRDefault="00787570">
            <w:pPr>
              <w:rPr>
                <w:rFonts w:ascii="宋体"/>
              </w:rPr>
            </w:pPr>
          </w:p>
        </w:tc>
        <w:tc>
          <w:tcPr>
            <w:tcW w:w="0" w:type="auto"/>
            <w:gridSpan w:val="3"/>
            <w:shd w:val="clear" w:color="auto" w:fill="auto"/>
            <w:tcMar>
              <w:top w:w="40" w:type="dxa"/>
              <w:left w:w="20" w:type="dxa"/>
              <w:bottom w:w="40" w:type="dxa"/>
              <w:right w:w="20" w:type="dxa"/>
            </w:tcMar>
            <w:vAlign w:val="center"/>
          </w:tcPr>
          <w:p w14:paraId="36CA4943" w14:textId="77777777" w:rsidR="00787570" w:rsidRDefault="000D56E2">
            <w:pPr>
              <w:jc w:val="center"/>
              <w:textAlignment w:val="center"/>
            </w:pPr>
            <w:r>
              <w:rPr>
                <w:rFonts w:ascii="Arial" w:eastAsia="宋体" w:hAnsi="Arial" w:cs="Arial"/>
                <w:color w:val="003C71"/>
                <w:sz w:val="16"/>
                <w:szCs w:val="16"/>
              </w:rPr>
              <w:t>■</w:t>
            </w:r>
            <w:r>
              <w:rPr>
                <w:rFonts w:ascii="Arial" w:eastAsia="宋体" w:hAnsi="Arial" w:cs="Arial"/>
                <w:color w:val="333333"/>
                <w:sz w:val="16"/>
                <w:szCs w:val="16"/>
              </w:rPr>
              <w:t xml:space="preserve"> IOTG </w:t>
            </w:r>
          </w:p>
        </w:tc>
        <w:tc>
          <w:tcPr>
            <w:tcW w:w="0" w:type="auto"/>
            <w:gridSpan w:val="3"/>
            <w:shd w:val="clear" w:color="auto" w:fill="auto"/>
            <w:tcMar>
              <w:top w:w="40" w:type="dxa"/>
              <w:left w:w="20" w:type="dxa"/>
              <w:bottom w:w="40" w:type="dxa"/>
              <w:right w:w="20" w:type="dxa"/>
            </w:tcMar>
            <w:vAlign w:val="center"/>
          </w:tcPr>
          <w:p w14:paraId="36CA4944" w14:textId="77777777" w:rsidR="00787570" w:rsidRDefault="000D56E2">
            <w:pPr>
              <w:textAlignment w:val="center"/>
            </w:pPr>
            <w:r>
              <w:rPr>
                <w:rFonts w:ascii="Arial" w:eastAsia="宋体" w:hAnsi="Arial" w:cs="Arial"/>
                <w:color w:val="0094FF"/>
                <w:sz w:val="16"/>
                <w:szCs w:val="16"/>
              </w:rPr>
              <w:t xml:space="preserve">■ </w:t>
            </w:r>
            <w:r>
              <w:rPr>
                <w:rFonts w:ascii="Arial" w:eastAsia="宋体" w:hAnsi="Arial" w:cs="Arial"/>
                <w:color w:val="333333"/>
                <w:sz w:val="16"/>
                <w:szCs w:val="16"/>
              </w:rPr>
              <w:t>Mobileye</w:t>
            </w:r>
          </w:p>
        </w:tc>
        <w:tc>
          <w:tcPr>
            <w:tcW w:w="0" w:type="auto"/>
            <w:gridSpan w:val="3"/>
            <w:shd w:val="clear" w:color="auto" w:fill="auto"/>
            <w:tcMar>
              <w:left w:w="20" w:type="dxa"/>
              <w:right w:w="20" w:type="dxa"/>
            </w:tcMar>
            <w:vAlign w:val="bottom"/>
          </w:tcPr>
          <w:p w14:paraId="36CA4945"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4946" w14:textId="77777777" w:rsidR="00787570" w:rsidRDefault="00787570">
            <w:pPr>
              <w:rPr>
                <w:rFonts w:ascii="宋体"/>
              </w:rPr>
            </w:pPr>
          </w:p>
        </w:tc>
        <w:tc>
          <w:tcPr>
            <w:tcW w:w="0" w:type="auto"/>
            <w:gridSpan w:val="3"/>
            <w:shd w:val="clear" w:color="auto" w:fill="auto"/>
            <w:tcMar>
              <w:top w:w="40" w:type="dxa"/>
              <w:left w:w="20" w:type="dxa"/>
              <w:bottom w:w="40" w:type="dxa"/>
              <w:right w:w="20" w:type="dxa"/>
            </w:tcMar>
            <w:vAlign w:val="center"/>
          </w:tcPr>
          <w:p w14:paraId="36CA4947" w14:textId="77777777" w:rsidR="00787570" w:rsidRDefault="000D56E2">
            <w:pPr>
              <w:jc w:val="center"/>
              <w:textAlignment w:val="center"/>
            </w:pPr>
            <w:r>
              <w:rPr>
                <w:rFonts w:ascii="Arial" w:eastAsia="宋体" w:hAnsi="Arial" w:cs="Arial"/>
                <w:color w:val="003C71"/>
                <w:sz w:val="16"/>
                <w:szCs w:val="16"/>
              </w:rPr>
              <w:t>■</w:t>
            </w:r>
            <w:r>
              <w:rPr>
                <w:rFonts w:ascii="Arial" w:eastAsia="宋体" w:hAnsi="Arial" w:cs="Arial"/>
                <w:color w:val="333333"/>
                <w:sz w:val="16"/>
                <w:szCs w:val="16"/>
              </w:rPr>
              <w:t xml:space="preserve"> IOTG </w:t>
            </w:r>
          </w:p>
        </w:tc>
        <w:tc>
          <w:tcPr>
            <w:tcW w:w="0" w:type="auto"/>
            <w:gridSpan w:val="3"/>
            <w:shd w:val="clear" w:color="auto" w:fill="auto"/>
            <w:tcMar>
              <w:top w:w="40" w:type="dxa"/>
              <w:left w:w="20" w:type="dxa"/>
              <w:bottom w:w="40" w:type="dxa"/>
              <w:right w:w="20" w:type="dxa"/>
            </w:tcMar>
            <w:vAlign w:val="center"/>
          </w:tcPr>
          <w:p w14:paraId="36CA4948" w14:textId="77777777" w:rsidR="00787570" w:rsidRDefault="000D56E2">
            <w:pPr>
              <w:textAlignment w:val="center"/>
            </w:pPr>
            <w:r>
              <w:rPr>
                <w:rFonts w:ascii="Arial" w:eastAsia="宋体" w:hAnsi="Arial" w:cs="Arial"/>
                <w:color w:val="0094FF"/>
                <w:sz w:val="16"/>
                <w:szCs w:val="16"/>
              </w:rPr>
              <w:t xml:space="preserve">■ </w:t>
            </w:r>
            <w:r>
              <w:rPr>
                <w:rFonts w:ascii="Arial" w:eastAsia="宋体" w:hAnsi="Arial" w:cs="Arial"/>
                <w:color w:val="333333"/>
                <w:sz w:val="16"/>
                <w:szCs w:val="16"/>
              </w:rPr>
              <w:t>Mobileye</w:t>
            </w:r>
          </w:p>
        </w:tc>
        <w:tc>
          <w:tcPr>
            <w:tcW w:w="0" w:type="auto"/>
            <w:gridSpan w:val="3"/>
            <w:shd w:val="clear" w:color="auto" w:fill="auto"/>
            <w:tcMar>
              <w:left w:w="20" w:type="dxa"/>
              <w:right w:w="20" w:type="dxa"/>
            </w:tcMar>
            <w:vAlign w:val="bottom"/>
          </w:tcPr>
          <w:p w14:paraId="36CA4949" w14:textId="77777777" w:rsidR="00787570" w:rsidRDefault="00787570">
            <w:pPr>
              <w:rPr>
                <w:rFonts w:ascii="宋体"/>
              </w:rPr>
            </w:pPr>
          </w:p>
        </w:tc>
      </w:tr>
    </w:tbl>
    <w:p w14:paraId="36CA494B" w14:textId="77777777" w:rsidR="00787570" w:rsidRDefault="00787570">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8231"/>
        <w:gridCol w:w="36"/>
      </w:tblGrid>
      <w:tr w:rsidR="00787570" w14:paraId="36CA494F" w14:textId="77777777">
        <w:tc>
          <w:tcPr>
            <w:tcW w:w="50" w:type="pct"/>
            <w:shd w:val="clear" w:color="auto" w:fill="auto"/>
          </w:tcPr>
          <w:p w14:paraId="36CA494C" w14:textId="77777777" w:rsidR="00787570" w:rsidRDefault="00787570">
            <w:pPr>
              <w:rPr>
                <w:rFonts w:ascii="宋体"/>
              </w:rPr>
            </w:pPr>
          </w:p>
        </w:tc>
        <w:tc>
          <w:tcPr>
            <w:tcW w:w="4945" w:type="pct"/>
            <w:shd w:val="clear" w:color="auto" w:fill="auto"/>
          </w:tcPr>
          <w:p w14:paraId="36CA494D" w14:textId="77777777" w:rsidR="00787570" w:rsidRDefault="00787570">
            <w:pPr>
              <w:rPr>
                <w:rFonts w:ascii="宋体"/>
              </w:rPr>
            </w:pPr>
          </w:p>
        </w:tc>
        <w:tc>
          <w:tcPr>
            <w:tcW w:w="5" w:type="pct"/>
            <w:shd w:val="clear" w:color="auto" w:fill="auto"/>
          </w:tcPr>
          <w:p w14:paraId="36CA494E" w14:textId="77777777" w:rsidR="00787570" w:rsidRDefault="00787570">
            <w:pPr>
              <w:rPr>
                <w:rFonts w:ascii="宋体"/>
              </w:rPr>
            </w:pPr>
          </w:p>
        </w:tc>
      </w:tr>
      <w:tr w:rsidR="00787570" w14:paraId="36CA4951" w14:textId="77777777">
        <w:tc>
          <w:tcPr>
            <w:tcW w:w="0" w:type="auto"/>
            <w:gridSpan w:val="3"/>
            <w:tcBorders>
              <w:bottom w:val="single" w:sz="8" w:space="0" w:color="333333"/>
            </w:tcBorders>
            <w:shd w:val="clear" w:color="auto" w:fill="auto"/>
            <w:tcMar>
              <w:top w:w="40" w:type="dxa"/>
              <w:left w:w="20" w:type="dxa"/>
              <w:bottom w:w="40" w:type="dxa"/>
              <w:right w:w="20" w:type="dxa"/>
            </w:tcMar>
            <w:vAlign w:val="bottom"/>
          </w:tcPr>
          <w:p w14:paraId="36CA4950" w14:textId="77777777" w:rsidR="00787570" w:rsidRDefault="000D56E2">
            <w:pPr>
              <w:textAlignment w:val="bottom"/>
            </w:pPr>
            <w:r>
              <w:rPr>
                <w:rFonts w:ascii="Arial" w:eastAsia="宋体" w:hAnsi="Arial" w:cs="Arial"/>
                <w:b/>
                <w:bCs/>
                <w:color w:val="0071C5"/>
                <w:sz w:val="20"/>
                <w:szCs w:val="20"/>
              </w:rPr>
              <w:t>REVENUE AND OPERATING INCOME SUMMARY</w:t>
            </w:r>
          </w:p>
        </w:tc>
      </w:tr>
    </w:tbl>
    <w:p w14:paraId="36CA4952" w14:textId="77777777" w:rsidR="00787570" w:rsidRDefault="00787570">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8231"/>
        <w:gridCol w:w="36"/>
      </w:tblGrid>
      <w:tr w:rsidR="00787570" w14:paraId="36CA4956" w14:textId="77777777">
        <w:tc>
          <w:tcPr>
            <w:tcW w:w="50" w:type="pct"/>
            <w:shd w:val="clear" w:color="auto" w:fill="auto"/>
          </w:tcPr>
          <w:p w14:paraId="36CA4953" w14:textId="77777777" w:rsidR="00787570" w:rsidRDefault="00787570">
            <w:pPr>
              <w:rPr>
                <w:rFonts w:ascii="宋体"/>
              </w:rPr>
            </w:pPr>
          </w:p>
        </w:tc>
        <w:tc>
          <w:tcPr>
            <w:tcW w:w="4945" w:type="pct"/>
            <w:shd w:val="clear" w:color="auto" w:fill="auto"/>
          </w:tcPr>
          <w:p w14:paraId="36CA4954" w14:textId="77777777" w:rsidR="00787570" w:rsidRDefault="00787570">
            <w:pPr>
              <w:rPr>
                <w:rFonts w:ascii="宋体"/>
              </w:rPr>
            </w:pPr>
          </w:p>
        </w:tc>
        <w:tc>
          <w:tcPr>
            <w:tcW w:w="5" w:type="pct"/>
            <w:shd w:val="clear" w:color="auto" w:fill="auto"/>
          </w:tcPr>
          <w:p w14:paraId="36CA4955" w14:textId="77777777" w:rsidR="00787570" w:rsidRDefault="00787570">
            <w:pPr>
              <w:rPr>
                <w:rFonts w:ascii="宋体"/>
              </w:rPr>
            </w:pPr>
          </w:p>
        </w:tc>
      </w:tr>
      <w:tr w:rsidR="00787570" w14:paraId="36CA4958" w14:textId="77777777">
        <w:tc>
          <w:tcPr>
            <w:tcW w:w="0" w:type="auto"/>
            <w:gridSpan w:val="3"/>
            <w:tcBorders>
              <w:bottom w:val="single" w:sz="8" w:space="0" w:color="333333"/>
            </w:tcBorders>
            <w:shd w:val="clear" w:color="auto" w:fill="auto"/>
            <w:tcMar>
              <w:top w:w="40" w:type="dxa"/>
              <w:left w:w="20" w:type="dxa"/>
              <w:bottom w:w="40" w:type="dxa"/>
              <w:right w:w="20" w:type="dxa"/>
            </w:tcMar>
            <w:vAlign w:val="bottom"/>
          </w:tcPr>
          <w:p w14:paraId="36CA4957" w14:textId="77777777" w:rsidR="00787570" w:rsidRDefault="000D56E2">
            <w:pPr>
              <w:textAlignment w:val="bottom"/>
            </w:pPr>
            <w:r>
              <w:rPr>
                <w:rFonts w:ascii="Arial" w:eastAsia="宋体" w:hAnsi="Arial" w:cs="Arial"/>
                <w:b/>
                <w:bCs/>
                <w:color w:val="333333"/>
                <w:sz w:val="20"/>
                <w:szCs w:val="20"/>
              </w:rPr>
              <w:t>Q3 2020 vs. Q3 2019</w:t>
            </w:r>
          </w:p>
        </w:tc>
      </w:tr>
    </w:tbl>
    <w:p w14:paraId="36CA4959" w14:textId="77777777" w:rsidR="00787570" w:rsidRDefault="000D56E2">
      <w:pPr>
        <w:spacing w:after="180"/>
      </w:pPr>
      <w:r>
        <w:rPr>
          <w:rFonts w:ascii="Arial" w:eastAsia="宋体" w:hAnsi="Arial" w:cs="Arial"/>
          <w:color w:val="333333"/>
          <w:sz w:val="18"/>
          <w:szCs w:val="18"/>
        </w:rPr>
        <w:t>IOTG revenue was $677 million, down $328 million, driven by weaker demand for IOTG platform products primarily due to economic impacts of COVID-19. Demand was also negatively affected by trade restrictions related to the U.S. government Entity List impacts</w:t>
      </w:r>
      <w:r>
        <w:rPr>
          <w:rFonts w:ascii="Arial" w:eastAsia="宋体" w:hAnsi="Arial" w:cs="Arial"/>
          <w:color w:val="333333"/>
          <w:sz w:val="18"/>
          <w:szCs w:val="18"/>
        </w:rPr>
        <w:t xml:space="preserve">. Operating income was $61 million, down $248 million year over year. </w:t>
      </w:r>
    </w:p>
    <w:p w14:paraId="36CA495A" w14:textId="77777777" w:rsidR="00787570" w:rsidRDefault="000D56E2">
      <w:pPr>
        <w:spacing w:after="180"/>
      </w:pPr>
      <w:r>
        <w:rPr>
          <w:rFonts w:ascii="Arial" w:eastAsia="宋体" w:hAnsi="Arial" w:cs="Arial"/>
          <w:color w:val="333333"/>
          <w:sz w:val="18"/>
          <w:szCs w:val="18"/>
        </w:rPr>
        <w:t xml:space="preserve">Mobileye revenue was $234 million, up $5 million driven by improvement in global vehicle production. Mobileye operating income was $47 million, down $20 million year over year. </w:t>
      </w:r>
    </w:p>
    <w:tbl>
      <w:tblPr>
        <w:tblW w:w="5000" w:type="pct"/>
        <w:tblCellMar>
          <w:top w:w="15" w:type="dxa"/>
          <w:left w:w="15" w:type="dxa"/>
          <w:bottom w:w="15" w:type="dxa"/>
          <w:right w:w="15" w:type="dxa"/>
        </w:tblCellMar>
        <w:tblLook w:val="04A0" w:firstRow="1" w:lastRow="0" w:firstColumn="1" w:lastColumn="0" w:noHBand="0" w:noVBand="1"/>
      </w:tblPr>
      <w:tblGrid>
        <w:gridCol w:w="69"/>
        <w:gridCol w:w="8231"/>
        <w:gridCol w:w="36"/>
      </w:tblGrid>
      <w:tr w:rsidR="00787570" w14:paraId="36CA495E" w14:textId="77777777">
        <w:tc>
          <w:tcPr>
            <w:tcW w:w="50" w:type="pct"/>
            <w:shd w:val="clear" w:color="auto" w:fill="auto"/>
          </w:tcPr>
          <w:p w14:paraId="36CA495B" w14:textId="77777777" w:rsidR="00787570" w:rsidRDefault="00787570">
            <w:pPr>
              <w:rPr>
                <w:rFonts w:ascii="宋体"/>
              </w:rPr>
            </w:pPr>
          </w:p>
        </w:tc>
        <w:tc>
          <w:tcPr>
            <w:tcW w:w="4945" w:type="pct"/>
            <w:shd w:val="clear" w:color="auto" w:fill="auto"/>
          </w:tcPr>
          <w:p w14:paraId="36CA495C" w14:textId="77777777" w:rsidR="00787570" w:rsidRDefault="00787570">
            <w:pPr>
              <w:rPr>
                <w:rFonts w:ascii="宋体"/>
              </w:rPr>
            </w:pPr>
          </w:p>
        </w:tc>
        <w:tc>
          <w:tcPr>
            <w:tcW w:w="5" w:type="pct"/>
            <w:shd w:val="clear" w:color="auto" w:fill="auto"/>
          </w:tcPr>
          <w:p w14:paraId="36CA495D" w14:textId="77777777" w:rsidR="00787570" w:rsidRDefault="00787570">
            <w:pPr>
              <w:rPr>
                <w:rFonts w:ascii="宋体"/>
              </w:rPr>
            </w:pPr>
          </w:p>
        </w:tc>
      </w:tr>
      <w:tr w:rsidR="00787570" w14:paraId="36CA4960" w14:textId="77777777">
        <w:tc>
          <w:tcPr>
            <w:tcW w:w="0" w:type="auto"/>
            <w:gridSpan w:val="3"/>
            <w:tcBorders>
              <w:bottom w:val="single" w:sz="8" w:space="0" w:color="333333"/>
            </w:tcBorders>
            <w:shd w:val="clear" w:color="auto" w:fill="auto"/>
            <w:tcMar>
              <w:top w:w="40" w:type="dxa"/>
              <w:left w:w="20" w:type="dxa"/>
              <w:bottom w:w="40" w:type="dxa"/>
              <w:right w:w="20" w:type="dxa"/>
            </w:tcMar>
            <w:vAlign w:val="bottom"/>
          </w:tcPr>
          <w:p w14:paraId="36CA495F" w14:textId="77777777" w:rsidR="00787570" w:rsidRDefault="000D56E2">
            <w:pPr>
              <w:textAlignment w:val="bottom"/>
            </w:pPr>
            <w:r>
              <w:rPr>
                <w:rFonts w:ascii="Arial" w:eastAsia="宋体" w:hAnsi="Arial" w:cs="Arial"/>
                <w:b/>
                <w:bCs/>
                <w:color w:val="333333"/>
                <w:sz w:val="20"/>
                <w:szCs w:val="20"/>
              </w:rPr>
              <w:t>YTD 2020 vs. YTD 2019</w:t>
            </w:r>
          </w:p>
        </w:tc>
      </w:tr>
    </w:tbl>
    <w:p w14:paraId="36CA4961" w14:textId="77777777" w:rsidR="00787570" w:rsidRDefault="000D56E2">
      <w:pPr>
        <w:spacing w:after="180"/>
      </w:pPr>
      <w:r>
        <w:rPr>
          <w:rFonts w:ascii="Arial" w:eastAsia="宋体" w:hAnsi="Arial" w:cs="Arial"/>
          <w:color w:val="333333"/>
          <w:sz w:val="18"/>
          <w:szCs w:val="18"/>
        </w:rPr>
        <w:t>IOTG revenue was $2.2 billion, down $671 million, d</w:t>
      </w:r>
      <w:r>
        <w:rPr>
          <w:rFonts w:ascii="Arial" w:eastAsia="宋体" w:hAnsi="Arial" w:cs="Arial"/>
          <w:color w:val="333333"/>
          <w:sz w:val="18"/>
          <w:szCs w:val="18"/>
        </w:rPr>
        <w:t xml:space="preserve">riven by weaker demand for IOTG platform products due to COVID-19. Demand was also negatively affected by trade restrictions related to the U.S. government Entity List impacts. Operating income was $374 million, down $480 million compared to YTD 2019. </w:t>
      </w:r>
    </w:p>
    <w:p w14:paraId="36CA4962" w14:textId="77777777" w:rsidR="00787570" w:rsidRDefault="000D56E2">
      <w:pPr>
        <w:spacing w:after="180"/>
      </w:pPr>
      <w:r>
        <w:rPr>
          <w:rFonts w:ascii="Arial" w:eastAsia="宋体" w:hAnsi="Arial" w:cs="Arial"/>
          <w:color w:val="333333"/>
          <w:sz w:val="18"/>
          <w:szCs w:val="18"/>
        </w:rPr>
        <w:t>Mob</w:t>
      </w:r>
      <w:r>
        <w:rPr>
          <w:rFonts w:ascii="Arial" w:eastAsia="宋体" w:hAnsi="Arial" w:cs="Arial"/>
          <w:color w:val="333333"/>
          <w:sz w:val="18"/>
          <w:szCs w:val="18"/>
        </w:rPr>
        <w:t xml:space="preserve">ileye revenue was $634 million, down $5 million, due to lower demand as a result of significant decline in global vehicle production related to COVID-19 with improvement in Q3 2020. Operating income was $131 million, down $57 million. </w:t>
      </w:r>
    </w:p>
    <w:p w14:paraId="36CA4963" w14:textId="77777777" w:rsidR="00787570" w:rsidRDefault="000D56E2">
      <w:pPr>
        <w:spacing w:after="180"/>
      </w:pPr>
      <w:r>
        <w:rPr>
          <w:rFonts w:ascii="Arial" w:eastAsia="宋体" w:hAnsi="Arial" w:cs="Arial"/>
          <w:color w:val="333333"/>
          <w:sz w:val="18"/>
          <w:szCs w:val="18"/>
        </w:rPr>
        <w:t xml:space="preserve">We expect continued </w:t>
      </w:r>
      <w:r>
        <w:rPr>
          <w:rFonts w:ascii="Arial" w:eastAsia="宋体" w:hAnsi="Arial" w:cs="Arial"/>
          <w:color w:val="333333"/>
          <w:sz w:val="18"/>
          <w:szCs w:val="18"/>
        </w:rPr>
        <w:t>negative COVID-19 related impacts on demand for IOTG in Q4.</w:t>
      </w:r>
    </w:p>
    <w:p w14:paraId="36CA4964" w14:textId="77777777" w:rsidR="00787570" w:rsidRDefault="00787570">
      <w:pPr>
        <w:spacing w:after="180"/>
      </w:pPr>
    </w:p>
    <w:p w14:paraId="36CA4965" w14:textId="77777777" w:rsidR="00787570" w:rsidRDefault="00787570">
      <w:pPr>
        <w:spacing w:after="180"/>
      </w:pPr>
    </w:p>
    <w:tbl>
      <w:tblPr>
        <w:tblW w:w="5000" w:type="pct"/>
        <w:tblCellMar>
          <w:top w:w="15" w:type="dxa"/>
          <w:left w:w="15" w:type="dxa"/>
          <w:bottom w:w="15" w:type="dxa"/>
          <w:right w:w="15" w:type="dxa"/>
        </w:tblCellMar>
        <w:tblLook w:val="04A0" w:firstRow="1" w:lastRow="0" w:firstColumn="1" w:lastColumn="0" w:noHBand="0" w:noVBand="1"/>
      </w:tblPr>
      <w:tblGrid>
        <w:gridCol w:w="95"/>
        <w:gridCol w:w="416"/>
        <w:gridCol w:w="36"/>
        <w:gridCol w:w="47"/>
        <w:gridCol w:w="4254"/>
        <w:gridCol w:w="36"/>
        <w:gridCol w:w="47"/>
        <w:gridCol w:w="3369"/>
        <w:gridCol w:w="36"/>
      </w:tblGrid>
      <w:tr w:rsidR="00787570" w14:paraId="36CA496F" w14:textId="77777777">
        <w:tc>
          <w:tcPr>
            <w:tcW w:w="50" w:type="pct"/>
            <w:shd w:val="clear" w:color="auto" w:fill="auto"/>
            <w:vAlign w:val="bottom"/>
          </w:tcPr>
          <w:p w14:paraId="36CA4966" w14:textId="77777777" w:rsidR="00787570" w:rsidRDefault="00787570">
            <w:pPr>
              <w:rPr>
                <w:rFonts w:ascii="宋体"/>
              </w:rPr>
            </w:pPr>
          </w:p>
        </w:tc>
        <w:tc>
          <w:tcPr>
            <w:tcW w:w="220" w:type="pct"/>
            <w:shd w:val="clear" w:color="auto" w:fill="auto"/>
            <w:vAlign w:val="bottom"/>
          </w:tcPr>
          <w:p w14:paraId="36CA4967" w14:textId="77777777" w:rsidR="00787570" w:rsidRDefault="00787570">
            <w:pPr>
              <w:rPr>
                <w:rFonts w:ascii="宋体"/>
              </w:rPr>
            </w:pPr>
          </w:p>
        </w:tc>
        <w:tc>
          <w:tcPr>
            <w:tcW w:w="5" w:type="pct"/>
            <w:shd w:val="clear" w:color="auto" w:fill="auto"/>
            <w:vAlign w:val="bottom"/>
          </w:tcPr>
          <w:p w14:paraId="36CA4968" w14:textId="77777777" w:rsidR="00787570" w:rsidRDefault="00787570">
            <w:pPr>
              <w:rPr>
                <w:rFonts w:ascii="宋体"/>
              </w:rPr>
            </w:pPr>
          </w:p>
        </w:tc>
        <w:tc>
          <w:tcPr>
            <w:tcW w:w="50" w:type="pct"/>
            <w:shd w:val="clear" w:color="auto" w:fill="auto"/>
            <w:vAlign w:val="bottom"/>
          </w:tcPr>
          <w:p w14:paraId="36CA4969" w14:textId="77777777" w:rsidR="00787570" w:rsidRDefault="00787570">
            <w:pPr>
              <w:rPr>
                <w:rFonts w:ascii="宋体"/>
              </w:rPr>
            </w:pPr>
          </w:p>
        </w:tc>
        <w:tc>
          <w:tcPr>
            <w:tcW w:w="2572" w:type="pct"/>
            <w:shd w:val="clear" w:color="auto" w:fill="auto"/>
            <w:vAlign w:val="bottom"/>
          </w:tcPr>
          <w:p w14:paraId="36CA496A" w14:textId="77777777" w:rsidR="00787570" w:rsidRDefault="00787570">
            <w:pPr>
              <w:rPr>
                <w:rFonts w:ascii="宋体"/>
              </w:rPr>
            </w:pPr>
          </w:p>
        </w:tc>
        <w:tc>
          <w:tcPr>
            <w:tcW w:w="5" w:type="pct"/>
            <w:shd w:val="clear" w:color="auto" w:fill="auto"/>
            <w:vAlign w:val="bottom"/>
          </w:tcPr>
          <w:p w14:paraId="36CA496B" w14:textId="77777777" w:rsidR="00787570" w:rsidRDefault="00787570">
            <w:pPr>
              <w:rPr>
                <w:rFonts w:ascii="宋体"/>
              </w:rPr>
            </w:pPr>
          </w:p>
        </w:tc>
        <w:tc>
          <w:tcPr>
            <w:tcW w:w="50" w:type="pct"/>
            <w:shd w:val="clear" w:color="auto" w:fill="auto"/>
            <w:vAlign w:val="bottom"/>
          </w:tcPr>
          <w:p w14:paraId="36CA496C" w14:textId="77777777" w:rsidR="00787570" w:rsidRDefault="00787570">
            <w:pPr>
              <w:rPr>
                <w:rFonts w:ascii="宋体"/>
              </w:rPr>
            </w:pPr>
          </w:p>
        </w:tc>
        <w:tc>
          <w:tcPr>
            <w:tcW w:w="2042" w:type="pct"/>
            <w:shd w:val="clear" w:color="auto" w:fill="auto"/>
            <w:vAlign w:val="bottom"/>
          </w:tcPr>
          <w:p w14:paraId="36CA496D" w14:textId="77777777" w:rsidR="00787570" w:rsidRDefault="00787570">
            <w:pPr>
              <w:rPr>
                <w:rFonts w:ascii="宋体"/>
              </w:rPr>
            </w:pPr>
          </w:p>
        </w:tc>
        <w:tc>
          <w:tcPr>
            <w:tcW w:w="5" w:type="pct"/>
            <w:shd w:val="clear" w:color="auto" w:fill="auto"/>
            <w:vAlign w:val="bottom"/>
          </w:tcPr>
          <w:p w14:paraId="36CA496E" w14:textId="77777777" w:rsidR="00787570" w:rsidRDefault="00787570">
            <w:pPr>
              <w:rPr>
                <w:rFonts w:ascii="宋体"/>
              </w:rPr>
            </w:pPr>
          </w:p>
        </w:tc>
      </w:tr>
      <w:tr w:rsidR="00787570" w14:paraId="36CA4973" w14:textId="77777777">
        <w:tc>
          <w:tcPr>
            <w:tcW w:w="0" w:type="auto"/>
            <w:gridSpan w:val="3"/>
            <w:tcBorders>
              <w:top w:val="single" w:sz="8" w:space="0" w:color="0071C5"/>
            </w:tcBorders>
            <w:shd w:val="clear" w:color="auto" w:fill="auto"/>
            <w:tcMar>
              <w:left w:w="20" w:type="dxa"/>
              <w:right w:w="20" w:type="dxa"/>
            </w:tcMar>
            <w:vAlign w:val="center"/>
          </w:tcPr>
          <w:p w14:paraId="36CA4970" w14:textId="77777777" w:rsidR="00787570" w:rsidRDefault="000D56E2">
            <w:pPr>
              <w:textAlignment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Viewer9_files/intc-20200926_g2.jpg"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36CA5C47" wp14:editId="36CA5C48">
                  <wp:extent cx="304800" cy="304800"/>
                  <wp:effectExtent l="0" t="0" r="0" b="0"/>
                  <wp:docPr id="70" name="图片 103" descr="IMG_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103" descr="IMG_329"/>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8" w:space="0" w:color="0071C5"/>
            </w:tcBorders>
            <w:shd w:val="clear" w:color="auto" w:fill="auto"/>
            <w:tcMar>
              <w:top w:w="40" w:type="dxa"/>
              <w:left w:w="20" w:type="dxa"/>
              <w:bottom w:w="40" w:type="dxa"/>
              <w:right w:w="20" w:type="dxa"/>
            </w:tcMar>
            <w:vAlign w:val="center"/>
          </w:tcPr>
          <w:p w14:paraId="36CA4971" w14:textId="77777777" w:rsidR="00787570" w:rsidRDefault="000D56E2">
            <w:pPr>
              <w:textAlignment w:val="center"/>
            </w:pPr>
            <w:r>
              <w:rPr>
                <w:rFonts w:ascii="Arial" w:eastAsia="宋体" w:hAnsi="Arial" w:cs="Arial"/>
                <w:color w:val="333333"/>
                <w:sz w:val="16"/>
                <w:szCs w:val="16"/>
              </w:rPr>
              <w:t>MD&amp;A</w:t>
            </w:r>
          </w:p>
        </w:tc>
        <w:tc>
          <w:tcPr>
            <w:tcW w:w="0" w:type="auto"/>
            <w:gridSpan w:val="3"/>
            <w:tcBorders>
              <w:top w:val="single" w:sz="8" w:space="0" w:color="0071C5"/>
            </w:tcBorders>
            <w:shd w:val="clear" w:color="auto" w:fill="auto"/>
            <w:tcMar>
              <w:top w:w="40" w:type="dxa"/>
              <w:left w:w="20" w:type="dxa"/>
              <w:bottom w:w="40" w:type="dxa"/>
              <w:right w:w="20" w:type="dxa"/>
            </w:tcMar>
            <w:vAlign w:val="center"/>
          </w:tcPr>
          <w:p w14:paraId="36CA4972" w14:textId="77777777" w:rsidR="00787570" w:rsidRDefault="000D56E2">
            <w:pPr>
              <w:jc w:val="right"/>
              <w:textAlignment w:val="center"/>
            </w:pPr>
            <w:r>
              <w:rPr>
                <w:rFonts w:ascii="Arial" w:eastAsia="宋体" w:hAnsi="Arial" w:cs="Arial"/>
                <w:color w:val="333333"/>
                <w:sz w:val="16"/>
                <w:szCs w:val="16"/>
              </w:rPr>
              <w:t>30</w:t>
            </w:r>
          </w:p>
        </w:tc>
      </w:tr>
    </w:tbl>
    <w:p w14:paraId="36CA4974" w14:textId="77777777" w:rsidR="00787570" w:rsidRDefault="000D56E2">
      <w:r>
        <w:pict w14:anchorId="36CA5C49">
          <v:rect id="_x0000_i1056" style="width:415.3pt;height:1.5pt" o:hralign="center" o:hrstd="t" o:hr="t" fillcolor="#a0a0a0" stroked="f"/>
        </w:pict>
      </w:r>
    </w:p>
    <w:p w14:paraId="36CA4975" w14:textId="77777777" w:rsidR="00787570" w:rsidRDefault="000D56E2">
      <w:pPr>
        <w:spacing w:after="180"/>
        <w:jc w:val="right"/>
      </w:pPr>
      <w:hyperlink r:id="rId58" w:anchor="i32771df14e9449d2bec5be911426bf04_7" w:history="1">
        <w:r>
          <w:rPr>
            <w:rStyle w:val="a5"/>
            <w:rFonts w:ascii="Arial" w:eastAsia="宋体" w:hAnsi="Arial" w:cs="Arial"/>
            <w:b/>
            <w:bCs/>
            <w:sz w:val="16"/>
            <w:szCs w:val="16"/>
          </w:rPr>
          <w:t>Table of Contents</w:t>
        </w:r>
      </w:hyperlink>
    </w:p>
    <w:p w14:paraId="36CA4976" w14:textId="77777777" w:rsidR="00787570" w:rsidRDefault="00787570">
      <w:pPr>
        <w:spacing w:after="180"/>
        <w:jc w:val="right"/>
      </w:pPr>
    </w:p>
    <w:p w14:paraId="36CA4977" w14:textId="77777777" w:rsidR="00787570" w:rsidRDefault="000D56E2">
      <w:pPr>
        <w:spacing w:after="180"/>
      </w:pPr>
      <w:r>
        <w:rPr>
          <w:rFonts w:ascii="Arial" w:eastAsia="宋体" w:hAnsi="Arial" w:cs="Arial"/>
          <w:b/>
          <w:bCs/>
          <w:color w:val="0071C5"/>
          <w:sz w:val="28"/>
          <w:szCs w:val="28"/>
        </w:rPr>
        <w:t xml:space="preserve">NON-VOLATILE MEMORY SOLUTIONS GROUP </w:t>
      </w:r>
    </w:p>
    <w:p w14:paraId="36CA4978" w14:textId="77777777" w:rsidR="00787570" w:rsidRDefault="000D56E2">
      <w:pPr>
        <w:spacing w:after="180"/>
      </w:pPr>
      <w:r>
        <w:rPr>
          <w:rFonts w:ascii="Arial" w:eastAsia="宋体" w:hAnsi="Arial" w:cs="Arial"/>
          <w:color w:val="333333"/>
          <w:sz w:val="18"/>
          <w:szCs w:val="18"/>
        </w:rPr>
        <w:t>NSG is a technology leader in next-generation m</w:t>
      </w:r>
      <w:r>
        <w:rPr>
          <w:rFonts w:ascii="Arial" w:eastAsia="宋体" w:hAnsi="Arial" w:cs="Arial"/>
          <w:color w:val="333333"/>
          <w:sz w:val="18"/>
          <w:szCs w:val="18"/>
        </w:rPr>
        <w:t>emory and storage products based on breakthrough Intel</w:t>
      </w:r>
      <w:r>
        <w:rPr>
          <w:rFonts w:ascii="Arial" w:eastAsia="宋体" w:hAnsi="Arial" w:cs="Arial"/>
          <w:color w:val="333333"/>
          <w:sz w:val="11"/>
          <w:szCs w:val="11"/>
        </w:rPr>
        <w:t>®</w:t>
      </w:r>
      <w:r>
        <w:rPr>
          <w:rFonts w:ascii="Arial" w:eastAsia="宋体" w:hAnsi="Arial" w:cs="Arial"/>
          <w:color w:val="333333"/>
          <w:sz w:val="18"/>
          <w:szCs w:val="18"/>
        </w:rPr>
        <w:t xml:space="preserve"> Optane™ technology and Intel</w:t>
      </w:r>
      <w:r>
        <w:rPr>
          <w:rFonts w:ascii="Arial" w:eastAsia="宋体" w:hAnsi="Arial" w:cs="Arial"/>
          <w:color w:val="333333"/>
          <w:sz w:val="11"/>
          <w:szCs w:val="11"/>
        </w:rPr>
        <w:t>®</w:t>
      </w:r>
      <w:r>
        <w:rPr>
          <w:rFonts w:ascii="Arial" w:eastAsia="宋体" w:hAnsi="Arial" w:cs="Arial"/>
          <w:color w:val="333333"/>
          <w:sz w:val="18"/>
          <w:szCs w:val="18"/>
        </w:rPr>
        <w:t xml:space="preserve"> 3D NAND technology. NSG is disrupting the memory and storage hierarchy with new tiers that balance capacity, performance, and cost. We offer 96-layer and 64-layer TLC NAN</w:t>
      </w:r>
      <w:r>
        <w:rPr>
          <w:rFonts w:ascii="Arial" w:eastAsia="宋体" w:hAnsi="Arial" w:cs="Arial"/>
          <w:color w:val="333333"/>
          <w:sz w:val="18"/>
          <w:szCs w:val="18"/>
        </w:rPr>
        <w:t>D high-capacity SSDs, and 64-layer QLC NAND high-capacity SSDs. We also provide unparalleled low latency and high performance with Intel</w:t>
      </w:r>
      <w:r>
        <w:rPr>
          <w:rFonts w:ascii="Arial" w:eastAsia="宋体" w:hAnsi="Arial" w:cs="Arial"/>
          <w:color w:val="333333"/>
          <w:sz w:val="11"/>
          <w:szCs w:val="11"/>
        </w:rPr>
        <w:t>®</w:t>
      </w:r>
      <w:r>
        <w:rPr>
          <w:rFonts w:ascii="Arial" w:eastAsia="宋体" w:hAnsi="Arial" w:cs="Arial"/>
          <w:color w:val="333333"/>
          <w:sz w:val="18"/>
          <w:szCs w:val="18"/>
        </w:rPr>
        <w:t xml:space="preserve"> Optane™ technology. Our products are available in innovative new form factors and densities to address the memory and </w:t>
      </w:r>
      <w:r>
        <w:rPr>
          <w:rFonts w:ascii="Arial" w:eastAsia="宋体" w:hAnsi="Arial" w:cs="Arial"/>
          <w:color w:val="333333"/>
          <w:sz w:val="18"/>
          <w:szCs w:val="18"/>
        </w:rPr>
        <w:t xml:space="preserve">storage challenges our customers face in a rapidly evolving technological landscape. Our customers include enterprise and cloud-based data centers, and users of business and consumer desktops and laptops. </w:t>
      </w:r>
    </w:p>
    <w:p w14:paraId="36CA4979" w14:textId="77777777" w:rsidR="00787570" w:rsidRDefault="000D56E2">
      <w:pPr>
        <w:spacing w:after="180"/>
      </w:pPr>
      <w:r>
        <w:rPr>
          <w:rFonts w:ascii="Arial" w:eastAsia="宋体" w:hAnsi="Arial" w:cs="Arial"/>
          <w:color w:val="333333"/>
          <w:sz w:val="18"/>
          <w:szCs w:val="18"/>
        </w:rPr>
        <w:t xml:space="preserve">On October 19, 2020, we signed an </w:t>
      </w:r>
      <w:r>
        <w:rPr>
          <w:rFonts w:ascii="Arial" w:eastAsia="宋体" w:hAnsi="Arial" w:cs="Arial"/>
          <w:color w:val="333333"/>
          <w:sz w:val="18"/>
          <w:szCs w:val="18"/>
        </w:rPr>
        <w:t>agreement with SK hynix to divest of our NAND memory business, including our NAND memory fabrication facility in Dalian, China and certain related Fab Assets, our NAND SDD Business, and our NAND Business. The transaction will occur over two closings. The c</w:t>
      </w:r>
      <w:r>
        <w:rPr>
          <w:rFonts w:ascii="Arial" w:eastAsia="宋体" w:hAnsi="Arial" w:cs="Arial"/>
          <w:color w:val="333333"/>
          <w:sz w:val="18"/>
          <w:szCs w:val="18"/>
        </w:rPr>
        <w:t xml:space="preserve">onsummation of the first closing and the second closing is subject to customary conditions, including the receipt of certain governmental approvals. The first closing will not occur prior to November 1, 2021, and the second is expected to occur no earlier </w:t>
      </w:r>
      <w:r>
        <w:rPr>
          <w:rFonts w:ascii="Arial" w:eastAsia="宋体" w:hAnsi="Arial" w:cs="Arial"/>
          <w:color w:val="333333"/>
          <w:sz w:val="18"/>
          <w:szCs w:val="18"/>
        </w:rPr>
        <w:t>than March 2025. In connection with the first closing, the parties will enter into a NAND wafer manufacturing and sale agreement pursuant to which, we will continue to manufacture and sell to SK hynix, NAND wafers to be manufactured at the Dalian memory fa</w:t>
      </w:r>
      <w:r>
        <w:rPr>
          <w:rFonts w:ascii="Arial" w:eastAsia="宋体" w:hAnsi="Arial" w:cs="Arial"/>
          <w:color w:val="333333"/>
          <w:sz w:val="18"/>
          <w:szCs w:val="18"/>
        </w:rPr>
        <w:t>brication facility, until final closing. Our Intel</w:t>
      </w:r>
      <w:r>
        <w:rPr>
          <w:rFonts w:ascii="Arial" w:eastAsia="宋体" w:hAnsi="Arial" w:cs="Arial"/>
          <w:color w:val="333333"/>
          <w:sz w:val="11"/>
          <w:szCs w:val="11"/>
        </w:rPr>
        <w:t>®</w:t>
      </w:r>
      <w:r>
        <w:rPr>
          <w:rFonts w:ascii="Arial" w:eastAsia="宋体" w:hAnsi="Arial" w:cs="Arial"/>
          <w:color w:val="333333"/>
          <w:sz w:val="18"/>
          <w:szCs w:val="18"/>
        </w:rPr>
        <w:t xml:space="preserve"> Optane™ memory business is expressly excluded from the transaction. </w:t>
      </w:r>
    </w:p>
    <w:tbl>
      <w:tblPr>
        <w:tblW w:w="10830" w:type="dxa"/>
        <w:tblCellMar>
          <w:top w:w="15" w:type="dxa"/>
          <w:left w:w="15" w:type="dxa"/>
          <w:bottom w:w="15" w:type="dxa"/>
          <w:right w:w="15" w:type="dxa"/>
        </w:tblCellMar>
        <w:tblLook w:val="04A0" w:firstRow="1" w:lastRow="0" w:firstColumn="1" w:lastColumn="0" w:noHBand="0" w:noVBand="1"/>
      </w:tblPr>
      <w:tblGrid>
        <w:gridCol w:w="36"/>
        <w:gridCol w:w="79"/>
        <w:gridCol w:w="36"/>
        <w:gridCol w:w="36"/>
        <w:gridCol w:w="5101"/>
        <w:gridCol w:w="36"/>
        <w:gridCol w:w="36"/>
        <w:gridCol w:w="257"/>
        <w:gridCol w:w="36"/>
        <w:gridCol w:w="36"/>
        <w:gridCol w:w="5105"/>
        <w:gridCol w:w="36"/>
      </w:tblGrid>
      <w:tr w:rsidR="00787570" w14:paraId="36CA4986" w14:textId="77777777">
        <w:tc>
          <w:tcPr>
            <w:tcW w:w="20" w:type="dxa"/>
            <w:shd w:val="clear" w:color="auto" w:fill="auto"/>
          </w:tcPr>
          <w:p w14:paraId="36CA497A" w14:textId="77777777" w:rsidR="00787570" w:rsidRDefault="00787570">
            <w:pPr>
              <w:rPr>
                <w:rFonts w:ascii="宋体"/>
              </w:rPr>
            </w:pPr>
          </w:p>
        </w:tc>
        <w:tc>
          <w:tcPr>
            <w:tcW w:w="80" w:type="dxa"/>
            <w:shd w:val="clear" w:color="auto" w:fill="auto"/>
          </w:tcPr>
          <w:p w14:paraId="36CA497B" w14:textId="77777777" w:rsidR="00787570" w:rsidRDefault="00787570">
            <w:pPr>
              <w:rPr>
                <w:rFonts w:ascii="宋体"/>
              </w:rPr>
            </w:pPr>
          </w:p>
        </w:tc>
        <w:tc>
          <w:tcPr>
            <w:tcW w:w="20" w:type="dxa"/>
            <w:shd w:val="clear" w:color="auto" w:fill="auto"/>
          </w:tcPr>
          <w:p w14:paraId="36CA497C" w14:textId="77777777" w:rsidR="00787570" w:rsidRDefault="00787570">
            <w:pPr>
              <w:rPr>
                <w:rFonts w:ascii="宋体"/>
              </w:rPr>
            </w:pPr>
          </w:p>
        </w:tc>
        <w:tc>
          <w:tcPr>
            <w:tcW w:w="20" w:type="dxa"/>
            <w:shd w:val="clear" w:color="auto" w:fill="auto"/>
          </w:tcPr>
          <w:p w14:paraId="36CA497D" w14:textId="77777777" w:rsidR="00787570" w:rsidRDefault="00787570">
            <w:pPr>
              <w:rPr>
                <w:rFonts w:ascii="宋体"/>
              </w:rPr>
            </w:pPr>
          </w:p>
        </w:tc>
        <w:tc>
          <w:tcPr>
            <w:tcW w:w="5165" w:type="dxa"/>
            <w:shd w:val="clear" w:color="auto" w:fill="auto"/>
          </w:tcPr>
          <w:p w14:paraId="36CA497E" w14:textId="77777777" w:rsidR="00787570" w:rsidRDefault="00787570">
            <w:pPr>
              <w:rPr>
                <w:rFonts w:ascii="宋体"/>
              </w:rPr>
            </w:pPr>
          </w:p>
        </w:tc>
        <w:tc>
          <w:tcPr>
            <w:tcW w:w="20" w:type="dxa"/>
            <w:shd w:val="clear" w:color="auto" w:fill="auto"/>
          </w:tcPr>
          <w:p w14:paraId="36CA497F" w14:textId="77777777" w:rsidR="00787570" w:rsidRDefault="00787570">
            <w:pPr>
              <w:rPr>
                <w:rFonts w:ascii="宋体"/>
              </w:rPr>
            </w:pPr>
          </w:p>
        </w:tc>
        <w:tc>
          <w:tcPr>
            <w:tcW w:w="20" w:type="dxa"/>
            <w:shd w:val="clear" w:color="auto" w:fill="auto"/>
          </w:tcPr>
          <w:p w14:paraId="36CA4980" w14:textId="77777777" w:rsidR="00787570" w:rsidRDefault="00787570">
            <w:pPr>
              <w:rPr>
                <w:rFonts w:ascii="宋体"/>
              </w:rPr>
            </w:pPr>
          </w:p>
        </w:tc>
        <w:tc>
          <w:tcPr>
            <w:tcW w:w="260" w:type="dxa"/>
            <w:shd w:val="clear" w:color="auto" w:fill="auto"/>
          </w:tcPr>
          <w:p w14:paraId="36CA4981" w14:textId="77777777" w:rsidR="00787570" w:rsidRDefault="00787570">
            <w:pPr>
              <w:rPr>
                <w:rFonts w:ascii="宋体"/>
              </w:rPr>
            </w:pPr>
          </w:p>
        </w:tc>
        <w:tc>
          <w:tcPr>
            <w:tcW w:w="20" w:type="dxa"/>
            <w:shd w:val="clear" w:color="auto" w:fill="auto"/>
          </w:tcPr>
          <w:p w14:paraId="36CA4982" w14:textId="77777777" w:rsidR="00787570" w:rsidRDefault="00787570">
            <w:pPr>
              <w:rPr>
                <w:rFonts w:ascii="宋体"/>
              </w:rPr>
            </w:pPr>
          </w:p>
        </w:tc>
        <w:tc>
          <w:tcPr>
            <w:tcW w:w="20" w:type="dxa"/>
            <w:shd w:val="clear" w:color="auto" w:fill="auto"/>
          </w:tcPr>
          <w:p w14:paraId="36CA4983" w14:textId="77777777" w:rsidR="00787570" w:rsidRDefault="00787570">
            <w:pPr>
              <w:rPr>
                <w:rFonts w:ascii="宋体"/>
              </w:rPr>
            </w:pPr>
          </w:p>
        </w:tc>
        <w:tc>
          <w:tcPr>
            <w:tcW w:w="5165" w:type="dxa"/>
            <w:shd w:val="clear" w:color="auto" w:fill="auto"/>
          </w:tcPr>
          <w:p w14:paraId="36CA4984" w14:textId="77777777" w:rsidR="00787570" w:rsidRDefault="00787570">
            <w:pPr>
              <w:rPr>
                <w:rFonts w:ascii="宋体"/>
              </w:rPr>
            </w:pPr>
          </w:p>
        </w:tc>
        <w:tc>
          <w:tcPr>
            <w:tcW w:w="20" w:type="dxa"/>
            <w:shd w:val="clear" w:color="auto" w:fill="auto"/>
          </w:tcPr>
          <w:p w14:paraId="36CA4985" w14:textId="77777777" w:rsidR="00787570" w:rsidRDefault="00787570">
            <w:pPr>
              <w:rPr>
                <w:rFonts w:ascii="宋体"/>
              </w:rPr>
            </w:pPr>
          </w:p>
        </w:tc>
      </w:tr>
      <w:tr w:rsidR="00787570" w14:paraId="36CA498B" w14:textId="77777777">
        <w:tc>
          <w:tcPr>
            <w:tcW w:w="0" w:type="auto"/>
            <w:gridSpan w:val="3"/>
            <w:shd w:val="clear" w:color="auto" w:fill="auto"/>
            <w:tcMar>
              <w:left w:w="20" w:type="dxa"/>
              <w:right w:w="20" w:type="dxa"/>
            </w:tcMar>
            <w:vAlign w:val="bottom"/>
          </w:tcPr>
          <w:p w14:paraId="36CA4987" w14:textId="77777777" w:rsidR="00787570" w:rsidRDefault="00787570">
            <w:pPr>
              <w:rPr>
                <w:rFonts w:ascii="宋体"/>
              </w:rPr>
            </w:pPr>
          </w:p>
        </w:tc>
        <w:tc>
          <w:tcPr>
            <w:tcW w:w="0" w:type="auto"/>
            <w:gridSpan w:val="3"/>
            <w:tcBorders>
              <w:bottom w:val="single" w:sz="8" w:space="0" w:color="333333"/>
            </w:tcBorders>
            <w:shd w:val="clear" w:color="auto" w:fill="auto"/>
            <w:tcMar>
              <w:top w:w="40" w:type="dxa"/>
              <w:left w:w="20" w:type="dxa"/>
              <w:bottom w:w="40" w:type="dxa"/>
              <w:right w:w="20" w:type="dxa"/>
            </w:tcMar>
            <w:vAlign w:val="bottom"/>
          </w:tcPr>
          <w:p w14:paraId="36CA4988" w14:textId="77777777" w:rsidR="00787570" w:rsidRDefault="000D56E2">
            <w:pPr>
              <w:jc w:val="center"/>
              <w:textAlignment w:val="bottom"/>
            </w:pPr>
            <w:r>
              <w:rPr>
                <w:rFonts w:ascii="Arial" w:eastAsia="宋体" w:hAnsi="Arial" w:cs="Arial"/>
                <w:b/>
                <w:bCs/>
                <w:color w:val="0071C5"/>
                <w:sz w:val="20"/>
                <w:szCs w:val="20"/>
              </w:rPr>
              <w:t>NSG REVENUE $B</w:t>
            </w:r>
          </w:p>
        </w:tc>
        <w:tc>
          <w:tcPr>
            <w:tcW w:w="0" w:type="auto"/>
            <w:gridSpan w:val="3"/>
            <w:shd w:val="clear" w:color="auto" w:fill="auto"/>
            <w:tcMar>
              <w:left w:w="20" w:type="dxa"/>
              <w:right w:w="20" w:type="dxa"/>
            </w:tcMar>
            <w:vAlign w:val="bottom"/>
          </w:tcPr>
          <w:p w14:paraId="36CA4989" w14:textId="77777777" w:rsidR="00787570" w:rsidRDefault="00787570">
            <w:pPr>
              <w:rPr>
                <w:rFonts w:ascii="宋体"/>
              </w:rPr>
            </w:pPr>
          </w:p>
        </w:tc>
        <w:tc>
          <w:tcPr>
            <w:tcW w:w="0" w:type="auto"/>
            <w:gridSpan w:val="3"/>
            <w:tcBorders>
              <w:bottom w:val="single" w:sz="8" w:space="0" w:color="333333"/>
            </w:tcBorders>
            <w:shd w:val="clear" w:color="auto" w:fill="auto"/>
            <w:tcMar>
              <w:top w:w="40" w:type="dxa"/>
              <w:left w:w="20" w:type="dxa"/>
              <w:bottom w:w="40" w:type="dxa"/>
              <w:right w:w="20" w:type="dxa"/>
            </w:tcMar>
            <w:vAlign w:val="bottom"/>
          </w:tcPr>
          <w:p w14:paraId="36CA498A" w14:textId="77777777" w:rsidR="00787570" w:rsidRDefault="000D56E2">
            <w:pPr>
              <w:jc w:val="center"/>
              <w:textAlignment w:val="bottom"/>
            </w:pPr>
            <w:r>
              <w:rPr>
                <w:rFonts w:ascii="Arial" w:eastAsia="宋体" w:hAnsi="Arial" w:cs="Arial"/>
                <w:b/>
                <w:bCs/>
                <w:color w:val="0071C5"/>
                <w:sz w:val="20"/>
                <w:szCs w:val="20"/>
              </w:rPr>
              <w:t>NSG OPERATING INCOME $B</w:t>
            </w:r>
          </w:p>
        </w:tc>
      </w:tr>
    </w:tbl>
    <w:p w14:paraId="36CA498C" w14:textId="77777777" w:rsidR="00787570" w:rsidRDefault="000D56E2">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Viewer9_files/intc-20200926_g11.jpg"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36CA5C4A" wp14:editId="36CA5C4B">
            <wp:extent cx="304800" cy="304800"/>
            <wp:effectExtent l="0" t="0" r="0" b="0"/>
            <wp:docPr id="66" name="图片 105" descr="IMG_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105" descr="IMG_295"/>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/INTEL/./Inline XBRL Viewer9_files/intc-20200</w:instrText>
      </w:r>
      <w:r>
        <w:rPr>
          <w:rFonts w:ascii="宋体" w:eastAsia="宋体" w:hAnsi="宋体" w:cs="宋体"/>
        </w:rPr>
        <w:instrText xml:space="preserve">926_g12.jpg"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36CA5C4C" wp14:editId="36CA5C4D">
            <wp:extent cx="304800" cy="304800"/>
            <wp:effectExtent l="0" t="0" r="0" b="0"/>
            <wp:docPr id="59" name="图片 106" descr="IMG_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106" descr="IMG_296"/>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bl>
      <w:tblPr>
        <w:tblW w:w="5000" w:type="pct"/>
        <w:tblCellMar>
          <w:top w:w="15" w:type="dxa"/>
          <w:left w:w="15" w:type="dxa"/>
          <w:bottom w:w="15" w:type="dxa"/>
          <w:right w:w="15" w:type="dxa"/>
        </w:tblCellMar>
        <w:tblLook w:val="04A0" w:firstRow="1" w:lastRow="0" w:firstColumn="1" w:lastColumn="0" w:noHBand="0" w:noVBand="1"/>
      </w:tblPr>
      <w:tblGrid>
        <w:gridCol w:w="69"/>
        <w:gridCol w:w="8231"/>
        <w:gridCol w:w="36"/>
      </w:tblGrid>
      <w:tr w:rsidR="00787570" w14:paraId="36CA4990" w14:textId="77777777">
        <w:tc>
          <w:tcPr>
            <w:tcW w:w="50" w:type="pct"/>
            <w:shd w:val="clear" w:color="auto" w:fill="auto"/>
          </w:tcPr>
          <w:p w14:paraId="36CA498D" w14:textId="77777777" w:rsidR="00787570" w:rsidRDefault="00787570">
            <w:pPr>
              <w:rPr>
                <w:rFonts w:ascii="宋体"/>
              </w:rPr>
            </w:pPr>
          </w:p>
        </w:tc>
        <w:tc>
          <w:tcPr>
            <w:tcW w:w="4945" w:type="pct"/>
            <w:shd w:val="clear" w:color="auto" w:fill="auto"/>
          </w:tcPr>
          <w:p w14:paraId="36CA498E" w14:textId="77777777" w:rsidR="00787570" w:rsidRDefault="00787570">
            <w:pPr>
              <w:rPr>
                <w:rFonts w:ascii="宋体"/>
              </w:rPr>
            </w:pPr>
          </w:p>
        </w:tc>
        <w:tc>
          <w:tcPr>
            <w:tcW w:w="5" w:type="pct"/>
            <w:shd w:val="clear" w:color="auto" w:fill="auto"/>
          </w:tcPr>
          <w:p w14:paraId="36CA498F" w14:textId="77777777" w:rsidR="00787570" w:rsidRDefault="00787570">
            <w:pPr>
              <w:rPr>
                <w:rFonts w:ascii="宋体"/>
              </w:rPr>
            </w:pPr>
          </w:p>
        </w:tc>
      </w:tr>
      <w:tr w:rsidR="00787570" w14:paraId="36CA4992" w14:textId="77777777">
        <w:tc>
          <w:tcPr>
            <w:tcW w:w="0" w:type="auto"/>
            <w:gridSpan w:val="3"/>
            <w:tcBorders>
              <w:bottom w:val="single" w:sz="8" w:space="0" w:color="333333"/>
            </w:tcBorders>
            <w:shd w:val="clear" w:color="auto" w:fill="auto"/>
            <w:tcMar>
              <w:top w:w="40" w:type="dxa"/>
              <w:left w:w="20" w:type="dxa"/>
              <w:bottom w:w="40" w:type="dxa"/>
              <w:right w:w="20" w:type="dxa"/>
            </w:tcMar>
            <w:vAlign w:val="bottom"/>
          </w:tcPr>
          <w:p w14:paraId="36CA4991" w14:textId="77777777" w:rsidR="00787570" w:rsidRDefault="000D56E2">
            <w:pPr>
              <w:textAlignment w:val="bottom"/>
            </w:pPr>
            <w:r>
              <w:rPr>
                <w:rFonts w:ascii="Arial" w:eastAsia="宋体" w:hAnsi="Arial" w:cs="Arial"/>
                <w:b/>
                <w:bCs/>
                <w:color w:val="0071C5"/>
                <w:sz w:val="20"/>
                <w:szCs w:val="20"/>
              </w:rPr>
              <w:t>REVENUE AND OPERATING INCOME SUMMARY</w:t>
            </w:r>
          </w:p>
        </w:tc>
      </w:tr>
    </w:tbl>
    <w:p w14:paraId="36CA4993" w14:textId="77777777" w:rsidR="00787570" w:rsidRDefault="00787570">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8231"/>
        <w:gridCol w:w="36"/>
      </w:tblGrid>
      <w:tr w:rsidR="00787570" w14:paraId="36CA4997" w14:textId="77777777">
        <w:tc>
          <w:tcPr>
            <w:tcW w:w="50" w:type="pct"/>
            <w:shd w:val="clear" w:color="auto" w:fill="auto"/>
          </w:tcPr>
          <w:p w14:paraId="36CA4994" w14:textId="77777777" w:rsidR="00787570" w:rsidRDefault="00787570">
            <w:pPr>
              <w:rPr>
                <w:rFonts w:ascii="宋体"/>
              </w:rPr>
            </w:pPr>
          </w:p>
        </w:tc>
        <w:tc>
          <w:tcPr>
            <w:tcW w:w="4945" w:type="pct"/>
            <w:shd w:val="clear" w:color="auto" w:fill="auto"/>
          </w:tcPr>
          <w:p w14:paraId="36CA4995" w14:textId="77777777" w:rsidR="00787570" w:rsidRDefault="00787570">
            <w:pPr>
              <w:rPr>
                <w:rFonts w:ascii="宋体"/>
              </w:rPr>
            </w:pPr>
          </w:p>
        </w:tc>
        <w:tc>
          <w:tcPr>
            <w:tcW w:w="5" w:type="pct"/>
            <w:shd w:val="clear" w:color="auto" w:fill="auto"/>
          </w:tcPr>
          <w:p w14:paraId="36CA4996" w14:textId="77777777" w:rsidR="00787570" w:rsidRDefault="00787570">
            <w:pPr>
              <w:rPr>
                <w:rFonts w:ascii="宋体"/>
              </w:rPr>
            </w:pPr>
          </w:p>
        </w:tc>
      </w:tr>
      <w:tr w:rsidR="00787570" w14:paraId="36CA4999" w14:textId="77777777">
        <w:tc>
          <w:tcPr>
            <w:tcW w:w="0" w:type="auto"/>
            <w:gridSpan w:val="3"/>
            <w:tcBorders>
              <w:bottom w:val="single" w:sz="8" w:space="0" w:color="333333"/>
            </w:tcBorders>
            <w:shd w:val="clear" w:color="auto" w:fill="auto"/>
            <w:tcMar>
              <w:top w:w="40" w:type="dxa"/>
              <w:left w:w="20" w:type="dxa"/>
              <w:bottom w:w="40" w:type="dxa"/>
              <w:right w:w="20" w:type="dxa"/>
            </w:tcMar>
            <w:vAlign w:val="bottom"/>
          </w:tcPr>
          <w:p w14:paraId="36CA4998" w14:textId="77777777" w:rsidR="00787570" w:rsidRDefault="000D56E2">
            <w:pPr>
              <w:textAlignment w:val="bottom"/>
            </w:pPr>
            <w:r>
              <w:rPr>
                <w:rFonts w:ascii="Arial" w:eastAsia="宋体" w:hAnsi="Arial" w:cs="Arial"/>
                <w:b/>
                <w:bCs/>
                <w:color w:val="333333"/>
                <w:sz w:val="20"/>
                <w:szCs w:val="20"/>
              </w:rPr>
              <w:t>Q3 2020 vs. Q3 2019</w:t>
            </w:r>
          </w:p>
        </w:tc>
      </w:tr>
    </w:tbl>
    <w:p w14:paraId="36CA499A" w14:textId="77777777" w:rsidR="00787570" w:rsidRDefault="000D56E2">
      <w:pPr>
        <w:spacing w:after="180"/>
      </w:pPr>
      <w:r>
        <w:rPr>
          <w:rFonts w:ascii="Arial" w:eastAsia="宋体" w:hAnsi="Arial" w:cs="Arial"/>
          <w:color w:val="333333"/>
          <w:sz w:val="18"/>
          <w:szCs w:val="18"/>
        </w:rPr>
        <w:t xml:space="preserve">NSG delivered revenue of $1.2 billion, down $137 million from Q3 2019, driven by $460 million lower volume, with COVID-19 impacts </w:t>
      </w:r>
      <w:r>
        <w:rPr>
          <w:rFonts w:ascii="Arial" w:eastAsia="宋体" w:hAnsi="Arial" w:cs="Arial"/>
          <w:color w:val="333333"/>
          <w:sz w:val="18"/>
          <w:szCs w:val="18"/>
        </w:rPr>
        <w:t>contributing to the decrease in demand, partially offset by $323 million higher ASPs from improved NAND pricing. Operating income was $29 million, up $528 million from an operating loss in Q3 2019 due to continued improvements in unit cost and market prici</w:t>
      </w:r>
      <w:r>
        <w:rPr>
          <w:rFonts w:ascii="Arial" w:eastAsia="宋体" w:hAnsi="Arial" w:cs="Arial"/>
          <w:color w:val="333333"/>
          <w:sz w:val="18"/>
          <w:szCs w:val="18"/>
        </w:rPr>
        <w:t>ng recovery.</w:t>
      </w:r>
    </w:p>
    <w:tbl>
      <w:tblPr>
        <w:tblW w:w="5000" w:type="pct"/>
        <w:tblCellMar>
          <w:top w:w="15" w:type="dxa"/>
          <w:left w:w="15" w:type="dxa"/>
          <w:bottom w:w="15" w:type="dxa"/>
          <w:right w:w="15" w:type="dxa"/>
        </w:tblCellMar>
        <w:tblLook w:val="04A0" w:firstRow="1" w:lastRow="0" w:firstColumn="1" w:lastColumn="0" w:noHBand="0" w:noVBand="1"/>
      </w:tblPr>
      <w:tblGrid>
        <w:gridCol w:w="69"/>
        <w:gridCol w:w="8231"/>
        <w:gridCol w:w="36"/>
      </w:tblGrid>
      <w:tr w:rsidR="00787570" w14:paraId="36CA499E" w14:textId="77777777">
        <w:tc>
          <w:tcPr>
            <w:tcW w:w="50" w:type="pct"/>
            <w:shd w:val="clear" w:color="auto" w:fill="auto"/>
          </w:tcPr>
          <w:p w14:paraId="36CA499B" w14:textId="77777777" w:rsidR="00787570" w:rsidRDefault="00787570">
            <w:pPr>
              <w:rPr>
                <w:rFonts w:ascii="宋体"/>
              </w:rPr>
            </w:pPr>
          </w:p>
        </w:tc>
        <w:tc>
          <w:tcPr>
            <w:tcW w:w="4945" w:type="pct"/>
            <w:shd w:val="clear" w:color="auto" w:fill="auto"/>
          </w:tcPr>
          <w:p w14:paraId="36CA499C" w14:textId="77777777" w:rsidR="00787570" w:rsidRDefault="00787570">
            <w:pPr>
              <w:rPr>
                <w:rFonts w:ascii="宋体"/>
              </w:rPr>
            </w:pPr>
          </w:p>
        </w:tc>
        <w:tc>
          <w:tcPr>
            <w:tcW w:w="5" w:type="pct"/>
            <w:shd w:val="clear" w:color="auto" w:fill="auto"/>
          </w:tcPr>
          <w:p w14:paraId="36CA499D" w14:textId="77777777" w:rsidR="00787570" w:rsidRDefault="00787570">
            <w:pPr>
              <w:rPr>
                <w:rFonts w:ascii="宋体"/>
              </w:rPr>
            </w:pPr>
          </w:p>
        </w:tc>
      </w:tr>
      <w:tr w:rsidR="00787570" w14:paraId="36CA49A0" w14:textId="77777777">
        <w:tc>
          <w:tcPr>
            <w:tcW w:w="0" w:type="auto"/>
            <w:gridSpan w:val="3"/>
            <w:tcBorders>
              <w:bottom w:val="single" w:sz="8" w:space="0" w:color="333333"/>
            </w:tcBorders>
            <w:shd w:val="clear" w:color="auto" w:fill="auto"/>
            <w:tcMar>
              <w:top w:w="40" w:type="dxa"/>
              <w:left w:w="20" w:type="dxa"/>
              <w:bottom w:w="40" w:type="dxa"/>
              <w:right w:w="20" w:type="dxa"/>
            </w:tcMar>
            <w:vAlign w:val="bottom"/>
          </w:tcPr>
          <w:p w14:paraId="36CA499F" w14:textId="77777777" w:rsidR="00787570" w:rsidRDefault="000D56E2">
            <w:pPr>
              <w:textAlignment w:val="bottom"/>
            </w:pPr>
            <w:r>
              <w:rPr>
                <w:rFonts w:ascii="Arial" w:eastAsia="宋体" w:hAnsi="Arial" w:cs="Arial"/>
                <w:b/>
                <w:bCs/>
                <w:color w:val="333333"/>
                <w:sz w:val="20"/>
                <w:szCs w:val="20"/>
              </w:rPr>
              <w:t>YTD 2020 vs. YTD 2019</w:t>
            </w:r>
          </w:p>
        </w:tc>
      </w:tr>
    </w:tbl>
    <w:p w14:paraId="36CA49A1" w14:textId="77777777" w:rsidR="00787570" w:rsidRDefault="000D56E2">
      <w:pPr>
        <w:spacing w:before="180" w:after="180"/>
      </w:pPr>
      <w:r>
        <w:rPr>
          <w:rFonts w:ascii="Arial" w:eastAsia="宋体" w:hAnsi="Arial" w:cs="Arial"/>
          <w:color w:val="333333"/>
          <w:sz w:val="18"/>
          <w:szCs w:val="18"/>
        </w:rPr>
        <w:t>NSG delivered revenue of $4.2 billion, up $1.0 billion, driven by $868 million higher ASP from improved NAND pricing and $138 million higher volume due to strong demand for Intel</w:t>
      </w:r>
      <w:r>
        <w:rPr>
          <w:rFonts w:ascii="Arial" w:eastAsia="宋体" w:hAnsi="Arial" w:cs="Arial"/>
          <w:color w:val="333333"/>
          <w:sz w:val="11"/>
          <w:szCs w:val="11"/>
        </w:rPr>
        <w:t>®</w:t>
      </w:r>
      <w:r>
        <w:rPr>
          <w:rFonts w:ascii="Arial" w:eastAsia="宋体" w:hAnsi="Arial" w:cs="Arial"/>
          <w:color w:val="333333"/>
          <w:sz w:val="18"/>
          <w:szCs w:val="18"/>
        </w:rPr>
        <w:t xml:space="preserve"> Optane™ and NAND products. Operating income was $285 million, up $1.4 billion from an operating loss in YTD 2019, due to market pricing recovery and continued improvements in unit cost.</w:t>
      </w:r>
    </w:p>
    <w:p w14:paraId="36CA49A2" w14:textId="77777777" w:rsidR="00787570" w:rsidRDefault="00787570">
      <w:pPr>
        <w:spacing w:after="180"/>
      </w:pPr>
    </w:p>
    <w:tbl>
      <w:tblPr>
        <w:tblW w:w="5000" w:type="pct"/>
        <w:tblCellMar>
          <w:top w:w="15" w:type="dxa"/>
          <w:left w:w="15" w:type="dxa"/>
          <w:bottom w:w="15" w:type="dxa"/>
          <w:right w:w="15" w:type="dxa"/>
        </w:tblCellMar>
        <w:tblLook w:val="04A0" w:firstRow="1" w:lastRow="0" w:firstColumn="1" w:lastColumn="0" w:noHBand="0" w:noVBand="1"/>
      </w:tblPr>
      <w:tblGrid>
        <w:gridCol w:w="95"/>
        <w:gridCol w:w="416"/>
        <w:gridCol w:w="36"/>
        <w:gridCol w:w="47"/>
        <w:gridCol w:w="4254"/>
        <w:gridCol w:w="36"/>
        <w:gridCol w:w="47"/>
        <w:gridCol w:w="3369"/>
        <w:gridCol w:w="36"/>
      </w:tblGrid>
      <w:tr w:rsidR="00787570" w14:paraId="36CA49AC" w14:textId="77777777">
        <w:tc>
          <w:tcPr>
            <w:tcW w:w="50" w:type="pct"/>
            <w:shd w:val="clear" w:color="auto" w:fill="auto"/>
            <w:vAlign w:val="bottom"/>
          </w:tcPr>
          <w:p w14:paraId="36CA49A3" w14:textId="77777777" w:rsidR="00787570" w:rsidRDefault="00787570">
            <w:pPr>
              <w:rPr>
                <w:rFonts w:ascii="宋体"/>
              </w:rPr>
            </w:pPr>
          </w:p>
        </w:tc>
        <w:tc>
          <w:tcPr>
            <w:tcW w:w="220" w:type="pct"/>
            <w:shd w:val="clear" w:color="auto" w:fill="auto"/>
            <w:vAlign w:val="bottom"/>
          </w:tcPr>
          <w:p w14:paraId="36CA49A4" w14:textId="77777777" w:rsidR="00787570" w:rsidRDefault="00787570">
            <w:pPr>
              <w:rPr>
                <w:rFonts w:ascii="宋体"/>
              </w:rPr>
            </w:pPr>
          </w:p>
        </w:tc>
        <w:tc>
          <w:tcPr>
            <w:tcW w:w="5" w:type="pct"/>
            <w:shd w:val="clear" w:color="auto" w:fill="auto"/>
            <w:vAlign w:val="bottom"/>
          </w:tcPr>
          <w:p w14:paraId="36CA49A5" w14:textId="77777777" w:rsidR="00787570" w:rsidRDefault="00787570">
            <w:pPr>
              <w:rPr>
                <w:rFonts w:ascii="宋体"/>
              </w:rPr>
            </w:pPr>
          </w:p>
        </w:tc>
        <w:tc>
          <w:tcPr>
            <w:tcW w:w="50" w:type="pct"/>
            <w:shd w:val="clear" w:color="auto" w:fill="auto"/>
            <w:vAlign w:val="bottom"/>
          </w:tcPr>
          <w:p w14:paraId="36CA49A6" w14:textId="77777777" w:rsidR="00787570" w:rsidRDefault="00787570">
            <w:pPr>
              <w:rPr>
                <w:rFonts w:ascii="宋体"/>
              </w:rPr>
            </w:pPr>
          </w:p>
        </w:tc>
        <w:tc>
          <w:tcPr>
            <w:tcW w:w="2572" w:type="pct"/>
            <w:shd w:val="clear" w:color="auto" w:fill="auto"/>
            <w:vAlign w:val="bottom"/>
          </w:tcPr>
          <w:p w14:paraId="36CA49A7" w14:textId="77777777" w:rsidR="00787570" w:rsidRDefault="00787570">
            <w:pPr>
              <w:rPr>
                <w:rFonts w:ascii="宋体"/>
              </w:rPr>
            </w:pPr>
          </w:p>
        </w:tc>
        <w:tc>
          <w:tcPr>
            <w:tcW w:w="5" w:type="pct"/>
            <w:shd w:val="clear" w:color="auto" w:fill="auto"/>
            <w:vAlign w:val="bottom"/>
          </w:tcPr>
          <w:p w14:paraId="36CA49A8" w14:textId="77777777" w:rsidR="00787570" w:rsidRDefault="00787570">
            <w:pPr>
              <w:rPr>
                <w:rFonts w:ascii="宋体"/>
              </w:rPr>
            </w:pPr>
          </w:p>
        </w:tc>
        <w:tc>
          <w:tcPr>
            <w:tcW w:w="50" w:type="pct"/>
            <w:shd w:val="clear" w:color="auto" w:fill="auto"/>
            <w:vAlign w:val="bottom"/>
          </w:tcPr>
          <w:p w14:paraId="36CA49A9" w14:textId="77777777" w:rsidR="00787570" w:rsidRDefault="00787570">
            <w:pPr>
              <w:rPr>
                <w:rFonts w:ascii="宋体"/>
              </w:rPr>
            </w:pPr>
          </w:p>
        </w:tc>
        <w:tc>
          <w:tcPr>
            <w:tcW w:w="2042" w:type="pct"/>
            <w:shd w:val="clear" w:color="auto" w:fill="auto"/>
            <w:vAlign w:val="bottom"/>
          </w:tcPr>
          <w:p w14:paraId="36CA49AA" w14:textId="77777777" w:rsidR="00787570" w:rsidRDefault="00787570">
            <w:pPr>
              <w:rPr>
                <w:rFonts w:ascii="宋体"/>
              </w:rPr>
            </w:pPr>
          </w:p>
        </w:tc>
        <w:tc>
          <w:tcPr>
            <w:tcW w:w="5" w:type="pct"/>
            <w:shd w:val="clear" w:color="auto" w:fill="auto"/>
            <w:vAlign w:val="bottom"/>
          </w:tcPr>
          <w:p w14:paraId="36CA49AB" w14:textId="77777777" w:rsidR="00787570" w:rsidRDefault="00787570">
            <w:pPr>
              <w:rPr>
                <w:rFonts w:ascii="宋体"/>
              </w:rPr>
            </w:pPr>
          </w:p>
        </w:tc>
      </w:tr>
      <w:tr w:rsidR="00787570" w14:paraId="36CA49B0" w14:textId="77777777">
        <w:tc>
          <w:tcPr>
            <w:tcW w:w="0" w:type="auto"/>
            <w:gridSpan w:val="3"/>
            <w:tcBorders>
              <w:top w:val="single" w:sz="8" w:space="0" w:color="0071C5"/>
            </w:tcBorders>
            <w:shd w:val="clear" w:color="auto" w:fill="auto"/>
            <w:tcMar>
              <w:left w:w="20" w:type="dxa"/>
              <w:right w:w="20" w:type="dxa"/>
            </w:tcMar>
            <w:vAlign w:val="center"/>
          </w:tcPr>
          <w:p w14:paraId="36CA49AD" w14:textId="77777777" w:rsidR="00787570" w:rsidRDefault="000D56E2">
            <w:pPr>
              <w:textAlignment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Viewer9_files/intc-20200926_g2.jpg"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36CA5C4E" wp14:editId="36CA5C4F">
                  <wp:extent cx="304800" cy="304800"/>
                  <wp:effectExtent l="0" t="0" r="0" b="0"/>
                  <wp:docPr id="67" name="图片 107" descr="IMG_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107" descr="IMG_329"/>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8" w:space="0" w:color="0071C5"/>
            </w:tcBorders>
            <w:shd w:val="clear" w:color="auto" w:fill="auto"/>
            <w:tcMar>
              <w:top w:w="40" w:type="dxa"/>
              <w:left w:w="20" w:type="dxa"/>
              <w:bottom w:w="40" w:type="dxa"/>
              <w:right w:w="20" w:type="dxa"/>
            </w:tcMar>
            <w:vAlign w:val="center"/>
          </w:tcPr>
          <w:p w14:paraId="36CA49AE" w14:textId="77777777" w:rsidR="00787570" w:rsidRDefault="000D56E2">
            <w:pPr>
              <w:textAlignment w:val="center"/>
            </w:pPr>
            <w:r>
              <w:rPr>
                <w:rFonts w:ascii="Arial" w:eastAsia="宋体" w:hAnsi="Arial" w:cs="Arial"/>
                <w:color w:val="333333"/>
                <w:sz w:val="16"/>
                <w:szCs w:val="16"/>
              </w:rPr>
              <w:t>MD&amp;A</w:t>
            </w:r>
          </w:p>
        </w:tc>
        <w:tc>
          <w:tcPr>
            <w:tcW w:w="0" w:type="auto"/>
            <w:gridSpan w:val="3"/>
            <w:tcBorders>
              <w:top w:val="single" w:sz="8" w:space="0" w:color="0071C5"/>
            </w:tcBorders>
            <w:shd w:val="clear" w:color="auto" w:fill="auto"/>
            <w:tcMar>
              <w:top w:w="40" w:type="dxa"/>
              <w:left w:w="20" w:type="dxa"/>
              <w:bottom w:w="40" w:type="dxa"/>
              <w:right w:w="20" w:type="dxa"/>
            </w:tcMar>
            <w:vAlign w:val="center"/>
          </w:tcPr>
          <w:p w14:paraId="36CA49AF" w14:textId="77777777" w:rsidR="00787570" w:rsidRDefault="000D56E2">
            <w:pPr>
              <w:jc w:val="right"/>
              <w:textAlignment w:val="center"/>
            </w:pPr>
            <w:r>
              <w:rPr>
                <w:rFonts w:ascii="Arial" w:eastAsia="宋体" w:hAnsi="Arial" w:cs="Arial"/>
                <w:color w:val="333333"/>
                <w:sz w:val="16"/>
                <w:szCs w:val="16"/>
              </w:rPr>
              <w:t>31</w:t>
            </w:r>
          </w:p>
        </w:tc>
      </w:tr>
    </w:tbl>
    <w:p w14:paraId="36CA49B1" w14:textId="77777777" w:rsidR="00787570" w:rsidRDefault="000D56E2">
      <w:r>
        <w:pict w14:anchorId="36CA5C50">
          <v:rect id="_x0000_i1057" style="width:415.3pt;height:1.5pt" o:hralign="center" o:hrstd="t" o:hr="t" fillcolor="#a0a0a0" stroked="f"/>
        </w:pict>
      </w:r>
    </w:p>
    <w:p w14:paraId="36CA49B2" w14:textId="77777777" w:rsidR="00787570" w:rsidRDefault="000D56E2">
      <w:pPr>
        <w:spacing w:after="180"/>
        <w:jc w:val="right"/>
      </w:pPr>
      <w:hyperlink r:id="rId59" w:anchor="i32771df14e9449d2bec5be911426bf04_7" w:history="1">
        <w:r>
          <w:rPr>
            <w:rStyle w:val="a5"/>
            <w:rFonts w:ascii="Arial" w:eastAsia="宋体" w:hAnsi="Arial" w:cs="Arial"/>
            <w:b/>
            <w:bCs/>
            <w:sz w:val="16"/>
            <w:szCs w:val="16"/>
          </w:rPr>
          <w:t>Table of Contents</w:t>
        </w:r>
      </w:hyperlink>
    </w:p>
    <w:p w14:paraId="36CA49B3" w14:textId="77777777" w:rsidR="00787570" w:rsidRDefault="00787570">
      <w:pPr>
        <w:spacing w:after="180"/>
        <w:jc w:val="right"/>
      </w:pPr>
    </w:p>
    <w:p w14:paraId="36CA49B4" w14:textId="77777777" w:rsidR="00787570" w:rsidRDefault="000D56E2">
      <w:pPr>
        <w:spacing w:after="180"/>
      </w:pPr>
      <w:r>
        <w:rPr>
          <w:rFonts w:ascii="Arial" w:eastAsia="宋体" w:hAnsi="Arial" w:cs="Arial"/>
          <w:b/>
          <w:bCs/>
          <w:color w:val="0071C5"/>
          <w:sz w:val="28"/>
          <w:szCs w:val="28"/>
        </w:rPr>
        <w:t xml:space="preserve">PROGRAMMABLE SOLUTIONS GROUP </w:t>
      </w:r>
    </w:p>
    <w:p w14:paraId="36CA49B5" w14:textId="77777777" w:rsidR="00787570" w:rsidRDefault="000D56E2">
      <w:pPr>
        <w:spacing w:after="180"/>
      </w:pPr>
      <w:r>
        <w:rPr>
          <w:rFonts w:ascii="Arial" w:eastAsia="宋体" w:hAnsi="Arial" w:cs="Arial"/>
          <w:color w:val="333333"/>
          <w:sz w:val="18"/>
          <w:szCs w:val="18"/>
        </w:rPr>
        <w:t>PSG offers programmable semiconductors, primarily FPGA</w:t>
      </w:r>
      <w:r>
        <w:rPr>
          <w:rFonts w:ascii="Arial" w:eastAsia="宋体" w:hAnsi="Arial" w:cs="Arial"/>
          <w:color w:val="333333"/>
          <w:sz w:val="18"/>
          <w:szCs w:val="18"/>
        </w:rPr>
        <w:t>s, structured ASICs, and related products, for a broad range of market segments, including communications, data center, industrial, and military. The PSG product portfolio delivers FPGA acceleration in tandem with Intel microprocessors and enables Intel to</w:t>
      </w:r>
      <w:r>
        <w:rPr>
          <w:rFonts w:ascii="Arial" w:eastAsia="宋体" w:hAnsi="Arial" w:cs="Arial"/>
          <w:color w:val="333333"/>
          <w:sz w:val="18"/>
          <w:szCs w:val="18"/>
        </w:rPr>
        <w:t xml:space="preserve"> combine the benefits of its broad portfolio of technologies to allow more flexibility for systems to operate with increased efficiency and higher performance.</w:t>
      </w:r>
    </w:p>
    <w:tbl>
      <w:tblPr>
        <w:tblW w:w="10830" w:type="dxa"/>
        <w:tblCellMar>
          <w:top w:w="15" w:type="dxa"/>
          <w:left w:w="15" w:type="dxa"/>
          <w:bottom w:w="15" w:type="dxa"/>
          <w:right w:w="15" w:type="dxa"/>
        </w:tblCellMar>
        <w:tblLook w:val="04A0" w:firstRow="1" w:lastRow="0" w:firstColumn="1" w:lastColumn="0" w:noHBand="0" w:noVBand="1"/>
      </w:tblPr>
      <w:tblGrid>
        <w:gridCol w:w="36"/>
        <w:gridCol w:w="79"/>
        <w:gridCol w:w="36"/>
        <w:gridCol w:w="36"/>
        <w:gridCol w:w="5101"/>
        <w:gridCol w:w="36"/>
        <w:gridCol w:w="36"/>
        <w:gridCol w:w="257"/>
        <w:gridCol w:w="36"/>
        <w:gridCol w:w="36"/>
        <w:gridCol w:w="5105"/>
        <w:gridCol w:w="36"/>
      </w:tblGrid>
      <w:tr w:rsidR="00787570" w14:paraId="36CA49C2" w14:textId="77777777">
        <w:tc>
          <w:tcPr>
            <w:tcW w:w="20" w:type="dxa"/>
            <w:shd w:val="clear" w:color="auto" w:fill="auto"/>
          </w:tcPr>
          <w:p w14:paraId="36CA49B6" w14:textId="77777777" w:rsidR="00787570" w:rsidRDefault="00787570">
            <w:pPr>
              <w:rPr>
                <w:rFonts w:ascii="宋体"/>
              </w:rPr>
            </w:pPr>
          </w:p>
        </w:tc>
        <w:tc>
          <w:tcPr>
            <w:tcW w:w="80" w:type="dxa"/>
            <w:shd w:val="clear" w:color="auto" w:fill="auto"/>
          </w:tcPr>
          <w:p w14:paraId="36CA49B7" w14:textId="77777777" w:rsidR="00787570" w:rsidRDefault="00787570">
            <w:pPr>
              <w:rPr>
                <w:rFonts w:ascii="宋体"/>
              </w:rPr>
            </w:pPr>
          </w:p>
        </w:tc>
        <w:tc>
          <w:tcPr>
            <w:tcW w:w="20" w:type="dxa"/>
            <w:shd w:val="clear" w:color="auto" w:fill="auto"/>
          </w:tcPr>
          <w:p w14:paraId="36CA49B8" w14:textId="77777777" w:rsidR="00787570" w:rsidRDefault="00787570">
            <w:pPr>
              <w:rPr>
                <w:rFonts w:ascii="宋体"/>
              </w:rPr>
            </w:pPr>
          </w:p>
        </w:tc>
        <w:tc>
          <w:tcPr>
            <w:tcW w:w="20" w:type="dxa"/>
            <w:shd w:val="clear" w:color="auto" w:fill="auto"/>
          </w:tcPr>
          <w:p w14:paraId="36CA49B9" w14:textId="77777777" w:rsidR="00787570" w:rsidRDefault="00787570">
            <w:pPr>
              <w:rPr>
                <w:rFonts w:ascii="宋体"/>
              </w:rPr>
            </w:pPr>
          </w:p>
        </w:tc>
        <w:tc>
          <w:tcPr>
            <w:tcW w:w="5165" w:type="dxa"/>
            <w:shd w:val="clear" w:color="auto" w:fill="auto"/>
          </w:tcPr>
          <w:p w14:paraId="36CA49BA" w14:textId="77777777" w:rsidR="00787570" w:rsidRDefault="00787570">
            <w:pPr>
              <w:rPr>
                <w:rFonts w:ascii="宋体"/>
              </w:rPr>
            </w:pPr>
          </w:p>
        </w:tc>
        <w:tc>
          <w:tcPr>
            <w:tcW w:w="20" w:type="dxa"/>
            <w:shd w:val="clear" w:color="auto" w:fill="auto"/>
          </w:tcPr>
          <w:p w14:paraId="36CA49BB" w14:textId="77777777" w:rsidR="00787570" w:rsidRDefault="00787570">
            <w:pPr>
              <w:rPr>
                <w:rFonts w:ascii="宋体"/>
              </w:rPr>
            </w:pPr>
          </w:p>
        </w:tc>
        <w:tc>
          <w:tcPr>
            <w:tcW w:w="20" w:type="dxa"/>
            <w:shd w:val="clear" w:color="auto" w:fill="auto"/>
          </w:tcPr>
          <w:p w14:paraId="36CA49BC" w14:textId="77777777" w:rsidR="00787570" w:rsidRDefault="00787570">
            <w:pPr>
              <w:rPr>
                <w:rFonts w:ascii="宋体"/>
              </w:rPr>
            </w:pPr>
          </w:p>
        </w:tc>
        <w:tc>
          <w:tcPr>
            <w:tcW w:w="260" w:type="dxa"/>
            <w:shd w:val="clear" w:color="auto" w:fill="auto"/>
          </w:tcPr>
          <w:p w14:paraId="36CA49BD" w14:textId="77777777" w:rsidR="00787570" w:rsidRDefault="00787570">
            <w:pPr>
              <w:rPr>
                <w:rFonts w:ascii="宋体"/>
              </w:rPr>
            </w:pPr>
          </w:p>
        </w:tc>
        <w:tc>
          <w:tcPr>
            <w:tcW w:w="20" w:type="dxa"/>
            <w:shd w:val="clear" w:color="auto" w:fill="auto"/>
          </w:tcPr>
          <w:p w14:paraId="36CA49BE" w14:textId="77777777" w:rsidR="00787570" w:rsidRDefault="00787570">
            <w:pPr>
              <w:rPr>
                <w:rFonts w:ascii="宋体"/>
              </w:rPr>
            </w:pPr>
          </w:p>
        </w:tc>
        <w:tc>
          <w:tcPr>
            <w:tcW w:w="20" w:type="dxa"/>
            <w:shd w:val="clear" w:color="auto" w:fill="auto"/>
          </w:tcPr>
          <w:p w14:paraId="36CA49BF" w14:textId="77777777" w:rsidR="00787570" w:rsidRDefault="00787570">
            <w:pPr>
              <w:rPr>
                <w:rFonts w:ascii="宋体"/>
              </w:rPr>
            </w:pPr>
          </w:p>
        </w:tc>
        <w:tc>
          <w:tcPr>
            <w:tcW w:w="5165" w:type="dxa"/>
            <w:shd w:val="clear" w:color="auto" w:fill="auto"/>
          </w:tcPr>
          <w:p w14:paraId="36CA49C0" w14:textId="77777777" w:rsidR="00787570" w:rsidRDefault="00787570">
            <w:pPr>
              <w:rPr>
                <w:rFonts w:ascii="宋体"/>
              </w:rPr>
            </w:pPr>
          </w:p>
        </w:tc>
        <w:tc>
          <w:tcPr>
            <w:tcW w:w="20" w:type="dxa"/>
            <w:shd w:val="clear" w:color="auto" w:fill="auto"/>
          </w:tcPr>
          <w:p w14:paraId="36CA49C1" w14:textId="77777777" w:rsidR="00787570" w:rsidRDefault="00787570">
            <w:pPr>
              <w:rPr>
                <w:rFonts w:ascii="宋体"/>
              </w:rPr>
            </w:pPr>
          </w:p>
        </w:tc>
      </w:tr>
      <w:tr w:rsidR="00787570" w14:paraId="36CA49C7" w14:textId="77777777">
        <w:tc>
          <w:tcPr>
            <w:tcW w:w="0" w:type="auto"/>
            <w:gridSpan w:val="3"/>
            <w:shd w:val="clear" w:color="auto" w:fill="auto"/>
            <w:tcMar>
              <w:left w:w="20" w:type="dxa"/>
              <w:right w:w="20" w:type="dxa"/>
            </w:tcMar>
            <w:vAlign w:val="bottom"/>
          </w:tcPr>
          <w:p w14:paraId="36CA49C3" w14:textId="77777777" w:rsidR="00787570" w:rsidRDefault="00787570">
            <w:pPr>
              <w:rPr>
                <w:rFonts w:ascii="宋体"/>
              </w:rPr>
            </w:pPr>
          </w:p>
        </w:tc>
        <w:tc>
          <w:tcPr>
            <w:tcW w:w="0" w:type="auto"/>
            <w:gridSpan w:val="3"/>
            <w:tcBorders>
              <w:bottom w:val="single" w:sz="8" w:space="0" w:color="333333"/>
            </w:tcBorders>
            <w:shd w:val="clear" w:color="auto" w:fill="auto"/>
            <w:tcMar>
              <w:top w:w="40" w:type="dxa"/>
              <w:left w:w="20" w:type="dxa"/>
              <w:bottom w:w="40" w:type="dxa"/>
              <w:right w:w="20" w:type="dxa"/>
            </w:tcMar>
            <w:vAlign w:val="bottom"/>
          </w:tcPr>
          <w:p w14:paraId="36CA49C4" w14:textId="77777777" w:rsidR="00787570" w:rsidRDefault="000D56E2">
            <w:pPr>
              <w:jc w:val="center"/>
              <w:textAlignment w:val="bottom"/>
            </w:pPr>
            <w:r>
              <w:rPr>
                <w:rFonts w:ascii="Arial" w:eastAsia="宋体" w:hAnsi="Arial" w:cs="Arial"/>
                <w:b/>
                <w:bCs/>
                <w:color w:val="0071C5"/>
                <w:sz w:val="20"/>
                <w:szCs w:val="20"/>
              </w:rPr>
              <w:t>PSG REVENUE $B</w:t>
            </w:r>
          </w:p>
        </w:tc>
        <w:tc>
          <w:tcPr>
            <w:tcW w:w="0" w:type="auto"/>
            <w:gridSpan w:val="3"/>
            <w:shd w:val="clear" w:color="auto" w:fill="auto"/>
            <w:tcMar>
              <w:left w:w="20" w:type="dxa"/>
              <w:right w:w="20" w:type="dxa"/>
            </w:tcMar>
            <w:vAlign w:val="bottom"/>
          </w:tcPr>
          <w:p w14:paraId="36CA49C5" w14:textId="77777777" w:rsidR="00787570" w:rsidRDefault="00787570">
            <w:pPr>
              <w:rPr>
                <w:rFonts w:ascii="宋体"/>
              </w:rPr>
            </w:pPr>
          </w:p>
        </w:tc>
        <w:tc>
          <w:tcPr>
            <w:tcW w:w="0" w:type="auto"/>
            <w:gridSpan w:val="3"/>
            <w:tcBorders>
              <w:bottom w:val="single" w:sz="8" w:space="0" w:color="333333"/>
            </w:tcBorders>
            <w:shd w:val="clear" w:color="auto" w:fill="auto"/>
            <w:tcMar>
              <w:top w:w="40" w:type="dxa"/>
              <w:left w:w="20" w:type="dxa"/>
              <w:bottom w:w="40" w:type="dxa"/>
              <w:right w:w="20" w:type="dxa"/>
            </w:tcMar>
            <w:vAlign w:val="bottom"/>
          </w:tcPr>
          <w:p w14:paraId="36CA49C6" w14:textId="77777777" w:rsidR="00787570" w:rsidRDefault="000D56E2">
            <w:pPr>
              <w:jc w:val="center"/>
              <w:textAlignment w:val="bottom"/>
            </w:pPr>
            <w:r>
              <w:rPr>
                <w:rFonts w:ascii="Arial" w:eastAsia="宋体" w:hAnsi="Arial" w:cs="Arial"/>
                <w:b/>
                <w:bCs/>
                <w:color w:val="0071C5"/>
                <w:sz w:val="20"/>
                <w:szCs w:val="20"/>
              </w:rPr>
              <w:t>PSG OPERATING INCOME $B</w:t>
            </w:r>
          </w:p>
        </w:tc>
      </w:tr>
    </w:tbl>
    <w:p w14:paraId="36CA49C8" w14:textId="77777777" w:rsidR="00787570" w:rsidRDefault="000D56E2">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Viewer9_files/intc-20200926_g13.jpg"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36CA5C51" wp14:editId="36CA5C52">
            <wp:extent cx="304800" cy="304800"/>
            <wp:effectExtent l="0" t="0" r="0" b="0"/>
            <wp:docPr id="68" name="图片 109" descr="IMG_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109" descr="IMG_298"/>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Viewer9_files/intc-20200926_g14.jpg"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36CA5C53" wp14:editId="36CA5C54">
            <wp:extent cx="304800" cy="304800"/>
            <wp:effectExtent l="0" t="0" r="0" b="0"/>
            <wp:docPr id="69" name="图片 110" descr="IMG_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110" descr="IMG_299"/>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bl>
      <w:tblPr>
        <w:tblW w:w="5000" w:type="pct"/>
        <w:tblCellMar>
          <w:top w:w="15" w:type="dxa"/>
          <w:left w:w="15" w:type="dxa"/>
          <w:bottom w:w="15" w:type="dxa"/>
          <w:right w:w="15" w:type="dxa"/>
        </w:tblCellMar>
        <w:tblLook w:val="04A0" w:firstRow="1" w:lastRow="0" w:firstColumn="1" w:lastColumn="0" w:noHBand="0" w:noVBand="1"/>
      </w:tblPr>
      <w:tblGrid>
        <w:gridCol w:w="69"/>
        <w:gridCol w:w="8231"/>
        <w:gridCol w:w="36"/>
      </w:tblGrid>
      <w:tr w:rsidR="00787570" w14:paraId="36CA49CC" w14:textId="77777777">
        <w:tc>
          <w:tcPr>
            <w:tcW w:w="50" w:type="pct"/>
            <w:shd w:val="clear" w:color="auto" w:fill="auto"/>
          </w:tcPr>
          <w:p w14:paraId="36CA49C9" w14:textId="77777777" w:rsidR="00787570" w:rsidRDefault="00787570">
            <w:pPr>
              <w:rPr>
                <w:rFonts w:ascii="宋体"/>
              </w:rPr>
            </w:pPr>
          </w:p>
        </w:tc>
        <w:tc>
          <w:tcPr>
            <w:tcW w:w="4945" w:type="pct"/>
            <w:shd w:val="clear" w:color="auto" w:fill="auto"/>
          </w:tcPr>
          <w:p w14:paraId="36CA49CA" w14:textId="77777777" w:rsidR="00787570" w:rsidRDefault="00787570">
            <w:pPr>
              <w:rPr>
                <w:rFonts w:ascii="宋体"/>
              </w:rPr>
            </w:pPr>
          </w:p>
        </w:tc>
        <w:tc>
          <w:tcPr>
            <w:tcW w:w="5" w:type="pct"/>
            <w:shd w:val="clear" w:color="auto" w:fill="auto"/>
          </w:tcPr>
          <w:p w14:paraId="36CA49CB" w14:textId="77777777" w:rsidR="00787570" w:rsidRDefault="00787570">
            <w:pPr>
              <w:rPr>
                <w:rFonts w:ascii="宋体"/>
              </w:rPr>
            </w:pPr>
          </w:p>
        </w:tc>
      </w:tr>
      <w:tr w:rsidR="00787570" w14:paraId="36CA49CE" w14:textId="77777777">
        <w:tc>
          <w:tcPr>
            <w:tcW w:w="0" w:type="auto"/>
            <w:gridSpan w:val="3"/>
            <w:tcBorders>
              <w:bottom w:val="single" w:sz="8" w:space="0" w:color="333333"/>
            </w:tcBorders>
            <w:shd w:val="clear" w:color="auto" w:fill="auto"/>
            <w:tcMar>
              <w:top w:w="40" w:type="dxa"/>
              <w:left w:w="20" w:type="dxa"/>
              <w:bottom w:w="40" w:type="dxa"/>
              <w:right w:w="20" w:type="dxa"/>
            </w:tcMar>
            <w:vAlign w:val="bottom"/>
          </w:tcPr>
          <w:p w14:paraId="36CA49CD" w14:textId="77777777" w:rsidR="00787570" w:rsidRDefault="000D56E2">
            <w:pPr>
              <w:textAlignment w:val="bottom"/>
            </w:pPr>
            <w:r>
              <w:rPr>
                <w:rFonts w:ascii="Arial" w:eastAsia="宋体" w:hAnsi="Arial" w:cs="Arial"/>
                <w:b/>
                <w:bCs/>
                <w:color w:val="0071C5"/>
                <w:sz w:val="20"/>
                <w:szCs w:val="20"/>
              </w:rPr>
              <w:t>REVENUE AND OPERATING INCOME SUMMARY</w:t>
            </w:r>
          </w:p>
        </w:tc>
      </w:tr>
    </w:tbl>
    <w:p w14:paraId="36CA49CF" w14:textId="77777777" w:rsidR="00787570" w:rsidRDefault="00787570">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8231"/>
        <w:gridCol w:w="36"/>
      </w:tblGrid>
      <w:tr w:rsidR="00787570" w14:paraId="36CA49D3" w14:textId="77777777">
        <w:tc>
          <w:tcPr>
            <w:tcW w:w="50" w:type="pct"/>
            <w:shd w:val="clear" w:color="auto" w:fill="auto"/>
          </w:tcPr>
          <w:p w14:paraId="36CA49D0" w14:textId="77777777" w:rsidR="00787570" w:rsidRDefault="00787570">
            <w:pPr>
              <w:rPr>
                <w:rFonts w:ascii="宋体"/>
              </w:rPr>
            </w:pPr>
          </w:p>
        </w:tc>
        <w:tc>
          <w:tcPr>
            <w:tcW w:w="4945" w:type="pct"/>
            <w:shd w:val="clear" w:color="auto" w:fill="auto"/>
          </w:tcPr>
          <w:p w14:paraId="36CA49D1" w14:textId="77777777" w:rsidR="00787570" w:rsidRDefault="00787570">
            <w:pPr>
              <w:rPr>
                <w:rFonts w:ascii="宋体"/>
              </w:rPr>
            </w:pPr>
          </w:p>
        </w:tc>
        <w:tc>
          <w:tcPr>
            <w:tcW w:w="5" w:type="pct"/>
            <w:shd w:val="clear" w:color="auto" w:fill="auto"/>
          </w:tcPr>
          <w:p w14:paraId="36CA49D2" w14:textId="77777777" w:rsidR="00787570" w:rsidRDefault="00787570">
            <w:pPr>
              <w:rPr>
                <w:rFonts w:ascii="宋体"/>
              </w:rPr>
            </w:pPr>
          </w:p>
        </w:tc>
      </w:tr>
      <w:tr w:rsidR="00787570" w14:paraId="36CA49D5" w14:textId="77777777">
        <w:tc>
          <w:tcPr>
            <w:tcW w:w="0" w:type="auto"/>
            <w:gridSpan w:val="3"/>
            <w:tcBorders>
              <w:bottom w:val="single" w:sz="8" w:space="0" w:color="333333"/>
            </w:tcBorders>
            <w:shd w:val="clear" w:color="auto" w:fill="auto"/>
            <w:tcMar>
              <w:top w:w="40" w:type="dxa"/>
              <w:left w:w="20" w:type="dxa"/>
              <w:bottom w:w="40" w:type="dxa"/>
              <w:right w:w="20" w:type="dxa"/>
            </w:tcMar>
            <w:vAlign w:val="bottom"/>
          </w:tcPr>
          <w:p w14:paraId="36CA49D4" w14:textId="77777777" w:rsidR="00787570" w:rsidRDefault="000D56E2">
            <w:pPr>
              <w:textAlignment w:val="bottom"/>
            </w:pPr>
            <w:r>
              <w:rPr>
                <w:rFonts w:ascii="Arial" w:eastAsia="宋体" w:hAnsi="Arial" w:cs="Arial"/>
                <w:b/>
                <w:bCs/>
                <w:color w:val="333333"/>
                <w:sz w:val="20"/>
                <w:szCs w:val="20"/>
              </w:rPr>
              <w:t>Q3 2020 vs. Q3 2019</w:t>
            </w:r>
          </w:p>
        </w:tc>
      </w:tr>
    </w:tbl>
    <w:p w14:paraId="36CA49D6" w14:textId="77777777" w:rsidR="00787570" w:rsidRDefault="000D56E2">
      <w:pPr>
        <w:spacing w:before="120" w:after="180"/>
      </w:pPr>
      <w:r>
        <w:rPr>
          <w:rFonts w:ascii="Arial" w:eastAsia="宋体" w:hAnsi="Arial" w:cs="Arial"/>
          <w:color w:val="333333"/>
          <w:sz w:val="18"/>
          <w:szCs w:val="18"/>
        </w:rPr>
        <w:t xml:space="preserve">Revenue was $411 million, down $96 million due to weakness in embedded and communications market segments, partially offset by growth in the cloud and enterprise market segment. Operating income was $40 million, down $52 million. </w:t>
      </w:r>
    </w:p>
    <w:tbl>
      <w:tblPr>
        <w:tblW w:w="5000" w:type="pct"/>
        <w:tblCellMar>
          <w:top w:w="15" w:type="dxa"/>
          <w:left w:w="15" w:type="dxa"/>
          <w:bottom w:w="15" w:type="dxa"/>
          <w:right w:w="15" w:type="dxa"/>
        </w:tblCellMar>
        <w:tblLook w:val="04A0" w:firstRow="1" w:lastRow="0" w:firstColumn="1" w:lastColumn="0" w:noHBand="0" w:noVBand="1"/>
      </w:tblPr>
      <w:tblGrid>
        <w:gridCol w:w="69"/>
        <w:gridCol w:w="8231"/>
        <w:gridCol w:w="36"/>
      </w:tblGrid>
      <w:tr w:rsidR="00787570" w14:paraId="36CA49DA" w14:textId="77777777">
        <w:tc>
          <w:tcPr>
            <w:tcW w:w="50" w:type="pct"/>
            <w:shd w:val="clear" w:color="auto" w:fill="auto"/>
          </w:tcPr>
          <w:p w14:paraId="36CA49D7" w14:textId="77777777" w:rsidR="00787570" w:rsidRDefault="00787570">
            <w:pPr>
              <w:rPr>
                <w:rFonts w:ascii="宋体"/>
              </w:rPr>
            </w:pPr>
          </w:p>
        </w:tc>
        <w:tc>
          <w:tcPr>
            <w:tcW w:w="4945" w:type="pct"/>
            <w:shd w:val="clear" w:color="auto" w:fill="auto"/>
          </w:tcPr>
          <w:p w14:paraId="36CA49D8" w14:textId="77777777" w:rsidR="00787570" w:rsidRDefault="00787570">
            <w:pPr>
              <w:rPr>
                <w:rFonts w:ascii="宋体"/>
              </w:rPr>
            </w:pPr>
          </w:p>
        </w:tc>
        <w:tc>
          <w:tcPr>
            <w:tcW w:w="5" w:type="pct"/>
            <w:shd w:val="clear" w:color="auto" w:fill="auto"/>
          </w:tcPr>
          <w:p w14:paraId="36CA49D9" w14:textId="77777777" w:rsidR="00787570" w:rsidRDefault="00787570">
            <w:pPr>
              <w:rPr>
                <w:rFonts w:ascii="宋体"/>
              </w:rPr>
            </w:pPr>
          </w:p>
        </w:tc>
      </w:tr>
      <w:tr w:rsidR="00787570" w14:paraId="36CA49DC" w14:textId="77777777">
        <w:tc>
          <w:tcPr>
            <w:tcW w:w="0" w:type="auto"/>
            <w:gridSpan w:val="3"/>
            <w:tcBorders>
              <w:bottom w:val="single" w:sz="8" w:space="0" w:color="333333"/>
            </w:tcBorders>
            <w:shd w:val="clear" w:color="auto" w:fill="auto"/>
            <w:tcMar>
              <w:top w:w="40" w:type="dxa"/>
              <w:left w:w="20" w:type="dxa"/>
              <w:bottom w:w="40" w:type="dxa"/>
              <w:right w:w="20" w:type="dxa"/>
            </w:tcMar>
            <w:vAlign w:val="bottom"/>
          </w:tcPr>
          <w:p w14:paraId="36CA49DB" w14:textId="77777777" w:rsidR="00787570" w:rsidRDefault="000D56E2">
            <w:pPr>
              <w:textAlignment w:val="bottom"/>
            </w:pPr>
            <w:r>
              <w:rPr>
                <w:rFonts w:ascii="Arial" w:eastAsia="宋体" w:hAnsi="Arial" w:cs="Arial"/>
                <w:b/>
                <w:bCs/>
                <w:color w:val="333333"/>
                <w:sz w:val="20"/>
                <w:szCs w:val="20"/>
              </w:rPr>
              <w:t xml:space="preserve">YTD 2020 vs. YTD </w:t>
            </w:r>
            <w:r>
              <w:rPr>
                <w:rFonts w:ascii="Arial" w:eastAsia="宋体" w:hAnsi="Arial" w:cs="Arial"/>
                <w:b/>
                <w:bCs/>
                <w:color w:val="333333"/>
                <w:sz w:val="20"/>
                <w:szCs w:val="20"/>
              </w:rPr>
              <w:t>2019</w:t>
            </w:r>
          </w:p>
        </w:tc>
      </w:tr>
    </w:tbl>
    <w:p w14:paraId="36CA49DD" w14:textId="77777777" w:rsidR="00787570" w:rsidRDefault="000D56E2">
      <w:pPr>
        <w:spacing w:before="180" w:after="180"/>
      </w:pPr>
      <w:r>
        <w:rPr>
          <w:rFonts w:ascii="Arial" w:eastAsia="宋体" w:hAnsi="Arial" w:cs="Arial"/>
          <w:color w:val="333333"/>
          <w:sz w:val="18"/>
          <w:szCs w:val="18"/>
        </w:rPr>
        <w:t xml:space="preserve">Revenue was $1.4 billion, down $51 million due to decline in the embedded and communications market segments, partially offset by growth in the cloud and enterprise market segment. Operating income was $217 million, down $16 million. </w:t>
      </w:r>
    </w:p>
    <w:p w14:paraId="36CA49DE" w14:textId="77777777" w:rsidR="00787570" w:rsidRDefault="00787570">
      <w:pPr>
        <w:spacing w:after="180"/>
      </w:pPr>
    </w:p>
    <w:p w14:paraId="36CA49DF" w14:textId="77777777" w:rsidR="00787570" w:rsidRDefault="00787570">
      <w:pPr>
        <w:spacing w:after="180"/>
      </w:pPr>
    </w:p>
    <w:tbl>
      <w:tblPr>
        <w:tblW w:w="5000" w:type="pct"/>
        <w:tblCellMar>
          <w:top w:w="15" w:type="dxa"/>
          <w:left w:w="15" w:type="dxa"/>
          <w:bottom w:w="15" w:type="dxa"/>
          <w:right w:w="15" w:type="dxa"/>
        </w:tblCellMar>
        <w:tblLook w:val="04A0" w:firstRow="1" w:lastRow="0" w:firstColumn="1" w:lastColumn="0" w:noHBand="0" w:noVBand="1"/>
      </w:tblPr>
      <w:tblGrid>
        <w:gridCol w:w="95"/>
        <w:gridCol w:w="416"/>
        <w:gridCol w:w="36"/>
        <w:gridCol w:w="47"/>
        <w:gridCol w:w="4254"/>
        <w:gridCol w:w="36"/>
        <w:gridCol w:w="47"/>
        <w:gridCol w:w="3369"/>
        <w:gridCol w:w="36"/>
      </w:tblGrid>
      <w:tr w:rsidR="00787570" w14:paraId="36CA49E9" w14:textId="77777777">
        <w:tc>
          <w:tcPr>
            <w:tcW w:w="50" w:type="pct"/>
            <w:shd w:val="clear" w:color="auto" w:fill="auto"/>
            <w:vAlign w:val="bottom"/>
          </w:tcPr>
          <w:p w14:paraId="36CA49E0" w14:textId="77777777" w:rsidR="00787570" w:rsidRDefault="00787570">
            <w:pPr>
              <w:rPr>
                <w:rFonts w:ascii="宋体"/>
              </w:rPr>
            </w:pPr>
          </w:p>
        </w:tc>
        <w:tc>
          <w:tcPr>
            <w:tcW w:w="220" w:type="pct"/>
            <w:shd w:val="clear" w:color="auto" w:fill="auto"/>
            <w:vAlign w:val="bottom"/>
          </w:tcPr>
          <w:p w14:paraId="36CA49E1" w14:textId="77777777" w:rsidR="00787570" w:rsidRDefault="00787570">
            <w:pPr>
              <w:rPr>
                <w:rFonts w:ascii="宋体"/>
              </w:rPr>
            </w:pPr>
          </w:p>
        </w:tc>
        <w:tc>
          <w:tcPr>
            <w:tcW w:w="5" w:type="pct"/>
            <w:shd w:val="clear" w:color="auto" w:fill="auto"/>
            <w:vAlign w:val="bottom"/>
          </w:tcPr>
          <w:p w14:paraId="36CA49E2" w14:textId="77777777" w:rsidR="00787570" w:rsidRDefault="00787570">
            <w:pPr>
              <w:rPr>
                <w:rFonts w:ascii="宋体"/>
              </w:rPr>
            </w:pPr>
          </w:p>
        </w:tc>
        <w:tc>
          <w:tcPr>
            <w:tcW w:w="50" w:type="pct"/>
            <w:shd w:val="clear" w:color="auto" w:fill="auto"/>
            <w:vAlign w:val="bottom"/>
          </w:tcPr>
          <w:p w14:paraId="36CA49E3" w14:textId="77777777" w:rsidR="00787570" w:rsidRDefault="00787570">
            <w:pPr>
              <w:rPr>
                <w:rFonts w:ascii="宋体"/>
              </w:rPr>
            </w:pPr>
          </w:p>
        </w:tc>
        <w:tc>
          <w:tcPr>
            <w:tcW w:w="2572" w:type="pct"/>
            <w:shd w:val="clear" w:color="auto" w:fill="auto"/>
            <w:vAlign w:val="bottom"/>
          </w:tcPr>
          <w:p w14:paraId="36CA49E4" w14:textId="77777777" w:rsidR="00787570" w:rsidRDefault="00787570">
            <w:pPr>
              <w:rPr>
                <w:rFonts w:ascii="宋体"/>
              </w:rPr>
            </w:pPr>
          </w:p>
        </w:tc>
        <w:tc>
          <w:tcPr>
            <w:tcW w:w="5" w:type="pct"/>
            <w:shd w:val="clear" w:color="auto" w:fill="auto"/>
            <w:vAlign w:val="bottom"/>
          </w:tcPr>
          <w:p w14:paraId="36CA49E5" w14:textId="77777777" w:rsidR="00787570" w:rsidRDefault="00787570">
            <w:pPr>
              <w:rPr>
                <w:rFonts w:ascii="宋体"/>
              </w:rPr>
            </w:pPr>
          </w:p>
        </w:tc>
        <w:tc>
          <w:tcPr>
            <w:tcW w:w="50" w:type="pct"/>
            <w:shd w:val="clear" w:color="auto" w:fill="auto"/>
            <w:vAlign w:val="bottom"/>
          </w:tcPr>
          <w:p w14:paraId="36CA49E6" w14:textId="77777777" w:rsidR="00787570" w:rsidRDefault="00787570">
            <w:pPr>
              <w:rPr>
                <w:rFonts w:ascii="宋体"/>
              </w:rPr>
            </w:pPr>
          </w:p>
        </w:tc>
        <w:tc>
          <w:tcPr>
            <w:tcW w:w="2042" w:type="pct"/>
            <w:shd w:val="clear" w:color="auto" w:fill="auto"/>
            <w:vAlign w:val="bottom"/>
          </w:tcPr>
          <w:p w14:paraId="36CA49E7" w14:textId="77777777" w:rsidR="00787570" w:rsidRDefault="00787570">
            <w:pPr>
              <w:rPr>
                <w:rFonts w:ascii="宋体"/>
              </w:rPr>
            </w:pPr>
          </w:p>
        </w:tc>
        <w:tc>
          <w:tcPr>
            <w:tcW w:w="5" w:type="pct"/>
            <w:shd w:val="clear" w:color="auto" w:fill="auto"/>
            <w:vAlign w:val="bottom"/>
          </w:tcPr>
          <w:p w14:paraId="36CA49E8" w14:textId="77777777" w:rsidR="00787570" w:rsidRDefault="00787570">
            <w:pPr>
              <w:rPr>
                <w:rFonts w:ascii="宋体"/>
              </w:rPr>
            </w:pPr>
          </w:p>
        </w:tc>
      </w:tr>
      <w:tr w:rsidR="00787570" w14:paraId="36CA49ED" w14:textId="77777777">
        <w:tc>
          <w:tcPr>
            <w:tcW w:w="0" w:type="auto"/>
            <w:gridSpan w:val="3"/>
            <w:tcBorders>
              <w:top w:val="single" w:sz="8" w:space="0" w:color="0071C5"/>
            </w:tcBorders>
            <w:shd w:val="clear" w:color="auto" w:fill="auto"/>
            <w:tcMar>
              <w:left w:w="20" w:type="dxa"/>
              <w:right w:w="20" w:type="dxa"/>
            </w:tcMar>
            <w:vAlign w:val="center"/>
          </w:tcPr>
          <w:p w14:paraId="36CA49EA" w14:textId="77777777" w:rsidR="00787570" w:rsidRDefault="000D56E2">
            <w:pPr>
              <w:textAlignment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Viewer9_files/intc-20200926_g2.jpg"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36CA5C55" wp14:editId="36CA5C56">
                  <wp:extent cx="304800" cy="304800"/>
                  <wp:effectExtent l="0" t="0" r="0" b="0"/>
                  <wp:docPr id="72" name="图片 111" descr="IMG_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111" descr="IMG_329"/>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8" w:space="0" w:color="0071C5"/>
            </w:tcBorders>
            <w:shd w:val="clear" w:color="auto" w:fill="auto"/>
            <w:tcMar>
              <w:top w:w="40" w:type="dxa"/>
              <w:left w:w="20" w:type="dxa"/>
              <w:bottom w:w="40" w:type="dxa"/>
              <w:right w:w="20" w:type="dxa"/>
            </w:tcMar>
            <w:vAlign w:val="center"/>
          </w:tcPr>
          <w:p w14:paraId="36CA49EB" w14:textId="77777777" w:rsidR="00787570" w:rsidRDefault="000D56E2">
            <w:pPr>
              <w:textAlignment w:val="center"/>
            </w:pPr>
            <w:r>
              <w:rPr>
                <w:rFonts w:ascii="Arial" w:eastAsia="宋体" w:hAnsi="Arial" w:cs="Arial"/>
                <w:color w:val="333333"/>
                <w:sz w:val="16"/>
                <w:szCs w:val="16"/>
              </w:rPr>
              <w:t>MD&amp;A</w:t>
            </w:r>
          </w:p>
        </w:tc>
        <w:tc>
          <w:tcPr>
            <w:tcW w:w="0" w:type="auto"/>
            <w:gridSpan w:val="3"/>
            <w:tcBorders>
              <w:top w:val="single" w:sz="8" w:space="0" w:color="0071C5"/>
            </w:tcBorders>
            <w:shd w:val="clear" w:color="auto" w:fill="auto"/>
            <w:tcMar>
              <w:top w:w="40" w:type="dxa"/>
              <w:left w:w="20" w:type="dxa"/>
              <w:bottom w:w="40" w:type="dxa"/>
              <w:right w:w="20" w:type="dxa"/>
            </w:tcMar>
            <w:vAlign w:val="center"/>
          </w:tcPr>
          <w:p w14:paraId="36CA49EC" w14:textId="77777777" w:rsidR="00787570" w:rsidRDefault="000D56E2">
            <w:pPr>
              <w:jc w:val="right"/>
              <w:textAlignment w:val="center"/>
            </w:pPr>
            <w:r>
              <w:rPr>
                <w:rFonts w:ascii="Arial" w:eastAsia="宋体" w:hAnsi="Arial" w:cs="Arial"/>
                <w:color w:val="333333"/>
                <w:sz w:val="16"/>
                <w:szCs w:val="16"/>
              </w:rPr>
              <w:t>32</w:t>
            </w:r>
          </w:p>
        </w:tc>
      </w:tr>
    </w:tbl>
    <w:p w14:paraId="36CA49EE" w14:textId="77777777" w:rsidR="00787570" w:rsidRDefault="000D56E2">
      <w:r>
        <w:pict w14:anchorId="36CA5C57">
          <v:rect id="_x0000_i1058" style="width:415.3pt;height:1.5pt" o:hralign="center" o:hrstd="t" o:hr="t" fillcolor="#a0a0a0" stroked="f"/>
        </w:pict>
      </w:r>
    </w:p>
    <w:p w14:paraId="36CA49EF" w14:textId="77777777" w:rsidR="00787570" w:rsidRDefault="000D56E2">
      <w:pPr>
        <w:spacing w:after="180"/>
        <w:jc w:val="right"/>
      </w:pPr>
      <w:hyperlink r:id="rId60" w:anchor="i32771df14e9449d2bec5be911426bf04_7" w:history="1">
        <w:r>
          <w:rPr>
            <w:rStyle w:val="a5"/>
            <w:rFonts w:ascii="Arial" w:eastAsia="宋体" w:hAnsi="Arial" w:cs="Arial"/>
            <w:b/>
            <w:bCs/>
            <w:sz w:val="16"/>
            <w:szCs w:val="16"/>
          </w:rPr>
          <w:t>Table of Contents</w:t>
        </w:r>
      </w:hyperlink>
    </w:p>
    <w:p w14:paraId="36CA49F0" w14:textId="77777777" w:rsidR="00787570" w:rsidRDefault="00787570">
      <w:pPr>
        <w:spacing w:after="180"/>
        <w:jc w:val="right"/>
      </w:pPr>
    </w:p>
    <w:p w14:paraId="36CA49F1" w14:textId="77777777" w:rsidR="00787570" w:rsidRDefault="000D56E2">
      <w:pPr>
        <w:spacing w:after="180"/>
      </w:pPr>
      <w:r>
        <w:rPr>
          <w:rFonts w:ascii="Arial" w:eastAsia="宋体" w:hAnsi="Arial" w:cs="Arial"/>
          <w:b/>
          <w:bCs/>
          <w:color w:val="0071C5"/>
          <w:sz w:val="28"/>
          <w:szCs w:val="28"/>
        </w:rPr>
        <w:t xml:space="preserve">CLIENT COMPUTING GROUP </w:t>
      </w:r>
    </w:p>
    <w:p w14:paraId="36CA49F2" w14:textId="77777777" w:rsidR="00787570" w:rsidRDefault="000D56E2">
      <w:pPr>
        <w:spacing w:after="180"/>
      </w:pPr>
      <w:r>
        <w:rPr>
          <w:rFonts w:ascii="Arial" w:eastAsia="宋体" w:hAnsi="Arial" w:cs="Arial"/>
          <w:color w:val="333333"/>
          <w:sz w:val="18"/>
          <w:szCs w:val="18"/>
        </w:rPr>
        <w:t>As we evolve to deliver leading end-to-end products across architectures and workloads for the data explosion, CCG’s contribution is the human touchpoint of this new data-centric era—the PC. As the largest business unit at Intel, CCG deploys platforms that</w:t>
      </w:r>
      <w:r>
        <w:rPr>
          <w:rFonts w:ascii="Arial" w:eastAsia="宋体" w:hAnsi="Arial" w:cs="Arial"/>
          <w:color w:val="333333"/>
          <w:sz w:val="18"/>
          <w:szCs w:val="18"/>
        </w:rPr>
        <w:t xml:space="preserve"> connect people to data, allowing each person to focus, create, and engage in ways that unlock their individual potential. The PC market remains a critical facet of our business, providing an important source of IP, scale, and cash flow. Our mission is to </w:t>
      </w:r>
      <w:r>
        <w:rPr>
          <w:rFonts w:ascii="Arial" w:eastAsia="宋体" w:hAnsi="Arial" w:cs="Arial"/>
          <w:color w:val="333333"/>
          <w:sz w:val="18"/>
          <w:szCs w:val="18"/>
        </w:rPr>
        <w:t xml:space="preserve">continue to deliver leadership products in our PC business as well as our adjacent businesses. The PC is more essential than ever before with more people working and learning from home due to COVID-19-related impacts. </w:t>
      </w:r>
    </w:p>
    <w:tbl>
      <w:tblPr>
        <w:tblW w:w="10830" w:type="dxa"/>
        <w:tblCellMar>
          <w:top w:w="15" w:type="dxa"/>
          <w:left w:w="15" w:type="dxa"/>
          <w:bottom w:w="15" w:type="dxa"/>
          <w:right w:w="15" w:type="dxa"/>
        </w:tblCellMar>
        <w:tblLook w:val="04A0" w:firstRow="1" w:lastRow="0" w:firstColumn="1" w:lastColumn="0" w:noHBand="0" w:noVBand="1"/>
      </w:tblPr>
      <w:tblGrid>
        <w:gridCol w:w="36"/>
        <w:gridCol w:w="79"/>
        <w:gridCol w:w="36"/>
        <w:gridCol w:w="36"/>
        <w:gridCol w:w="5101"/>
        <w:gridCol w:w="36"/>
        <w:gridCol w:w="36"/>
        <w:gridCol w:w="257"/>
        <w:gridCol w:w="36"/>
        <w:gridCol w:w="36"/>
        <w:gridCol w:w="5105"/>
        <w:gridCol w:w="36"/>
      </w:tblGrid>
      <w:tr w:rsidR="00787570" w14:paraId="36CA49FF" w14:textId="77777777">
        <w:tc>
          <w:tcPr>
            <w:tcW w:w="20" w:type="dxa"/>
            <w:shd w:val="clear" w:color="auto" w:fill="auto"/>
          </w:tcPr>
          <w:p w14:paraId="36CA49F3" w14:textId="77777777" w:rsidR="00787570" w:rsidRDefault="00787570">
            <w:pPr>
              <w:rPr>
                <w:rFonts w:ascii="宋体"/>
              </w:rPr>
            </w:pPr>
          </w:p>
        </w:tc>
        <w:tc>
          <w:tcPr>
            <w:tcW w:w="80" w:type="dxa"/>
            <w:shd w:val="clear" w:color="auto" w:fill="auto"/>
          </w:tcPr>
          <w:p w14:paraId="36CA49F4" w14:textId="77777777" w:rsidR="00787570" w:rsidRDefault="00787570">
            <w:pPr>
              <w:rPr>
                <w:rFonts w:ascii="宋体"/>
              </w:rPr>
            </w:pPr>
          </w:p>
        </w:tc>
        <w:tc>
          <w:tcPr>
            <w:tcW w:w="20" w:type="dxa"/>
            <w:shd w:val="clear" w:color="auto" w:fill="auto"/>
          </w:tcPr>
          <w:p w14:paraId="36CA49F5" w14:textId="77777777" w:rsidR="00787570" w:rsidRDefault="00787570">
            <w:pPr>
              <w:rPr>
                <w:rFonts w:ascii="宋体"/>
              </w:rPr>
            </w:pPr>
          </w:p>
        </w:tc>
        <w:tc>
          <w:tcPr>
            <w:tcW w:w="20" w:type="dxa"/>
            <w:shd w:val="clear" w:color="auto" w:fill="auto"/>
          </w:tcPr>
          <w:p w14:paraId="36CA49F6" w14:textId="77777777" w:rsidR="00787570" w:rsidRDefault="00787570">
            <w:pPr>
              <w:rPr>
                <w:rFonts w:ascii="宋体"/>
              </w:rPr>
            </w:pPr>
          </w:p>
        </w:tc>
        <w:tc>
          <w:tcPr>
            <w:tcW w:w="5165" w:type="dxa"/>
            <w:shd w:val="clear" w:color="auto" w:fill="auto"/>
          </w:tcPr>
          <w:p w14:paraId="36CA49F7" w14:textId="77777777" w:rsidR="00787570" w:rsidRDefault="00787570">
            <w:pPr>
              <w:rPr>
                <w:rFonts w:ascii="宋体"/>
              </w:rPr>
            </w:pPr>
          </w:p>
        </w:tc>
        <w:tc>
          <w:tcPr>
            <w:tcW w:w="20" w:type="dxa"/>
            <w:shd w:val="clear" w:color="auto" w:fill="auto"/>
          </w:tcPr>
          <w:p w14:paraId="36CA49F8" w14:textId="77777777" w:rsidR="00787570" w:rsidRDefault="00787570">
            <w:pPr>
              <w:rPr>
                <w:rFonts w:ascii="宋体"/>
              </w:rPr>
            </w:pPr>
          </w:p>
        </w:tc>
        <w:tc>
          <w:tcPr>
            <w:tcW w:w="20" w:type="dxa"/>
            <w:shd w:val="clear" w:color="auto" w:fill="auto"/>
          </w:tcPr>
          <w:p w14:paraId="36CA49F9" w14:textId="77777777" w:rsidR="00787570" w:rsidRDefault="00787570">
            <w:pPr>
              <w:rPr>
                <w:rFonts w:ascii="宋体"/>
              </w:rPr>
            </w:pPr>
          </w:p>
        </w:tc>
        <w:tc>
          <w:tcPr>
            <w:tcW w:w="260" w:type="dxa"/>
            <w:shd w:val="clear" w:color="auto" w:fill="auto"/>
          </w:tcPr>
          <w:p w14:paraId="36CA49FA" w14:textId="77777777" w:rsidR="00787570" w:rsidRDefault="00787570">
            <w:pPr>
              <w:rPr>
                <w:rFonts w:ascii="宋体"/>
              </w:rPr>
            </w:pPr>
          </w:p>
        </w:tc>
        <w:tc>
          <w:tcPr>
            <w:tcW w:w="20" w:type="dxa"/>
            <w:shd w:val="clear" w:color="auto" w:fill="auto"/>
          </w:tcPr>
          <w:p w14:paraId="36CA49FB" w14:textId="77777777" w:rsidR="00787570" w:rsidRDefault="00787570">
            <w:pPr>
              <w:rPr>
                <w:rFonts w:ascii="宋体"/>
              </w:rPr>
            </w:pPr>
          </w:p>
        </w:tc>
        <w:tc>
          <w:tcPr>
            <w:tcW w:w="20" w:type="dxa"/>
            <w:shd w:val="clear" w:color="auto" w:fill="auto"/>
          </w:tcPr>
          <w:p w14:paraId="36CA49FC" w14:textId="77777777" w:rsidR="00787570" w:rsidRDefault="00787570">
            <w:pPr>
              <w:rPr>
                <w:rFonts w:ascii="宋体"/>
              </w:rPr>
            </w:pPr>
          </w:p>
        </w:tc>
        <w:tc>
          <w:tcPr>
            <w:tcW w:w="5165" w:type="dxa"/>
            <w:shd w:val="clear" w:color="auto" w:fill="auto"/>
          </w:tcPr>
          <w:p w14:paraId="36CA49FD" w14:textId="77777777" w:rsidR="00787570" w:rsidRDefault="00787570">
            <w:pPr>
              <w:rPr>
                <w:rFonts w:ascii="宋体"/>
              </w:rPr>
            </w:pPr>
          </w:p>
        </w:tc>
        <w:tc>
          <w:tcPr>
            <w:tcW w:w="20" w:type="dxa"/>
            <w:shd w:val="clear" w:color="auto" w:fill="auto"/>
          </w:tcPr>
          <w:p w14:paraId="36CA49FE" w14:textId="77777777" w:rsidR="00787570" w:rsidRDefault="00787570">
            <w:pPr>
              <w:rPr>
                <w:rFonts w:ascii="宋体"/>
              </w:rPr>
            </w:pPr>
          </w:p>
        </w:tc>
      </w:tr>
      <w:tr w:rsidR="00787570" w14:paraId="36CA4A04" w14:textId="77777777">
        <w:tc>
          <w:tcPr>
            <w:tcW w:w="0" w:type="auto"/>
            <w:gridSpan w:val="3"/>
            <w:shd w:val="clear" w:color="auto" w:fill="auto"/>
            <w:tcMar>
              <w:left w:w="20" w:type="dxa"/>
              <w:right w:w="20" w:type="dxa"/>
            </w:tcMar>
            <w:vAlign w:val="bottom"/>
          </w:tcPr>
          <w:p w14:paraId="36CA4A00" w14:textId="77777777" w:rsidR="00787570" w:rsidRDefault="00787570">
            <w:pPr>
              <w:rPr>
                <w:rFonts w:ascii="宋体"/>
              </w:rPr>
            </w:pPr>
          </w:p>
        </w:tc>
        <w:tc>
          <w:tcPr>
            <w:tcW w:w="0" w:type="auto"/>
            <w:gridSpan w:val="3"/>
            <w:tcBorders>
              <w:bottom w:val="single" w:sz="8" w:space="0" w:color="333333"/>
            </w:tcBorders>
            <w:shd w:val="clear" w:color="auto" w:fill="auto"/>
            <w:tcMar>
              <w:top w:w="40" w:type="dxa"/>
              <w:left w:w="20" w:type="dxa"/>
              <w:bottom w:w="40" w:type="dxa"/>
              <w:right w:w="20" w:type="dxa"/>
            </w:tcMar>
            <w:vAlign w:val="bottom"/>
          </w:tcPr>
          <w:p w14:paraId="36CA4A01" w14:textId="77777777" w:rsidR="00787570" w:rsidRDefault="000D56E2">
            <w:pPr>
              <w:jc w:val="center"/>
              <w:textAlignment w:val="bottom"/>
            </w:pPr>
            <w:r>
              <w:rPr>
                <w:rFonts w:ascii="Arial" w:eastAsia="宋体" w:hAnsi="Arial" w:cs="Arial"/>
                <w:b/>
                <w:bCs/>
                <w:color w:val="0071C5"/>
                <w:sz w:val="20"/>
                <w:szCs w:val="20"/>
              </w:rPr>
              <w:t>CCG REVENUE $B</w:t>
            </w:r>
          </w:p>
        </w:tc>
        <w:tc>
          <w:tcPr>
            <w:tcW w:w="0" w:type="auto"/>
            <w:gridSpan w:val="3"/>
            <w:shd w:val="clear" w:color="auto" w:fill="auto"/>
            <w:tcMar>
              <w:left w:w="20" w:type="dxa"/>
              <w:right w:w="20" w:type="dxa"/>
            </w:tcMar>
            <w:vAlign w:val="bottom"/>
          </w:tcPr>
          <w:p w14:paraId="36CA4A02" w14:textId="77777777" w:rsidR="00787570" w:rsidRDefault="00787570">
            <w:pPr>
              <w:rPr>
                <w:rFonts w:ascii="宋体"/>
              </w:rPr>
            </w:pPr>
          </w:p>
        </w:tc>
        <w:tc>
          <w:tcPr>
            <w:tcW w:w="0" w:type="auto"/>
            <w:gridSpan w:val="3"/>
            <w:tcBorders>
              <w:bottom w:val="single" w:sz="8" w:space="0" w:color="333333"/>
            </w:tcBorders>
            <w:shd w:val="clear" w:color="auto" w:fill="auto"/>
            <w:tcMar>
              <w:top w:w="40" w:type="dxa"/>
              <w:left w:w="20" w:type="dxa"/>
              <w:bottom w:w="40" w:type="dxa"/>
              <w:right w:w="20" w:type="dxa"/>
            </w:tcMar>
            <w:vAlign w:val="bottom"/>
          </w:tcPr>
          <w:p w14:paraId="36CA4A03" w14:textId="77777777" w:rsidR="00787570" w:rsidRDefault="000D56E2">
            <w:pPr>
              <w:jc w:val="center"/>
              <w:textAlignment w:val="bottom"/>
            </w:pPr>
            <w:r>
              <w:rPr>
                <w:rFonts w:ascii="Arial" w:eastAsia="宋体" w:hAnsi="Arial" w:cs="Arial"/>
                <w:b/>
                <w:bCs/>
                <w:color w:val="0071C5"/>
                <w:sz w:val="20"/>
                <w:szCs w:val="20"/>
              </w:rPr>
              <w:t xml:space="preserve">CCG </w:t>
            </w:r>
            <w:r>
              <w:rPr>
                <w:rFonts w:ascii="Arial" w:eastAsia="宋体" w:hAnsi="Arial" w:cs="Arial"/>
                <w:b/>
                <w:bCs/>
                <w:color w:val="0071C5"/>
                <w:sz w:val="20"/>
                <w:szCs w:val="20"/>
              </w:rPr>
              <w:t>OPERATING INCOME $B</w:t>
            </w:r>
          </w:p>
        </w:tc>
      </w:tr>
    </w:tbl>
    <w:p w14:paraId="36CA4A05" w14:textId="77777777" w:rsidR="00787570" w:rsidRDefault="000D56E2">
      <w:pPr>
        <w:spacing w:after="120"/>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Viewer9_files/intc-20200926_g15.jpg"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36CA5C58" wp14:editId="36CA5C59">
            <wp:extent cx="304800" cy="304800"/>
            <wp:effectExtent l="0" t="0" r="0" b="0"/>
            <wp:docPr id="60" name="图片 113" descr="IMG_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113" descr="IMG_301"/>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/INTEL/./Inline XBRL Vie</w:instrText>
      </w:r>
      <w:r>
        <w:rPr>
          <w:rFonts w:ascii="宋体" w:eastAsia="宋体" w:hAnsi="宋体" w:cs="宋体"/>
        </w:rPr>
        <w:instrText xml:space="preserve">wer9_files/intc-20200926_g16.jpg"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36CA5C5A" wp14:editId="36CA5C5B">
            <wp:extent cx="304800" cy="304800"/>
            <wp:effectExtent l="0" t="0" r="0" b="0"/>
            <wp:docPr id="61" name="图片 114" descr="IMG_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114" descr="IMG_302"/>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bl>
      <w:tblPr>
        <w:tblW w:w="10980" w:type="dxa"/>
        <w:tblCellMar>
          <w:top w:w="15" w:type="dxa"/>
          <w:left w:w="15" w:type="dxa"/>
          <w:bottom w:w="15" w:type="dxa"/>
          <w:right w:w="15" w:type="dxa"/>
        </w:tblCellMar>
        <w:tblLook w:val="04A0" w:firstRow="1" w:lastRow="0" w:firstColumn="1" w:lastColumn="0" w:noHBand="0" w:noVBand="1"/>
      </w:tblPr>
      <w:tblGrid>
        <w:gridCol w:w="36"/>
        <w:gridCol w:w="1490"/>
        <w:gridCol w:w="36"/>
        <w:gridCol w:w="36"/>
        <w:gridCol w:w="1110"/>
        <w:gridCol w:w="36"/>
        <w:gridCol w:w="36"/>
        <w:gridCol w:w="8164"/>
        <w:gridCol w:w="36"/>
      </w:tblGrid>
      <w:tr w:rsidR="00787570" w14:paraId="36CA4A0F" w14:textId="77777777">
        <w:tc>
          <w:tcPr>
            <w:tcW w:w="20" w:type="dxa"/>
            <w:shd w:val="clear" w:color="auto" w:fill="auto"/>
          </w:tcPr>
          <w:p w14:paraId="36CA4A06" w14:textId="77777777" w:rsidR="00787570" w:rsidRDefault="00787570">
            <w:pPr>
              <w:rPr>
                <w:rFonts w:ascii="宋体"/>
              </w:rPr>
            </w:pPr>
          </w:p>
        </w:tc>
        <w:tc>
          <w:tcPr>
            <w:tcW w:w="1505" w:type="dxa"/>
            <w:shd w:val="clear" w:color="auto" w:fill="auto"/>
          </w:tcPr>
          <w:p w14:paraId="36CA4A07" w14:textId="77777777" w:rsidR="00787570" w:rsidRDefault="00787570">
            <w:pPr>
              <w:rPr>
                <w:rFonts w:ascii="宋体"/>
              </w:rPr>
            </w:pPr>
          </w:p>
        </w:tc>
        <w:tc>
          <w:tcPr>
            <w:tcW w:w="20" w:type="dxa"/>
            <w:shd w:val="clear" w:color="auto" w:fill="auto"/>
          </w:tcPr>
          <w:p w14:paraId="36CA4A08" w14:textId="77777777" w:rsidR="00787570" w:rsidRDefault="00787570">
            <w:pPr>
              <w:rPr>
                <w:rFonts w:ascii="宋体"/>
              </w:rPr>
            </w:pPr>
          </w:p>
        </w:tc>
        <w:tc>
          <w:tcPr>
            <w:tcW w:w="20" w:type="dxa"/>
            <w:shd w:val="clear" w:color="auto" w:fill="auto"/>
          </w:tcPr>
          <w:p w14:paraId="36CA4A09" w14:textId="77777777" w:rsidR="00787570" w:rsidRDefault="00787570">
            <w:pPr>
              <w:rPr>
                <w:rFonts w:ascii="宋体"/>
              </w:rPr>
            </w:pPr>
          </w:p>
        </w:tc>
        <w:tc>
          <w:tcPr>
            <w:tcW w:w="1115" w:type="dxa"/>
            <w:shd w:val="clear" w:color="auto" w:fill="auto"/>
          </w:tcPr>
          <w:p w14:paraId="36CA4A0A" w14:textId="77777777" w:rsidR="00787570" w:rsidRDefault="00787570">
            <w:pPr>
              <w:rPr>
                <w:rFonts w:ascii="宋体"/>
              </w:rPr>
            </w:pPr>
          </w:p>
        </w:tc>
        <w:tc>
          <w:tcPr>
            <w:tcW w:w="20" w:type="dxa"/>
            <w:shd w:val="clear" w:color="auto" w:fill="auto"/>
          </w:tcPr>
          <w:p w14:paraId="36CA4A0B" w14:textId="77777777" w:rsidR="00787570" w:rsidRDefault="00787570">
            <w:pPr>
              <w:rPr>
                <w:rFonts w:ascii="宋体"/>
              </w:rPr>
            </w:pPr>
          </w:p>
        </w:tc>
        <w:tc>
          <w:tcPr>
            <w:tcW w:w="20" w:type="dxa"/>
            <w:shd w:val="clear" w:color="auto" w:fill="auto"/>
          </w:tcPr>
          <w:p w14:paraId="36CA4A0C" w14:textId="77777777" w:rsidR="00787570" w:rsidRDefault="00787570">
            <w:pPr>
              <w:rPr>
                <w:rFonts w:ascii="宋体"/>
              </w:rPr>
            </w:pPr>
          </w:p>
        </w:tc>
        <w:tc>
          <w:tcPr>
            <w:tcW w:w="8240" w:type="dxa"/>
            <w:shd w:val="clear" w:color="auto" w:fill="auto"/>
          </w:tcPr>
          <w:p w14:paraId="36CA4A0D" w14:textId="77777777" w:rsidR="00787570" w:rsidRDefault="00787570">
            <w:pPr>
              <w:rPr>
                <w:rFonts w:ascii="宋体"/>
              </w:rPr>
            </w:pPr>
          </w:p>
        </w:tc>
        <w:tc>
          <w:tcPr>
            <w:tcW w:w="20" w:type="dxa"/>
            <w:shd w:val="clear" w:color="auto" w:fill="auto"/>
          </w:tcPr>
          <w:p w14:paraId="36CA4A0E" w14:textId="77777777" w:rsidR="00787570" w:rsidRDefault="00787570">
            <w:pPr>
              <w:rPr>
                <w:rFonts w:ascii="宋体"/>
              </w:rPr>
            </w:pPr>
          </w:p>
        </w:tc>
      </w:tr>
      <w:tr w:rsidR="00787570" w14:paraId="36CA4A13" w14:textId="77777777">
        <w:tc>
          <w:tcPr>
            <w:tcW w:w="0" w:type="auto"/>
            <w:gridSpan w:val="3"/>
            <w:shd w:val="clear" w:color="auto" w:fill="auto"/>
            <w:tcMar>
              <w:left w:w="20" w:type="dxa"/>
              <w:right w:w="20" w:type="dxa"/>
            </w:tcMar>
            <w:vAlign w:val="bottom"/>
          </w:tcPr>
          <w:p w14:paraId="36CA4A10" w14:textId="77777777" w:rsidR="00787570" w:rsidRDefault="00787570">
            <w:pPr>
              <w:rPr>
                <w:rFonts w:ascii="宋体"/>
              </w:rPr>
            </w:pPr>
          </w:p>
        </w:tc>
        <w:tc>
          <w:tcPr>
            <w:tcW w:w="0" w:type="auto"/>
            <w:gridSpan w:val="3"/>
            <w:shd w:val="clear" w:color="auto" w:fill="auto"/>
            <w:tcMar>
              <w:top w:w="40" w:type="dxa"/>
              <w:left w:w="20" w:type="dxa"/>
              <w:bottom w:w="40" w:type="dxa"/>
              <w:right w:w="20" w:type="dxa"/>
            </w:tcMar>
            <w:vAlign w:val="center"/>
          </w:tcPr>
          <w:p w14:paraId="36CA4A11" w14:textId="77777777" w:rsidR="00787570" w:rsidRDefault="000D56E2">
            <w:pPr>
              <w:textAlignment w:val="center"/>
            </w:pPr>
            <w:r>
              <w:rPr>
                <w:rFonts w:ascii="Arial" w:eastAsia="宋体" w:hAnsi="Arial" w:cs="Arial"/>
                <w:color w:val="003C71"/>
                <w:sz w:val="18"/>
                <w:szCs w:val="18"/>
              </w:rPr>
              <w:t>■</w:t>
            </w:r>
            <w:r>
              <w:rPr>
                <w:rFonts w:ascii="Arial" w:eastAsia="宋体" w:hAnsi="Arial" w:cs="Arial"/>
                <w:color w:val="333333"/>
                <w:sz w:val="18"/>
                <w:szCs w:val="18"/>
              </w:rPr>
              <w:t xml:space="preserve"> </w:t>
            </w:r>
            <w:r>
              <w:rPr>
                <w:rFonts w:ascii="Arial" w:eastAsia="宋体" w:hAnsi="Arial" w:cs="Arial"/>
                <w:color w:val="333333"/>
                <w:sz w:val="16"/>
                <w:szCs w:val="16"/>
              </w:rPr>
              <w:t>Platform</w:t>
            </w:r>
          </w:p>
        </w:tc>
        <w:tc>
          <w:tcPr>
            <w:tcW w:w="0" w:type="auto"/>
            <w:gridSpan w:val="3"/>
            <w:shd w:val="clear" w:color="auto" w:fill="auto"/>
            <w:tcMar>
              <w:top w:w="40" w:type="dxa"/>
              <w:left w:w="20" w:type="dxa"/>
              <w:bottom w:w="40" w:type="dxa"/>
              <w:right w:w="20" w:type="dxa"/>
            </w:tcMar>
            <w:vAlign w:val="center"/>
          </w:tcPr>
          <w:p w14:paraId="36CA4A12" w14:textId="77777777" w:rsidR="00787570" w:rsidRDefault="000D56E2">
            <w:pPr>
              <w:textAlignment w:val="center"/>
            </w:pPr>
            <w:r>
              <w:rPr>
                <w:rFonts w:ascii="Arial" w:eastAsia="宋体" w:hAnsi="Arial" w:cs="Arial"/>
                <w:color w:val="FFA300"/>
                <w:sz w:val="18"/>
                <w:szCs w:val="18"/>
              </w:rPr>
              <w:t>■</w:t>
            </w:r>
            <w:r>
              <w:rPr>
                <w:rFonts w:ascii="Arial" w:eastAsia="宋体" w:hAnsi="Arial" w:cs="Arial"/>
                <w:color w:val="333333"/>
                <w:sz w:val="18"/>
                <w:szCs w:val="18"/>
              </w:rPr>
              <w:t xml:space="preserve"> </w:t>
            </w:r>
            <w:r>
              <w:rPr>
                <w:rFonts w:ascii="Arial" w:eastAsia="宋体" w:hAnsi="Arial" w:cs="Arial"/>
                <w:color w:val="333333"/>
                <w:sz w:val="16"/>
                <w:szCs w:val="16"/>
              </w:rPr>
              <w:t>Adjacent</w:t>
            </w:r>
          </w:p>
        </w:tc>
      </w:tr>
    </w:tbl>
    <w:p w14:paraId="36CA4A14" w14:textId="77777777" w:rsidR="00787570" w:rsidRDefault="00787570">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8231"/>
        <w:gridCol w:w="36"/>
      </w:tblGrid>
      <w:tr w:rsidR="00787570" w14:paraId="36CA4A18" w14:textId="77777777">
        <w:tc>
          <w:tcPr>
            <w:tcW w:w="50" w:type="pct"/>
            <w:shd w:val="clear" w:color="auto" w:fill="auto"/>
          </w:tcPr>
          <w:p w14:paraId="36CA4A15" w14:textId="77777777" w:rsidR="00787570" w:rsidRDefault="00787570">
            <w:pPr>
              <w:rPr>
                <w:rFonts w:ascii="宋体"/>
              </w:rPr>
            </w:pPr>
          </w:p>
        </w:tc>
        <w:tc>
          <w:tcPr>
            <w:tcW w:w="4945" w:type="pct"/>
            <w:shd w:val="clear" w:color="auto" w:fill="auto"/>
          </w:tcPr>
          <w:p w14:paraId="36CA4A16" w14:textId="77777777" w:rsidR="00787570" w:rsidRDefault="00787570">
            <w:pPr>
              <w:rPr>
                <w:rFonts w:ascii="宋体"/>
              </w:rPr>
            </w:pPr>
          </w:p>
        </w:tc>
        <w:tc>
          <w:tcPr>
            <w:tcW w:w="5" w:type="pct"/>
            <w:shd w:val="clear" w:color="auto" w:fill="auto"/>
          </w:tcPr>
          <w:p w14:paraId="36CA4A17" w14:textId="77777777" w:rsidR="00787570" w:rsidRDefault="00787570">
            <w:pPr>
              <w:rPr>
                <w:rFonts w:ascii="宋体"/>
              </w:rPr>
            </w:pPr>
          </w:p>
        </w:tc>
      </w:tr>
      <w:tr w:rsidR="00787570" w14:paraId="36CA4A1A" w14:textId="77777777">
        <w:tc>
          <w:tcPr>
            <w:tcW w:w="0" w:type="auto"/>
            <w:gridSpan w:val="3"/>
            <w:tcBorders>
              <w:bottom w:val="single" w:sz="8" w:space="0" w:color="333333"/>
            </w:tcBorders>
            <w:shd w:val="clear" w:color="auto" w:fill="auto"/>
            <w:tcMar>
              <w:top w:w="40" w:type="dxa"/>
              <w:left w:w="20" w:type="dxa"/>
              <w:bottom w:w="40" w:type="dxa"/>
              <w:right w:w="20" w:type="dxa"/>
            </w:tcMar>
            <w:vAlign w:val="bottom"/>
          </w:tcPr>
          <w:p w14:paraId="36CA4A19" w14:textId="77777777" w:rsidR="00787570" w:rsidRDefault="000D56E2">
            <w:pPr>
              <w:spacing w:after="180"/>
              <w:textAlignment w:val="bottom"/>
            </w:pPr>
            <w:r>
              <w:rPr>
                <w:rFonts w:ascii="Arial" w:eastAsia="宋体" w:hAnsi="Arial" w:cs="Arial"/>
                <w:b/>
                <w:bCs/>
                <w:color w:val="0071C5"/>
                <w:sz w:val="20"/>
                <w:szCs w:val="20"/>
              </w:rPr>
              <w:t>REVENUE SUMMARY</w:t>
            </w:r>
          </w:p>
        </w:tc>
      </w:tr>
    </w:tbl>
    <w:p w14:paraId="36CA4A1B" w14:textId="77777777" w:rsidR="00787570" w:rsidRDefault="000D56E2">
      <w:pPr>
        <w:spacing w:before="180" w:after="180"/>
      </w:pPr>
      <w:r>
        <w:rPr>
          <w:rFonts w:ascii="Arial" w:eastAsia="宋体" w:hAnsi="Arial" w:cs="Arial"/>
          <w:color w:val="333333"/>
          <w:sz w:val="18"/>
          <w:szCs w:val="18"/>
        </w:rPr>
        <w:t xml:space="preserve">Revenue in Q3 2020 was up 1% compared to Q3 2019, driven by strength in notebook demand, partially offset by lower desktop demand, lower </w:t>
      </w:r>
      <w:r>
        <w:rPr>
          <w:rFonts w:ascii="Arial" w:eastAsia="宋体" w:hAnsi="Arial" w:cs="Arial"/>
          <w:color w:val="333333"/>
          <w:sz w:val="18"/>
          <w:szCs w:val="18"/>
        </w:rPr>
        <w:t>notebook ASP resulting from higher demand for consumer and education PCs, and LTE modem volume decline. YTD 2020 revenue was up 7% compared to YTD 2019, driven by strength in notebook demand and higher LTE modem and Wi-Fi sales, partially offset by lower d</w:t>
      </w:r>
      <w:r>
        <w:rPr>
          <w:rFonts w:ascii="Arial" w:eastAsia="宋体" w:hAnsi="Arial" w:cs="Arial"/>
          <w:color w:val="333333"/>
          <w:sz w:val="18"/>
          <w:szCs w:val="18"/>
        </w:rPr>
        <w:t>esktop demand and lower notebook ASP resulting from higher demand for consumer and education PCs. Strength in notebook products reflects the increased reliance on PCs as more people continue to work and learn from home. As this dynamic continues into Q4, w</w:t>
      </w:r>
      <w:r>
        <w:rPr>
          <w:rFonts w:ascii="Arial" w:eastAsia="宋体" w:hAnsi="Arial" w:cs="Arial"/>
          <w:color w:val="333333"/>
          <w:sz w:val="18"/>
          <w:szCs w:val="18"/>
        </w:rPr>
        <w:t>e expect continued strength in consumer notebook PCs.</w:t>
      </w:r>
    </w:p>
    <w:tbl>
      <w:tblPr>
        <w:tblW w:w="10980" w:type="dxa"/>
        <w:tblCellMar>
          <w:top w:w="15" w:type="dxa"/>
          <w:left w:w="15" w:type="dxa"/>
          <w:bottom w:w="15" w:type="dxa"/>
          <w:right w:w="15" w:type="dxa"/>
        </w:tblCellMar>
        <w:tblLook w:val="04A0" w:firstRow="1" w:lastRow="0" w:firstColumn="1" w:lastColumn="0" w:noHBand="0" w:noVBand="1"/>
      </w:tblPr>
      <w:tblGrid>
        <w:gridCol w:w="36"/>
        <w:gridCol w:w="3624"/>
        <w:gridCol w:w="36"/>
        <w:gridCol w:w="36"/>
        <w:gridCol w:w="36"/>
        <w:gridCol w:w="36"/>
        <w:gridCol w:w="36"/>
        <w:gridCol w:w="535"/>
        <w:gridCol w:w="36"/>
        <w:gridCol w:w="36"/>
        <w:gridCol w:w="545"/>
        <w:gridCol w:w="36"/>
        <w:gridCol w:w="36"/>
        <w:gridCol w:w="36"/>
        <w:gridCol w:w="36"/>
        <w:gridCol w:w="136"/>
        <w:gridCol w:w="947"/>
        <w:gridCol w:w="41"/>
        <w:gridCol w:w="257"/>
        <w:gridCol w:w="257"/>
        <w:gridCol w:w="257"/>
        <w:gridCol w:w="36"/>
        <w:gridCol w:w="535"/>
        <w:gridCol w:w="36"/>
        <w:gridCol w:w="36"/>
        <w:gridCol w:w="545"/>
        <w:gridCol w:w="36"/>
        <w:gridCol w:w="36"/>
        <w:gridCol w:w="36"/>
        <w:gridCol w:w="36"/>
        <w:gridCol w:w="148"/>
        <w:gridCol w:w="1113"/>
        <w:gridCol w:w="45"/>
        <w:gridCol w:w="36"/>
        <w:gridCol w:w="36"/>
        <w:gridCol w:w="36"/>
        <w:gridCol w:w="257"/>
        <w:gridCol w:w="257"/>
        <w:gridCol w:w="257"/>
        <w:gridCol w:w="36"/>
        <w:gridCol w:w="36"/>
        <w:gridCol w:w="36"/>
        <w:gridCol w:w="36"/>
        <w:gridCol w:w="36"/>
        <w:gridCol w:w="36"/>
        <w:gridCol w:w="36"/>
        <w:gridCol w:w="36"/>
        <w:gridCol w:w="36"/>
        <w:gridCol w:w="36"/>
        <w:gridCol w:w="36"/>
        <w:gridCol w:w="36"/>
      </w:tblGrid>
      <w:tr w:rsidR="00787570" w14:paraId="36CA4A3D" w14:textId="77777777">
        <w:trPr>
          <w:gridAfter w:val="18"/>
        </w:trPr>
        <w:tc>
          <w:tcPr>
            <w:tcW w:w="20" w:type="dxa"/>
            <w:shd w:val="clear" w:color="auto" w:fill="auto"/>
          </w:tcPr>
          <w:p w14:paraId="36CA4A1C" w14:textId="77777777" w:rsidR="00787570" w:rsidRDefault="00787570">
            <w:pPr>
              <w:rPr>
                <w:rFonts w:ascii="宋体"/>
              </w:rPr>
            </w:pPr>
          </w:p>
        </w:tc>
        <w:tc>
          <w:tcPr>
            <w:tcW w:w="5420" w:type="dxa"/>
            <w:shd w:val="clear" w:color="auto" w:fill="auto"/>
          </w:tcPr>
          <w:p w14:paraId="36CA4A1D" w14:textId="77777777" w:rsidR="00787570" w:rsidRDefault="00787570">
            <w:pPr>
              <w:rPr>
                <w:rFonts w:ascii="宋体"/>
              </w:rPr>
            </w:pPr>
          </w:p>
        </w:tc>
        <w:tc>
          <w:tcPr>
            <w:tcW w:w="20" w:type="dxa"/>
            <w:shd w:val="clear" w:color="auto" w:fill="auto"/>
          </w:tcPr>
          <w:p w14:paraId="36CA4A1E" w14:textId="77777777" w:rsidR="00787570" w:rsidRDefault="00787570">
            <w:pPr>
              <w:rPr>
                <w:rFonts w:ascii="宋体"/>
              </w:rPr>
            </w:pPr>
          </w:p>
        </w:tc>
        <w:tc>
          <w:tcPr>
            <w:tcW w:w="20" w:type="dxa"/>
            <w:shd w:val="clear" w:color="auto" w:fill="auto"/>
          </w:tcPr>
          <w:p w14:paraId="36CA4A1F" w14:textId="77777777" w:rsidR="00787570" w:rsidRDefault="00787570">
            <w:pPr>
              <w:rPr>
                <w:rFonts w:ascii="宋体"/>
              </w:rPr>
            </w:pPr>
          </w:p>
        </w:tc>
        <w:tc>
          <w:tcPr>
            <w:tcW w:w="35" w:type="dxa"/>
            <w:shd w:val="clear" w:color="auto" w:fill="auto"/>
          </w:tcPr>
          <w:p w14:paraId="36CA4A20" w14:textId="77777777" w:rsidR="00787570" w:rsidRDefault="00787570">
            <w:pPr>
              <w:rPr>
                <w:rFonts w:ascii="宋体"/>
              </w:rPr>
            </w:pPr>
          </w:p>
        </w:tc>
        <w:tc>
          <w:tcPr>
            <w:tcW w:w="20" w:type="dxa"/>
            <w:shd w:val="clear" w:color="auto" w:fill="auto"/>
          </w:tcPr>
          <w:p w14:paraId="36CA4A21" w14:textId="77777777" w:rsidR="00787570" w:rsidRDefault="00787570">
            <w:pPr>
              <w:rPr>
                <w:rFonts w:ascii="宋体"/>
              </w:rPr>
            </w:pPr>
          </w:p>
        </w:tc>
        <w:tc>
          <w:tcPr>
            <w:tcW w:w="20" w:type="dxa"/>
            <w:shd w:val="clear" w:color="auto" w:fill="auto"/>
          </w:tcPr>
          <w:p w14:paraId="36CA4A22" w14:textId="77777777" w:rsidR="00787570" w:rsidRDefault="00787570">
            <w:pPr>
              <w:rPr>
                <w:rFonts w:ascii="宋体"/>
              </w:rPr>
            </w:pPr>
          </w:p>
        </w:tc>
        <w:tc>
          <w:tcPr>
            <w:tcW w:w="620" w:type="dxa"/>
            <w:shd w:val="clear" w:color="auto" w:fill="auto"/>
          </w:tcPr>
          <w:p w14:paraId="36CA4A23" w14:textId="77777777" w:rsidR="00787570" w:rsidRDefault="00787570">
            <w:pPr>
              <w:rPr>
                <w:rFonts w:ascii="宋体"/>
              </w:rPr>
            </w:pPr>
          </w:p>
        </w:tc>
        <w:tc>
          <w:tcPr>
            <w:tcW w:w="20" w:type="dxa"/>
            <w:shd w:val="clear" w:color="auto" w:fill="auto"/>
          </w:tcPr>
          <w:p w14:paraId="36CA4A24" w14:textId="77777777" w:rsidR="00787570" w:rsidRDefault="00787570">
            <w:pPr>
              <w:rPr>
                <w:rFonts w:ascii="宋体"/>
              </w:rPr>
            </w:pPr>
          </w:p>
        </w:tc>
        <w:tc>
          <w:tcPr>
            <w:tcW w:w="20" w:type="dxa"/>
            <w:shd w:val="clear" w:color="auto" w:fill="auto"/>
          </w:tcPr>
          <w:p w14:paraId="36CA4A25" w14:textId="77777777" w:rsidR="00787570" w:rsidRDefault="00787570">
            <w:pPr>
              <w:rPr>
                <w:rFonts w:ascii="宋体"/>
              </w:rPr>
            </w:pPr>
          </w:p>
        </w:tc>
        <w:tc>
          <w:tcPr>
            <w:tcW w:w="605" w:type="dxa"/>
            <w:shd w:val="clear" w:color="auto" w:fill="auto"/>
          </w:tcPr>
          <w:p w14:paraId="36CA4A26" w14:textId="77777777" w:rsidR="00787570" w:rsidRDefault="00787570">
            <w:pPr>
              <w:rPr>
                <w:rFonts w:ascii="宋体"/>
              </w:rPr>
            </w:pPr>
          </w:p>
        </w:tc>
        <w:tc>
          <w:tcPr>
            <w:tcW w:w="20" w:type="dxa"/>
            <w:shd w:val="clear" w:color="auto" w:fill="auto"/>
          </w:tcPr>
          <w:p w14:paraId="36CA4A27" w14:textId="77777777" w:rsidR="00787570" w:rsidRDefault="00787570">
            <w:pPr>
              <w:rPr>
                <w:rFonts w:ascii="宋体"/>
              </w:rPr>
            </w:pPr>
          </w:p>
        </w:tc>
        <w:tc>
          <w:tcPr>
            <w:tcW w:w="20" w:type="dxa"/>
            <w:shd w:val="clear" w:color="auto" w:fill="auto"/>
          </w:tcPr>
          <w:p w14:paraId="36CA4A28" w14:textId="77777777" w:rsidR="00787570" w:rsidRDefault="00787570">
            <w:pPr>
              <w:rPr>
                <w:rFonts w:ascii="宋体"/>
              </w:rPr>
            </w:pPr>
          </w:p>
        </w:tc>
        <w:tc>
          <w:tcPr>
            <w:tcW w:w="35" w:type="dxa"/>
            <w:shd w:val="clear" w:color="auto" w:fill="auto"/>
          </w:tcPr>
          <w:p w14:paraId="36CA4A29" w14:textId="77777777" w:rsidR="00787570" w:rsidRDefault="00787570">
            <w:pPr>
              <w:rPr>
                <w:rFonts w:ascii="宋体"/>
              </w:rPr>
            </w:pPr>
          </w:p>
        </w:tc>
        <w:tc>
          <w:tcPr>
            <w:tcW w:w="20" w:type="dxa"/>
            <w:shd w:val="clear" w:color="auto" w:fill="auto"/>
          </w:tcPr>
          <w:p w14:paraId="36CA4A2A" w14:textId="77777777" w:rsidR="00787570" w:rsidRDefault="00787570">
            <w:pPr>
              <w:rPr>
                <w:rFonts w:ascii="宋体"/>
              </w:rPr>
            </w:pPr>
          </w:p>
        </w:tc>
        <w:tc>
          <w:tcPr>
            <w:tcW w:w="20" w:type="dxa"/>
            <w:shd w:val="clear" w:color="auto" w:fill="auto"/>
          </w:tcPr>
          <w:p w14:paraId="36CA4A2B" w14:textId="77777777" w:rsidR="00787570" w:rsidRDefault="00787570">
            <w:pPr>
              <w:rPr>
                <w:rFonts w:ascii="宋体"/>
              </w:rPr>
            </w:pPr>
          </w:p>
        </w:tc>
        <w:tc>
          <w:tcPr>
            <w:tcW w:w="1265" w:type="dxa"/>
            <w:shd w:val="clear" w:color="auto" w:fill="auto"/>
          </w:tcPr>
          <w:p w14:paraId="36CA4A2C" w14:textId="77777777" w:rsidR="00787570" w:rsidRDefault="00787570">
            <w:pPr>
              <w:rPr>
                <w:rFonts w:ascii="宋体"/>
              </w:rPr>
            </w:pPr>
          </w:p>
        </w:tc>
        <w:tc>
          <w:tcPr>
            <w:tcW w:w="20" w:type="dxa"/>
            <w:shd w:val="clear" w:color="auto" w:fill="auto"/>
          </w:tcPr>
          <w:p w14:paraId="36CA4A2D" w14:textId="77777777" w:rsidR="00787570" w:rsidRDefault="00787570">
            <w:pPr>
              <w:rPr>
                <w:rFonts w:ascii="宋体"/>
              </w:rPr>
            </w:pPr>
          </w:p>
        </w:tc>
        <w:tc>
          <w:tcPr>
            <w:tcW w:w="20" w:type="dxa"/>
            <w:shd w:val="clear" w:color="auto" w:fill="auto"/>
          </w:tcPr>
          <w:p w14:paraId="36CA4A2E" w14:textId="77777777" w:rsidR="00787570" w:rsidRDefault="00787570">
            <w:pPr>
              <w:rPr>
                <w:rFonts w:ascii="宋体"/>
              </w:rPr>
            </w:pPr>
          </w:p>
        </w:tc>
        <w:tc>
          <w:tcPr>
            <w:tcW w:w="35" w:type="dxa"/>
            <w:shd w:val="clear" w:color="auto" w:fill="auto"/>
          </w:tcPr>
          <w:p w14:paraId="36CA4A2F" w14:textId="77777777" w:rsidR="00787570" w:rsidRDefault="00787570">
            <w:pPr>
              <w:rPr>
                <w:rFonts w:ascii="宋体"/>
              </w:rPr>
            </w:pPr>
          </w:p>
        </w:tc>
        <w:tc>
          <w:tcPr>
            <w:tcW w:w="20" w:type="dxa"/>
            <w:shd w:val="clear" w:color="auto" w:fill="auto"/>
          </w:tcPr>
          <w:p w14:paraId="36CA4A30" w14:textId="77777777" w:rsidR="00787570" w:rsidRDefault="00787570">
            <w:pPr>
              <w:rPr>
                <w:rFonts w:ascii="宋体"/>
              </w:rPr>
            </w:pPr>
          </w:p>
        </w:tc>
        <w:tc>
          <w:tcPr>
            <w:tcW w:w="20" w:type="dxa"/>
            <w:shd w:val="clear" w:color="auto" w:fill="auto"/>
          </w:tcPr>
          <w:p w14:paraId="36CA4A31" w14:textId="77777777" w:rsidR="00787570" w:rsidRDefault="00787570">
            <w:pPr>
              <w:rPr>
                <w:rFonts w:ascii="宋体"/>
              </w:rPr>
            </w:pPr>
          </w:p>
        </w:tc>
        <w:tc>
          <w:tcPr>
            <w:tcW w:w="620" w:type="dxa"/>
            <w:shd w:val="clear" w:color="auto" w:fill="auto"/>
          </w:tcPr>
          <w:p w14:paraId="36CA4A32" w14:textId="77777777" w:rsidR="00787570" w:rsidRDefault="00787570">
            <w:pPr>
              <w:rPr>
                <w:rFonts w:ascii="宋体"/>
              </w:rPr>
            </w:pPr>
          </w:p>
        </w:tc>
        <w:tc>
          <w:tcPr>
            <w:tcW w:w="20" w:type="dxa"/>
            <w:shd w:val="clear" w:color="auto" w:fill="auto"/>
          </w:tcPr>
          <w:p w14:paraId="36CA4A33" w14:textId="77777777" w:rsidR="00787570" w:rsidRDefault="00787570">
            <w:pPr>
              <w:rPr>
                <w:rFonts w:ascii="宋体"/>
              </w:rPr>
            </w:pPr>
          </w:p>
        </w:tc>
        <w:tc>
          <w:tcPr>
            <w:tcW w:w="20" w:type="dxa"/>
            <w:shd w:val="clear" w:color="auto" w:fill="auto"/>
          </w:tcPr>
          <w:p w14:paraId="36CA4A34" w14:textId="77777777" w:rsidR="00787570" w:rsidRDefault="00787570">
            <w:pPr>
              <w:rPr>
                <w:rFonts w:ascii="宋体"/>
              </w:rPr>
            </w:pPr>
          </w:p>
        </w:tc>
        <w:tc>
          <w:tcPr>
            <w:tcW w:w="605" w:type="dxa"/>
            <w:shd w:val="clear" w:color="auto" w:fill="auto"/>
          </w:tcPr>
          <w:p w14:paraId="36CA4A35" w14:textId="77777777" w:rsidR="00787570" w:rsidRDefault="00787570">
            <w:pPr>
              <w:rPr>
                <w:rFonts w:ascii="宋体"/>
              </w:rPr>
            </w:pPr>
          </w:p>
        </w:tc>
        <w:tc>
          <w:tcPr>
            <w:tcW w:w="20" w:type="dxa"/>
            <w:shd w:val="clear" w:color="auto" w:fill="auto"/>
          </w:tcPr>
          <w:p w14:paraId="36CA4A36" w14:textId="77777777" w:rsidR="00787570" w:rsidRDefault="00787570">
            <w:pPr>
              <w:rPr>
                <w:rFonts w:ascii="宋体"/>
              </w:rPr>
            </w:pPr>
          </w:p>
        </w:tc>
        <w:tc>
          <w:tcPr>
            <w:tcW w:w="20" w:type="dxa"/>
            <w:shd w:val="clear" w:color="auto" w:fill="auto"/>
          </w:tcPr>
          <w:p w14:paraId="36CA4A37" w14:textId="77777777" w:rsidR="00787570" w:rsidRDefault="00787570">
            <w:pPr>
              <w:rPr>
                <w:rFonts w:ascii="宋体"/>
              </w:rPr>
            </w:pPr>
          </w:p>
        </w:tc>
        <w:tc>
          <w:tcPr>
            <w:tcW w:w="35" w:type="dxa"/>
            <w:shd w:val="clear" w:color="auto" w:fill="auto"/>
          </w:tcPr>
          <w:p w14:paraId="36CA4A38" w14:textId="77777777" w:rsidR="00787570" w:rsidRDefault="00787570">
            <w:pPr>
              <w:rPr>
                <w:rFonts w:ascii="宋体"/>
              </w:rPr>
            </w:pPr>
          </w:p>
        </w:tc>
        <w:tc>
          <w:tcPr>
            <w:tcW w:w="20" w:type="dxa"/>
            <w:shd w:val="clear" w:color="auto" w:fill="auto"/>
          </w:tcPr>
          <w:p w14:paraId="36CA4A39" w14:textId="77777777" w:rsidR="00787570" w:rsidRDefault="00787570">
            <w:pPr>
              <w:rPr>
                <w:rFonts w:ascii="宋体"/>
              </w:rPr>
            </w:pPr>
          </w:p>
        </w:tc>
        <w:tc>
          <w:tcPr>
            <w:tcW w:w="20" w:type="dxa"/>
            <w:shd w:val="clear" w:color="auto" w:fill="auto"/>
          </w:tcPr>
          <w:p w14:paraId="36CA4A3A" w14:textId="77777777" w:rsidR="00787570" w:rsidRDefault="00787570">
            <w:pPr>
              <w:rPr>
                <w:rFonts w:ascii="宋体"/>
              </w:rPr>
            </w:pPr>
          </w:p>
        </w:tc>
        <w:tc>
          <w:tcPr>
            <w:tcW w:w="1265" w:type="dxa"/>
            <w:shd w:val="clear" w:color="auto" w:fill="auto"/>
          </w:tcPr>
          <w:p w14:paraId="36CA4A3B" w14:textId="77777777" w:rsidR="00787570" w:rsidRDefault="00787570">
            <w:pPr>
              <w:rPr>
                <w:rFonts w:ascii="宋体"/>
              </w:rPr>
            </w:pPr>
          </w:p>
        </w:tc>
        <w:tc>
          <w:tcPr>
            <w:tcW w:w="20" w:type="dxa"/>
            <w:shd w:val="clear" w:color="auto" w:fill="auto"/>
          </w:tcPr>
          <w:p w14:paraId="36CA4A3C" w14:textId="77777777" w:rsidR="00787570" w:rsidRDefault="00787570">
            <w:pPr>
              <w:rPr>
                <w:rFonts w:ascii="宋体"/>
              </w:rPr>
            </w:pPr>
          </w:p>
        </w:tc>
      </w:tr>
      <w:tr w:rsidR="00787570" w14:paraId="36CA4A49" w14:textId="77777777">
        <w:tc>
          <w:tcPr>
            <w:tcW w:w="0" w:type="auto"/>
            <w:gridSpan w:val="3"/>
            <w:shd w:val="clear" w:color="auto" w:fill="auto"/>
            <w:tcMar>
              <w:left w:w="20" w:type="dxa"/>
              <w:right w:w="20" w:type="dxa"/>
            </w:tcMar>
            <w:vAlign w:val="bottom"/>
          </w:tcPr>
          <w:p w14:paraId="36CA4A3E"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4A3F" w14:textId="77777777" w:rsidR="00787570" w:rsidRDefault="00787570">
            <w:pPr>
              <w:rPr>
                <w:rFonts w:ascii="宋体"/>
              </w:rPr>
            </w:pPr>
          </w:p>
        </w:tc>
        <w:tc>
          <w:tcPr>
            <w:tcW w:w="0" w:type="auto"/>
            <w:gridSpan w:val="12"/>
            <w:shd w:val="clear" w:color="auto" w:fill="auto"/>
            <w:tcMar>
              <w:top w:w="40" w:type="dxa"/>
              <w:left w:w="20" w:type="dxa"/>
              <w:bottom w:w="40" w:type="dxa"/>
              <w:right w:w="20" w:type="dxa"/>
            </w:tcMar>
            <w:vAlign w:val="bottom"/>
          </w:tcPr>
          <w:p w14:paraId="36CA4A40" w14:textId="77777777" w:rsidR="00787570" w:rsidRDefault="000D56E2">
            <w:pPr>
              <w:jc w:val="center"/>
              <w:textAlignment w:val="bottom"/>
            </w:pPr>
            <w:r>
              <w:rPr>
                <w:rFonts w:ascii="Arial" w:eastAsia="宋体" w:hAnsi="Arial" w:cs="Arial"/>
                <w:b/>
                <w:bCs/>
                <w:color w:val="333333"/>
                <w:sz w:val="18"/>
                <w:szCs w:val="18"/>
              </w:rPr>
              <w:t>Q3 2020 vs. Q3 2019</w:t>
            </w:r>
          </w:p>
        </w:tc>
        <w:tc>
          <w:tcPr>
            <w:tcW w:w="0" w:type="auto"/>
            <w:gridSpan w:val="3"/>
            <w:shd w:val="clear" w:color="auto" w:fill="auto"/>
          </w:tcPr>
          <w:p w14:paraId="36CA4A41" w14:textId="77777777" w:rsidR="00787570" w:rsidRDefault="00787570">
            <w:pPr>
              <w:rPr>
                <w:rFonts w:ascii="宋体"/>
                <w:vanish/>
              </w:rPr>
            </w:pPr>
          </w:p>
        </w:tc>
        <w:tc>
          <w:tcPr>
            <w:tcW w:w="0" w:type="auto"/>
            <w:gridSpan w:val="3"/>
            <w:shd w:val="clear" w:color="auto" w:fill="auto"/>
          </w:tcPr>
          <w:p w14:paraId="36CA4A42" w14:textId="77777777" w:rsidR="00787570" w:rsidRDefault="00787570">
            <w:pPr>
              <w:rPr>
                <w:rFonts w:ascii="宋体"/>
                <w:vanish/>
              </w:rPr>
            </w:pPr>
          </w:p>
        </w:tc>
        <w:tc>
          <w:tcPr>
            <w:tcW w:w="0" w:type="auto"/>
            <w:gridSpan w:val="3"/>
            <w:shd w:val="clear" w:color="auto" w:fill="auto"/>
          </w:tcPr>
          <w:p w14:paraId="36CA4A43" w14:textId="77777777" w:rsidR="00787570" w:rsidRDefault="00787570">
            <w:pPr>
              <w:rPr>
                <w:rFonts w:ascii="宋体"/>
                <w:vanish/>
              </w:rPr>
            </w:pPr>
          </w:p>
        </w:tc>
        <w:tc>
          <w:tcPr>
            <w:tcW w:w="0" w:type="auto"/>
            <w:gridSpan w:val="3"/>
            <w:shd w:val="clear" w:color="auto" w:fill="auto"/>
            <w:tcMar>
              <w:left w:w="20" w:type="dxa"/>
              <w:right w:w="20" w:type="dxa"/>
            </w:tcMar>
            <w:vAlign w:val="bottom"/>
          </w:tcPr>
          <w:p w14:paraId="36CA4A44" w14:textId="77777777" w:rsidR="00787570" w:rsidRDefault="00787570">
            <w:pPr>
              <w:rPr>
                <w:rFonts w:ascii="宋体"/>
              </w:rPr>
            </w:pPr>
          </w:p>
        </w:tc>
        <w:tc>
          <w:tcPr>
            <w:tcW w:w="0" w:type="auto"/>
            <w:gridSpan w:val="12"/>
            <w:shd w:val="clear" w:color="auto" w:fill="auto"/>
            <w:tcMar>
              <w:top w:w="40" w:type="dxa"/>
              <w:left w:w="20" w:type="dxa"/>
              <w:bottom w:w="40" w:type="dxa"/>
              <w:right w:w="20" w:type="dxa"/>
            </w:tcMar>
            <w:vAlign w:val="bottom"/>
          </w:tcPr>
          <w:p w14:paraId="36CA4A45" w14:textId="77777777" w:rsidR="00787570" w:rsidRDefault="000D56E2">
            <w:pPr>
              <w:jc w:val="center"/>
              <w:textAlignment w:val="bottom"/>
            </w:pPr>
            <w:r>
              <w:rPr>
                <w:rFonts w:ascii="Arial" w:eastAsia="宋体" w:hAnsi="Arial" w:cs="Arial"/>
                <w:b/>
                <w:bCs/>
                <w:color w:val="333333"/>
                <w:sz w:val="18"/>
                <w:szCs w:val="18"/>
              </w:rPr>
              <w:t>YTD 2020 vs. YTD 2019</w:t>
            </w:r>
          </w:p>
        </w:tc>
        <w:tc>
          <w:tcPr>
            <w:tcW w:w="0" w:type="auto"/>
            <w:gridSpan w:val="3"/>
            <w:shd w:val="clear" w:color="auto" w:fill="auto"/>
          </w:tcPr>
          <w:p w14:paraId="36CA4A46" w14:textId="77777777" w:rsidR="00787570" w:rsidRDefault="00787570">
            <w:pPr>
              <w:rPr>
                <w:rFonts w:ascii="宋体"/>
                <w:vanish/>
              </w:rPr>
            </w:pPr>
          </w:p>
        </w:tc>
        <w:tc>
          <w:tcPr>
            <w:tcW w:w="0" w:type="auto"/>
            <w:gridSpan w:val="3"/>
            <w:shd w:val="clear" w:color="auto" w:fill="auto"/>
          </w:tcPr>
          <w:p w14:paraId="36CA4A47" w14:textId="77777777" w:rsidR="00787570" w:rsidRDefault="00787570">
            <w:pPr>
              <w:rPr>
                <w:rFonts w:ascii="宋体"/>
                <w:vanish/>
              </w:rPr>
            </w:pPr>
          </w:p>
        </w:tc>
        <w:tc>
          <w:tcPr>
            <w:tcW w:w="0" w:type="auto"/>
            <w:gridSpan w:val="3"/>
            <w:shd w:val="clear" w:color="auto" w:fill="auto"/>
          </w:tcPr>
          <w:p w14:paraId="36CA4A48" w14:textId="77777777" w:rsidR="00787570" w:rsidRDefault="00787570">
            <w:pPr>
              <w:rPr>
                <w:rFonts w:ascii="宋体"/>
                <w:vanish/>
              </w:rPr>
            </w:pPr>
          </w:p>
        </w:tc>
      </w:tr>
      <w:tr w:rsidR="00787570" w14:paraId="36CA4A61" w14:textId="77777777">
        <w:tc>
          <w:tcPr>
            <w:tcW w:w="0" w:type="auto"/>
            <w:gridSpan w:val="3"/>
            <w:shd w:val="clear" w:color="auto" w:fill="auto"/>
            <w:tcMar>
              <w:top w:w="40" w:type="dxa"/>
              <w:left w:w="20" w:type="dxa"/>
              <w:bottom w:w="40" w:type="dxa"/>
              <w:right w:w="20" w:type="dxa"/>
            </w:tcMar>
            <w:vAlign w:val="bottom"/>
          </w:tcPr>
          <w:p w14:paraId="36CA4A4A" w14:textId="77777777" w:rsidR="00787570" w:rsidRDefault="000D56E2">
            <w:pPr>
              <w:textAlignment w:val="bottom"/>
            </w:pPr>
            <w:r>
              <w:rPr>
                <w:rFonts w:ascii="Arial" w:eastAsia="宋体" w:hAnsi="Arial" w:cs="Arial"/>
                <w:b/>
                <w:bCs/>
                <w:color w:val="333333"/>
                <w:sz w:val="18"/>
                <w:szCs w:val="18"/>
              </w:rPr>
              <w:t>(In Millions)</w:t>
            </w:r>
          </w:p>
        </w:tc>
        <w:tc>
          <w:tcPr>
            <w:tcW w:w="0" w:type="auto"/>
            <w:gridSpan w:val="3"/>
            <w:shd w:val="clear" w:color="auto" w:fill="auto"/>
            <w:tcMar>
              <w:left w:w="20" w:type="dxa"/>
              <w:right w:w="20" w:type="dxa"/>
            </w:tcMar>
            <w:vAlign w:val="bottom"/>
          </w:tcPr>
          <w:p w14:paraId="36CA4A4B" w14:textId="77777777" w:rsidR="00787570" w:rsidRDefault="00787570">
            <w:pPr>
              <w:rPr>
                <w:rFonts w:ascii="宋体"/>
              </w:rPr>
            </w:pPr>
          </w:p>
        </w:tc>
        <w:tc>
          <w:tcPr>
            <w:tcW w:w="0" w:type="auto"/>
            <w:gridSpan w:val="6"/>
            <w:tcBorders>
              <w:top w:val="single" w:sz="8" w:space="0" w:color="0071C5"/>
            </w:tcBorders>
            <w:shd w:val="clear" w:color="auto" w:fill="auto"/>
            <w:tcMar>
              <w:top w:w="40" w:type="dxa"/>
              <w:left w:w="20" w:type="dxa"/>
              <w:bottom w:w="40" w:type="dxa"/>
              <w:right w:w="20" w:type="dxa"/>
            </w:tcMar>
            <w:vAlign w:val="bottom"/>
          </w:tcPr>
          <w:p w14:paraId="36CA4A4C" w14:textId="77777777" w:rsidR="00787570" w:rsidRDefault="000D56E2">
            <w:pPr>
              <w:jc w:val="center"/>
              <w:textAlignment w:val="bottom"/>
            </w:pPr>
            <w:r>
              <w:rPr>
                <w:rFonts w:ascii="Arial" w:eastAsia="宋体" w:hAnsi="Arial" w:cs="Arial"/>
                <w:b/>
                <w:bCs/>
                <w:color w:val="333333"/>
                <w:sz w:val="18"/>
                <w:szCs w:val="18"/>
              </w:rPr>
              <w:t>%</w:t>
            </w:r>
          </w:p>
        </w:tc>
        <w:tc>
          <w:tcPr>
            <w:tcW w:w="0" w:type="auto"/>
            <w:gridSpan w:val="3"/>
            <w:shd w:val="clear" w:color="auto" w:fill="auto"/>
          </w:tcPr>
          <w:p w14:paraId="36CA4A4D" w14:textId="77777777" w:rsidR="00787570" w:rsidRDefault="00787570">
            <w:pPr>
              <w:rPr>
                <w:rFonts w:ascii="宋体"/>
                <w:vanish/>
              </w:rPr>
            </w:pPr>
          </w:p>
        </w:tc>
        <w:tc>
          <w:tcPr>
            <w:tcW w:w="0" w:type="auto"/>
            <w:gridSpan w:val="3"/>
            <w:tcBorders>
              <w:top w:val="single" w:sz="8" w:space="0" w:color="0071C5"/>
            </w:tcBorders>
            <w:shd w:val="clear" w:color="auto" w:fill="auto"/>
            <w:tcMar>
              <w:left w:w="20" w:type="dxa"/>
              <w:right w:w="20" w:type="dxa"/>
            </w:tcMar>
            <w:vAlign w:val="bottom"/>
          </w:tcPr>
          <w:p w14:paraId="36CA4A4E" w14:textId="77777777" w:rsidR="00787570" w:rsidRDefault="00787570">
            <w:pPr>
              <w:rPr>
                <w:rFonts w:ascii="宋体"/>
              </w:rPr>
            </w:pPr>
          </w:p>
        </w:tc>
        <w:tc>
          <w:tcPr>
            <w:tcW w:w="0" w:type="auto"/>
            <w:gridSpan w:val="3"/>
            <w:tcBorders>
              <w:top w:val="single" w:sz="8" w:space="0" w:color="0071C5"/>
            </w:tcBorders>
            <w:shd w:val="clear" w:color="auto" w:fill="auto"/>
            <w:tcMar>
              <w:top w:w="40" w:type="dxa"/>
              <w:left w:w="20" w:type="dxa"/>
              <w:bottom w:w="40" w:type="dxa"/>
              <w:right w:w="20" w:type="dxa"/>
            </w:tcMar>
            <w:vAlign w:val="bottom"/>
          </w:tcPr>
          <w:p w14:paraId="36CA4A4F" w14:textId="77777777" w:rsidR="00787570" w:rsidRDefault="000D56E2">
            <w:pPr>
              <w:jc w:val="center"/>
              <w:textAlignment w:val="bottom"/>
            </w:pPr>
            <w:r>
              <w:rPr>
                <w:rFonts w:ascii="Arial" w:eastAsia="宋体" w:hAnsi="Arial" w:cs="Arial"/>
                <w:b/>
                <w:bCs/>
                <w:color w:val="333333"/>
                <w:sz w:val="18"/>
                <w:szCs w:val="18"/>
              </w:rPr>
              <w:t>$ Impact</w:t>
            </w:r>
          </w:p>
        </w:tc>
        <w:tc>
          <w:tcPr>
            <w:tcW w:w="0" w:type="auto"/>
            <w:gridSpan w:val="3"/>
            <w:shd w:val="clear" w:color="auto" w:fill="auto"/>
            <w:tcMar>
              <w:left w:w="20" w:type="dxa"/>
              <w:right w:w="20" w:type="dxa"/>
            </w:tcMar>
            <w:vAlign w:val="bottom"/>
          </w:tcPr>
          <w:p w14:paraId="36CA4A50" w14:textId="77777777" w:rsidR="00787570" w:rsidRDefault="00787570">
            <w:pPr>
              <w:rPr>
                <w:rFonts w:ascii="宋体"/>
              </w:rPr>
            </w:pPr>
          </w:p>
        </w:tc>
        <w:tc>
          <w:tcPr>
            <w:tcW w:w="0" w:type="auto"/>
            <w:gridSpan w:val="6"/>
            <w:tcBorders>
              <w:top w:val="single" w:sz="8" w:space="0" w:color="0071C5"/>
            </w:tcBorders>
            <w:shd w:val="clear" w:color="auto" w:fill="auto"/>
            <w:tcMar>
              <w:top w:w="40" w:type="dxa"/>
              <w:left w:w="20" w:type="dxa"/>
              <w:bottom w:w="40" w:type="dxa"/>
              <w:right w:w="20" w:type="dxa"/>
            </w:tcMar>
            <w:vAlign w:val="bottom"/>
          </w:tcPr>
          <w:p w14:paraId="36CA4A51" w14:textId="77777777" w:rsidR="00787570" w:rsidRDefault="000D56E2">
            <w:pPr>
              <w:jc w:val="center"/>
              <w:textAlignment w:val="bottom"/>
            </w:pPr>
            <w:r>
              <w:rPr>
                <w:rFonts w:ascii="Arial" w:eastAsia="宋体" w:hAnsi="Arial" w:cs="Arial"/>
                <w:b/>
                <w:bCs/>
                <w:color w:val="333333"/>
                <w:sz w:val="18"/>
                <w:szCs w:val="18"/>
              </w:rPr>
              <w:t>%</w:t>
            </w:r>
          </w:p>
        </w:tc>
        <w:tc>
          <w:tcPr>
            <w:tcW w:w="0" w:type="auto"/>
            <w:gridSpan w:val="3"/>
            <w:shd w:val="clear" w:color="auto" w:fill="auto"/>
          </w:tcPr>
          <w:p w14:paraId="36CA4A52" w14:textId="77777777" w:rsidR="00787570" w:rsidRDefault="00787570">
            <w:pPr>
              <w:rPr>
                <w:rFonts w:ascii="宋体"/>
                <w:vanish/>
              </w:rPr>
            </w:pPr>
          </w:p>
        </w:tc>
        <w:tc>
          <w:tcPr>
            <w:tcW w:w="0" w:type="auto"/>
            <w:gridSpan w:val="3"/>
            <w:tcBorders>
              <w:top w:val="single" w:sz="8" w:space="0" w:color="0071C5"/>
            </w:tcBorders>
            <w:shd w:val="clear" w:color="auto" w:fill="auto"/>
            <w:tcMar>
              <w:left w:w="20" w:type="dxa"/>
              <w:right w:w="20" w:type="dxa"/>
            </w:tcMar>
            <w:vAlign w:val="bottom"/>
          </w:tcPr>
          <w:p w14:paraId="36CA4A53" w14:textId="77777777" w:rsidR="00787570" w:rsidRDefault="00787570">
            <w:pPr>
              <w:rPr>
                <w:rFonts w:ascii="宋体"/>
              </w:rPr>
            </w:pPr>
          </w:p>
        </w:tc>
        <w:tc>
          <w:tcPr>
            <w:tcW w:w="0" w:type="auto"/>
            <w:gridSpan w:val="3"/>
            <w:tcBorders>
              <w:top w:val="single" w:sz="8" w:space="0" w:color="0071C5"/>
            </w:tcBorders>
            <w:shd w:val="clear" w:color="auto" w:fill="auto"/>
            <w:tcMar>
              <w:top w:w="40" w:type="dxa"/>
              <w:left w:w="20" w:type="dxa"/>
              <w:bottom w:w="40" w:type="dxa"/>
              <w:right w:w="20" w:type="dxa"/>
            </w:tcMar>
            <w:vAlign w:val="bottom"/>
          </w:tcPr>
          <w:p w14:paraId="36CA4A54" w14:textId="77777777" w:rsidR="00787570" w:rsidRDefault="000D56E2">
            <w:pPr>
              <w:jc w:val="center"/>
              <w:textAlignment w:val="bottom"/>
            </w:pPr>
            <w:r>
              <w:rPr>
                <w:rFonts w:ascii="Arial" w:eastAsia="宋体" w:hAnsi="Arial" w:cs="Arial"/>
                <w:b/>
                <w:bCs/>
                <w:color w:val="333333"/>
                <w:sz w:val="18"/>
                <w:szCs w:val="18"/>
              </w:rPr>
              <w:t>$ Impact</w:t>
            </w:r>
          </w:p>
        </w:tc>
        <w:tc>
          <w:tcPr>
            <w:tcW w:w="0" w:type="auto"/>
            <w:shd w:val="clear" w:color="auto" w:fill="auto"/>
          </w:tcPr>
          <w:p w14:paraId="36CA4A55" w14:textId="77777777" w:rsidR="00787570" w:rsidRDefault="00787570">
            <w:pPr>
              <w:rPr>
                <w:rFonts w:ascii="宋体"/>
              </w:rPr>
            </w:pPr>
          </w:p>
        </w:tc>
        <w:tc>
          <w:tcPr>
            <w:tcW w:w="0" w:type="auto"/>
            <w:shd w:val="clear" w:color="auto" w:fill="auto"/>
          </w:tcPr>
          <w:p w14:paraId="36CA4A56" w14:textId="77777777" w:rsidR="00787570" w:rsidRDefault="00787570">
            <w:pPr>
              <w:rPr>
                <w:rFonts w:ascii="宋体"/>
              </w:rPr>
            </w:pPr>
          </w:p>
        </w:tc>
        <w:tc>
          <w:tcPr>
            <w:tcW w:w="0" w:type="auto"/>
            <w:shd w:val="clear" w:color="auto" w:fill="auto"/>
          </w:tcPr>
          <w:p w14:paraId="36CA4A57" w14:textId="77777777" w:rsidR="00787570" w:rsidRDefault="00787570">
            <w:pPr>
              <w:rPr>
                <w:rFonts w:ascii="宋体"/>
              </w:rPr>
            </w:pPr>
          </w:p>
        </w:tc>
        <w:tc>
          <w:tcPr>
            <w:tcW w:w="0" w:type="auto"/>
            <w:shd w:val="clear" w:color="auto" w:fill="auto"/>
          </w:tcPr>
          <w:p w14:paraId="36CA4A58" w14:textId="77777777" w:rsidR="00787570" w:rsidRDefault="00787570">
            <w:pPr>
              <w:rPr>
                <w:rFonts w:ascii="宋体"/>
              </w:rPr>
            </w:pPr>
          </w:p>
        </w:tc>
        <w:tc>
          <w:tcPr>
            <w:tcW w:w="0" w:type="auto"/>
            <w:shd w:val="clear" w:color="auto" w:fill="auto"/>
          </w:tcPr>
          <w:p w14:paraId="36CA4A59" w14:textId="77777777" w:rsidR="00787570" w:rsidRDefault="00787570">
            <w:pPr>
              <w:rPr>
                <w:rFonts w:ascii="宋体"/>
              </w:rPr>
            </w:pPr>
          </w:p>
        </w:tc>
        <w:tc>
          <w:tcPr>
            <w:tcW w:w="0" w:type="auto"/>
            <w:shd w:val="clear" w:color="auto" w:fill="auto"/>
          </w:tcPr>
          <w:p w14:paraId="36CA4A5A" w14:textId="77777777" w:rsidR="00787570" w:rsidRDefault="00787570">
            <w:pPr>
              <w:rPr>
                <w:rFonts w:ascii="宋体"/>
              </w:rPr>
            </w:pPr>
          </w:p>
        </w:tc>
        <w:tc>
          <w:tcPr>
            <w:tcW w:w="0" w:type="auto"/>
            <w:shd w:val="clear" w:color="auto" w:fill="auto"/>
          </w:tcPr>
          <w:p w14:paraId="36CA4A5B" w14:textId="77777777" w:rsidR="00787570" w:rsidRDefault="00787570">
            <w:pPr>
              <w:rPr>
                <w:rFonts w:ascii="宋体"/>
              </w:rPr>
            </w:pPr>
          </w:p>
        </w:tc>
        <w:tc>
          <w:tcPr>
            <w:tcW w:w="0" w:type="auto"/>
            <w:shd w:val="clear" w:color="auto" w:fill="auto"/>
          </w:tcPr>
          <w:p w14:paraId="36CA4A5C" w14:textId="77777777" w:rsidR="00787570" w:rsidRDefault="00787570">
            <w:pPr>
              <w:rPr>
                <w:rFonts w:ascii="宋体"/>
              </w:rPr>
            </w:pPr>
          </w:p>
        </w:tc>
        <w:tc>
          <w:tcPr>
            <w:tcW w:w="0" w:type="auto"/>
            <w:shd w:val="clear" w:color="auto" w:fill="auto"/>
          </w:tcPr>
          <w:p w14:paraId="36CA4A5D" w14:textId="77777777" w:rsidR="00787570" w:rsidRDefault="00787570">
            <w:pPr>
              <w:rPr>
                <w:rFonts w:ascii="宋体"/>
              </w:rPr>
            </w:pPr>
          </w:p>
        </w:tc>
        <w:tc>
          <w:tcPr>
            <w:tcW w:w="0" w:type="auto"/>
            <w:shd w:val="clear" w:color="auto" w:fill="auto"/>
          </w:tcPr>
          <w:p w14:paraId="36CA4A5E" w14:textId="77777777" w:rsidR="00787570" w:rsidRDefault="00787570">
            <w:pPr>
              <w:rPr>
                <w:rFonts w:ascii="宋体"/>
              </w:rPr>
            </w:pPr>
          </w:p>
        </w:tc>
        <w:tc>
          <w:tcPr>
            <w:tcW w:w="0" w:type="auto"/>
            <w:shd w:val="clear" w:color="auto" w:fill="auto"/>
          </w:tcPr>
          <w:p w14:paraId="36CA4A5F" w14:textId="77777777" w:rsidR="00787570" w:rsidRDefault="00787570">
            <w:pPr>
              <w:rPr>
                <w:rFonts w:ascii="宋体"/>
              </w:rPr>
            </w:pPr>
          </w:p>
        </w:tc>
        <w:tc>
          <w:tcPr>
            <w:tcW w:w="0" w:type="auto"/>
            <w:shd w:val="clear" w:color="auto" w:fill="auto"/>
          </w:tcPr>
          <w:p w14:paraId="36CA4A60" w14:textId="77777777" w:rsidR="00787570" w:rsidRDefault="00787570">
            <w:pPr>
              <w:rPr>
                <w:rFonts w:ascii="宋体"/>
              </w:rPr>
            </w:pPr>
          </w:p>
        </w:tc>
      </w:tr>
      <w:tr w:rsidR="00787570" w14:paraId="36CA4A7F" w14:textId="77777777">
        <w:trPr>
          <w:trHeight w:val="60"/>
        </w:trPr>
        <w:tc>
          <w:tcPr>
            <w:tcW w:w="0" w:type="auto"/>
            <w:gridSpan w:val="3"/>
            <w:tcBorders>
              <w:top w:val="single" w:sz="8" w:space="0" w:color="0071C5"/>
            </w:tcBorders>
            <w:shd w:val="clear" w:color="auto" w:fill="auto"/>
            <w:tcMar>
              <w:left w:w="20" w:type="dxa"/>
              <w:right w:w="20" w:type="dxa"/>
            </w:tcMar>
            <w:vAlign w:val="bottom"/>
          </w:tcPr>
          <w:p w14:paraId="36CA4A62"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4A63" w14:textId="77777777" w:rsidR="00787570" w:rsidRDefault="00787570">
            <w:pPr>
              <w:rPr>
                <w:rFonts w:ascii="宋体"/>
              </w:rPr>
            </w:pPr>
          </w:p>
        </w:tc>
        <w:tc>
          <w:tcPr>
            <w:tcW w:w="0" w:type="auto"/>
            <w:gridSpan w:val="3"/>
            <w:tcBorders>
              <w:top w:val="single" w:sz="8" w:space="0" w:color="0071C5"/>
            </w:tcBorders>
            <w:shd w:val="clear" w:color="auto" w:fill="auto"/>
            <w:tcMar>
              <w:left w:w="20" w:type="dxa"/>
              <w:right w:w="20" w:type="dxa"/>
            </w:tcMar>
            <w:vAlign w:val="bottom"/>
          </w:tcPr>
          <w:p w14:paraId="36CA4A64" w14:textId="77777777" w:rsidR="00787570" w:rsidRDefault="00787570">
            <w:pPr>
              <w:rPr>
                <w:rFonts w:ascii="宋体"/>
              </w:rPr>
            </w:pPr>
          </w:p>
        </w:tc>
        <w:tc>
          <w:tcPr>
            <w:tcW w:w="0" w:type="auto"/>
            <w:gridSpan w:val="3"/>
            <w:tcBorders>
              <w:top w:val="single" w:sz="8" w:space="0" w:color="0071C5"/>
            </w:tcBorders>
            <w:shd w:val="clear" w:color="auto" w:fill="auto"/>
            <w:tcMar>
              <w:left w:w="20" w:type="dxa"/>
              <w:right w:w="20" w:type="dxa"/>
            </w:tcMar>
            <w:vAlign w:val="bottom"/>
          </w:tcPr>
          <w:p w14:paraId="36CA4A65"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4A66" w14:textId="77777777" w:rsidR="00787570" w:rsidRDefault="00787570">
            <w:pPr>
              <w:rPr>
                <w:rFonts w:ascii="宋体"/>
              </w:rPr>
            </w:pPr>
          </w:p>
        </w:tc>
        <w:tc>
          <w:tcPr>
            <w:tcW w:w="0" w:type="auto"/>
            <w:gridSpan w:val="3"/>
            <w:tcBorders>
              <w:top w:val="single" w:sz="8" w:space="0" w:color="0071C5"/>
            </w:tcBorders>
            <w:shd w:val="clear" w:color="auto" w:fill="auto"/>
            <w:tcMar>
              <w:left w:w="20" w:type="dxa"/>
              <w:right w:w="20" w:type="dxa"/>
            </w:tcMar>
            <w:vAlign w:val="bottom"/>
          </w:tcPr>
          <w:p w14:paraId="36CA4A67"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4A68" w14:textId="77777777" w:rsidR="00787570" w:rsidRDefault="00787570">
            <w:pPr>
              <w:rPr>
                <w:rFonts w:ascii="宋体"/>
              </w:rPr>
            </w:pPr>
          </w:p>
        </w:tc>
        <w:tc>
          <w:tcPr>
            <w:tcW w:w="0" w:type="auto"/>
            <w:gridSpan w:val="3"/>
            <w:tcBorders>
              <w:top w:val="single" w:sz="8" w:space="0" w:color="0071C5"/>
            </w:tcBorders>
            <w:shd w:val="clear" w:color="auto" w:fill="auto"/>
            <w:tcMar>
              <w:left w:w="20" w:type="dxa"/>
              <w:right w:w="20" w:type="dxa"/>
            </w:tcMar>
            <w:vAlign w:val="bottom"/>
          </w:tcPr>
          <w:p w14:paraId="36CA4A69" w14:textId="77777777" w:rsidR="00787570" w:rsidRDefault="00787570">
            <w:pPr>
              <w:rPr>
                <w:rFonts w:ascii="宋体"/>
              </w:rPr>
            </w:pPr>
          </w:p>
        </w:tc>
        <w:tc>
          <w:tcPr>
            <w:tcW w:w="0" w:type="auto"/>
            <w:gridSpan w:val="3"/>
            <w:tcBorders>
              <w:top w:val="single" w:sz="8" w:space="0" w:color="0071C5"/>
            </w:tcBorders>
            <w:shd w:val="clear" w:color="auto" w:fill="auto"/>
            <w:tcMar>
              <w:left w:w="20" w:type="dxa"/>
              <w:right w:w="20" w:type="dxa"/>
            </w:tcMar>
            <w:vAlign w:val="bottom"/>
          </w:tcPr>
          <w:p w14:paraId="36CA4A6A"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4A6B" w14:textId="77777777" w:rsidR="00787570" w:rsidRDefault="00787570">
            <w:pPr>
              <w:rPr>
                <w:rFonts w:ascii="宋体"/>
              </w:rPr>
            </w:pPr>
          </w:p>
        </w:tc>
        <w:tc>
          <w:tcPr>
            <w:tcW w:w="0" w:type="auto"/>
            <w:gridSpan w:val="3"/>
            <w:tcBorders>
              <w:top w:val="single" w:sz="8" w:space="0" w:color="0071C5"/>
            </w:tcBorders>
            <w:shd w:val="clear" w:color="auto" w:fill="auto"/>
            <w:tcMar>
              <w:left w:w="20" w:type="dxa"/>
              <w:right w:w="20" w:type="dxa"/>
            </w:tcMar>
            <w:vAlign w:val="bottom"/>
          </w:tcPr>
          <w:p w14:paraId="36CA4A6C" w14:textId="77777777" w:rsidR="00787570" w:rsidRDefault="00787570">
            <w:pPr>
              <w:rPr>
                <w:rFonts w:ascii="宋体"/>
              </w:rPr>
            </w:pPr>
          </w:p>
        </w:tc>
        <w:tc>
          <w:tcPr>
            <w:tcW w:w="0" w:type="auto"/>
            <w:shd w:val="clear" w:color="auto" w:fill="auto"/>
          </w:tcPr>
          <w:p w14:paraId="36CA4A6D" w14:textId="77777777" w:rsidR="00787570" w:rsidRDefault="00787570">
            <w:pPr>
              <w:rPr>
                <w:rFonts w:ascii="宋体"/>
              </w:rPr>
            </w:pPr>
          </w:p>
        </w:tc>
        <w:tc>
          <w:tcPr>
            <w:tcW w:w="0" w:type="auto"/>
            <w:shd w:val="clear" w:color="auto" w:fill="auto"/>
          </w:tcPr>
          <w:p w14:paraId="36CA4A6E" w14:textId="77777777" w:rsidR="00787570" w:rsidRDefault="00787570">
            <w:pPr>
              <w:rPr>
                <w:rFonts w:ascii="宋体"/>
              </w:rPr>
            </w:pPr>
          </w:p>
        </w:tc>
        <w:tc>
          <w:tcPr>
            <w:tcW w:w="0" w:type="auto"/>
            <w:shd w:val="clear" w:color="auto" w:fill="auto"/>
          </w:tcPr>
          <w:p w14:paraId="36CA4A6F" w14:textId="77777777" w:rsidR="00787570" w:rsidRDefault="00787570">
            <w:pPr>
              <w:rPr>
                <w:rFonts w:ascii="宋体"/>
              </w:rPr>
            </w:pPr>
          </w:p>
        </w:tc>
        <w:tc>
          <w:tcPr>
            <w:tcW w:w="0" w:type="auto"/>
            <w:shd w:val="clear" w:color="auto" w:fill="auto"/>
          </w:tcPr>
          <w:p w14:paraId="36CA4A70" w14:textId="77777777" w:rsidR="00787570" w:rsidRDefault="00787570">
            <w:pPr>
              <w:rPr>
                <w:rFonts w:ascii="宋体"/>
              </w:rPr>
            </w:pPr>
          </w:p>
        </w:tc>
        <w:tc>
          <w:tcPr>
            <w:tcW w:w="0" w:type="auto"/>
            <w:shd w:val="clear" w:color="auto" w:fill="auto"/>
          </w:tcPr>
          <w:p w14:paraId="36CA4A71" w14:textId="77777777" w:rsidR="00787570" w:rsidRDefault="00787570">
            <w:pPr>
              <w:rPr>
                <w:rFonts w:ascii="宋体"/>
              </w:rPr>
            </w:pPr>
          </w:p>
        </w:tc>
        <w:tc>
          <w:tcPr>
            <w:tcW w:w="0" w:type="auto"/>
            <w:shd w:val="clear" w:color="auto" w:fill="auto"/>
          </w:tcPr>
          <w:p w14:paraId="36CA4A72" w14:textId="77777777" w:rsidR="00787570" w:rsidRDefault="00787570">
            <w:pPr>
              <w:rPr>
                <w:rFonts w:ascii="宋体"/>
              </w:rPr>
            </w:pPr>
          </w:p>
        </w:tc>
        <w:tc>
          <w:tcPr>
            <w:tcW w:w="0" w:type="auto"/>
            <w:shd w:val="clear" w:color="auto" w:fill="auto"/>
          </w:tcPr>
          <w:p w14:paraId="36CA4A73" w14:textId="77777777" w:rsidR="00787570" w:rsidRDefault="00787570">
            <w:pPr>
              <w:rPr>
                <w:rFonts w:ascii="宋体"/>
              </w:rPr>
            </w:pPr>
          </w:p>
        </w:tc>
        <w:tc>
          <w:tcPr>
            <w:tcW w:w="0" w:type="auto"/>
            <w:shd w:val="clear" w:color="auto" w:fill="auto"/>
          </w:tcPr>
          <w:p w14:paraId="36CA4A74" w14:textId="77777777" w:rsidR="00787570" w:rsidRDefault="00787570">
            <w:pPr>
              <w:rPr>
                <w:rFonts w:ascii="宋体"/>
              </w:rPr>
            </w:pPr>
          </w:p>
        </w:tc>
        <w:tc>
          <w:tcPr>
            <w:tcW w:w="0" w:type="auto"/>
            <w:shd w:val="clear" w:color="auto" w:fill="auto"/>
          </w:tcPr>
          <w:p w14:paraId="36CA4A75" w14:textId="77777777" w:rsidR="00787570" w:rsidRDefault="00787570">
            <w:pPr>
              <w:rPr>
                <w:rFonts w:ascii="宋体"/>
              </w:rPr>
            </w:pPr>
          </w:p>
        </w:tc>
        <w:tc>
          <w:tcPr>
            <w:tcW w:w="0" w:type="auto"/>
            <w:shd w:val="clear" w:color="auto" w:fill="auto"/>
          </w:tcPr>
          <w:p w14:paraId="36CA4A76" w14:textId="77777777" w:rsidR="00787570" w:rsidRDefault="00787570">
            <w:pPr>
              <w:rPr>
                <w:rFonts w:ascii="宋体"/>
              </w:rPr>
            </w:pPr>
          </w:p>
        </w:tc>
        <w:tc>
          <w:tcPr>
            <w:tcW w:w="0" w:type="auto"/>
            <w:shd w:val="clear" w:color="auto" w:fill="auto"/>
          </w:tcPr>
          <w:p w14:paraId="36CA4A77" w14:textId="77777777" w:rsidR="00787570" w:rsidRDefault="00787570">
            <w:pPr>
              <w:rPr>
                <w:rFonts w:ascii="宋体"/>
              </w:rPr>
            </w:pPr>
          </w:p>
        </w:tc>
        <w:tc>
          <w:tcPr>
            <w:tcW w:w="0" w:type="auto"/>
            <w:shd w:val="clear" w:color="auto" w:fill="auto"/>
          </w:tcPr>
          <w:p w14:paraId="36CA4A78" w14:textId="77777777" w:rsidR="00787570" w:rsidRDefault="00787570">
            <w:pPr>
              <w:rPr>
                <w:rFonts w:ascii="宋体"/>
              </w:rPr>
            </w:pPr>
          </w:p>
        </w:tc>
        <w:tc>
          <w:tcPr>
            <w:tcW w:w="0" w:type="auto"/>
            <w:shd w:val="clear" w:color="auto" w:fill="auto"/>
          </w:tcPr>
          <w:p w14:paraId="36CA4A79" w14:textId="77777777" w:rsidR="00787570" w:rsidRDefault="00787570">
            <w:pPr>
              <w:rPr>
                <w:rFonts w:ascii="宋体"/>
              </w:rPr>
            </w:pPr>
          </w:p>
        </w:tc>
        <w:tc>
          <w:tcPr>
            <w:tcW w:w="0" w:type="auto"/>
            <w:shd w:val="clear" w:color="auto" w:fill="auto"/>
          </w:tcPr>
          <w:p w14:paraId="36CA4A7A" w14:textId="77777777" w:rsidR="00787570" w:rsidRDefault="00787570">
            <w:pPr>
              <w:rPr>
                <w:rFonts w:ascii="宋体"/>
              </w:rPr>
            </w:pPr>
          </w:p>
        </w:tc>
        <w:tc>
          <w:tcPr>
            <w:tcW w:w="0" w:type="auto"/>
            <w:shd w:val="clear" w:color="auto" w:fill="auto"/>
          </w:tcPr>
          <w:p w14:paraId="36CA4A7B" w14:textId="77777777" w:rsidR="00787570" w:rsidRDefault="00787570">
            <w:pPr>
              <w:rPr>
                <w:rFonts w:ascii="宋体"/>
              </w:rPr>
            </w:pPr>
          </w:p>
        </w:tc>
        <w:tc>
          <w:tcPr>
            <w:tcW w:w="0" w:type="auto"/>
            <w:shd w:val="clear" w:color="auto" w:fill="auto"/>
          </w:tcPr>
          <w:p w14:paraId="36CA4A7C" w14:textId="77777777" w:rsidR="00787570" w:rsidRDefault="00787570">
            <w:pPr>
              <w:rPr>
                <w:rFonts w:ascii="宋体"/>
              </w:rPr>
            </w:pPr>
          </w:p>
        </w:tc>
        <w:tc>
          <w:tcPr>
            <w:tcW w:w="0" w:type="auto"/>
            <w:shd w:val="clear" w:color="auto" w:fill="auto"/>
          </w:tcPr>
          <w:p w14:paraId="36CA4A7D" w14:textId="77777777" w:rsidR="00787570" w:rsidRDefault="00787570">
            <w:pPr>
              <w:rPr>
                <w:rFonts w:ascii="宋体"/>
              </w:rPr>
            </w:pPr>
          </w:p>
        </w:tc>
        <w:tc>
          <w:tcPr>
            <w:tcW w:w="0" w:type="auto"/>
            <w:shd w:val="clear" w:color="auto" w:fill="auto"/>
          </w:tcPr>
          <w:p w14:paraId="36CA4A7E" w14:textId="77777777" w:rsidR="00787570" w:rsidRDefault="00787570">
            <w:pPr>
              <w:rPr>
                <w:rFonts w:ascii="宋体"/>
              </w:rPr>
            </w:pPr>
          </w:p>
        </w:tc>
      </w:tr>
      <w:tr w:rsidR="00787570" w14:paraId="36CA4AA1" w14:textId="77777777">
        <w:tc>
          <w:tcPr>
            <w:tcW w:w="0" w:type="auto"/>
            <w:gridSpan w:val="3"/>
            <w:shd w:val="clear" w:color="auto" w:fill="auto"/>
            <w:tcMar>
              <w:top w:w="40" w:type="dxa"/>
              <w:left w:w="20" w:type="dxa"/>
              <w:bottom w:w="40" w:type="dxa"/>
              <w:right w:w="20" w:type="dxa"/>
            </w:tcMar>
            <w:vAlign w:val="center"/>
          </w:tcPr>
          <w:p w14:paraId="36CA4A80" w14:textId="77777777" w:rsidR="00787570" w:rsidRDefault="000D56E2">
            <w:pPr>
              <w:textAlignment w:val="center"/>
            </w:pPr>
            <w:r>
              <w:rPr>
                <w:rFonts w:ascii="Arial" w:eastAsia="宋体" w:hAnsi="Arial" w:cs="Arial"/>
                <w:color w:val="333333"/>
                <w:sz w:val="18"/>
                <w:szCs w:val="18"/>
              </w:rPr>
              <w:t>Desktop platform volume</w:t>
            </w:r>
          </w:p>
        </w:tc>
        <w:tc>
          <w:tcPr>
            <w:tcW w:w="0" w:type="auto"/>
            <w:gridSpan w:val="3"/>
            <w:shd w:val="clear" w:color="auto" w:fill="auto"/>
            <w:tcMar>
              <w:left w:w="20" w:type="dxa"/>
              <w:right w:w="20" w:type="dxa"/>
            </w:tcMar>
            <w:vAlign w:val="bottom"/>
          </w:tcPr>
          <w:p w14:paraId="36CA4A81" w14:textId="77777777" w:rsidR="00787570" w:rsidRDefault="00787570">
            <w:pPr>
              <w:rPr>
                <w:rFonts w:ascii="宋体"/>
              </w:rPr>
            </w:pPr>
          </w:p>
        </w:tc>
        <w:tc>
          <w:tcPr>
            <w:tcW w:w="0" w:type="auto"/>
            <w:gridSpan w:val="3"/>
            <w:shd w:val="clear" w:color="auto" w:fill="auto"/>
            <w:tcMar>
              <w:top w:w="40" w:type="dxa"/>
              <w:left w:w="20" w:type="dxa"/>
              <w:bottom w:w="40" w:type="dxa"/>
              <w:right w:w="20" w:type="dxa"/>
            </w:tcMar>
            <w:vAlign w:val="center"/>
          </w:tcPr>
          <w:p w14:paraId="36CA4A82" w14:textId="77777777" w:rsidR="00787570" w:rsidRDefault="000D56E2">
            <w:pPr>
              <w:jc w:val="right"/>
              <w:textAlignment w:val="center"/>
            </w:pPr>
            <w:r>
              <w:rPr>
                <w:rFonts w:ascii="Arial" w:eastAsia="宋体" w:hAnsi="Arial" w:cs="Arial"/>
                <w:color w:val="0071C5"/>
                <w:sz w:val="18"/>
                <w:szCs w:val="18"/>
              </w:rPr>
              <w:t>down</w:t>
            </w:r>
          </w:p>
        </w:tc>
        <w:tc>
          <w:tcPr>
            <w:tcW w:w="0" w:type="auto"/>
            <w:gridSpan w:val="3"/>
            <w:shd w:val="clear" w:color="auto" w:fill="auto"/>
            <w:tcMar>
              <w:top w:w="40" w:type="dxa"/>
              <w:left w:w="20" w:type="dxa"/>
              <w:bottom w:w="40" w:type="dxa"/>
              <w:right w:w="20" w:type="dxa"/>
            </w:tcMar>
            <w:vAlign w:val="center"/>
          </w:tcPr>
          <w:p w14:paraId="36CA4A83" w14:textId="77777777" w:rsidR="00787570" w:rsidRDefault="000D56E2">
            <w:pPr>
              <w:textAlignment w:val="center"/>
            </w:pPr>
            <w:r>
              <w:rPr>
                <w:rFonts w:ascii="Arial" w:eastAsia="宋体" w:hAnsi="Arial" w:cs="Arial"/>
                <w:color w:val="0071C5"/>
                <w:sz w:val="18"/>
                <w:szCs w:val="18"/>
              </w:rPr>
              <w:t>(18)%</w:t>
            </w:r>
          </w:p>
        </w:tc>
        <w:tc>
          <w:tcPr>
            <w:tcW w:w="0" w:type="auto"/>
            <w:gridSpan w:val="3"/>
            <w:shd w:val="clear" w:color="auto" w:fill="auto"/>
            <w:tcMar>
              <w:left w:w="20" w:type="dxa"/>
              <w:right w:w="20" w:type="dxa"/>
            </w:tcMar>
            <w:vAlign w:val="bottom"/>
          </w:tcPr>
          <w:p w14:paraId="36CA4A84" w14:textId="77777777" w:rsidR="00787570" w:rsidRDefault="00787570">
            <w:pPr>
              <w:rPr>
                <w:rFonts w:ascii="宋体"/>
              </w:rPr>
            </w:pPr>
          </w:p>
        </w:tc>
        <w:tc>
          <w:tcPr>
            <w:tcW w:w="0" w:type="auto"/>
            <w:shd w:val="clear" w:color="auto" w:fill="auto"/>
            <w:tcMar>
              <w:top w:w="40" w:type="dxa"/>
              <w:left w:w="20" w:type="dxa"/>
              <w:bottom w:w="40" w:type="dxa"/>
            </w:tcMar>
            <w:vAlign w:val="center"/>
          </w:tcPr>
          <w:p w14:paraId="36CA4A85" w14:textId="77777777" w:rsidR="00787570" w:rsidRDefault="000D56E2">
            <w:pPr>
              <w:textAlignment w:val="center"/>
            </w:pPr>
            <w:r>
              <w:rPr>
                <w:rFonts w:ascii="Arial" w:eastAsia="宋体" w:hAnsi="Arial" w:cs="Arial"/>
                <w:color w:val="0071C5"/>
                <w:sz w:val="18"/>
                <w:szCs w:val="18"/>
              </w:rPr>
              <w:t>$</w:t>
            </w:r>
          </w:p>
        </w:tc>
        <w:tc>
          <w:tcPr>
            <w:tcW w:w="0" w:type="auto"/>
            <w:shd w:val="clear" w:color="auto" w:fill="auto"/>
            <w:tcMar>
              <w:top w:w="40" w:type="dxa"/>
              <w:bottom w:w="40" w:type="dxa"/>
              <w:right w:w="0" w:type="dxa"/>
            </w:tcMar>
            <w:vAlign w:val="center"/>
          </w:tcPr>
          <w:p w14:paraId="36CA4A86" w14:textId="77777777" w:rsidR="00787570" w:rsidRDefault="000D56E2">
            <w:pPr>
              <w:jc w:val="right"/>
              <w:textAlignment w:val="center"/>
            </w:pPr>
            <w:r>
              <w:rPr>
                <w:rFonts w:ascii="Arial" w:eastAsia="宋体" w:hAnsi="Arial" w:cs="Arial"/>
                <w:color w:val="0071C5"/>
                <w:sz w:val="18"/>
                <w:szCs w:val="18"/>
              </w:rPr>
              <w:t>(485)</w:t>
            </w:r>
          </w:p>
        </w:tc>
        <w:tc>
          <w:tcPr>
            <w:tcW w:w="0" w:type="auto"/>
            <w:shd w:val="clear" w:color="auto" w:fill="auto"/>
            <w:tcMar>
              <w:top w:w="40" w:type="dxa"/>
              <w:bottom w:w="40" w:type="dxa"/>
              <w:right w:w="20" w:type="dxa"/>
            </w:tcMar>
            <w:vAlign w:val="center"/>
          </w:tcPr>
          <w:p w14:paraId="36CA4A87"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4A88" w14:textId="77777777" w:rsidR="00787570" w:rsidRDefault="00787570">
            <w:pPr>
              <w:rPr>
                <w:rFonts w:ascii="宋体"/>
              </w:rPr>
            </w:pPr>
          </w:p>
        </w:tc>
        <w:tc>
          <w:tcPr>
            <w:tcW w:w="0" w:type="auto"/>
            <w:gridSpan w:val="3"/>
            <w:shd w:val="clear" w:color="auto" w:fill="auto"/>
            <w:tcMar>
              <w:top w:w="40" w:type="dxa"/>
              <w:left w:w="20" w:type="dxa"/>
              <w:bottom w:w="40" w:type="dxa"/>
              <w:right w:w="20" w:type="dxa"/>
            </w:tcMar>
            <w:vAlign w:val="center"/>
          </w:tcPr>
          <w:p w14:paraId="36CA4A89" w14:textId="77777777" w:rsidR="00787570" w:rsidRDefault="000D56E2">
            <w:pPr>
              <w:jc w:val="right"/>
              <w:textAlignment w:val="center"/>
            </w:pPr>
            <w:r>
              <w:rPr>
                <w:rFonts w:ascii="Arial" w:eastAsia="宋体" w:hAnsi="Arial" w:cs="Arial"/>
                <w:color w:val="0071C5"/>
                <w:sz w:val="18"/>
                <w:szCs w:val="18"/>
              </w:rPr>
              <w:t>down</w:t>
            </w:r>
          </w:p>
        </w:tc>
        <w:tc>
          <w:tcPr>
            <w:tcW w:w="0" w:type="auto"/>
            <w:gridSpan w:val="3"/>
            <w:shd w:val="clear" w:color="auto" w:fill="auto"/>
            <w:tcMar>
              <w:top w:w="40" w:type="dxa"/>
              <w:left w:w="20" w:type="dxa"/>
              <w:bottom w:w="40" w:type="dxa"/>
              <w:right w:w="20" w:type="dxa"/>
            </w:tcMar>
            <w:vAlign w:val="center"/>
          </w:tcPr>
          <w:p w14:paraId="36CA4A8A" w14:textId="77777777" w:rsidR="00787570" w:rsidRDefault="000D56E2">
            <w:pPr>
              <w:textAlignment w:val="center"/>
            </w:pPr>
            <w:r>
              <w:rPr>
                <w:rFonts w:ascii="Arial" w:eastAsia="宋体" w:hAnsi="Arial" w:cs="Arial"/>
                <w:color w:val="0071C5"/>
                <w:sz w:val="18"/>
                <w:szCs w:val="18"/>
              </w:rPr>
              <w:t>(12)%</w:t>
            </w:r>
          </w:p>
        </w:tc>
        <w:tc>
          <w:tcPr>
            <w:tcW w:w="0" w:type="auto"/>
            <w:gridSpan w:val="3"/>
            <w:shd w:val="clear" w:color="auto" w:fill="auto"/>
            <w:tcMar>
              <w:left w:w="20" w:type="dxa"/>
              <w:right w:w="20" w:type="dxa"/>
            </w:tcMar>
            <w:vAlign w:val="bottom"/>
          </w:tcPr>
          <w:p w14:paraId="36CA4A8B" w14:textId="77777777" w:rsidR="00787570" w:rsidRDefault="00787570">
            <w:pPr>
              <w:rPr>
                <w:rFonts w:ascii="宋体"/>
              </w:rPr>
            </w:pPr>
          </w:p>
        </w:tc>
        <w:tc>
          <w:tcPr>
            <w:tcW w:w="0" w:type="auto"/>
            <w:shd w:val="clear" w:color="auto" w:fill="auto"/>
            <w:tcMar>
              <w:top w:w="40" w:type="dxa"/>
              <w:left w:w="20" w:type="dxa"/>
              <w:bottom w:w="40" w:type="dxa"/>
            </w:tcMar>
            <w:vAlign w:val="center"/>
          </w:tcPr>
          <w:p w14:paraId="36CA4A8C" w14:textId="77777777" w:rsidR="00787570" w:rsidRDefault="000D56E2">
            <w:pPr>
              <w:textAlignment w:val="center"/>
            </w:pPr>
            <w:r>
              <w:rPr>
                <w:rFonts w:ascii="Arial" w:eastAsia="宋体" w:hAnsi="Arial" w:cs="Arial"/>
                <w:color w:val="0071C5"/>
                <w:sz w:val="18"/>
                <w:szCs w:val="18"/>
              </w:rPr>
              <w:t>$</w:t>
            </w:r>
          </w:p>
        </w:tc>
        <w:tc>
          <w:tcPr>
            <w:tcW w:w="0" w:type="auto"/>
            <w:shd w:val="clear" w:color="auto" w:fill="auto"/>
            <w:tcMar>
              <w:top w:w="40" w:type="dxa"/>
              <w:bottom w:w="40" w:type="dxa"/>
              <w:right w:w="0" w:type="dxa"/>
            </w:tcMar>
            <w:vAlign w:val="center"/>
          </w:tcPr>
          <w:p w14:paraId="36CA4A8D" w14:textId="77777777" w:rsidR="00787570" w:rsidRDefault="000D56E2">
            <w:pPr>
              <w:jc w:val="right"/>
              <w:textAlignment w:val="center"/>
            </w:pPr>
            <w:r>
              <w:rPr>
                <w:rFonts w:ascii="Arial" w:eastAsia="宋体" w:hAnsi="Arial" w:cs="Arial"/>
                <w:color w:val="0071C5"/>
                <w:sz w:val="18"/>
                <w:szCs w:val="18"/>
              </w:rPr>
              <w:t>(1,090)</w:t>
            </w:r>
          </w:p>
        </w:tc>
        <w:tc>
          <w:tcPr>
            <w:tcW w:w="0" w:type="auto"/>
            <w:shd w:val="clear" w:color="auto" w:fill="auto"/>
            <w:tcMar>
              <w:top w:w="40" w:type="dxa"/>
              <w:bottom w:w="40" w:type="dxa"/>
              <w:right w:w="20" w:type="dxa"/>
            </w:tcMar>
            <w:vAlign w:val="center"/>
          </w:tcPr>
          <w:p w14:paraId="36CA4A8E" w14:textId="77777777" w:rsidR="00787570" w:rsidRDefault="00787570">
            <w:pPr>
              <w:jc w:val="right"/>
              <w:rPr>
                <w:rFonts w:ascii="宋体"/>
              </w:rPr>
            </w:pPr>
          </w:p>
        </w:tc>
        <w:tc>
          <w:tcPr>
            <w:tcW w:w="0" w:type="auto"/>
            <w:shd w:val="clear" w:color="auto" w:fill="auto"/>
          </w:tcPr>
          <w:p w14:paraId="36CA4A8F" w14:textId="77777777" w:rsidR="00787570" w:rsidRDefault="00787570">
            <w:pPr>
              <w:rPr>
                <w:rFonts w:ascii="宋体"/>
              </w:rPr>
            </w:pPr>
          </w:p>
        </w:tc>
        <w:tc>
          <w:tcPr>
            <w:tcW w:w="0" w:type="auto"/>
            <w:shd w:val="clear" w:color="auto" w:fill="auto"/>
          </w:tcPr>
          <w:p w14:paraId="36CA4A90" w14:textId="77777777" w:rsidR="00787570" w:rsidRDefault="00787570">
            <w:pPr>
              <w:rPr>
                <w:rFonts w:ascii="宋体"/>
              </w:rPr>
            </w:pPr>
          </w:p>
        </w:tc>
        <w:tc>
          <w:tcPr>
            <w:tcW w:w="0" w:type="auto"/>
            <w:shd w:val="clear" w:color="auto" w:fill="auto"/>
          </w:tcPr>
          <w:p w14:paraId="36CA4A91" w14:textId="77777777" w:rsidR="00787570" w:rsidRDefault="00787570">
            <w:pPr>
              <w:rPr>
                <w:rFonts w:ascii="宋体"/>
              </w:rPr>
            </w:pPr>
          </w:p>
        </w:tc>
        <w:tc>
          <w:tcPr>
            <w:tcW w:w="0" w:type="auto"/>
            <w:shd w:val="clear" w:color="auto" w:fill="auto"/>
          </w:tcPr>
          <w:p w14:paraId="36CA4A92" w14:textId="77777777" w:rsidR="00787570" w:rsidRDefault="00787570">
            <w:pPr>
              <w:rPr>
                <w:rFonts w:ascii="宋体"/>
              </w:rPr>
            </w:pPr>
          </w:p>
        </w:tc>
        <w:tc>
          <w:tcPr>
            <w:tcW w:w="0" w:type="auto"/>
            <w:shd w:val="clear" w:color="auto" w:fill="auto"/>
          </w:tcPr>
          <w:p w14:paraId="36CA4A93" w14:textId="77777777" w:rsidR="00787570" w:rsidRDefault="00787570">
            <w:pPr>
              <w:rPr>
                <w:rFonts w:ascii="宋体"/>
              </w:rPr>
            </w:pPr>
          </w:p>
        </w:tc>
        <w:tc>
          <w:tcPr>
            <w:tcW w:w="0" w:type="auto"/>
            <w:shd w:val="clear" w:color="auto" w:fill="auto"/>
          </w:tcPr>
          <w:p w14:paraId="36CA4A94" w14:textId="77777777" w:rsidR="00787570" w:rsidRDefault="00787570">
            <w:pPr>
              <w:rPr>
                <w:rFonts w:ascii="宋体"/>
              </w:rPr>
            </w:pPr>
          </w:p>
        </w:tc>
        <w:tc>
          <w:tcPr>
            <w:tcW w:w="0" w:type="auto"/>
            <w:shd w:val="clear" w:color="auto" w:fill="auto"/>
          </w:tcPr>
          <w:p w14:paraId="36CA4A95" w14:textId="77777777" w:rsidR="00787570" w:rsidRDefault="00787570">
            <w:pPr>
              <w:rPr>
                <w:rFonts w:ascii="宋体"/>
              </w:rPr>
            </w:pPr>
          </w:p>
        </w:tc>
        <w:tc>
          <w:tcPr>
            <w:tcW w:w="0" w:type="auto"/>
            <w:shd w:val="clear" w:color="auto" w:fill="auto"/>
          </w:tcPr>
          <w:p w14:paraId="36CA4A96" w14:textId="77777777" w:rsidR="00787570" w:rsidRDefault="00787570">
            <w:pPr>
              <w:rPr>
                <w:rFonts w:ascii="宋体"/>
              </w:rPr>
            </w:pPr>
          </w:p>
        </w:tc>
        <w:tc>
          <w:tcPr>
            <w:tcW w:w="0" w:type="auto"/>
            <w:shd w:val="clear" w:color="auto" w:fill="auto"/>
          </w:tcPr>
          <w:p w14:paraId="36CA4A97" w14:textId="77777777" w:rsidR="00787570" w:rsidRDefault="00787570">
            <w:pPr>
              <w:rPr>
                <w:rFonts w:ascii="宋体"/>
              </w:rPr>
            </w:pPr>
          </w:p>
        </w:tc>
        <w:tc>
          <w:tcPr>
            <w:tcW w:w="0" w:type="auto"/>
            <w:shd w:val="clear" w:color="auto" w:fill="auto"/>
          </w:tcPr>
          <w:p w14:paraId="36CA4A98" w14:textId="77777777" w:rsidR="00787570" w:rsidRDefault="00787570">
            <w:pPr>
              <w:rPr>
                <w:rFonts w:ascii="宋体"/>
              </w:rPr>
            </w:pPr>
          </w:p>
        </w:tc>
        <w:tc>
          <w:tcPr>
            <w:tcW w:w="0" w:type="auto"/>
            <w:shd w:val="clear" w:color="auto" w:fill="auto"/>
          </w:tcPr>
          <w:p w14:paraId="36CA4A99" w14:textId="77777777" w:rsidR="00787570" w:rsidRDefault="00787570">
            <w:pPr>
              <w:rPr>
                <w:rFonts w:ascii="宋体"/>
              </w:rPr>
            </w:pPr>
          </w:p>
        </w:tc>
        <w:tc>
          <w:tcPr>
            <w:tcW w:w="0" w:type="auto"/>
            <w:shd w:val="clear" w:color="auto" w:fill="auto"/>
          </w:tcPr>
          <w:p w14:paraId="36CA4A9A" w14:textId="77777777" w:rsidR="00787570" w:rsidRDefault="00787570">
            <w:pPr>
              <w:rPr>
                <w:rFonts w:ascii="宋体"/>
              </w:rPr>
            </w:pPr>
          </w:p>
        </w:tc>
        <w:tc>
          <w:tcPr>
            <w:tcW w:w="0" w:type="auto"/>
            <w:shd w:val="clear" w:color="auto" w:fill="auto"/>
          </w:tcPr>
          <w:p w14:paraId="36CA4A9B" w14:textId="77777777" w:rsidR="00787570" w:rsidRDefault="00787570">
            <w:pPr>
              <w:rPr>
                <w:rFonts w:ascii="宋体"/>
              </w:rPr>
            </w:pPr>
          </w:p>
        </w:tc>
        <w:tc>
          <w:tcPr>
            <w:tcW w:w="0" w:type="auto"/>
            <w:shd w:val="clear" w:color="auto" w:fill="auto"/>
          </w:tcPr>
          <w:p w14:paraId="36CA4A9C" w14:textId="77777777" w:rsidR="00787570" w:rsidRDefault="00787570">
            <w:pPr>
              <w:rPr>
                <w:rFonts w:ascii="宋体"/>
              </w:rPr>
            </w:pPr>
          </w:p>
        </w:tc>
        <w:tc>
          <w:tcPr>
            <w:tcW w:w="0" w:type="auto"/>
            <w:shd w:val="clear" w:color="auto" w:fill="auto"/>
          </w:tcPr>
          <w:p w14:paraId="36CA4A9D" w14:textId="77777777" w:rsidR="00787570" w:rsidRDefault="00787570">
            <w:pPr>
              <w:rPr>
                <w:rFonts w:ascii="宋体"/>
              </w:rPr>
            </w:pPr>
          </w:p>
        </w:tc>
        <w:tc>
          <w:tcPr>
            <w:tcW w:w="0" w:type="auto"/>
            <w:shd w:val="clear" w:color="auto" w:fill="auto"/>
          </w:tcPr>
          <w:p w14:paraId="36CA4A9E" w14:textId="77777777" w:rsidR="00787570" w:rsidRDefault="00787570">
            <w:pPr>
              <w:rPr>
                <w:rFonts w:ascii="宋体"/>
              </w:rPr>
            </w:pPr>
          </w:p>
        </w:tc>
        <w:tc>
          <w:tcPr>
            <w:tcW w:w="0" w:type="auto"/>
            <w:shd w:val="clear" w:color="auto" w:fill="auto"/>
          </w:tcPr>
          <w:p w14:paraId="36CA4A9F" w14:textId="77777777" w:rsidR="00787570" w:rsidRDefault="00787570">
            <w:pPr>
              <w:rPr>
                <w:rFonts w:ascii="宋体"/>
              </w:rPr>
            </w:pPr>
          </w:p>
        </w:tc>
        <w:tc>
          <w:tcPr>
            <w:tcW w:w="0" w:type="auto"/>
            <w:shd w:val="clear" w:color="auto" w:fill="auto"/>
          </w:tcPr>
          <w:p w14:paraId="36CA4AA0" w14:textId="77777777" w:rsidR="00787570" w:rsidRDefault="00787570">
            <w:pPr>
              <w:rPr>
                <w:rFonts w:ascii="宋体"/>
              </w:rPr>
            </w:pPr>
          </w:p>
        </w:tc>
      </w:tr>
      <w:tr w:rsidR="00787570" w14:paraId="36CA4AC1" w14:textId="77777777">
        <w:tc>
          <w:tcPr>
            <w:tcW w:w="0" w:type="auto"/>
            <w:gridSpan w:val="3"/>
            <w:shd w:val="clear" w:color="auto" w:fill="auto"/>
            <w:tcMar>
              <w:top w:w="40" w:type="dxa"/>
              <w:left w:w="20" w:type="dxa"/>
              <w:bottom w:w="40" w:type="dxa"/>
              <w:right w:w="20" w:type="dxa"/>
            </w:tcMar>
            <w:vAlign w:val="bottom"/>
          </w:tcPr>
          <w:p w14:paraId="36CA4AA2" w14:textId="77777777" w:rsidR="00787570" w:rsidRDefault="000D56E2">
            <w:pPr>
              <w:textAlignment w:val="bottom"/>
            </w:pPr>
            <w:r>
              <w:rPr>
                <w:rFonts w:ascii="Arial" w:eastAsia="宋体" w:hAnsi="Arial" w:cs="Arial"/>
                <w:color w:val="333333"/>
                <w:sz w:val="18"/>
                <w:szCs w:val="18"/>
              </w:rPr>
              <w:t>Desktop platform ASP</w:t>
            </w:r>
          </w:p>
        </w:tc>
        <w:tc>
          <w:tcPr>
            <w:tcW w:w="0" w:type="auto"/>
            <w:gridSpan w:val="3"/>
            <w:shd w:val="clear" w:color="auto" w:fill="auto"/>
            <w:tcMar>
              <w:left w:w="20" w:type="dxa"/>
              <w:right w:w="20" w:type="dxa"/>
            </w:tcMar>
            <w:vAlign w:val="bottom"/>
          </w:tcPr>
          <w:p w14:paraId="36CA4AA3" w14:textId="77777777" w:rsidR="00787570" w:rsidRDefault="00787570">
            <w:pPr>
              <w:rPr>
                <w:rFonts w:ascii="宋体"/>
              </w:rPr>
            </w:pPr>
          </w:p>
        </w:tc>
        <w:tc>
          <w:tcPr>
            <w:tcW w:w="0" w:type="auto"/>
            <w:gridSpan w:val="3"/>
            <w:shd w:val="clear" w:color="auto" w:fill="auto"/>
            <w:tcMar>
              <w:top w:w="40" w:type="dxa"/>
              <w:left w:w="20" w:type="dxa"/>
              <w:bottom w:w="40" w:type="dxa"/>
              <w:right w:w="20" w:type="dxa"/>
            </w:tcMar>
            <w:vAlign w:val="center"/>
          </w:tcPr>
          <w:p w14:paraId="36CA4AA4" w14:textId="77777777" w:rsidR="00787570" w:rsidRDefault="000D56E2">
            <w:pPr>
              <w:jc w:val="right"/>
              <w:textAlignment w:val="center"/>
            </w:pPr>
            <w:r>
              <w:rPr>
                <w:rFonts w:ascii="Arial" w:eastAsia="宋体" w:hAnsi="Arial" w:cs="Arial"/>
                <w:color w:val="0071C5"/>
                <w:sz w:val="18"/>
                <w:szCs w:val="18"/>
              </w:rPr>
              <w:t>down</w:t>
            </w:r>
          </w:p>
        </w:tc>
        <w:tc>
          <w:tcPr>
            <w:tcW w:w="0" w:type="auto"/>
            <w:gridSpan w:val="3"/>
            <w:shd w:val="clear" w:color="auto" w:fill="auto"/>
            <w:tcMar>
              <w:top w:w="40" w:type="dxa"/>
              <w:left w:w="20" w:type="dxa"/>
              <w:bottom w:w="40" w:type="dxa"/>
              <w:right w:w="20" w:type="dxa"/>
            </w:tcMar>
            <w:vAlign w:val="center"/>
          </w:tcPr>
          <w:p w14:paraId="36CA4AA5" w14:textId="77777777" w:rsidR="00787570" w:rsidRDefault="000D56E2">
            <w:pPr>
              <w:textAlignment w:val="center"/>
            </w:pPr>
            <w:r>
              <w:rPr>
                <w:rFonts w:ascii="Arial" w:eastAsia="宋体" w:hAnsi="Arial" w:cs="Arial"/>
                <w:color w:val="0071C5"/>
                <w:sz w:val="18"/>
                <w:szCs w:val="18"/>
              </w:rPr>
              <w:t>—%</w:t>
            </w:r>
          </w:p>
        </w:tc>
        <w:tc>
          <w:tcPr>
            <w:tcW w:w="0" w:type="auto"/>
            <w:gridSpan w:val="3"/>
            <w:shd w:val="clear" w:color="auto" w:fill="auto"/>
            <w:tcMar>
              <w:left w:w="20" w:type="dxa"/>
              <w:right w:w="20" w:type="dxa"/>
            </w:tcMar>
            <w:vAlign w:val="bottom"/>
          </w:tcPr>
          <w:p w14:paraId="36CA4AA6"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center"/>
          </w:tcPr>
          <w:p w14:paraId="36CA4AA7" w14:textId="77777777" w:rsidR="00787570" w:rsidRDefault="000D56E2">
            <w:pPr>
              <w:jc w:val="right"/>
              <w:textAlignment w:val="center"/>
            </w:pPr>
            <w:r>
              <w:rPr>
                <w:rFonts w:ascii="Arial" w:eastAsia="宋体" w:hAnsi="Arial" w:cs="Arial"/>
                <w:color w:val="0071C5"/>
                <w:sz w:val="18"/>
                <w:szCs w:val="18"/>
              </w:rPr>
              <w:t>— </w:t>
            </w:r>
          </w:p>
        </w:tc>
        <w:tc>
          <w:tcPr>
            <w:tcW w:w="0" w:type="auto"/>
            <w:shd w:val="clear" w:color="auto" w:fill="auto"/>
            <w:tcMar>
              <w:top w:w="40" w:type="dxa"/>
              <w:bottom w:w="40" w:type="dxa"/>
              <w:right w:w="20" w:type="dxa"/>
            </w:tcMar>
            <w:vAlign w:val="center"/>
          </w:tcPr>
          <w:p w14:paraId="36CA4AA8"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4AA9" w14:textId="77777777" w:rsidR="00787570" w:rsidRDefault="00787570">
            <w:pPr>
              <w:rPr>
                <w:rFonts w:ascii="宋体"/>
              </w:rPr>
            </w:pPr>
          </w:p>
        </w:tc>
        <w:tc>
          <w:tcPr>
            <w:tcW w:w="0" w:type="auto"/>
            <w:gridSpan w:val="3"/>
            <w:shd w:val="clear" w:color="auto" w:fill="auto"/>
            <w:tcMar>
              <w:top w:w="40" w:type="dxa"/>
              <w:left w:w="20" w:type="dxa"/>
              <w:bottom w:w="40" w:type="dxa"/>
              <w:right w:w="20" w:type="dxa"/>
            </w:tcMar>
            <w:vAlign w:val="center"/>
          </w:tcPr>
          <w:p w14:paraId="36CA4AAA" w14:textId="77777777" w:rsidR="00787570" w:rsidRDefault="000D56E2">
            <w:pPr>
              <w:jc w:val="right"/>
              <w:textAlignment w:val="center"/>
            </w:pPr>
            <w:r>
              <w:rPr>
                <w:rFonts w:ascii="Arial" w:eastAsia="宋体" w:hAnsi="Arial" w:cs="Arial"/>
                <w:color w:val="0071C5"/>
                <w:sz w:val="18"/>
                <w:szCs w:val="18"/>
              </w:rPr>
              <w:t>up</w:t>
            </w:r>
          </w:p>
        </w:tc>
        <w:tc>
          <w:tcPr>
            <w:tcW w:w="0" w:type="auto"/>
            <w:gridSpan w:val="3"/>
            <w:shd w:val="clear" w:color="auto" w:fill="auto"/>
            <w:tcMar>
              <w:top w:w="40" w:type="dxa"/>
              <w:left w:w="20" w:type="dxa"/>
              <w:bottom w:w="40" w:type="dxa"/>
              <w:right w:w="20" w:type="dxa"/>
            </w:tcMar>
            <w:vAlign w:val="center"/>
          </w:tcPr>
          <w:p w14:paraId="36CA4AAB" w14:textId="77777777" w:rsidR="00787570" w:rsidRDefault="000D56E2">
            <w:pPr>
              <w:textAlignment w:val="center"/>
            </w:pPr>
            <w:r>
              <w:rPr>
                <w:rFonts w:ascii="Arial" w:eastAsia="宋体" w:hAnsi="Arial" w:cs="Arial"/>
                <w:color w:val="0071C5"/>
                <w:sz w:val="18"/>
                <w:szCs w:val="18"/>
              </w:rPr>
              <w:t>2%</w:t>
            </w:r>
          </w:p>
        </w:tc>
        <w:tc>
          <w:tcPr>
            <w:tcW w:w="0" w:type="auto"/>
            <w:gridSpan w:val="3"/>
            <w:shd w:val="clear" w:color="auto" w:fill="auto"/>
            <w:tcMar>
              <w:left w:w="20" w:type="dxa"/>
              <w:right w:w="20" w:type="dxa"/>
            </w:tcMar>
            <w:vAlign w:val="bottom"/>
          </w:tcPr>
          <w:p w14:paraId="36CA4AAC"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center"/>
          </w:tcPr>
          <w:p w14:paraId="36CA4AAD" w14:textId="77777777" w:rsidR="00787570" w:rsidRDefault="000D56E2">
            <w:pPr>
              <w:jc w:val="right"/>
              <w:textAlignment w:val="center"/>
            </w:pPr>
            <w:r>
              <w:rPr>
                <w:rFonts w:ascii="Arial" w:eastAsia="宋体" w:hAnsi="Arial" w:cs="Arial"/>
                <w:color w:val="0071C5"/>
                <w:sz w:val="18"/>
                <w:szCs w:val="18"/>
              </w:rPr>
              <w:t>160 </w:t>
            </w:r>
          </w:p>
        </w:tc>
        <w:tc>
          <w:tcPr>
            <w:tcW w:w="0" w:type="auto"/>
            <w:shd w:val="clear" w:color="auto" w:fill="auto"/>
            <w:tcMar>
              <w:top w:w="40" w:type="dxa"/>
              <w:bottom w:w="40" w:type="dxa"/>
              <w:right w:w="20" w:type="dxa"/>
            </w:tcMar>
            <w:vAlign w:val="center"/>
          </w:tcPr>
          <w:p w14:paraId="36CA4AAE" w14:textId="77777777" w:rsidR="00787570" w:rsidRDefault="00787570">
            <w:pPr>
              <w:jc w:val="right"/>
              <w:rPr>
                <w:rFonts w:ascii="宋体"/>
              </w:rPr>
            </w:pPr>
          </w:p>
        </w:tc>
        <w:tc>
          <w:tcPr>
            <w:tcW w:w="0" w:type="auto"/>
            <w:shd w:val="clear" w:color="auto" w:fill="auto"/>
          </w:tcPr>
          <w:p w14:paraId="36CA4AAF" w14:textId="77777777" w:rsidR="00787570" w:rsidRDefault="00787570">
            <w:pPr>
              <w:rPr>
                <w:rFonts w:ascii="宋体"/>
              </w:rPr>
            </w:pPr>
          </w:p>
        </w:tc>
        <w:tc>
          <w:tcPr>
            <w:tcW w:w="0" w:type="auto"/>
            <w:shd w:val="clear" w:color="auto" w:fill="auto"/>
          </w:tcPr>
          <w:p w14:paraId="36CA4AB0" w14:textId="77777777" w:rsidR="00787570" w:rsidRDefault="00787570">
            <w:pPr>
              <w:rPr>
                <w:rFonts w:ascii="宋体"/>
              </w:rPr>
            </w:pPr>
          </w:p>
        </w:tc>
        <w:tc>
          <w:tcPr>
            <w:tcW w:w="0" w:type="auto"/>
            <w:shd w:val="clear" w:color="auto" w:fill="auto"/>
          </w:tcPr>
          <w:p w14:paraId="36CA4AB1" w14:textId="77777777" w:rsidR="00787570" w:rsidRDefault="00787570">
            <w:pPr>
              <w:rPr>
                <w:rFonts w:ascii="宋体"/>
              </w:rPr>
            </w:pPr>
          </w:p>
        </w:tc>
        <w:tc>
          <w:tcPr>
            <w:tcW w:w="0" w:type="auto"/>
            <w:shd w:val="clear" w:color="auto" w:fill="auto"/>
          </w:tcPr>
          <w:p w14:paraId="36CA4AB2" w14:textId="77777777" w:rsidR="00787570" w:rsidRDefault="00787570">
            <w:pPr>
              <w:rPr>
                <w:rFonts w:ascii="宋体"/>
              </w:rPr>
            </w:pPr>
          </w:p>
        </w:tc>
        <w:tc>
          <w:tcPr>
            <w:tcW w:w="0" w:type="auto"/>
            <w:shd w:val="clear" w:color="auto" w:fill="auto"/>
          </w:tcPr>
          <w:p w14:paraId="36CA4AB3" w14:textId="77777777" w:rsidR="00787570" w:rsidRDefault="00787570">
            <w:pPr>
              <w:rPr>
                <w:rFonts w:ascii="宋体"/>
              </w:rPr>
            </w:pPr>
          </w:p>
        </w:tc>
        <w:tc>
          <w:tcPr>
            <w:tcW w:w="0" w:type="auto"/>
            <w:shd w:val="clear" w:color="auto" w:fill="auto"/>
          </w:tcPr>
          <w:p w14:paraId="36CA4AB4" w14:textId="77777777" w:rsidR="00787570" w:rsidRDefault="00787570">
            <w:pPr>
              <w:rPr>
                <w:rFonts w:ascii="宋体"/>
              </w:rPr>
            </w:pPr>
          </w:p>
        </w:tc>
        <w:tc>
          <w:tcPr>
            <w:tcW w:w="0" w:type="auto"/>
            <w:shd w:val="clear" w:color="auto" w:fill="auto"/>
          </w:tcPr>
          <w:p w14:paraId="36CA4AB5" w14:textId="77777777" w:rsidR="00787570" w:rsidRDefault="00787570">
            <w:pPr>
              <w:rPr>
                <w:rFonts w:ascii="宋体"/>
              </w:rPr>
            </w:pPr>
          </w:p>
        </w:tc>
        <w:tc>
          <w:tcPr>
            <w:tcW w:w="0" w:type="auto"/>
            <w:shd w:val="clear" w:color="auto" w:fill="auto"/>
          </w:tcPr>
          <w:p w14:paraId="36CA4AB6" w14:textId="77777777" w:rsidR="00787570" w:rsidRDefault="00787570">
            <w:pPr>
              <w:rPr>
                <w:rFonts w:ascii="宋体"/>
              </w:rPr>
            </w:pPr>
          </w:p>
        </w:tc>
        <w:tc>
          <w:tcPr>
            <w:tcW w:w="0" w:type="auto"/>
            <w:shd w:val="clear" w:color="auto" w:fill="auto"/>
          </w:tcPr>
          <w:p w14:paraId="36CA4AB7" w14:textId="77777777" w:rsidR="00787570" w:rsidRDefault="00787570">
            <w:pPr>
              <w:rPr>
                <w:rFonts w:ascii="宋体"/>
              </w:rPr>
            </w:pPr>
          </w:p>
        </w:tc>
        <w:tc>
          <w:tcPr>
            <w:tcW w:w="0" w:type="auto"/>
            <w:shd w:val="clear" w:color="auto" w:fill="auto"/>
          </w:tcPr>
          <w:p w14:paraId="36CA4AB8" w14:textId="77777777" w:rsidR="00787570" w:rsidRDefault="00787570">
            <w:pPr>
              <w:rPr>
                <w:rFonts w:ascii="宋体"/>
              </w:rPr>
            </w:pPr>
          </w:p>
        </w:tc>
        <w:tc>
          <w:tcPr>
            <w:tcW w:w="0" w:type="auto"/>
            <w:shd w:val="clear" w:color="auto" w:fill="auto"/>
          </w:tcPr>
          <w:p w14:paraId="36CA4AB9" w14:textId="77777777" w:rsidR="00787570" w:rsidRDefault="00787570">
            <w:pPr>
              <w:rPr>
                <w:rFonts w:ascii="宋体"/>
              </w:rPr>
            </w:pPr>
          </w:p>
        </w:tc>
        <w:tc>
          <w:tcPr>
            <w:tcW w:w="0" w:type="auto"/>
            <w:shd w:val="clear" w:color="auto" w:fill="auto"/>
          </w:tcPr>
          <w:p w14:paraId="36CA4ABA" w14:textId="77777777" w:rsidR="00787570" w:rsidRDefault="00787570">
            <w:pPr>
              <w:rPr>
                <w:rFonts w:ascii="宋体"/>
              </w:rPr>
            </w:pPr>
          </w:p>
        </w:tc>
        <w:tc>
          <w:tcPr>
            <w:tcW w:w="0" w:type="auto"/>
            <w:shd w:val="clear" w:color="auto" w:fill="auto"/>
          </w:tcPr>
          <w:p w14:paraId="36CA4ABB" w14:textId="77777777" w:rsidR="00787570" w:rsidRDefault="00787570">
            <w:pPr>
              <w:rPr>
                <w:rFonts w:ascii="宋体"/>
              </w:rPr>
            </w:pPr>
          </w:p>
        </w:tc>
        <w:tc>
          <w:tcPr>
            <w:tcW w:w="0" w:type="auto"/>
            <w:shd w:val="clear" w:color="auto" w:fill="auto"/>
          </w:tcPr>
          <w:p w14:paraId="36CA4ABC" w14:textId="77777777" w:rsidR="00787570" w:rsidRDefault="00787570">
            <w:pPr>
              <w:rPr>
                <w:rFonts w:ascii="宋体"/>
              </w:rPr>
            </w:pPr>
          </w:p>
        </w:tc>
        <w:tc>
          <w:tcPr>
            <w:tcW w:w="0" w:type="auto"/>
            <w:shd w:val="clear" w:color="auto" w:fill="auto"/>
          </w:tcPr>
          <w:p w14:paraId="36CA4ABD" w14:textId="77777777" w:rsidR="00787570" w:rsidRDefault="00787570">
            <w:pPr>
              <w:rPr>
                <w:rFonts w:ascii="宋体"/>
              </w:rPr>
            </w:pPr>
          </w:p>
        </w:tc>
        <w:tc>
          <w:tcPr>
            <w:tcW w:w="0" w:type="auto"/>
            <w:shd w:val="clear" w:color="auto" w:fill="auto"/>
          </w:tcPr>
          <w:p w14:paraId="36CA4ABE" w14:textId="77777777" w:rsidR="00787570" w:rsidRDefault="00787570">
            <w:pPr>
              <w:rPr>
                <w:rFonts w:ascii="宋体"/>
              </w:rPr>
            </w:pPr>
          </w:p>
        </w:tc>
        <w:tc>
          <w:tcPr>
            <w:tcW w:w="0" w:type="auto"/>
            <w:shd w:val="clear" w:color="auto" w:fill="auto"/>
          </w:tcPr>
          <w:p w14:paraId="36CA4ABF" w14:textId="77777777" w:rsidR="00787570" w:rsidRDefault="00787570">
            <w:pPr>
              <w:rPr>
                <w:rFonts w:ascii="宋体"/>
              </w:rPr>
            </w:pPr>
          </w:p>
        </w:tc>
        <w:tc>
          <w:tcPr>
            <w:tcW w:w="0" w:type="auto"/>
            <w:shd w:val="clear" w:color="auto" w:fill="auto"/>
          </w:tcPr>
          <w:p w14:paraId="36CA4AC0" w14:textId="77777777" w:rsidR="00787570" w:rsidRDefault="00787570">
            <w:pPr>
              <w:rPr>
                <w:rFonts w:ascii="宋体"/>
              </w:rPr>
            </w:pPr>
          </w:p>
        </w:tc>
      </w:tr>
      <w:tr w:rsidR="00787570" w14:paraId="36CA4AE1" w14:textId="77777777">
        <w:tc>
          <w:tcPr>
            <w:tcW w:w="0" w:type="auto"/>
            <w:gridSpan w:val="3"/>
            <w:shd w:val="clear" w:color="auto" w:fill="auto"/>
            <w:tcMar>
              <w:top w:w="40" w:type="dxa"/>
              <w:left w:w="20" w:type="dxa"/>
              <w:bottom w:w="40" w:type="dxa"/>
              <w:right w:w="20" w:type="dxa"/>
            </w:tcMar>
            <w:vAlign w:val="bottom"/>
          </w:tcPr>
          <w:p w14:paraId="36CA4AC2" w14:textId="77777777" w:rsidR="00787570" w:rsidRDefault="000D56E2">
            <w:pPr>
              <w:textAlignment w:val="bottom"/>
            </w:pPr>
            <w:r>
              <w:rPr>
                <w:rFonts w:ascii="Arial" w:eastAsia="宋体" w:hAnsi="Arial" w:cs="Arial"/>
                <w:color w:val="333333"/>
                <w:sz w:val="18"/>
                <w:szCs w:val="18"/>
              </w:rPr>
              <w:t>Notebook platform volume</w:t>
            </w:r>
          </w:p>
        </w:tc>
        <w:tc>
          <w:tcPr>
            <w:tcW w:w="0" w:type="auto"/>
            <w:gridSpan w:val="3"/>
            <w:shd w:val="clear" w:color="auto" w:fill="auto"/>
            <w:tcMar>
              <w:left w:w="20" w:type="dxa"/>
              <w:right w:w="20" w:type="dxa"/>
            </w:tcMar>
            <w:vAlign w:val="bottom"/>
          </w:tcPr>
          <w:p w14:paraId="36CA4AC3" w14:textId="77777777" w:rsidR="00787570" w:rsidRDefault="00787570">
            <w:pPr>
              <w:rPr>
                <w:rFonts w:ascii="宋体"/>
              </w:rPr>
            </w:pPr>
          </w:p>
        </w:tc>
        <w:tc>
          <w:tcPr>
            <w:tcW w:w="0" w:type="auto"/>
            <w:gridSpan w:val="3"/>
            <w:shd w:val="clear" w:color="auto" w:fill="auto"/>
            <w:tcMar>
              <w:top w:w="40" w:type="dxa"/>
              <w:left w:w="20" w:type="dxa"/>
              <w:bottom w:w="40" w:type="dxa"/>
              <w:right w:w="20" w:type="dxa"/>
            </w:tcMar>
            <w:vAlign w:val="center"/>
          </w:tcPr>
          <w:p w14:paraId="36CA4AC4" w14:textId="77777777" w:rsidR="00787570" w:rsidRDefault="000D56E2">
            <w:pPr>
              <w:jc w:val="right"/>
              <w:textAlignment w:val="center"/>
            </w:pPr>
            <w:r>
              <w:rPr>
                <w:rFonts w:ascii="Arial" w:eastAsia="宋体" w:hAnsi="Arial" w:cs="Arial"/>
                <w:color w:val="0071C5"/>
                <w:sz w:val="18"/>
                <w:szCs w:val="18"/>
              </w:rPr>
              <w:t>up</w:t>
            </w:r>
          </w:p>
        </w:tc>
        <w:tc>
          <w:tcPr>
            <w:tcW w:w="0" w:type="auto"/>
            <w:gridSpan w:val="3"/>
            <w:shd w:val="clear" w:color="auto" w:fill="auto"/>
            <w:tcMar>
              <w:top w:w="40" w:type="dxa"/>
              <w:left w:w="20" w:type="dxa"/>
              <w:bottom w:w="40" w:type="dxa"/>
              <w:right w:w="20" w:type="dxa"/>
            </w:tcMar>
            <w:vAlign w:val="center"/>
          </w:tcPr>
          <w:p w14:paraId="36CA4AC5" w14:textId="77777777" w:rsidR="00787570" w:rsidRDefault="000D56E2">
            <w:pPr>
              <w:textAlignment w:val="center"/>
            </w:pPr>
            <w:r>
              <w:rPr>
                <w:rFonts w:ascii="Arial" w:eastAsia="宋体" w:hAnsi="Arial" w:cs="Arial"/>
                <w:color w:val="0071C5"/>
                <w:sz w:val="18"/>
                <w:szCs w:val="18"/>
              </w:rPr>
              <w:t>25%</w:t>
            </w:r>
          </w:p>
        </w:tc>
        <w:tc>
          <w:tcPr>
            <w:tcW w:w="0" w:type="auto"/>
            <w:gridSpan w:val="3"/>
            <w:shd w:val="clear" w:color="auto" w:fill="auto"/>
            <w:tcMar>
              <w:left w:w="20" w:type="dxa"/>
              <w:right w:w="20" w:type="dxa"/>
            </w:tcMar>
            <w:vAlign w:val="bottom"/>
          </w:tcPr>
          <w:p w14:paraId="36CA4AC6"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center"/>
          </w:tcPr>
          <w:p w14:paraId="36CA4AC7" w14:textId="77777777" w:rsidR="00787570" w:rsidRDefault="000D56E2">
            <w:pPr>
              <w:jc w:val="right"/>
              <w:textAlignment w:val="center"/>
            </w:pPr>
            <w:r>
              <w:rPr>
                <w:rFonts w:ascii="Arial" w:eastAsia="宋体" w:hAnsi="Arial" w:cs="Arial"/>
                <w:color w:val="0071C5"/>
                <w:sz w:val="18"/>
                <w:szCs w:val="18"/>
              </w:rPr>
              <w:t>1,360 </w:t>
            </w:r>
          </w:p>
        </w:tc>
        <w:tc>
          <w:tcPr>
            <w:tcW w:w="0" w:type="auto"/>
            <w:shd w:val="clear" w:color="auto" w:fill="auto"/>
            <w:tcMar>
              <w:top w:w="40" w:type="dxa"/>
              <w:bottom w:w="40" w:type="dxa"/>
              <w:right w:w="20" w:type="dxa"/>
            </w:tcMar>
            <w:vAlign w:val="center"/>
          </w:tcPr>
          <w:p w14:paraId="36CA4AC8"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4AC9" w14:textId="77777777" w:rsidR="00787570" w:rsidRDefault="00787570">
            <w:pPr>
              <w:rPr>
                <w:rFonts w:ascii="宋体"/>
              </w:rPr>
            </w:pPr>
          </w:p>
        </w:tc>
        <w:tc>
          <w:tcPr>
            <w:tcW w:w="0" w:type="auto"/>
            <w:gridSpan w:val="3"/>
            <w:shd w:val="clear" w:color="auto" w:fill="auto"/>
            <w:tcMar>
              <w:top w:w="40" w:type="dxa"/>
              <w:left w:w="20" w:type="dxa"/>
              <w:bottom w:w="40" w:type="dxa"/>
              <w:right w:w="20" w:type="dxa"/>
            </w:tcMar>
            <w:vAlign w:val="center"/>
          </w:tcPr>
          <w:p w14:paraId="36CA4ACA" w14:textId="77777777" w:rsidR="00787570" w:rsidRDefault="000D56E2">
            <w:pPr>
              <w:jc w:val="right"/>
              <w:textAlignment w:val="center"/>
            </w:pPr>
            <w:r>
              <w:rPr>
                <w:rFonts w:ascii="Arial" w:eastAsia="宋体" w:hAnsi="Arial" w:cs="Arial"/>
                <w:color w:val="0071C5"/>
                <w:sz w:val="18"/>
                <w:szCs w:val="18"/>
              </w:rPr>
              <w:t>up</w:t>
            </w:r>
          </w:p>
        </w:tc>
        <w:tc>
          <w:tcPr>
            <w:tcW w:w="0" w:type="auto"/>
            <w:gridSpan w:val="3"/>
            <w:shd w:val="clear" w:color="auto" w:fill="auto"/>
            <w:tcMar>
              <w:top w:w="40" w:type="dxa"/>
              <w:left w:w="20" w:type="dxa"/>
              <w:bottom w:w="40" w:type="dxa"/>
              <w:right w:w="20" w:type="dxa"/>
            </w:tcMar>
            <w:vAlign w:val="center"/>
          </w:tcPr>
          <w:p w14:paraId="36CA4ACB" w14:textId="77777777" w:rsidR="00787570" w:rsidRDefault="000D56E2">
            <w:pPr>
              <w:textAlignment w:val="center"/>
            </w:pPr>
            <w:r>
              <w:rPr>
                <w:rFonts w:ascii="Arial" w:eastAsia="宋体" w:hAnsi="Arial" w:cs="Arial"/>
                <w:color w:val="0071C5"/>
                <w:sz w:val="18"/>
                <w:szCs w:val="18"/>
              </w:rPr>
              <w:t>19%</w:t>
            </w:r>
          </w:p>
        </w:tc>
        <w:tc>
          <w:tcPr>
            <w:tcW w:w="0" w:type="auto"/>
            <w:gridSpan w:val="3"/>
            <w:shd w:val="clear" w:color="auto" w:fill="auto"/>
            <w:tcMar>
              <w:left w:w="20" w:type="dxa"/>
              <w:right w:w="20" w:type="dxa"/>
            </w:tcMar>
            <w:vAlign w:val="bottom"/>
          </w:tcPr>
          <w:p w14:paraId="36CA4ACC"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center"/>
          </w:tcPr>
          <w:p w14:paraId="36CA4ACD" w14:textId="77777777" w:rsidR="00787570" w:rsidRDefault="000D56E2">
            <w:pPr>
              <w:jc w:val="right"/>
              <w:textAlignment w:val="center"/>
            </w:pPr>
            <w:r>
              <w:rPr>
                <w:rFonts w:ascii="Arial" w:eastAsia="宋体" w:hAnsi="Arial" w:cs="Arial"/>
                <w:color w:val="0071C5"/>
                <w:sz w:val="18"/>
                <w:szCs w:val="18"/>
              </w:rPr>
              <w:t>2,872 </w:t>
            </w:r>
          </w:p>
        </w:tc>
        <w:tc>
          <w:tcPr>
            <w:tcW w:w="0" w:type="auto"/>
            <w:shd w:val="clear" w:color="auto" w:fill="auto"/>
            <w:tcMar>
              <w:top w:w="40" w:type="dxa"/>
              <w:bottom w:w="40" w:type="dxa"/>
              <w:right w:w="20" w:type="dxa"/>
            </w:tcMar>
            <w:vAlign w:val="center"/>
          </w:tcPr>
          <w:p w14:paraId="36CA4ACE" w14:textId="77777777" w:rsidR="00787570" w:rsidRDefault="00787570">
            <w:pPr>
              <w:jc w:val="right"/>
              <w:rPr>
                <w:rFonts w:ascii="宋体"/>
              </w:rPr>
            </w:pPr>
          </w:p>
        </w:tc>
        <w:tc>
          <w:tcPr>
            <w:tcW w:w="0" w:type="auto"/>
            <w:shd w:val="clear" w:color="auto" w:fill="auto"/>
          </w:tcPr>
          <w:p w14:paraId="36CA4ACF" w14:textId="77777777" w:rsidR="00787570" w:rsidRDefault="00787570">
            <w:pPr>
              <w:rPr>
                <w:rFonts w:ascii="宋体"/>
              </w:rPr>
            </w:pPr>
          </w:p>
        </w:tc>
        <w:tc>
          <w:tcPr>
            <w:tcW w:w="0" w:type="auto"/>
            <w:shd w:val="clear" w:color="auto" w:fill="auto"/>
          </w:tcPr>
          <w:p w14:paraId="36CA4AD0" w14:textId="77777777" w:rsidR="00787570" w:rsidRDefault="00787570">
            <w:pPr>
              <w:rPr>
                <w:rFonts w:ascii="宋体"/>
              </w:rPr>
            </w:pPr>
          </w:p>
        </w:tc>
        <w:tc>
          <w:tcPr>
            <w:tcW w:w="0" w:type="auto"/>
            <w:shd w:val="clear" w:color="auto" w:fill="auto"/>
          </w:tcPr>
          <w:p w14:paraId="36CA4AD1" w14:textId="77777777" w:rsidR="00787570" w:rsidRDefault="00787570">
            <w:pPr>
              <w:rPr>
                <w:rFonts w:ascii="宋体"/>
              </w:rPr>
            </w:pPr>
          </w:p>
        </w:tc>
        <w:tc>
          <w:tcPr>
            <w:tcW w:w="0" w:type="auto"/>
            <w:shd w:val="clear" w:color="auto" w:fill="auto"/>
          </w:tcPr>
          <w:p w14:paraId="36CA4AD2" w14:textId="77777777" w:rsidR="00787570" w:rsidRDefault="00787570">
            <w:pPr>
              <w:rPr>
                <w:rFonts w:ascii="宋体"/>
              </w:rPr>
            </w:pPr>
          </w:p>
        </w:tc>
        <w:tc>
          <w:tcPr>
            <w:tcW w:w="0" w:type="auto"/>
            <w:shd w:val="clear" w:color="auto" w:fill="auto"/>
          </w:tcPr>
          <w:p w14:paraId="36CA4AD3" w14:textId="77777777" w:rsidR="00787570" w:rsidRDefault="00787570">
            <w:pPr>
              <w:rPr>
                <w:rFonts w:ascii="宋体"/>
              </w:rPr>
            </w:pPr>
          </w:p>
        </w:tc>
        <w:tc>
          <w:tcPr>
            <w:tcW w:w="0" w:type="auto"/>
            <w:shd w:val="clear" w:color="auto" w:fill="auto"/>
          </w:tcPr>
          <w:p w14:paraId="36CA4AD4" w14:textId="77777777" w:rsidR="00787570" w:rsidRDefault="00787570">
            <w:pPr>
              <w:rPr>
                <w:rFonts w:ascii="宋体"/>
              </w:rPr>
            </w:pPr>
          </w:p>
        </w:tc>
        <w:tc>
          <w:tcPr>
            <w:tcW w:w="0" w:type="auto"/>
            <w:shd w:val="clear" w:color="auto" w:fill="auto"/>
          </w:tcPr>
          <w:p w14:paraId="36CA4AD5" w14:textId="77777777" w:rsidR="00787570" w:rsidRDefault="00787570">
            <w:pPr>
              <w:rPr>
                <w:rFonts w:ascii="宋体"/>
              </w:rPr>
            </w:pPr>
          </w:p>
        </w:tc>
        <w:tc>
          <w:tcPr>
            <w:tcW w:w="0" w:type="auto"/>
            <w:shd w:val="clear" w:color="auto" w:fill="auto"/>
          </w:tcPr>
          <w:p w14:paraId="36CA4AD6" w14:textId="77777777" w:rsidR="00787570" w:rsidRDefault="00787570">
            <w:pPr>
              <w:rPr>
                <w:rFonts w:ascii="宋体"/>
              </w:rPr>
            </w:pPr>
          </w:p>
        </w:tc>
        <w:tc>
          <w:tcPr>
            <w:tcW w:w="0" w:type="auto"/>
            <w:shd w:val="clear" w:color="auto" w:fill="auto"/>
          </w:tcPr>
          <w:p w14:paraId="36CA4AD7" w14:textId="77777777" w:rsidR="00787570" w:rsidRDefault="00787570">
            <w:pPr>
              <w:rPr>
                <w:rFonts w:ascii="宋体"/>
              </w:rPr>
            </w:pPr>
          </w:p>
        </w:tc>
        <w:tc>
          <w:tcPr>
            <w:tcW w:w="0" w:type="auto"/>
            <w:shd w:val="clear" w:color="auto" w:fill="auto"/>
          </w:tcPr>
          <w:p w14:paraId="36CA4AD8" w14:textId="77777777" w:rsidR="00787570" w:rsidRDefault="00787570">
            <w:pPr>
              <w:rPr>
                <w:rFonts w:ascii="宋体"/>
              </w:rPr>
            </w:pPr>
          </w:p>
        </w:tc>
        <w:tc>
          <w:tcPr>
            <w:tcW w:w="0" w:type="auto"/>
            <w:shd w:val="clear" w:color="auto" w:fill="auto"/>
          </w:tcPr>
          <w:p w14:paraId="36CA4AD9" w14:textId="77777777" w:rsidR="00787570" w:rsidRDefault="00787570">
            <w:pPr>
              <w:rPr>
                <w:rFonts w:ascii="宋体"/>
              </w:rPr>
            </w:pPr>
          </w:p>
        </w:tc>
        <w:tc>
          <w:tcPr>
            <w:tcW w:w="0" w:type="auto"/>
            <w:shd w:val="clear" w:color="auto" w:fill="auto"/>
          </w:tcPr>
          <w:p w14:paraId="36CA4ADA" w14:textId="77777777" w:rsidR="00787570" w:rsidRDefault="00787570">
            <w:pPr>
              <w:rPr>
                <w:rFonts w:ascii="宋体"/>
              </w:rPr>
            </w:pPr>
          </w:p>
        </w:tc>
        <w:tc>
          <w:tcPr>
            <w:tcW w:w="0" w:type="auto"/>
            <w:shd w:val="clear" w:color="auto" w:fill="auto"/>
          </w:tcPr>
          <w:p w14:paraId="36CA4ADB" w14:textId="77777777" w:rsidR="00787570" w:rsidRDefault="00787570">
            <w:pPr>
              <w:rPr>
                <w:rFonts w:ascii="宋体"/>
              </w:rPr>
            </w:pPr>
          </w:p>
        </w:tc>
        <w:tc>
          <w:tcPr>
            <w:tcW w:w="0" w:type="auto"/>
            <w:shd w:val="clear" w:color="auto" w:fill="auto"/>
          </w:tcPr>
          <w:p w14:paraId="36CA4ADC" w14:textId="77777777" w:rsidR="00787570" w:rsidRDefault="00787570">
            <w:pPr>
              <w:rPr>
                <w:rFonts w:ascii="宋体"/>
              </w:rPr>
            </w:pPr>
          </w:p>
        </w:tc>
        <w:tc>
          <w:tcPr>
            <w:tcW w:w="0" w:type="auto"/>
            <w:shd w:val="clear" w:color="auto" w:fill="auto"/>
          </w:tcPr>
          <w:p w14:paraId="36CA4ADD" w14:textId="77777777" w:rsidR="00787570" w:rsidRDefault="00787570">
            <w:pPr>
              <w:rPr>
                <w:rFonts w:ascii="宋体"/>
              </w:rPr>
            </w:pPr>
          </w:p>
        </w:tc>
        <w:tc>
          <w:tcPr>
            <w:tcW w:w="0" w:type="auto"/>
            <w:shd w:val="clear" w:color="auto" w:fill="auto"/>
          </w:tcPr>
          <w:p w14:paraId="36CA4ADE" w14:textId="77777777" w:rsidR="00787570" w:rsidRDefault="00787570">
            <w:pPr>
              <w:rPr>
                <w:rFonts w:ascii="宋体"/>
              </w:rPr>
            </w:pPr>
          </w:p>
        </w:tc>
        <w:tc>
          <w:tcPr>
            <w:tcW w:w="0" w:type="auto"/>
            <w:shd w:val="clear" w:color="auto" w:fill="auto"/>
          </w:tcPr>
          <w:p w14:paraId="36CA4ADF" w14:textId="77777777" w:rsidR="00787570" w:rsidRDefault="00787570">
            <w:pPr>
              <w:rPr>
                <w:rFonts w:ascii="宋体"/>
              </w:rPr>
            </w:pPr>
          </w:p>
        </w:tc>
        <w:tc>
          <w:tcPr>
            <w:tcW w:w="0" w:type="auto"/>
            <w:shd w:val="clear" w:color="auto" w:fill="auto"/>
          </w:tcPr>
          <w:p w14:paraId="36CA4AE0" w14:textId="77777777" w:rsidR="00787570" w:rsidRDefault="00787570">
            <w:pPr>
              <w:rPr>
                <w:rFonts w:ascii="宋体"/>
              </w:rPr>
            </w:pPr>
          </w:p>
        </w:tc>
      </w:tr>
      <w:tr w:rsidR="00787570" w14:paraId="36CA4B01" w14:textId="77777777">
        <w:tc>
          <w:tcPr>
            <w:tcW w:w="0" w:type="auto"/>
            <w:gridSpan w:val="3"/>
            <w:shd w:val="clear" w:color="auto" w:fill="auto"/>
            <w:tcMar>
              <w:top w:w="40" w:type="dxa"/>
              <w:left w:w="20" w:type="dxa"/>
              <w:bottom w:w="40" w:type="dxa"/>
              <w:right w:w="20" w:type="dxa"/>
            </w:tcMar>
            <w:vAlign w:val="bottom"/>
          </w:tcPr>
          <w:p w14:paraId="36CA4AE2" w14:textId="77777777" w:rsidR="00787570" w:rsidRDefault="000D56E2">
            <w:pPr>
              <w:textAlignment w:val="bottom"/>
            </w:pPr>
            <w:r>
              <w:rPr>
                <w:rFonts w:ascii="Arial" w:eastAsia="宋体" w:hAnsi="Arial" w:cs="Arial"/>
                <w:color w:val="333333"/>
                <w:sz w:val="18"/>
                <w:szCs w:val="18"/>
              </w:rPr>
              <w:t>Notebook platform ASP</w:t>
            </w:r>
          </w:p>
        </w:tc>
        <w:tc>
          <w:tcPr>
            <w:tcW w:w="0" w:type="auto"/>
            <w:gridSpan w:val="3"/>
            <w:shd w:val="clear" w:color="auto" w:fill="auto"/>
            <w:tcMar>
              <w:left w:w="20" w:type="dxa"/>
              <w:right w:w="20" w:type="dxa"/>
            </w:tcMar>
            <w:vAlign w:val="bottom"/>
          </w:tcPr>
          <w:p w14:paraId="36CA4AE3" w14:textId="77777777" w:rsidR="00787570" w:rsidRDefault="00787570">
            <w:pPr>
              <w:rPr>
                <w:rFonts w:ascii="宋体"/>
              </w:rPr>
            </w:pPr>
          </w:p>
        </w:tc>
        <w:tc>
          <w:tcPr>
            <w:tcW w:w="0" w:type="auto"/>
            <w:gridSpan w:val="3"/>
            <w:shd w:val="clear" w:color="auto" w:fill="auto"/>
            <w:tcMar>
              <w:top w:w="40" w:type="dxa"/>
              <w:left w:w="20" w:type="dxa"/>
              <w:bottom w:w="40" w:type="dxa"/>
              <w:right w:w="20" w:type="dxa"/>
            </w:tcMar>
            <w:vAlign w:val="center"/>
          </w:tcPr>
          <w:p w14:paraId="36CA4AE4" w14:textId="77777777" w:rsidR="00787570" w:rsidRDefault="000D56E2">
            <w:pPr>
              <w:jc w:val="right"/>
              <w:textAlignment w:val="center"/>
            </w:pPr>
            <w:r>
              <w:rPr>
                <w:rFonts w:ascii="Arial" w:eastAsia="宋体" w:hAnsi="Arial" w:cs="Arial"/>
                <w:color w:val="0071C5"/>
                <w:sz w:val="18"/>
                <w:szCs w:val="18"/>
              </w:rPr>
              <w:t>down</w:t>
            </w:r>
          </w:p>
        </w:tc>
        <w:tc>
          <w:tcPr>
            <w:tcW w:w="0" w:type="auto"/>
            <w:gridSpan w:val="3"/>
            <w:shd w:val="clear" w:color="auto" w:fill="auto"/>
            <w:tcMar>
              <w:top w:w="40" w:type="dxa"/>
              <w:left w:w="20" w:type="dxa"/>
              <w:bottom w:w="40" w:type="dxa"/>
              <w:right w:w="20" w:type="dxa"/>
            </w:tcMar>
            <w:vAlign w:val="center"/>
          </w:tcPr>
          <w:p w14:paraId="36CA4AE5" w14:textId="77777777" w:rsidR="00787570" w:rsidRDefault="000D56E2">
            <w:pPr>
              <w:textAlignment w:val="center"/>
            </w:pPr>
            <w:r>
              <w:rPr>
                <w:rFonts w:ascii="Arial" w:eastAsia="宋体" w:hAnsi="Arial" w:cs="Arial"/>
                <w:color w:val="0071C5"/>
                <w:sz w:val="18"/>
                <w:szCs w:val="18"/>
              </w:rPr>
              <w:t>(7)%</w:t>
            </w:r>
          </w:p>
        </w:tc>
        <w:tc>
          <w:tcPr>
            <w:tcW w:w="0" w:type="auto"/>
            <w:gridSpan w:val="3"/>
            <w:shd w:val="clear" w:color="auto" w:fill="auto"/>
            <w:tcMar>
              <w:left w:w="20" w:type="dxa"/>
              <w:right w:w="20" w:type="dxa"/>
            </w:tcMar>
            <w:vAlign w:val="bottom"/>
          </w:tcPr>
          <w:p w14:paraId="36CA4AE6"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center"/>
          </w:tcPr>
          <w:p w14:paraId="36CA4AE7" w14:textId="77777777" w:rsidR="00787570" w:rsidRDefault="000D56E2">
            <w:pPr>
              <w:jc w:val="right"/>
              <w:textAlignment w:val="center"/>
            </w:pPr>
            <w:r>
              <w:rPr>
                <w:rFonts w:ascii="Arial" w:eastAsia="宋体" w:hAnsi="Arial" w:cs="Arial"/>
                <w:color w:val="0071C5"/>
                <w:sz w:val="18"/>
                <w:szCs w:val="18"/>
              </w:rPr>
              <w:t>(478)</w:t>
            </w:r>
          </w:p>
        </w:tc>
        <w:tc>
          <w:tcPr>
            <w:tcW w:w="0" w:type="auto"/>
            <w:shd w:val="clear" w:color="auto" w:fill="auto"/>
            <w:tcMar>
              <w:top w:w="40" w:type="dxa"/>
              <w:bottom w:w="40" w:type="dxa"/>
              <w:right w:w="20" w:type="dxa"/>
            </w:tcMar>
            <w:vAlign w:val="center"/>
          </w:tcPr>
          <w:p w14:paraId="36CA4AE8"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4AE9" w14:textId="77777777" w:rsidR="00787570" w:rsidRDefault="00787570">
            <w:pPr>
              <w:rPr>
                <w:rFonts w:ascii="宋体"/>
              </w:rPr>
            </w:pPr>
          </w:p>
        </w:tc>
        <w:tc>
          <w:tcPr>
            <w:tcW w:w="0" w:type="auto"/>
            <w:gridSpan w:val="3"/>
            <w:shd w:val="clear" w:color="auto" w:fill="auto"/>
            <w:tcMar>
              <w:top w:w="40" w:type="dxa"/>
              <w:left w:w="20" w:type="dxa"/>
              <w:bottom w:w="40" w:type="dxa"/>
              <w:right w:w="20" w:type="dxa"/>
            </w:tcMar>
            <w:vAlign w:val="center"/>
          </w:tcPr>
          <w:p w14:paraId="36CA4AEA" w14:textId="77777777" w:rsidR="00787570" w:rsidRDefault="000D56E2">
            <w:pPr>
              <w:jc w:val="right"/>
              <w:textAlignment w:val="center"/>
            </w:pPr>
            <w:r>
              <w:rPr>
                <w:rFonts w:ascii="Arial" w:eastAsia="宋体" w:hAnsi="Arial" w:cs="Arial"/>
                <w:color w:val="0071C5"/>
                <w:sz w:val="18"/>
                <w:szCs w:val="18"/>
              </w:rPr>
              <w:t>down</w:t>
            </w:r>
          </w:p>
        </w:tc>
        <w:tc>
          <w:tcPr>
            <w:tcW w:w="0" w:type="auto"/>
            <w:gridSpan w:val="3"/>
            <w:shd w:val="clear" w:color="auto" w:fill="auto"/>
            <w:tcMar>
              <w:top w:w="40" w:type="dxa"/>
              <w:left w:w="20" w:type="dxa"/>
              <w:bottom w:w="40" w:type="dxa"/>
              <w:right w:w="20" w:type="dxa"/>
            </w:tcMar>
            <w:vAlign w:val="center"/>
          </w:tcPr>
          <w:p w14:paraId="36CA4AEB" w14:textId="77777777" w:rsidR="00787570" w:rsidRDefault="000D56E2">
            <w:pPr>
              <w:textAlignment w:val="center"/>
            </w:pPr>
            <w:r>
              <w:rPr>
                <w:rFonts w:ascii="Arial" w:eastAsia="宋体" w:hAnsi="Arial" w:cs="Arial"/>
                <w:color w:val="0071C5"/>
                <w:sz w:val="18"/>
                <w:szCs w:val="18"/>
              </w:rPr>
              <w:t>(2)%</w:t>
            </w:r>
          </w:p>
        </w:tc>
        <w:tc>
          <w:tcPr>
            <w:tcW w:w="0" w:type="auto"/>
            <w:gridSpan w:val="3"/>
            <w:shd w:val="clear" w:color="auto" w:fill="auto"/>
            <w:tcMar>
              <w:left w:w="20" w:type="dxa"/>
              <w:right w:w="20" w:type="dxa"/>
            </w:tcMar>
            <w:vAlign w:val="bottom"/>
          </w:tcPr>
          <w:p w14:paraId="36CA4AEC"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center"/>
          </w:tcPr>
          <w:p w14:paraId="36CA4AED" w14:textId="77777777" w:rsidR="00787570" w:rsidRDefault="000D56E2">
            <w:pPr>
              <w:jc w:val="right"/>
              <w:textAlignment w:val="center"/>
            </w:pPr>
            <w:r>
              <w:rPr>
                <w:rFonts w:ascii="Arial" w:eastAsia="宋体" w:hAnsi="Arial" w:cs="Arial"/>
                <w:color w:val="0071C5"/>
                <w:sz w:val="18"/>
                <w:szCs w:val="18"/>
              </w:rPr>
              <w:t>(352)</w:t>
            </w:r>
          </w:p>
        </w:tc>
        <w:tc>
          <w:tcPr>
            <w:tcW w:w="0" w:type="auto"/>
            <w:shd w:val="clear" w:color="auto" w:fill="auto"/>
            <w:tcMar>
              <w:top w:w="40" w:type="dxa"/>
              <w:bottom w:w="40" w:type="dxa"/>
              <w:right w:w="20" w:type="dxa"/>
            </w:tcMar>
            <w:vAlign w:val="center"/>
          </w:tcPr>
          <w:p w14:paraId="36CA4AEE" w14:textId="77777777" w:rsidR="00787570" w:rsidRDefault="00787570">
            <w:pPr>
              <w:jc w:val="right"/>
              <w:rPr>
                <w:rFonts w:ascii="宋体"/>
              </w:rPr>
            </w:pPr>
          </w:p>
        </w:tc>
        <w:tc>
          <w:tcPr>
            <w:tcW w:w="0" w:type="auto"/>
            <w:shd w:val="clear" w:color="auto" w:fill="auto"/>
          </w:tcPr>
          <w:p w14:paraId="36CA4AEF" w14:textId="77777777" w:rsidR="00787570" w:rsidRDefault="00787570">
            <w:pPr>
              <w:rPr>
                <w:rFonts w:ascii="宋体"/>
              </w:rPr>
            </w:pPr>
          </w:p>
        </w:tc>
        <w:tc>
          <w:tcPr>
            <w:tcW w:w="0" w:type="auto"/>
            <w:shd w:val="clear" w:color="auto" w:fill="auto"/>
          </w:tcPr>
          <w:p w14:paraId="36CA4AF0" w14:textId="77777777" w:rsidR="00787570" w:rsidRDefault="00787570">
            <w:pPr>
              <w:rPr>
                <w:rFonts w:ascii="宋体"/>
              </w:rPr>
            </w:pPr>
          </w:p>
        </w:tc>
        <w:tc>
          <w:tcPr>
            <w:tcW w:w="0" w:type="auto"/>
            <w:shd w:val="clear" w:color="auto" w:fill="auto"/>
          </w:tcPr>
          <w:p w14:paraId="36CA4AF1" w14:textId="77777777" w:rsidR="00787570" w:rsidRDefault="00787570">
            <w:pPr>
              <w:rPr>
                <w:rFonts w:ascii="宋体"/>
              </w:rPr>
            </w:pPr>
          </w:p>
        </w:tc>
        <w:tc>
          <w:tcPr>
            <w:tcW w:w="0" w:type="auto"/>
            <w:shd w:val="clear" w:color="auto" w:fill="auto"/>
          </w:tcPr>
          <w:p w14:paraId="36CA4AF2" w14:textId="77777777" w:rsidR="00787570" w:rsidRDefault="00787570">
            <w:pPr>
              <w:rPr>
                <w:rFonts w:ascii="宋体"/>
              </w:rPr>
            </w:pPr>
          </w:p>
        </w:tc>
        <w:tc>
          <w:tcPr>
            <w:tcW w:w="0" w:type="auto"/>
            <w:shd w:val="clear" w:color="auto" w:fill="auto"/>
          </w:tcPr>
          <w:p w14:paraId="36CA4AF3" w14:textId="77777777" w:rsidR="00787570" w:rsidRDefault="00787570">
            <w:pPr>
              <w:rPr>
                <w:rFonts w:ascii="宋体"/>
              </w:rPr>
            </w:pPr>
          </w:p>
        </w:tc>
        <w:tc>
          <w:tcPr>
            <w:tcW w:w="0" w:type="auto"/>
            <w:shd w:val="clear" w:color="auto" w:fill="auto"/>
          </w:tcPr>
          <w:p w14:paraId="36CA4AF4" w14:textId="77777777" w:rsidR="00787570" w:rsidRDefault="00787570">
            <w:pPr>
              <w:rPr>
                <w:rFonts w:ascii="宋体"/>
              </w:rPr>
            </w:pPr>
          </w:p>
        </w:tc>
        <w:tc>
          <w:tcPr>
            <w:tcW w:w="0" w:type="auto"/>
            <w:shd w:val="clear" w:color="auto" w:fill="auto"/>
          </w:tcPr>
          <w:p w14:paraId="36CA4AF5" w14:textId="77777777" w:rsidR="00787570" w:rsidRDefault="00787570">
            <w:pPr>
              <w:rPr>
                <w:rFonts w:ascii="宋体"/>
              </w:rPr>
            </w:pPr>
          </w:p>
        </w:tc>
        <w:tc>
          <w:tcPr>
            <w:tcW w:w="0" w:type="auto"/>
            <w:shd w:val="clear" w:color="auto" w:fill="auto"/>
          </w:tcPr>
          <w:p w14:paraId="36CA4AF6" w14:textId="77777777" w:rsidR="00787570" w:rsidRDefault="00787570">
            <w:pPr>
              <w:rPr>
                <w:rFonts w:ascii="宋体"/>
              </w:rPr>
            </w:pPr>
          </w:p>
        </w:tc>
        <w:tc>
          <w:tcPr>
            <w:tcW w:w="0" w:type="auto"/>
            <w:shd w:val="clear" w:color="auto" w:fill="auto"/>
          </w:tcPr>
          <w:p w14:paraId="36CA4AF7" w14:textId="77777777" w:rsidR="00787570" w:rsidRDefault="00787570">
            <w:pPr>
              <w:rPr>
                <w:rFonts w:ascii="宋体"/>
              </w:rPr>
            </w:pPr>
          </w:p>
        </w:tc>
        <w:tc>
          <w:tcPr>
            <w:tcW w:w="0" w:type="auto"/>
            <w:shd w:val="clear" w:color="auto" w:fill="auto"/>
          </w:tcPr>
          <w:p w14:paraId="36CA4AF8" w14:textId="77777777" w:rsidR="00787570" w:rsidRDefault="00787570">
            <w:pPr>
              <w:rPr>
                <w:rFonts w:ascii="宋体"/>
              </w:rPr>
            </w:pPr>
          </w:p>
        </w:tc>
        <w:tc>
          <w:tcPr>
            <w:tcW w:w="0" w:type="auto"/>
            <w:shd w:val="clear" w:color="auto" w:fill="auto"/>
          </w:tcPr>
          <w:p w14:paraId="36CA4AF9" w14:textId="77777777" w:rsidR="00787570" w:rsidRDefault="00787570">
            <w:pPr>
              <w:rPr>
                <w:rFonts w:ascii="宋体"/>
              </w:rPr>
            </w:pPr>
          </w:p>
        </w:tc>
        <w:tc>
          <w:tcPr>
            <w:tcW w:w="0" w:type="auto"/>
            <w:shd w:val="clear" w:color="auto" w:fill="auto"/>
          </w:tcPr>
          <w:p w14:paraId="36CA4AFA" w14:textId="77777777" w:rsidR="00787570" w:rsidRDefault="00787570">
            <w:pPr>
              <w:rPr>
                <w:rFonts w:ascii="宋体"/>
              </w:rPr>
            </w:pPr>
          </w:p>
        </w:tc>
        <w:tc>
          <w:tcPr>
            <w:tcW w:w="0" w:type="auto"/>
            <w:shd w:val="clear" w:color="auto" w:fill="auto"/>
          </w:tcPr>
          <w:p w14:paraId="36CA4AFB" w14:textId="77777777" w:rsidR="00787570" w:rsidRDefault="00787570">
            <w:pPr>
              <w:rPr>
                <w:rFonts w:ascii="宋体"/>
              </w:rPr>
            </w:pPr>
          </w:p>
        </w:tc>
        <w:tc>
          <w:tcPr>
            <w:tcW w:w="0" w:type="auto"/>
            <w:shd w:val="clear" w:color="auto" w:fill="auto"/>
          </w:tcPr>
          <w:p w14:paraId="36CA4AFC" w14:textId="77777777" w:rsidR="00787570" w:rsidRDefault="00787570">
            <w:pPr>
              <w:rPr>
                <w:rFonts w:ascii="宋体"/>
              </w:rPr>
            </w:pPr>
          </w:p>
        </w:tc>
        <w:tc>
          <w:tcPr>
            <w:tcW w:w="0" w:type="auto"/>
            <w:shd w:val="clear" w:color="auto" w:fill="auto"/>
          </w:tcPr>
          <w:p w14:paraId="36CA4AFD" w14:textId="77777777" w:rsidR="00787570" w:rsidRDefault="00787570">
            <w:pPr>
              <w:rPr>
                <w:rFonts w:ascii="宋体"/>
              </w:rPr>
            </w:pPr>
          </w:p>
        </w:tc>
        <w:tc>
          <w:tcPr>
            <w:tcW w:w="0" w:type="auto"/>
            <w:shd w:val="clear" w:color="auto" w:fill="auto"/>
          </w:tcPr>
          <w:p w14:paraId="36CA4AFE" w14:textId="77777777" w:rsidR="00787570" w:rsidRDefault="00787570">
            <w:pPr>
              <w:rPr>
                <w:rFonts w:ascii="宋体"/>
              </w:rPr>
            </w:pPr>
          </w:p>
        </w:tc>
        <w:tc>
          <w:tcPr>
            <w:tcW w:w="0" w:type="auto"/>
            <w:shd w:val="clear" w:color="auto" w:fill="auto"/>
          </w:tcPr>
          <w:p w14:paraId="36CA4AFF" w14:textId="77777777" w:rsidR="00787570" w:rsidRDefault="00787570">
            <w:pPr>
              <w:rPr>
                <w:rFonts w:ascii="宋体"/>
              </w:rPr>
            </w:pPr>
          </w:p>
        </w:tc>
        <w:tc>
          <w:tcPr>
            <w:tcW w:w="0" w:type="auto"/>
            <w:shd w:val="clear" w:color="auto" w:fill="auto"/>
          </w:tcPr>
          <w:p w14:paraId="36CA4B00" w14:textId="77777777" w:rsidR="00787570" w:rsidRDefault="00787570">
            <w:pPr>
              <w:rPr>
                <w:rFonts w:ascii="宋体"/>
              </w:rPr>
            </w:pPr>
          </w:p>
        </w:tc>
      </w:tr>
      <w:tr w:rsidR="00787570" w14:paraId="36CA4B21" w14:textId="77777777">
        <w:tc>
          <w:tcPr>
            <w:tcW w:w="0" w:type="auto"/>
            <w:gridSpan w:val="3"/>
            <w:shd w:val="clear" w:color="auto" w:fill="auto"/>
            <w:tcMar>
              <w:top w:w="40" w:type="dxa"/>
              <w:left w:w="20" w:type="dxa"/>
              <w:bottom w:w="40" w:type="dxa"/>
              <w:right w:w="20" w:type="dxa"/>
            </w:tcMar>
            <w:vAlign w:val="bottom"/>
          </w:tcPr>
          <w:p w14:paraId="36CA4B02" w14:textId="77777777" w:rsidR="00787570" w:rsidRDefault="000D56E2">
            <w:pPr>
              <w:textAlignment w:val="bottom"/>
            </w:pPr>
            <w:r>
              <w:rPr>
                <w:rFonts w:ascii="Arial" w:eastAsia="宋体" w:hAnsi="Arial" w:cs="Arial"/>
                <w:color w:val="333333"/>
                <w:sz w:val="18"/>
                <w:szCs w:val="18"/>
              </w:rPr>
              <w:t>Adjacent products and other</w:t>
            </w:r>
          </w:p>
        </w:tc>
        <w:tc>
          <w:tcPr>
            <w:tcW w:w="0" w:type="auto"/>
            <w:gridSpan w:val="3"/>
            <w:shd w:val="clear" w:color="auto" w:fill="auto"/>
            <w:tcMar>
              <w:left w:w="20" w:type="dxa"/>
              <w:right w:w="20" w:type="dxa"/>
            </w:tcMar>
            <w:vAlign w:val="bottom"/>
          </w:tcPr>
          <w:p w14:paraId="36CA4B03"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4B04"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4B05"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4B06"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center"/>
          </w:tcPr>
          <w:p w14:paraId="36CA4B07" w14:textId="77777777" w:rsidR="00787570" w:rsidRDefault="000D56E2">
            <w:pPr>
              <w:jc w:val="right"/>
              <w:textAlignment w:val="center"/>
            </w:pPr>
            <w:r>
              <w:rPr>
                <w:rFonts w:ascii="Arial" w:eastAsia="宋体" w:hAnsi="Arial" w:cs="Arial"/>
                <w:color w:val="0071C5"/>
                <w:sz w:val="18"/>
                <w:szCs w:val="18"/>
              </w:rPr>
              <w:t>(259)</w:t>
            </w:r>
          </w:p>
        </w:tc>
        <w:tc>
          <w:tcPr>
            <w:tcW w:w="0" w:type="auto"/>
            <w:shd w:val="clear" w:color="auto" w:fill="auto"/>
            <w:tcMar>
              <w:top w:w="40" w:type="dxa"/>
              <w:bottom w:w="40" w:type="dxa"/>
              <w:right w:w="20" w:type="dxa"/>
            </w:tcMar>
            <w:vAlign w:val="center"/>
          </w:tcPr>
          <w:p w14:paraId="36CA4B08"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4B09"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4B0A"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4B0B"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4B0C"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center"/>
          </w:tcPr>
          <w:p w14:paraId="36CA4B0D" w14:textId="77777777" w:rsidR="00787570" w:rsidRDefault="000D56E2">
            <w:pPr>
              <w:jc w:val="right"/>
              <w:textAlignment w:val="center"/>
            </w:pPr>
            <w:r>
              <w:rPr>
                <w:rFonts w:ascii="Arial" w:eastAsia="宋体" w:hAnsi="Arial" w:cs="Arial"/>
                <w:color w:val="0071C5"/>
                <w:sz w:val="18"/>
                <w:szCs w:val="18"/>
              </w:rPr>
              <w:t>392 </w:t>
            </w:r>
          </w:p>
        </w:tc>
        <w:tc>
          <w:tcPr>
            <w:tcW w:w="0" w:type="auto"/>
            <w:shd w:val="clear" w:color="auto" w:fill="auto"/>
            <w:tcMar>
              <w:top w:w="40" w:type="dxa"/>
              <w:bottom w:w="40" w:type="dxa"/>
              <w:right w:w="20" w:type="dxa"/>
            </w:tcMar>
            <w:vAlign w:val="center"/>
          </w:tcPr>
          <w:p w14:paraId="36CA4B0E" w14:textId="77777777" w:rsidR="00787570" w:rsidRDefault="00787570">
            <w:pPr>
              <w:jc w:val="right"/>
              <w:rPr>
                <w:rFonts w:ascii="宋体"/>
              </w:rPr>
            </w:pPr>
          </w:p>
        </w:tc>
        <w:tc>
          <w:tcPr>
            <w:tcW w:w="0" w:type="auto"/>
            <w:shd w:val="clear" w:color="auto" w:fill="auto"/>
          </w:tcPr>
          <w:p w14:paraId="36CA4B0F" w14:textId="77777777" w:rsidR="00787570" w:rsidRDefault="00787570">
            <w:pPr>
              <w:rPr>
                <w:rFonts w:ascii="宋体"/>
              </w:rPr>
            </w:pPr>
          </w:p>
        </w:tc>
        <w:tc>
          <w:tcPr>
            <w:tcW w:w="0" w:type="auto"/>
            <w:shd w:val="clear" w:color="auto" w:fill="auto"/>
          </w:tcPr>
          <w:p w14:paraId="36CA4B10" w14:textId="77777777" w:rsidR="00787570" w:rsidRDefault="00787570">
            <w:pPr>
              <w:rPr>
                <w:rFonts w:ascii="宋体"/>
              </w:rPr>
            </w:pPr>
          </w:p>
        </w:tc>
        <w:tc>
          <w:tcPr>
            <w:tcW w:w="0" w:type="auto"/>
            <w:shd w:val="clear" w:color="auto" w:fill="auto"/>
          </w:tcPr>
          <w:p w14:paraId="36CA4B11" w14:textId="77777777" w:rsidR="00787570" w:rsidRDefault="00787570">
            <w:pPr>
              <w:rPr>
                <w:rFonts w:ascii="宋体"/>
              </w:rPr>
            </w:pPr>
          </w:p>
        </w:tc>
        <w:tc>
          <w:tcPr>
            <w:tcW w:w="0" w:type="auto"/>
            <w:shd w:val="clear" w:color="auto" w:fill="auto"/>
          </w:tcPr>
          <w:p w14:paraId="36CA4B12" w14:textId="77777777" w:rsidR="00787570" w:rsidRDefault="00787570">
            <w:pPr>
              <w:rPr>
                <w:rFonts w:ascii="宋体"/>
              </w:rPr>
            </w:pPr>
          </w:p>
        </w:tc>
        <w:tc>
          <w:tcPr>
            <w:tcW w:w="0" w:type="auto"/>
            <w:shd w:val="clear" w:color="auto" w:fill="auto"/>
          </w:tcPr>
          <w:p w14:paraId="36CA4B13" w14:textId="77777777" w:rsidR="00787570" w:rsidRDefault="00787570">
            <w:pPr>
              <w:rPr>
                <w:rFonts w:ascii="宋体"/>
              </w:rPr>
            </w:pPr>
          </w:p>
        </w:tc>
        <w:tc>
          <w:tcPr>
            <w:tcW w:w="0" w:type="auto"/>
            <w:shd w:val="clear" w:color="auto" w:fill="auto"/>
          </w:tcPr>
          <w:p w14:paraId="36CA4B14" w14:textId="77777777" w:rsidR="00787570" w:rsidRDefault="00787570">
            <w:pPr>
              <w:rPr>
                <w:rFonts w:ascii="宋体"/>
              </w:rPr>
            </w:pPr>
          </w:p>
        </w:tc>
        <w:tc>
          <w:tcPr>
            <w:tcW w:w="0" w:type="auto"/>
            <w:shd w:val="clear" w:color="auto" w:fill="auto"/>
          </w:tcPr>
          <w:p w14:paraId="36CA4B15" w14:textId="77777777" w:rsidR="00787570" w:rsidRDefault="00787570">
            <w:pPr>
              <w:rPr>
                <w:rFonts w:ascii="宋体"/>
              </w:rPr>
            </w:pPr>
          </w:p>
        </w:tc>
        <w:tc>
          <w:tcPr>
            <w:tcW w:w="0" w:type="auto"/>
            <w:shd w:val="clear" w:color="auto" w:fill="auto"/>
          </w:tcPr>
          <w:p w14:paraId="36CA4B16" w14:textId="77777777" w:rsidR="00787570" w:rsidRDefault="00787570">
            <w:pPr>
              <w:rPr>
                <w:rFonts w:ascii="宋体"/>
              </w:rPr>
            </w:pPr>
          </w:p>
        </w:tc>
        <w:tc>
          <w:tcPr>
            <w:tcW w:w="0" w:type="auto"/>
            <w:shd w:val="clear" w:color="auto" w:fill="auto"/>
          </w:tcPr>
          <w:p w14:paraId="36CA4B17" w14:textId="77777777" w:rsidR="00787570" w:rsidRDefault="00787570">
            <w:pPr>
              <w:rPr>
                <w:rFonts w:ascii="宋体"/>
              </w:rPr>
            </w:pPr>
          </w:p>
        </w:tc>
        <w:tc>
          <w:tcPr>
            <w:tcW w:w="0" w:type="auto"/>
            <w:shd w:val="clear" w:color="auto" w:fill="auto"/>
          </w:tcPr>
          <w:p w14:paraId="36CA4B18" w14:textId="77777777" w:rsidR="00787570" w:rsidRDefault="00787570">
            <w:pPr>
              <w:rPr>
                <w:rFonts w:ascii="宋体"/>
              </w:rPr>
            </w:pPr>
          </w:p>
        </w:tc>
        <w:tc>
          <w:tcPr>
            <w:tcW w:w="0" w:type="auto"/>
            <w:shd w:val="clear" w:color="auto" w:fill="auto"/>
          </w:tcPr>
          <w:p w14:paraId="36CA4B19" w14:textId="77777777" w:rsidR="00787570" w:rsidRDefault="00787570">
            <w:pPr>
              <w:rPr>
                <w:rFonts w:ascii="宋体"/>
              </w:rPr>
            </w:pPr>
          </w:p>
        </w:tc>
        <w:tc>
          <w:tcPr>
            <w:tcW w:w="0" w:type="auto"/>
            <w:shd w:val="clear" w:color="auto" w:fill="auto"/>
          </w:tcPr>
          <w:p w14:paraId="36CA4B1A" w14:textId="77777777" w:rsidR="00787570" w:rsidRDefault="00787570">
            <w:pPr>
              <w:rPr>
                <w:rFonts w:ascii="宋体"/>
              </w:rPr>
            </w:pPr>
          </w:p>
        </w:tc>
        <w:tc>
          <w:tcPr>
            <w:tcW w:w="0" w:type="auto"/>
            <w:shd w:val="clear" w:color="auto" w:fill="auto"/>
          </w:tcPr>
          <w:p w14:paraId="36CA4B1B" w14:textId="77777777" w:rsidR="00787570" w:rsidRDefault="00787570">
            <w:pPr>
              <w:rPr>
                <w:rFonts w:ascii="宋体"/>
              </w:rPr>
            </w:pPr>
          </w:p>
        </w:tc>
        <w:tc>
          <w:tcPr>
            <w:tcW w:w="0" w:type="auto"/>
            <w:shd w:val="clear" w:color="auto" w:fill="auto"/>
          </w:tcPr>
          <w:p w14:paraId="36CA4B1C" w14:textId="77777777" w:rsidR="00787570" w:rsidRDefault="00787570">
            <w:pPr>
              <w:rPr>
                <w:rFonts w:ascii="宋体"/>
              </w:rPr>
            </w:pPr>
          </w:p>
        </w:tc>
        <w:tc>
          <w:tcPr>
            <w:tcW w:w="0" w:type="auto"/>
            <w:shd w:val="clear" w:color="auto" w:fill="auto"/>
          </w:tcPr>
          <w:p w14:paraId="36CA4B1D" w14:textId="77777777" w:rsidR="00787570" w:rsidRDefault="00787570">
            <w:pPr>
              <w:rPr>
                <w:rFonts w:ascii="宋体"/>
              </w:rPr>
            </w:pPr>
          </w:p>
        </w:tc>
        <w:tc>
          <w:tcPr>
            <w:tcW w:w="0" w:type="auto"/>
            <w:shd w:val="clear" w:color="auto" w:fill="auto"/>
          </w:tcPr>
          <w:p w14:paraId="36CA4B1E" w14:textId="77777777" w:rsidR="00787570" w:rsidRDefault="00787570">
            <w:pPr>
              <w:rPr>
                <w:rFonts w:ascii="宋体"/>
              </w:rPr>
            </w:pPr>
          </w:p>
        </w:tc>
        <w:tc>
          <w:tcPr>
            <w:tcW w:w="0" w:type="auto"/>
            <w:shd w:val="clear" w:color="auto" w:fill="auto"/>
          </w:tcPr>
          <w:p w14:paraId="36CA4B1F" w14:textId="77777777" w:rsidR="00787570" w:rsidRDefault="00787570">
            <w:pPr>
              <w:rPr>
                <w:rFonts w:ascii="宋体"/>
              </w:rPr>
            </w:pPr>
          </w:p>
        </w:tc>
        <w:tc>
          <w:tcPr>
            <w:tcW w:w="0" w:type="auto"/>
            <w:shd w:val="clear" w:color="auto" w:fill="auto"/>
          </w:tcPr>
          <w:p w14:paraId="36CA4B20" w14:textId="77777777" w:rsidR="00787570" w:rsidRDefault="00787570">
            <w:pPr>
              <w:rPr>
                <w:rFonts w:ascii="宋体"/>
              </w:rPr>
            </w:pPr>
          </w:p>
        </w:tc>
      </w:tr>
      <w:tr w:rsidR="00787570" w14:paraId="36CA4B3F" w14:textId="77777777">
        <w:trPr>
          <w:trHeight w:val="60"/>
        </w:trPr>
        <w:tc>
          <w:tcPr>
            <w:tcW w:w="0" w:type="auto"/>
            <w:gridSpan w:val="3"/>
            <w:shd w:val="clear" w:color="auto" w:fill="auto"/>
            <w:tcMar>
              <w:left w:w="20" w:type="dxa"/>
              <w:right w:w="20" w:type="dxa"/>
            </w:tcMar>
            <w:vAlign w:val="bottom"/>
          </w:tcPr>
          <w:p w14:paraId="36CA4B22"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4B23"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4B24"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4B25"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4B26"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4B27"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4B28"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4B29"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4B2A"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4B2B"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4B2C" w14:textId="77777777" w:rsidR="00787570" w:rsidRDefault="00787570">
            <w:pPr>
              <w:rPr>
                <w:rFonts w:ascii="宋体"/>
              </w:rPr>
            </w:pPr>
          </w:p>
        </w:tc>
        <w:tc>
          <w:tcPr>
            <w:tcW w:w="0" w:type="auto"/>
            <w:shd w:val="clear" w:color="auto" w:fill="auto"/>
          </w:tcPr>
          <w:p w14:paraId="36CA4B2D" w14:textId="77777777" w:rsidR="00787570" w:rsidRDefault="00787570">
            <w:pPr>
              <w:rPr>
                <w:rFonts w:ascii="宋体"/>
              </w:rPr>
            </w:pPr>
          </w:p>
        </w:tc>
        <w:tc>
          <w:tcPr>
            <w:tcW w:w="0" w:type="auto"/>
            <w:shd w:val="clear" w:color="auto" w:fill="auto"/>
          </w:tcPr>
          <w:p w14:paraId="36CA4B2E" w14:textId="77777777" w:rsidR="00787570" w:rsidRDefault="00787570">
            <w:pPr>
              <w:rPr>
                <w:rFonts w:ascii="宋体"/>
              </w:rPr>
            </w:pPr>
          </w:p>
        </w:tc>
        <w:tc>
          <w:tcPr>
            <w:tcW w:w="0" w:type="auto"/>
            <w:shd w:val="clear" w:color="auto" w:fill="auto"/>
          </w:tcPr>
          <w:p w14:paraId="36CA4B2F" w14:textId="77777777" w:rsidR="00787570" w:rsidRDefault="00787570">
            <w:pPr>
              <w:rPr>
                <w:rFonts w:ascii="宋体"/>
              </w:rPr>
            </w:pPr>
          </w:p>
        </w:tc>
        <w:tc>
          <w:tcPr>
            <w:tcW w:w="0" w:type="auto"/>
            <w:shd w:val="clear" w:color="auto" w:fill="auto"/>
          </w:tcPr>
          <w:p w14:paraId="36CA4B30" w14:textId="77777777" w:rsidR="00787570" w:rsidRDefault="00787570">
            <w:pPr>
              <w:rPr>
                <w:rFonts w:ascii="宋体"/>
              </w:rPr>
            </w:pPr>
          </w:p>
        </w:tc>
        <w:tc>
          <w:tcPr>
            <w:tcW w:w="0" w:type="auto"/>
            <w:shd w:val="clear" w:color="auto" w:fill="auto"/>
          </w:tcPr>
          <w:p w14:paraId="36CA4B31" w14:textId="77777777" w:rsidR="00787570" w:rsidRDefault="00787570">
            <w:pPr>
              <w:rPr>
                <w:rFonts w:ascii="宋体"/>
              </w:rPr>
            </w:pPr>
          </w:p>
        </w:tc>
        <w:tc>
          <w:tcPr>
            <w:tcW w:w="0" w:type="auto"/>
            <w:shd w:val="clear" w:color="auto" w:fill="auto"/>
          </w:tcPr>
          <w:p w14:paraId="36CA4B32" w14:textId="77777777" w:rsidR="00787570" w:rsidRDefault="00787570">
            <w:pPr>
              <w:rPr>
                <w:rFonts w:ascii="宋体"/>
              </w:rPr>
            </w:pPr>
          </w:p>
        </w:tc>
        <w:tc>
          <w:tcPr>
            <w:tcW w:w="0" w:type="auto"/>
            <w:shd w:val="clear" w:color="auto" w:fill="auto"/>
          </w:tcPr>
          <w:p w14:paraId="36CA4B33" w14:textId="77777777" w:rsidR="00787570" w:rsidRDefault="00787570">
            <w:pPr>
              <w:rPr>
                <w:rFonts w:ascii="宋体"/>
              </w:rPr>
            </w:pPr>
          </w:p>
        </w:tc>
        <w:tc>
          <w:tcPr>
            <w:tcW w:w="0" w:type="auto"/>
            <w:shd w:val="clear" w:color="auto" w:fill="auto"/>
          </w:tcPr>
          <w:p w14:paraId="36CA4B34" w14:textId="77777777" w:rsidR="00787570" w:rsidRDefault="00787570">
            <w:pPr>
              <w:rPr>
                <w:rFonts w:ascii="宋体"/>
              </w:rPr>
            </w:pPr>
          </w:p>
        </w:tc>
        <w:tc>
          <w:tcPr>
            <w:tcW w:w="0" w:type="auto"/>
            <w:shd w:val="clear" w:color="auto" w:fill="auto"/>
          </w:tcPr>
          <w:p w14:paraId="36CA4B35" w14:textId="77777777" w:rsidR="00787570" w:rsidRDefault="00787570">
            <w:pPr>
              <w:rPr>
                <w:rFonts w:ascii="宋体"/>
              </w:rPr>
            </w:pPr>
          </w:p>
        </w:tc>
        <w:tc>
          <w:tcPr>
            <w:tcW w:w="0" w:type="auto"/>
            <w:shd w:val="clear" w:color="auto" w:fill="auto"/>
          </w:tcPr>
          <w:p w14:paraId="36CA4B36" w14:textId="77777777" w:rsidR="00787570" w:rsidRDefault="00787570">
            <w:pPr>
              <w:rPr>
                <w:rFonts w:ascii="宋体"/>
              </w:rPr>
            </w:pPr>
          </w:p>
        </w:tc>
        <w:tc>
          <w:tcPr>
            <w:tcW w:w="0" w:type="auto"/>
            <w:shd w:val="clear" w:color="auto" w:fill="auto"/>
          </w:tcPr>
          <w:p w14:paraId="36CA4B37" w14:textId="77777777" w:rsidR="00787570" w:rsidRDefault="00787570">
            <w:pPr>
              <w:rPr>
                <w:rFonts w:ascii="宋体"/>
              </w:rPr>
            </w:pPr>
          </w:p>
        </w:tc>
        <w:tc>
          <w:tcPr>
            <w:tcW w:w="0" w:type="auto"/>
            <w:shd w:val="clear" w:color="auto" w:fill="auto"/>
          </w:tcPr>
          <w:p w14:paraId="36CA4B38" w14:textId="77777777" w:rsidR="00787570" w:rsidRDefault="00787570">
            <w:pPr>
              <w:rPr>
                <w:rFonts w:ascii="宋体"/>
              </w:rPr>
            </w:pPr>
          </w:p>
        </w:tc>
        <w:tc>
          <w:tcPr>
            <w:tcW w:w="0" w:type="auto"/>
            <w:shd w:val="clear" w:color="auto" w:fill="auto"/>
          </w:tcPr>
          <w:p w14:paraId="36CA4B39" w14:textId="77777777" w:rsidR="00787570" w:rsidRDefault="00787570">
            <w:pPr>
              <w:rPr>
                <w:rFonts w:ascii="宋体"/>
              </w:rPr>
            </w:pPr>
          </w:p>
        </w:tc>
        <w:tc>
          <w:tcPr>
            <w:tcW w:w="0" w:type="auto"/>
            <w:shd w:val="clear" w:color="auto" w:fill="auto"/>
          </w:tcPr>
          <w:p w14:paraId="36CA4B3A" w14:textId="77777777" w:rsidR="00787570" w:rsidRDefault="00787570">
            <w:pPr>
              <w:rPr>
                <w:rFonts w:ascii="宋体"/>
              </w:rPr>
            </w:pPr>
          </w:p>
        </w:tc>
        <w:tc>
          <w:tcPr>
            <w:tcW w:w="0" w:type="auto"/>
            <w:shd w:val="clear" w:color="auto" w:fill="auto"/>
          </w:tcPr>
          <w:p w14:paraId="36CA4B3B" w14:textId="77777777" w:rsidR="00787570" w:rsidRDefault="00787570">
            <w:pPr>
              <w:rPr>
                <w:rFonts w:ascii="宋体"/>
              </w:rPr>
            </w:pPr>
          </w:p>
        </w:tc>
        <w:tc>
          <w:tcPr>
            <w:tcW w:w="0" w:type="auto"/>
            <w:shd w:val="clear" w:color="auto" w:fill="auto"/>
          </w:tcPr>
          <w:p w14:paraId="36CA4B3C" w14:textId="77777777" w:rsidR="00787570" w:rsidRDefault="00787570">
            <w:pPr>
              <w:rPr>
                <w:rFonts w:ascii="宋体"/>
              </w:rPr>
            </w:pPr>
          </w:p>
        </w:tc>
        <w:tc>
          <w:tcPr>
            <w:tcW w:w="0" w:type="auto"/>
            <w:shd w:val="clear" w:color="auto" w:fill="auto"/>
          </w:tcPr>
          <w:p w14:paraId="36CA4B3D" w14:textId="77777777" w:rsidR="00787570" w:rsidRDefault="00787570">
            <w:pPr>
              <w:rPr>
                <w:rFonts w:ascii="宋体"/>
              </w:rPr>
            </w:pPr>
          </w:p>
        </w:tc>
        <w:tc>
          <w:tcPr>
            <w:tcW w:w="0" w:type="auto"/>
            <w:shd w:val="clear" w:color="auto" w:fill="auto"/>
          </w:tcPr>
          <w:p w14:paraId="36CA4B3E" w14:textId="77777777" w:rsidR="00787570" w:rsidRDefault="00787570">
            <w:pPr>
              <w:rPr>
                <w:rFonts w:ascii="宋体"/>
              </w:rPr>
            </w:pPr>
          </w:p>
        </w:tc>
      </w:tr>
      <w:tr w:rsidR="00787570" w14:paraId="36CA4B61" w14:textId="77777777">
        <w:tc>
          <w:tcPr>
            <w:tcW w:w="0" w:type="auto"/>
            <w:gridSpan w:val="3"/>
            <w:shd w:val="clear" w:color="auto" w:fill="auto"/>
            <w:tcMar>
              <w:top w:w="40" w:type="dxa"/>
              <w:left w:w="20" w:type="dxa"/>
              <w:bottom w:w="40" w:type="dxa"/>
              <w:right w:w="20" w:type="dxa"/>
            </w:tcMar>
            <w:vAlign w:val="bottom"/>
          </w:tcPr>
          <w:p w14:paraId="36CA4B40" w14:textId="77777777" w:rsidR="00787570" w:rsidRDefault="000D56E2">
            <w:pPr>
              <w:textAlignment w:val="bottom"/>
            </w:pPr>
            <w:r>
              <w:rPr>
                <w:rFonts w:ascii="Arial" w:eastAsia="宋体" w:hAnsi="Arial" w:cs="Arial"/>
                <w:b/>
                <w:bCs/>
                <w:color w:val="333333"/>
                <w:sz w:val="18"/>
                <w:szCs w:val="18"/>
              </w:rPr>
              <w:t>Total change in revenue</w:t>
            </w:r>
          </w:p>
        </w:tc>
        <w:tc>
          <w:tcPr>
            <w:tcW w:w="0" w:type="auto"/>
            <w:gridSpan w:val="3"/>
            <w:shd w:val="clear" w:color="auto" w:fill="auto"/>
            <w:tcMar>
              <w:left w:w="20" w:type="dxa"/>
              <w:right w:w="20" w:type="dxa"/>
            </w:tcMar>
            <w:vAlign w:val="bottom"/>
          </w:tcPr>
          <w:p w14:paraId="36CA4B41"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4B42"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4B43"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4B44" w14:textId="77777777" w:rsidR="00787570" w:rsidRDefault="00787570">
            <w:pPr>
              <w:rPr>
                <w:rFonts w:ascii="宋体"/>
              </w:rPr>
            </w:pPr>
          </w:p>
        </w:tc>
        <w:tc>
          <w:tcPr>
            <w:tcW w:w="0" w:type="auto"/>
            <w:tcBorders>
              <w:top w:val="single" w:sz="8" w:space="0" w:color="333333"/>
              <w:bottom w:val="double" w:sz="6" w:space="0" w:color="333333"/>
            </w:tcBorders>
            <w:shd w:val="clear" w:color="auto" w:fill="auto"/>
            <w:tcMar>
              <w:top w:w="40" w:type="dxa"/>
              <w:left w:w="20" w:type="dxa"/>
              <w:bottom w:w="40" w:type="dxa"/>
            </w:tcMar>
            <w:vAlign w:val="bottom"/>
          </w:tcPr>
          <w:p w14:paraId="36CA4B45" w14:textId="77777777" w:rsidR="00787570" w:rsidRDefault="000D56E2">
            <w:pPr>
              <w:textAlignment w:val="bottom"/>
            </w:pPr>
            <w:r>
              <w:rPr>
                <w:rFonts w:ascii="Arial" w:eastAsia="宋体" w:hAnsi="Arial" w:cs="Arial"/>
                <w:b/>
                <w:bCs/>
                <w:color w:val="0071C5"/>
                <w:sz w:val="18"/>
                <w:szCs w:val="18"/>
              </w:rPr>
              <w:t>$</w:t>
            </w:r>
          </w:p>
        </w:tc>
        <w:tc>
          <w:tcPr>
            <w:tcW w:w="0" w:type="auto"/>
            <w:tcBorders>
              <w:top w:val="single" w:sz="8" w:space="0" w:color="333333"/>
              <w:bottom w:val="double" w:sz="6" w:space="0" w:color="333333"/>
            </w:tcBorders>
            <w:shd w:val="clear" w:color="auto" w:fill="auto"/>
            <w:tcMar>
              <w:top w:w="40" w:type="dxa"/>
              <w:bottom w:w="40" w:type="dxa"/>
              <w:right w:w="0" w:type="dxa"/>
            </w:tcMar>
            <w:vAlign w:val="bottom"/>
          </w:tcPr>
          <w:p w14:paraId="36CA4B46" w14:textId="77777777" w:rsidR="00787570" w:rsidRDefault="000D56E2">
            <w:pPr>
              <w:jc w:val="right"/>
              <w:textAlignment w:val="bottom"/>
            </w:pPr>
            <w:r>
              <w:rPr>
                <w:rFonts w:ascii="Arial" w:eastAsia="宋体" w:hAnsi="Arial" w:cs="Arial"/>
                <w:b/>
                <w:bCs/>
                <w:color w:val="0071C5"/>
                <w:sz w:val="18"/>
                <w:szCs w:val="18"/>
              </w:rPr>
              <w:t>138</w:t>
            </w:r>
            <w:r>
              <w:rPr>
                <w:rFonts w:ascii="Arial" w:eastAsia="宋体" w:hAnsi="Arial" w:cs="Arial"/>
                <w:color w:val="0071C5"/>
                <w:sz w:val="18"/>
                <w:szCs w:val="18"/>
              </w:rPr>
              <w:t> </w:t>
            </w:r>
          </w:p>
        </w:tc>
        <w:tc>
          <w:tcPr>
            <w:tcW w:w="0" w:type="auto"/>
            <w:tcBorders>
              <w:top w:val="single" w:sz="8" w:space="0" w:color="333333"/>
              <w:bottom w:val="double" w:sz="6" w:space="0" w:color="333333"/>
            </w:tcBorders>
            <w:shd w:val="clear" w:color="auto" w:fill="auto"/>
            <w:tcMar>
              <w:top w:w="40" w:type="dxa"/>
              <w:bottom w:w="40" w:type="dxa"/>
              <w:right w:w="20" w:type="dxa"/>
            </w:tcMar>
            <w:vAlign w:val="bottom"/>
          </w:tcPr>
          <w:p w14:paraId="36CA4B47"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4B48"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4B49"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4B4A"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4B4B" w14:textId="77777777" w:rsidR="00787570" w:rsidRDefault="00787570">
            <w:pPr>
              <w:rPr>
                <w:rFonts w:ascii="宋体"/>
              </w:rPr>
            </w:pPr>
          </w:p>
        </w:tc>
        <w:tc>
          <w:tcPr>
            <w:tcW w:w="0" w:type="auto"/>
            <w:tcBorders>
              <w:top w:val="single" w:sz="8" w:space="0" w:color="333333"/>
              <w:bottom w:val="double" w:sz="6" w:space="0" w:color="333333"/>
            </w:tcBorders>
            <w:shd w:val="clear" w:color="auto" w:fill="auto"/>
            <w:tcMar>
              <w:top w:w="40" w:type="dxa"/>
              <w:left w:w="20" w:type="dxa"/>
              <w:bottom w:w="40" w:type="dxa"/>
            </w:tcMar>
            <w:vAlign w:val="bottom"/>
          </w:tcPr>
          <w:p w14:paraId="36CA4B4C" w14:textId="77777777" w:rsidR="00787570" w:rsidRDefault="000D56E2">
            <w:pPr>
              <w:textAlignment w:val="bottom"/>
            </w:pPr>
            <w:r>
              <w:rPr>
                <w:rFonts w:ascii="Arial" w:eastAsia="宋体" w:hAnsi="Arial" w:cs="Arial"/>
                <w:b/>
                <w:bCs/>
                <w:color w:val="0071C5"/>
                <w:sz w:val="18"/>
                <w:szCs w:val="18"/>
              </w:rPr>
              <w:t>$</w:t>
            </w:r>
          </w:p>
        </w:tc>
        <w:tc>
          <w:tcPr>
            <w:tcW w:w="0" w:type="auto"/>
            <w:tcBorders>
              <w:top w:val="single" w:sz="8" w:space="0" w:color="333333"/>
              <w:bottom w:val="double" w:sz="6" w:space="0" w:color="333333"/>
            </w:tcBorders>
            <w:shd w:val="clear" w:color="auto" w:fill="auto"/>
            <w:tcMar>
              <w:top w:w="40" w:type="dxa"/>
              <w:bottom w:w="40" w:type="dxa"/>
              <w:right w:w="0" w:type="dxa"/>
            </w:tcMar>
            <w:vAlign w:val="bottom"/>
          </w:tcPr>
          <w:p w14:paraId="36CA4B4D" w14:textId="77777777" w:rsidR="00787570" w:rsidRDefault="000D56E2">
            <w:pPr>
              <w:jc w:val="right"/>
              <w:textAlignment w:val="bottom"/>
            </w:pPr>
            <w:r>
              <w:rPr>
                <w:rFonts w:ascii="Arial" w:eastAsia="宋体" w:hAnsi="Arial" w:cs="Arial"/>
                <w:b/>
                <w:bCs/>
                <w:color w:val="0071C5"/>
                <w:sz w:val="18"/>
                <w:szCs w:val="18"/>
              </w:rPr>
              <w:t>1,982</w:t>
            </w:r>
            <w:r>
              <w:rPr>
                <w:rFonts w:ascii="Arial" w:eastAsia="宋体" w:hAnsi="Arial" w:cs="Arial"/>
                <w:color w:val="0071C5"/>
                <w:sz w:val="18"/>
                <w:szCs w:val="18"/>
              </w:rPr>
              <w:t> </w:t>
            </w:r>
          </w:p>
        </w:tc>
        <w:tc>
          <w:tcPr>
            <w:tcW w:w="0" w:type="auto"/>
            <w:tcBorders>
              <w:top w:val="single" w:sz="8" w:space="0" w:color="333333"/>
              <w:bottom w:val="double" w:sz="6" w:space="0" w:color="333333"/>
            </w:tcBorders>
            <w:shd w:val="clear" w:color="auto" w:fill="auto"/>
            <w:tcMar>
              <w:top w:w="40" w:type="dxa"/>
              <w:bottom w:w="40" w:type="dxa"/>
              <w:right w:w="20" w:type="dxa"/>
            </w:tcMar>
            <w:vAlign w:val="bottom"/>
          </w:tcPr>
          <w:p w14:paraId="36CA4B4E" w14:textId="77777777" w:rsidR="00787570" w:rsidRDefault="00787570">
            <w:pPr>
              <w:jc w:val="right"/>
              <w:rPr>
                <w:rFonts w:ascii="宋体"/>
              </w:rPr>
            </w:pPr>
          </w:p>
        </w:tc>
        <w:tc>
          <w:tcPr>
            <w:tcW w:w="0" w:type="auto"/>
            <w:shd w:val="clear" w:color="auto" w:fill="auto"/>
          </w:tcPr>
          <w:p w14:paraId="36CA4B4F" w14:textId="77777777" w:rsidR="00787570" w:rsidRDefault="00787570">
            <w:pPr>
              <w:rPr>
                <w:rFonts w:ascii="宋体"/>
              </w:rPr>
            </w:pPr>
          </w:p>
        </w:tc>
        <w:tc>
          <w:tcPr>
            <w:tcW w:w="0" w:type="auto"/>
            <w:shd w:val="clear" w:color="auto" w:fill="auto"/>
          </w:tcPr>
          <w:p w14:paraId="36CA4B50" w14:textId="77777777" w:rsidR="00787570" w:rsidRDefault="00787570">
            <w:pPr>
              <w:rPr>
                <w:rFonts w:ascii="宋体"/>
              </w:rPr>
            </w:pPr>
          </w:p>
        </w:tc>
        <w:tc>
          <w:tcPr>
            <w:tcW w:w="0" w:type="auto"/>
            <w:shd w:val="clear" w:color="auto" w:fill="auto"/>
          </w:tcPr>
          <w:p w14:paraId="36CA4B51" w14:textId="77777777" w:rsidR="00787570" w:rsidRDefault="00787570">
            <w:pPr>
              <w:rPr>
                <w:rFonts w:ascii="宋体"/>
              </w:rPr>
            </w:pPr>
          </w:p>
        </w:tc>
        <w:tc>
          <w:tcPr>
            <w:tcW w:w="0" w:type="auto"/>
            <w:shd w:val="clear" w:color="auto" w:fill="auto"/>
          </w:tcPr>
          <w:p w14:paraId="36CA4B52" w14:textId="77777777" w:rsidR="00787570" w:rsidRDefault="00787570">
            <w:pPr>
              <w:rPr>
                <w:rFonts w:ascii="宋体"/>
              </w:rPr>
            </w:pPr>
          </w:p>
        </w:tc>
        <w:tc>
          <w:tcPr>
            <w:tcW w:w="0" w:type="auto"/>
            <w:shd w:val="clear" w:color="auto" w:fill="auto"/>
          </w:tcPr>
          <w:p w14:paraId="36CA4B53" w14:textId="77777777" w:rsidR="00787570" w:rsidRDefault="00787570">
            <w:pPr>
              <w:rPr>
                <w:rFonts w:ascii="宋体"/>
              </w:rPr>
            </w:pPr>
          </w:p>
        </w:tc>
        <w:tc>
          <w:tcPr>
            <w:tcW w:w="0" w:type="auto"/>
            <w:shd w:val="clear" w:color="auto" w:fill="auto"/>
          </w:tcPr>
          <w:p w14:paraId="36CA4B54" w14:textId="77777777" w:rsidR="00787570" w:rsidRDefault="00787570">
            <w:pPr>
              <w:rPr>
                <w:rFonts w:ascii="宋体"/>
              </w:rPr>
            </w:pPr>
          </w:p>
        </w:tc>
        <w:tc>
          <w:tcPr>
            <w:tcW w:w="0" w:type="auto"/>
            <w:shd w:val="clear" w:color="auto" w:fill="auto"/>
          </w:tcPr>
          <w:p w14:paraId="36CA4B55" w14:textId="77777777" w:rsidR="00787570" w:rsidRDefault="00787570">
            <w:pPr>
              <w:rPr>
                <w:rFonts w:ascii="宋体"/>
              </w:rPr>
            </w:pPr>
          </w:p>
        </w:tc>
        <w:tc>
          <w:tcPr>
            <w:tcW w:w="0" w:type="auto"/>
            <w:shd w:val="clear" w:color="auto" w:fill="auto"/>
          </w:tcPr>
          <w:p w14:paraId="36CA4B56" w14:textId="77777777" w:rsidR="00787570" w:rsidRDefault="00787570">
            <w:pPr>
              <w:rPr>
                <w:rFonts w:ascii="宋体"/>
              </w:rPr>
            </w:pPr>
          </w:p>
        </w:tc>
        <w:tc>
          <w:tcPr>
            <w:tcW w:w="0" w:type="auto"/>
            <w:shd w:val="clear" w:color="auto" w:fill="auto"/>
          </w:tcPr>
          <w:p w14:paraId="36CA4B57" w14:textId="77777777" w:rsidR="00787570" w:rsidRDefault="00787570">
            <w:pPr>
              <w:rPr>
                <w:rFonts w:ascii="宋体"/>
              </w:rPr>
            </w:pPr>
          </w:p>
        </w:tc>
        <w:tc>
          <w:tcPr>
            <w:tcW w:w="0" w:type="auto"/>
            <w:shd w:val="clear" w:color="auto" w:fill="auto"/>
          </w:tcPr>
          <w:p w14:paraId="36CA4B58" w14:textId="77777777" w:rsidR="00787570" w:rsidRDefault="00787570">
            <w:pPr>
              <w:rPr>
                <w:rFonts w:ascii="宋体"/>
              </w:rPr>
            </w:pPr>
          </w:p>
        </w:tc>
        <w:tc>
          <w:tcPr>
            <w:tcW w:w="0" w:type="auto"/>
            <w:shd w:val="clear" w:color="auto" w:fill="auto"/>
          </w:tcPr>
          <w:p w14:paraId="36CA4B59" w14:textId="77777777" w:rsidR="00787570" w:rsidRDefault="00787570">
            <w:pPr>
              <w:rPr>
                <w:rFonts w:ascii="宋体"/>
              </w:rPr>
            </w:pPr>
          </w:p>
        </w:tc>
        <w:tc>
          <w:tcPr>
            <w:tcW w:w="0" w:type="auto"/>
            <w:shd w:val="clear" w:color="auto" w:fill="auto"/>
          </w:tcPr>
          <w:p w14:paraId="36CA4B5A" w14:textId="77777777" w:rsidR="00787570" w:rsidRDefault="00787570">
            <w:pPr>
              <w:rPr>
                <w:rFonts w:ascii="宋体"/>
              </w:rPr>
            </w:pPr>
          </w:p>
        </w:tc>
        <w:tc>
          <w:tcPr>
            <w:tcW w:w="0" w:type="auto"/>
            <w:shd w:val="clear" w:color="auto" w:fill="auto"/>
          </w:tcPr>
          <w:p w14:paraId="36CA4B5B" w14:textId="77777777" w:rsidR="00787570" w:rsidRDefault="00787570">
            <w:pPr>
              <w:rPr>
                <w:rFonts w:ascii="宋体"/>
              </w:rPr>
            </w:pPr>
          </w:p>
        </w:tc>
        <w:tc>
          <w:tcPr>
            <w:tcW w:w="0" w:type="auto"/>
            <w:shd w:val="clear" w:color="auto" w:fill="auto"/>
          </w:tcPr>
          <w:p w14:paraId="36CA4B5C" w14:textId="77777777" w:rsidR="00787570" w:rsidRDefault="00787570">
            <w:pPr>
              <w:rPr>
                <w:rFonts w:ascii="宋体"/>
              </w:rPr>
            </w:pPr>
          </w:p>
        </w:tc>
        <w:tc>
          <w:tcPr>
            <w:tcW w:w="0" w:type="auto"/>
            <w:shd w:val="clear" w:color="auto" w:fill="auto"/>
          </w:tcPr>
          <w:p w14:paraId="36CA4B5D" w14:textId="77777777" w:rsidR="00787570" w:rsidRDefault="00787570">
            <w:pPr>
              <w:rPr>
                <w:rFonts w:ascii="宋体"/>
              </w:rPr>
            </w:pPr>
          </w:p>
        </w:tc>
        <w:tc>
          <w:tcPr>
            <w:tcW w:w="0" w:type="auto"/>
            <w:shd w:val="clear" w:color="auto" w:fill="auto"/>
          </w:tcPr>
          <w:p w14:paraId="36CA4B5E" w14:textId="77777777" w:rsidR="00787570" w:rsidRDefault="00787570">
            <w:pPr>
              <w:rPr>
                <w:rFonts w:ascii="宋体"/>
              </w:rPr>
            </w:pPr>
          </w:p>
        </w:tc>
        <w:tc>
          <w:tcPr>
            <w:tcW w:w="0" w:type="auto"/>
            <w:shd w:val="clear" w:color="auto" w:fill="auto"/>
          </w:tcPr>
          <w:p w14:paraId="36CA4B5F" w14:textId="77777777" w:rsidR="00787570" w:rsidRDefault="00787570">
            <w:pPr>
              <w:rPr>
                <w:rFonts w:ascii="宋体"/>
              </w:rPr>
            </w:pPr>
          </w:p>
        </w:tc>
        <w:tc>
          <w:tcPr>
            <w:tcW w:w="0" w:type="auto"/>
            <w:shd w:val="clear" w:color="auto" w:fill="auto"/>
          </w:tcPr>
          <w:p w14:paraId="36CA4B60" w14:textId="77777777" w:rsidR="00787570" w:rsidRDefault="00787570">
            <w:pPr>
              <w:rPr>
                <w:rFonts w:ascii="宋体"/>
              </w:rPr>
            </w:pPr>
          </w:p>
        </w:tc>
      </w:tr>
    </w:tbl>
    <w:p w14:paraId="36CA4B62" w14:textId="77777777" w:rsidR="00787570" w:rsidRDefault="00787570">
      <w:pPr>
        <w:spacing w:after="120"/>
      </w:pPr>
    </w:p>
    <w:p w14:paraId="36CA4B63" w14:textId="77777777" w:rsidR="00787570" w:rsidRDefault="00787570">
      <w:pPr>
        <w:spacing w:after="120"/>
      </w:pPr>
    </w:p>
    <w:p w14:paraId="36CA4B64" w14:textId="77777777" w:rsidR="00787570" w:rsidRDefault="00787570">
      <w:pPr>
        <w:spacing w:after="120"/>
      </w:pPr>
    </w:p>
    <w:p w14:paraId="36CA4B65" w14:textId="77777777" w:rsidR="00787570" w:rsidRDefault="00787570">
      <w:pPr>
        <w:spacing w:after="120"/>
      </w:pPr>
    </w:p>
    <w:p w14:paraId="36CA4B66" w14:textId="77777777" w:rsidR="00787570" w:rsidRDefault="00787570">
      <w:pPr>
        <w:spacing w:after="120"/>
      </w:pPr>
    </w:p>
    <w:p w14:paraId="36CA4B67" w14:textId="77777777" w:rsidR="00787570" w:rsidRDefault="00787570">
      <w:pPr>
        <w:spacing w:after="120"/>
      </w:pPr>
    </w:p>
    <w:p w14:paraId="36CA4B68" w14:textId="77777777" w:rsidR="00787570" w:rsidRDefault="00787570">
      <w:pPr>
        <w:spacing w:after="120"/>
      </w:pPr>
    </w:p>
    <w:p w14:paraId="36CA4B69" w14:textId="77777777" w:rsidR="00787570" w:rsidRDefault="00787570">
      <w:pPr>
        <w:spacing w:after="120"/>
      </w:pPr>
    </w:p>
    <w:p w14:paraId="36CA4B6A" w14:textId="77777777" w:rsidR="00787570" w:rsidRDefault="00787570">
      <w:pPr>
        <w:spacing w:after="120"/>
      </w:pPr>
    </w:p>
    <w:p w14:paraId="36CA4B6B" w14:textId="77777777" w:rsidR="00787570" w:rsidRDefault="00787570">
      <w:pPr>
        <w:spacing w:after="120"/>
      </w:pPr>
    </w:p>
    <w:p w14:paraId="36CA4B6C" w14:textId="77777777" w:rsidR="00787570" w:rsidRDefault="00787570">
      <w:pPr>
        <w:spacing w:after="120"/>
      </w:pPr>
    </w:p>
    <w:tbl>
      <w:tblPr>
        <w:tblW w:w="5000" w:type="pct"/>
        <w:tblCellMar>
          <w:top w:w="15" w:type="dxa"/>
          <w:left w:w="15" w:type="dxa"/>
          <w:bottom w:w="15" w:type="dxa"/>
          <w:right w:w="15" w:type="dxa"/>
        </w:tblCellMar>
        <w:tblLook w:val="04A0" w:firstRow="1" w:lastRow="0" w:firstColumn="1" w:lastColumn="0" w:noHBand="0" w:noVBand="1"/>
      </w:tblPr>
      <w:tblGrid>
        <w:gridCol w:w="95"/>
        <w:gridCol w:w="416"/>
        <w:gridCol w:w="36"/>
        <w:gridCol w:w="47"/>
        <w:gridCol w:w="4254"/>
        <w:gridCol w:w="36"/>
        <w:gridCol w:w="47"/>
        <w:gridCol w:w="3369"/>
        <w:gridCol w:w="36"/>
      </w:tblGrid>
      <w:tr w:rsidR="00787570" w14:paraId="36CA4B76" w14:textId="77777777">
        <w:tc>
          <w:tcPr>
            <w:tcW w:w="50" w:type="pct"/>
            <w:shd w:val="clear" w:color="auto" w:fill="auto"/>
            <w:vAlign w:val="bottom"/>
          </w:tcPr>
          <w:p w14:paraId="36CA4B6D" w14:textId="77777777" w:rsidR="00787570" w:rsidRDefault="00787570">
            <w:pPr>
              <w:rPr>
                <w:rFonts w:ascii="宋体"/>
              </w:rPr>
            </w:pPr>
          </w:p>
        </w:tc>
        <w:tc>
          <w:tcPr>
            <w:tcW w:w="220" w:type="pct"/>
            <w:shd w:val="clear" w:color="auto" w:fill="auto"/>
            <w:vAlign w:val="bottom"/>
          </w:tcPr>
          <w:p w14:paraId="36CA4B6E" w14:textId="77777777" w:rsidR="00787570" w:rsidRDefault="00787570">
            <w:pPr>
              <w:rPr>
                <w:rFonts w:ascii="宋体"/>
              </w:rPr>
            </w:pPr>
          </w:p>
        </w:tc>
        <w:tc>
          <w:tcPr>
            <w:tcW w:w="5" w:type="pct"/>
            <w:shd w:val="clear" w:color="auto" w:fill="auto"/>
            <w:vAlign w:val="bottom"/>
          </w:tcPr>
          <w:p w14:paraId="36CA4B6F" w14:textId="77777777" w:rsidR="00787570" w:rsidRDefault="00787570">
            <w:pPr>
              <w:rPr>
                <w:rFonts w:ascii="宋体"/>
              </w:rPr>
            </w:pPr>
          </w:p>
        </w:tc>
        <w:tc>
          <w:tcPr>
            <w:tcW w:w="50" w:type="pct"/>
            <w:shd w:val="clear" w:color="auto" w:fill="auto"/>
            <w:vAlign w:val="bottom"/>
          </w:tcPr>
          <w:p w14:paraId="36CA4B70" w14:textId="77777777" w:rsidR="00787570" w:rsidRDefault="00787570">
            <w:pPr>
              <w:rPr>
                <w:rFonts w:ascii="宋体"/>
              </w:rPr>
            </w:pPr>
          </w:p>
        </w:tc>
        <w:tc>
          <w:tcPr>
            <w:tcW w:w="2572" w:type="pct"/>
            <w:shd w:val="clear" w:color="auto" w:fill="auto"/>
            <w:vAlign w:val="bottom"/>
          </w:tcPr>
          <w:p w14:paraId="36CA4B71" w14:textId="77777777" w:rsidR="00787570" w:rsidRDefault="00787570">
            <w:pPr>
              <w:rPr>
                <w:rFonts w:ascii="宋体"/>
              </w:rPr>
            </w:pPr>
          </w:p>
        </w:tc>
        <w:tc>
          <w:tcPr>
            <w:tcW w:w="5" w:type="pct"/>
            <w:shd w:val="clear" w:color="auto" w:fill="auto"/>
            <w:vAlign w:val="bottom"/>
          </w:tcPr>
          <w:p w14:paraId="36CA4B72" w14:textId="77777777" w:rsidR="00787570" w:rsidRDefault="00787570">
            <w:pPr>
              <w:rPr>
                <w:rFonts w:ascii="宋体"/>
              </w:rPr>
            </w:pPr>
          </w:p>
        </w:tc>
        <w:tc>
          <w:tcPr>
            <w:tcW w:w="50" w:type="pct"/>
            <w:shd w:val="clear" w:color="auto" w:fill="auto"/>
            <w:vAlign w:val="bottom"/>
          </w:tcPr>
          <w:p w14:paraId="36CA4B73" w14:textId="77777777" w:rsidR="00787570" w:rsidRDefault="00787570">
            <w:pPr>
              <w:rPr>
                <w:rFonts w:ascii="宋体"/>
              </w:rPr>
            </w:pPr>
          </w:p>
        </w:tc>
        <w:tc>
          <w:tcPr>
            <w:tcW w:w="2042" w:type="pct"/>
            <w:shd w:val="clear" w:color="auto" w:fill="auto"/>
            <w:vAlign w:val="bottom"/>
          </w:tcPr>
          <w:p w14:paraId="36CA4B74" w14:textId="77777777" w:rsidR="00787570" w:rsidRDefault="00787570">
            <w:pPr>
              <w:rPr>
                <w:rFonts w:ascii="宋体"/>
              </w:rPr>
            </w:pPr>
          </w:p>
        </w:tc>
        <w:tc>
          <w:tcPr>
            <w:tcW w:w="5" w:type="pct"/>
            <w:shd w:val="clear" w:color="auto" w:fill="auto"/>
            <w:vAlign w:val="bottom"/>
          </w:tcPr>
          <w:p w14:paraId="36CA4B75" w14:textId="77777777" w:rsidR="00787570" w:rsidRDefault="00787570">
            <w:pPr>
              <w:rPr>
                <w:rFonts w:ascii="宋体"/>
              </w:rPr>
            </w:pPr>
          </w:p>
        </w:tc>
      </w:tr>
      <w:tr w:rsidR="00787570" w14:paraId="36CA4B7A" w14:textId="77777777">
        <w:tc>
          <w:tcPr>
            <w:tcW w:w="0" w:type="auto"/>
            <w:gridSpan w:val="3"/>
            <w:tcBorders>
              <w:top w:val="single" w:sz="8" w:space="0" w:color="0071C5"/>
            </w:tcBorders>
            <w:shd w:val="clear" w:color="auto" w:fill="auto"/>
            <w:tcMar>
              <w:left w:w="20" w:type="dxa"/>
              <w:right w:w="20" w:type="dxa"/>
            </w:tcMar>
            <w:vAlign w:val="center"/>
          </w:tcPr>
          <w:p w14:paraId="36CA4B77" w14:textId="77777777" w:rsidR="00787570" w:rsidRDefault="000D56E2">
            <w:pPr>
              <w:textAlignment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Viewer9_files/intc-20200926_g2.jpg"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36CA5C5C" wp14:editId="36CA5C5D">
                  <wp:extent cx="304800" cy="304800"/>
                  <wp:effectExtent l="0" t="0" r="0" b="0"/>
                  <wp:docPr id="77" name="图片 115" descr="IMG_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115" descr="IMG_329"/>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8" w:space="0" w:color="0071C5"/>
            </w:tcBorders>
            <w:shd w:val="clear" w:color="auto" w:fill="auto"/>
            <w:tcMar>
              <w:top w:w="40" w:type="dxa"/>
              <w:left w:w="20" w:type="dxa"/>
              <w:bottom w:w="40" w:type="dxa"/>
              <w:right w:w="20" w:type="dxa"/>
            </w:tcMar>
            <w:vAlign w:val="center"/>
          </w:tcPr>
          <w:p w14:paraId="36CA4B78" w14:textId="77777777" w:rsidR="00787570" w:rsidRDefault="000D56E2">
            <w:pPr>
              <w:textAlignment w:val="center"/>
            </w:pPr>
            <w:r>
              <w:rPr>
                <w:rFonts w:ascii="Arial" w:eastAsia="宋体" w:hAnsi="Arial" w:cs="Arial"/>
                <w:color w:val="333333"/>
                <w:sz w:val="16"/>
                <w:szCs w:val="16"/>
              </w:rPr>
              <w:t>MD&amp;A</w:t>
            </w:r>
          </w:p>
        </w:tc>
        <w:tc>
          <w:tcPr>
            <w:tcW w:w="0" w:type="auto"/>
            <w:gridSpan w:val="3"/>
            <w:tcBorders>
              <w:top w:val="single" w:sz="8" w:space="0" w:color="0071C5"/>
            </w:tcBorders>
            <w:shd w:val="clear" w:color="auto" w:fill="auto"/>
            <w:tcMar>
              <w:top w:w="40" w:type="dxa"/>
              <w:left w:w="20" w:type="dxa"/>
              <w:bottom w:w="40" w:type="dxa"/>
              <w:right w:w="20" w:type="dxa"/>
            </w:tcMar>
            <w:vAlign w:val="center"/>
          </w:tcPr>
          <w:p w14:paraId="36CA4B79" w14:textId="77777777" w:rsidR="00787570" w:rsidRDefault="000D56E2">
            <w:pPr>
              <w:jc w:val="right"/>
              <w:textAlignment w:val="center"/>
            </w:pPr>
            <w:r>
              <w:rPr>
                <w:rFonts w:ascii="Arial" w:eastAsia="宋体" w:hAnsi="Arial" w:cs="Arial"/>
                <w:color w:val="333333"/>
                <w:sz w:val="16"/>
                <w:szCs w:val="16"/>
              </w:rPr>
              <w:t>33</w:t>
            </w:r>
          </w:p>
        </w:tc>
      </w:tr>
    </w:tbl>
    <w:p w14:paraId="36CA4B7B" w14:textId="77777777" w:rsidR="00787570" w:rsidRDefault="000D56E2">
      <w:r>
        <w:pict w14:anchorId="36CA5C5E">
          <v:rect id="_x0000_i1059" style="width:415.3pt;height:1.5pt" o:hralign="center" o:hrstd="t" o:hr="t" fillcolor="#a0a0a0" stroked="f"/>
        </w:pict>
      </w:r>
    </w:p>
    <w:p w14:paraId="36CA4B7C" w14:textId="77777777" w:rsidR="00787570" w:rsidRDefault="000D56E2">
      <w:pPr>
        <w:spacing w:after="180"/>
        <w:jc w:val="right"/>
      </w:pPr>
      <w:hyperlink r:id="rId61" w:anchor="i32771df14e9449d2bec5be911426bf04_7" w:history="1">
        <w:r>
          <w:rPr>
            <w:rStyle w:val="a5"/>
            <w:rFonts w:ascii="Arial" w:eastAsia="宋体" w:hAnsi="Arial" w:cs="Arial"/>
            <w:b/>
            <w:bCs/>
            <w:sz w:val="16"/>
            <w:szCs w:val="16"/>
          </w:rPr>
          <w:t>Table of Contents</w:t>
        </w:r>
      </w:hyperlink>
    </w:p>
    <w:p w14:paraId="36CA4B7D" w14:textId="77777777" w:rsidR="00787570" w:rsidRDefault="00787570">
      <w:pPr>
        <w:spacing w:after="180"/>
        <w:jc w:val="right"/>
      </w:pPr>
    </w:p>
    <w:tbl>
      <w:tblPr>
        <w:tblW w:w="5000" w:type="pct"/>
        <w:tblCellMar>
          <w:top w:w="15" w:type="dxa"/>
          <w:left w:w="15" w:type="dxa"/>
          <w:bottom w:w="15" w:type="dxa"/>
          <w:right w:w="15" w:type="dxa"/>
        </w:tblCellMar>
        <w:tblLook w:val="04A0" w:firstRow="1" w:lastRow="0" w:firstColumn="1" w:lastColumn="0" w:noHBand="0" w:noVBand="1"/>
      </w:tblPr>
      <w:tblGrid>
        <w:gridCol w:w="69"/>
        <w:gridCol w:w="8231"/>
        <w:gridCol w:w="36"/>
      </w:tblGrid>
      <w:tr w:rsidR="00787570" w14:paraId="36CA4B81" w14:textId="77777777">
        <w:tc>
          <w:tcPr>
            <w:tcW w:w="50" w:type="pct"/>
            <w:shd w:val="clear" w:color="auto" w:fill="auto"/>
          </w:tcPr>
          <w:p w14:paraId="36CA4B7E" w14:textId="77777777" w:rsidR="00787570" w:rsidRDefault="00787570">
            <w:pPr>
              <w:rPr>
                <w:rFonts w:ascii="宋体"/>
              </w:rPr>
            </w:pPr>
          </w:p>
        </w:tc>
        <w:tc>
          <w:tcPr>
            <w:tcW w:w="4945" w:type="pct"/>
            <w:shd w:val="clear" w:color="auto" w:fill="auto"/>
          </w:tcPr>
          <w:p w14:paraId="36CA4B7F" w14:textId="77777777" w:rsidR="00787570" w:rsidRDefault="00787570">
            <w:pPr>
              <w:rPr>
                <w:rFonts w:ascii="宋体"/>
              </w:rPr>
            </w:pPr>
          </w:p>
        </w:tc>
        <w:tc>
          <w:tcPr>
            <w:tcW w:w="5" w:type="pct"/>
            <w:shd w:val="clear" w:color="auto" w:fill="auto"/>
          </w:tcPr>
          <w:p w14:paraId="36CA4B80" w14:textId="77777777" w:rsidR="00787570" w:rsidRDefault="00787570">
            <w:pPr>
              <w:rPr>
                <w:rFonts w:ascii="宋体"/>
              </w:rPr>
            </w:pPr>
          </w:p>
        </w:tc>
      </w:tr>
      <w:tr w:rsidR="00787570" w14:paraId="36CA4B83" w14:textId="77777777">
        <w:tc>
          <w:tcPr>
            <w:tcW w:w="0" w:type="auto"/>
            <w:gridSpan w:val="3"/>
            <w:tcBorders>
              <w:bottom w:val="single" w:sz="8" w:space="0" w:color="333333"/>
            </w:tcBorders>
            <w:shd w:val="clear" w:color="auto" w:fill="auto"/>
            <w:tcMar>
              <w:top w:w="40" w:type="dxa"/>
              <w:left w:w="20" w:type="dxa"/>
              <w:bottom w:w="40" w:type="dxa"/>
              <w:right w:w="20" w:type="dxa"/>
            </w:tcMar>
            <w:vAlign w:val="bottom"/>
          </w:tcPr>
          <w:p w14:paraId="36CA4B82" w14:textId="77777777" w:rsidR="00787570" w:rsidRDefault="000D56E2">
            <w:pPr>
              <w:textAlignment w:val="bottom"/>
            </w:pPr>
            <w:r>
              <w:rPr>
                <w:rFonts w:ascii="Arial" w:eastAsia="宋体" w:hAnsi="Arial" w:cs="Arial"/>
                <w:b/>
                <w:bCs/>
                <w:color w:val="0071C5"/>
                <w:sz w:val="20"/>
                <w:szCs w:val="20"/>
              </w:rPr>
              <w:t>OPERATING INCOME SUMMARY</w:t>
            </w:r>
          </w:p>
        </w:tc>
      </w:tr>
    </w:tbl>
    <w:p w14:paraId="36CA4B84" w14:textId="77777777" w:rsidR="00787570" w:rsidRDefault="000D56E2">
      <w:pPr>
        <w:spacing w:before="180" w:after="180"/>
      </w:pPr>
      <w:r>
        <w:rPr>
          <w:rFonts w:ascii="Arial" w:eastAsia="宋体" w:hAnsi="Arial" w:cs="Arial"/>
          <w:color w:val="333333"/>
          <w:sz w:val="18"/>
          <w:szCs w:val="18"/>
        </w:rPr>
        <w:t xml:space="preserve">Operating income in Q3 2020 decreased 17% from Q3 </w:t>
      </w:r>
      <w:r>
        <w:rPr>
          <w:rFonts w:ascii="Arial" w:eastAsia="宋体" w:hAnsi="Arial" w:cs="Arial"/>
          <w:color w:val="333333"/>
          <w:sz w:val="18"/>
          <w:szCs w:val="18"/>
        </w:rPr>
        <w:t>2019, with an operating margin of 36%. Operating income YTD 2020 decreased 4%, with an operating margin of 36%.</w:t>
      </w:r>
    </w:p>
    <w:tbl>
      <w:tblPr>
        <w:tblW w:w="5000" w:type="pct"/>
        <w:tblCellMar>
          <w:top w:w="15" w:type="dxa"/>
          <w:left w:w="15" w:type="dxa"/>
          <w:bottom w:w="15" w:type="dxa"/>
          <w:right w:w="15" w:type="dxa"/>
        </w:tblCellMar>
        <w:tblLook w:val="04A0" w:firstRow="1" w:lastRow="0" w:firstColumn="1" w:lastColumn="0" w:noHBand="0" w:noVBand="1"/>
      </w:tblPr>
      <w:tblGrid>
        <w:gridCol w:w="136"/>
        <w:gridCol w:w="856"/>
        <w:gridCol w:w="41"/>
        <w:gridCol w:w="36"/>
        <w:gridCol w:w="36"/>
        <w:gridCol w:w="36"/>
        <w:gridCol w:w="38"/>
        <w:gridCol w:w="7120"/>
        <w:gridCol w:w="37"/>
      </w:tblGrid>
      <w:tr w:rsidR="00787570" w14:paraId="36CA4B8E" w14:textId="77777777">
        <w:tc>
          <w:tcPr>
            <w:tcW w:w="50" w:type="pct"/>
            <w:shd w:val="clear" w:color="auto" w:fill="auto"/>
          </w:tcPr>
          <w:p w14:paraId="36CA4B85" w14:textId="77777777" w:rsidR="00787570" w:rsidRDefault="00787570">
            <w:pPr>
              <w:rPr>
                <w:rFonts w:ascii="宋体"/>
              </w:rPr>
            </w:pPr>
          </w:p>
        </w:tc>
        <w:tc>
          <w:tcPr>
            <w:tcW w:w="539" w:type="pct"/>
            <w:shd w:val="clear" w:color="auto" w:fill="auto"/>
          </w:tcPr>
          <w:p w14:paraId="36CA4B86" w14:textId="77777777" w:rsidR="00787570" w:rsidRDefault="00787570">
            <w:pPr>
              <w:rPr>
                <w:rFonts w:ascii="宋体"/>
              </w:rPr>
            </w:pPr>
          </w:p>
        </w:tc>
        <w:tc>
          <w:tcPr>
            <w:tcW w:w="5" w:type="pct"/>
            <w:shd w:val="clear" w:color="auto" w:fill="auto"/>
          </w:tcPr>
          <w:p w14:paraId="36CA4B87" w14:textId="77777777" w:rsidR="00787570" w:rsidRDefault="00787570">
            <w:pPr>
              <w:rPr>
                <w:rFonts w:ascii="宋体"/>
              </w:rPr>
            </w:pPr>
          </w:p>
        </w:tc>
        <w:tc>
          <w:tcPr>
            <w:tcW w:w="5" w:type="pct"/>
            <w:shd w:val="clear" w:color="auto" w:fill="auto"/>
          </w:tcPr>
          <w:p w14:paraId="36CA4B88" w14:textId="77777777" w:rsidR="00787570" w:rsidRDefault="00787570">
            <w:pPr>
              <w:rPr>
                <w:rFonts w:ascii="宋体"/>
              </w:rPr>
            </w:pPr>
          </w:p>
        </w:tc>
        <w:tc>
          <w:tcPr>
            <w:tcW w:w="24" w:type="pct"/>
            <w:shd w:val="clear" w:color="auto" w:fill="auto"/>
          </w:tcPr>
          <w:p w14:paraId="36CA4B89" w14:textId="77777777" w:rsidR="00787570" w:rsidRDefault="00787570">
            <w:pPr>
              <w:rPr>
                <w:rFonts w:ascii="宋体"/>
              </w:rPr>
            </w:pPr>
          </w:p>
        </w:tc>
        <w:tc>
          <w:tcPr>
            <w:tcW w:w="5" w:type="pct"/>
            <w:shd w:val="clear" w:color="auto" w:fill="auto"/>
          </w:tcPr>
          <w:p w14:paraId="36CA4B8A" w14:textId="77777777" w:rsidR="00787570" w:rsidRDefault="00787570">
            <w:pPr>
              <w:rPr>
                <w:rFonts w:ascii="宋体"/>
              </w:rPr>
            </w:pPr>
          </w:p>
        </w:tc>
        <w:tc>
          <w:tcPr>
            <w:tcW w:w="50" w:type="pct"/>
            <w:shd w:val="clear" w:color="auto" w:fill="auto"/>
          </w:tcPr>
          <w:p w14:paraId="36CA4B8B" w14:textId="77777777" w:rsidR="00787570" w:rsidRDefault="00787570">
            <w:pPr>
              <w:rPr>
                <w:rFonts w:ascii="宋体"/>
              </w:rPr>
            </w:pPr>
          </w:p>
        </w:tc>
        <w:tc>
          <w:tcPr>
            <w:tcW w:w="4316" w:type="pct"/>
            <w:shd w:val="clear" w:color="auto" w:fill="auto"/>
          </w:tcPr>
          <w:p w14:paraId="36CA4B8C" w14:textId="77777777" w:rsidR="00787570" w:rsidRDefault="00787570">
            <w:pPr>
              <w:rPr>
                <w:rFonts w:ascii="宋体"/>
              </w:rPr>
            </w:pPr>
          </w:p>
        </w:tc>
        <w:tc>
          <w:tcPr>
            <w:tcW w:w="5" w:type="pct"/>
            <w:shd w:val="clear" w:color="auto" w:fill="auto"/>
          </w:tcPr>
          <w:p w14:paraId="36CA4B8D" w14:textId="77777777" w:rsidR="00787570" w:rsidRDefault="00787570">
            <w:pPr>
              <w:rPr>
                <w:rFonts w:ascii="宋体"/>
              </w:rPr>
            </w:pPr>
          </w:p>
        </w:tc>
      </w:tr>
      <w:tr w:rsidR="00787570" w14:paraId="36CA4B92" w14:textId="77777777">
        <w:tc>
          <w:tcPr>
            <w:tcW w:w="0" w:type="auto"/>
            <w:gridSpan w:val="3"/>
            <w:shd w:val="clear" w:color="auto" w:fill="auto"/>
            <w:tcMar>
              <w:top w:w="40" w:type="dxa"/>
              <w:left w:w="20" w:type="dxa"/>
              <w:bottom w:w="40" w:type="dxa"/>
              <w:right w:w="20" w:type="dxa"/>
            </w:tcMar>
            <w:vAlign w:val="bottom"/>
          </w:tcPr>
          <w:p w14:paraId="36CA4B8F" w14:textId="77777777" w:rsidR="00787570" w:rsidRDefault="000D56E2">
            <w:pPr>
              <w:textAlignment w:val="bottom"/>
            </w:pPr>
            <w:r>
              <w:rPr>
                <w:rFonts w:ascii="Arial" w:eastAsia="宋体" w:hAnsi="Arial" w:cs="Arial"/>
                <w:b/>
                <w:bCs/>
                <w:color w:val="333333"/>
                <w:sz w:val="18"/>
                <w:szCs w:val="18"/>
              </w:rPr>
              <w:t>(In Millions)</w:t>
            </w:r>
          </w:p>
        </w:tc>
        <w:tc>
          <w:tcPr>
            <w:tcW w:w="0" w:type="auto"/>
            <w:gridSpan w:val="3"/>
            <w:shd w:val="clear" w:color="auto" w:fill="auto"/>
            <w:tcMar>
              <w:left w:w="20" w:type="dxa"/>
              <w:right w:w="20" w:type="dxa"/>
            </w:tcMar>
            <w:vAlign w:val="bottom"/>
          </w:tcPr>
          <w:p w14:paraId="36CA4B90"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4B91" w14:textId="77777777" w:rsidR="00787570" w:rsidRDefault="00787570">
            <w:pPr>
              <w:rPr>
                <w:rFonts w:ascii="宋体"/>
              </w:rPr>
            </w:pPr>
          </w:p>
        </w:tc>
      </w:tr>
      <w:tr w:rsidR="00787570" w14:paraId="36CA4B98" w14:textId="77777777">
        <w:tc>
          <w:tcPr>
            <w:tcW w:w="0" w:type="auto"/>
            <w:tcBorders>
              <w:top w:val="single" w:sz="8" w:space="0" w:color="0071C5"/>
            </w:tcBorders>
            <w:shd w:val="clear" w:color="auto" w:fill="auto"/>
            <w:tcMar>
              <w:top w:w="40" w:type="dxa"/>
              <w:left w:w="20" w:type="dxa"/>
              <w:bottom w:w="40" w:type="dxa"/>
            </w:tcMar>
            <w:vAlign w:val="bottom"/>
          </w:tcPr>
          <w:p w14:paraId="36CA4B93" w14:textId="77777777" w:rsidR="00787570" w:rsidRDefault="000D56E2">
            <w:pPr>
              <w:textAlignment w:val="bottom"/>
            </w:pPr>
            <w:r>
              <w:rPr>
                <w:rFonts w:ascii="Arial" w:eastAsia="宋体" w:hAnsi="Arial" w:cs="Arial"/>
                <w:b/>
                <w:bCs/>
                <w:color w:val="0071C5"/>
                <w:sz w:val="18"/>
                <w:szCs w:val="18"/>
              </w:rPr>
              <w:t>$</w:t>
            </w:r>
          </w:p>
        </w:tc>
        <w:tc>
          <w:tcPr>
            <w:tcW w:w="0" w:type="auto"/>
            <w:tcBorders>
              <w:top w:val="single" w:sz="8" w:space="0" w:color="0071C5"/>
            </w:tcBorders>
            <w:shd w:val="clear" w:color="auto" w:fill="auto"/>
            <w:tcMar>
              <w:top w:w="40" w:type="dxa"/>
              <w:bottom w:w="40" w:type="dxa"/>
              <w:right w:w="0" w:type="dxa"/>
            </w:tcMar>
            <w:vAlign w:val="bottom"/>
          </w:tcPr>
          <w:p w14:paraId="36CA4B94" w14:textId="77777777" w:rsidR="00787570" w:rsidRDefault="000D56E2">
            <w:pPr>
              <w:jc w:val="right"/>
              <w:textAlignment w:val="bottom"/>
            </w:pPr>
            <w:r>
              <w:rPr>
                <w:rFonts w:ascii="Arial" w:eastAsia="宋体" w:hAnsi="Arial" w:cs="Arial"/>
                <w:b/>
                <w:bCs/>
                <w:color w:val="0071C5"/>
                <w:sz w:val="18"/>
                <w:szCs w:val="18"/>
              </w:rPr>
              <w:t>3,554</w:t>
            </w:r>
            <w:r>
              <w:rPr>
                <w:rFonts w:ascii="Arial" w:eastAsia="宋体" w:hAnsi="Arial" w:cs="Arial"/>
                <w:color w:val="0071C5"/>
                <w:sz w:val="18"/>
                <w:szCs w:val="18"/>
              </w:rPr>
              <w:t> </w:t>
            </w:r>
          </w:p>
        </w:tc>
        <w:tc>
          <w:tcPr>
            <w:tcW w:w="0" w:type="auto"/>
            <w:tcBorders>
              <w:top w:val="single" w:sz="8" w:space="0" w:color="0071C5"/>
            </w:tcBorders>
            <w:shd w:val="clear" w:color="auto" w:fill="auto"/>
            <w:tcMar>
              <w:top w:w="40" w:type="dxa"/>
              <w:bottom w:w="40" w:type="dxa"/>
              <w:right w:w="20" w:type="dxa"/>
            </w:tcMar>
            <w:vAlign w:val="bottom"/>
          </w:tcPr>
          <w:p w14:paraId="36CA4B95"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4B96" w14:textId="77777777" w:rsidR="00787570" w:rsidRDefault="00787570">
            <w:pPr>
              <w:rPr>
                <w:rFonts w:ascii="宋体"/>
              </w:rPr>
            </w:pPr>
          </w:p>
        </w:tc>
        <w:tc>
          <w:tcPr>
            <w:tcW w:w="0" w:type="auto"/>
            <w:gridSpan w:val="3"/>
            <w:tcBorders>
              <w:top w:val="single" w:sz="8" w:space="0" w:color="0071C5"/>
            </w:tcBorders>
            <w:shd w:val="clear" w:color="auto" w:fill="auto"/>
            <w:tcMar>
              <w:top w:w="40" w:type="dxa"/>
              <w:left w:w="20" w:type="dxa"/>
              <w:bottom w:w="40" w:type="dxa"/>
              <w:right w:w="20" w:type="dxa"/>
            </w:tcMar>
            <w:vAlign w:val="bottom"/>
          </w:tcPr>
          <w:p w14:paraId="36CA4B97" w14:textId="77777777" w:rsidR="00787570" w:rsidRDefault="000D56E2">
            <w:pPr>
              <w:textAlignment w:val="bottom"/>
            </w:pPr>
            <w:r>
              <w:rPr>
                <w:rFonts w:ascii="Arial" w:eastAsia="宋体" w:hAnsi="Arial" w:cs="Arial"/>
                <w:b/>
                <w:bCs/>
                <w:color w:val="333333"/>
                <w:sz w:val="18"/>
                <w:szCs w:val="18"/>
              </w:rPr>
              <w:t>Q3 2020 CCG Operating Income</w:t>
            </w:r>
          </w:p>
        </w:tc>
      </w:tr>
      <w:tr w:rsidR="00787570" w14:paraId="36CA4B9D" w14:textId="77777777">
        <w:tc>
          <w:tcPr>
            <w:tcW w:w="0" w:type="auto"/>
            <w:gridSpan w:val="2"/>
            <w:tcBorders>
              <w:top w:val="single" w:sz="8" w:space="0" w:color="333333"/>
            </w:tcBorders>
            <w:shd w:val="clear" w:color="auto" w:fill="auto"/>
            <w:tcMar>
              <w:top w:w="40" w:type="dxa"/>
              <w:left w:w="20" w:type="dxa"/>
              <w:bottom w:w="40" w:type="dxa"/>
              <w:right w:w="0" w:type="dxa"/>
            </w:tcMar>
          </w:tcPr>
          <w:p w14:paraId="36CA4B99" w14:textId="77777777" w:rsidR="00787570" w:rsidRDefault="000D56E2">
            <w:pPr>
              <w:jc w:val="right"/>
              <w:textAlignment w:val="top"/>
            </w:pPr>
            <w:r>
              <w:rPr>
                <w:rFonts w:ascii="Arial" w:eastAsia="宋体" w:hAnsi="Arial" w:cs="Arial"/>
                <w:color w:val="0071C5"/>
                <w:sz w:val="18"/>
                <w:szCs w:val="18"/>
              </w:rPr>
              <w:t>(795)</w:t>
            </w:r>
          </w:p>
        </w:tc>
        <w:tc>
          <w:tcPr>
            <w:tcW w:w="0" w:type="auto"/>
            <w:tcBorders>
              <w:top w:val="single" w:sz="8" w:space="0" w:color="333333"/>
            </w:tcBorders>
            <w:shd w:val="clear" w:color="auto" w:fill="auto"/>
            <w:tcMar>
              <w:top w:w="40" w:type="dxa"/>
              <w:bottom w:w="40" w:type="dxa"/>
              <w:right w:w="20" w:type="dxa"/>
            </w:tcMar>
          </w:tcPr>
          <w:p w14:paraId="36CA4B9A"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4B9B" w14:textId="77777777" w:rsidR="00787570" w:rsidRDefault="00787570">
            <w:pPr>
              <w:rPr>
                <w:rFonts w:ascii="宋体"/>
              </w:rPr>
            </w:pPr>
          </w:p>
        </w:tc>
        <w:tc>
          <w:tcPr>
            <w:tcW w:w="0" w:type="auto"/>
            <w:gridSpan w:val="3"/>
            <w:tcBorders>
              <w:top w:val="single" w:sz="8" w:space="0" w:color="333333"/>
            </w:tcBorders>
            <w:shd w:val="clear" w:color="auto" w:fill="auto"/>
            <w:tcMar>
              <w:top w:w="40" w:type="dxa"/>
              <w:left w:w="20" w:type="dxa"/>
              <w:bottom w:w="40" w:type="dxa"/>
              <w:right w:w="20" w:type="dxa"/>
            </w:tcMar>
          </w:tcPr>
          <w:p w14:paraId="36CA4B9C" w14:textId="77777777" w:rsidR="00787570" w:rsidRDefault="000D56E2">
            <w:pPr>
              <w:textAlignment w:val="top"/>
            </w:pPr>
            <w:r>
              <w:rPr>
                <w:rFonts w:ascii="Arial" w:eastAsia="宋体" w:hAnsi="Arial" w:cs="Arial"/>
                <w:color w:val="0071C5"/>
                <w:sz w:val="18"/>
                <w:szCs w:val="18"/>
              </w:rPr>
              <w:t xml:space="preserve">Higher platform unit cost primarily from increased mix of 10nm </w:t>
            </w:r>
            <w:r>
              <w:rPr>
                <w:rFonts w:ascii="Arial" w:eastAsia="宋体" w:hAnsi="Arial" w:cs="Arial"/>
                <w:color w:val="0071C5"/>
                <w:sz w:val="18"/>
                <w:szCs w:val="18"/>
              </w:rPr>
              <w:t>products</w:t>
            </w:r>
          </w:p>
        </w:tc>
      </w:tr>
      <w:tr w:rsidR="00787570" w14:paraId="36CA4BA2" w14:textId="77777777">
        <w:tc>
          <w:tcPr>
            <w:tcW w:w="0" w:type="auto"/>
            <w:gridSpan w:val="2"/>
            <w:shd w:val="clear" w:color="auto" w:fill="auto"/>
            <w:tcMar>
              <w:top w:w="40" w:type="dxa"/>
              <w:left w:w="20" w:type="dxa"/>
              <w:bottom w:w="40" w:type="dxa"/>
              <w:right w:w="0" w:type="dxa"/>
            </w:tcMar>
          </w:tcPr>
          <w:p w14:paraId="36CA4B9E" w14:textId="77777777" w:rsidR="00787570" w:rsidRDefault="000D56E2">
            <w:pPr>
              <w:jc w:val="right"/>
              <w:textAlignment w:val="top"/>
            </w:pPr>
            <w:r>
              <w:rPr>
                <w:rFonts w:ascii="Arial" w:eastAsia="宋体" w:hAnsi="Arial" w:cs="Arial"/>
                <w:color w:val="0071C5"/>
                <w:sz w:val="18"/>
                <w:szCs w:val="18"/>
              </w:rPr>
              <w:t>(200)</w:t>
            </w:r>
          </w:p>
        </w:tc>
        <w:tc>
          <w:tcPr>
            <w:tcW w:w="0" w:type="auto"/>
            <w:shd w:val="clear" w:color="auto" w:fill="auto"/>
            <w:tcMar>
              <w:top w:w="40" w:type="dxa"/>
              <w:bottom w:w="40" w:type="dxa"/>
              <w:right w:w="20" w:type="dxa"/>
            </w:tcMar>
          </w:tcPr>
          <w:p w14:paraId="36CA4B9F"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4BA0" w14:textId="77777777" w:rsidR="00787570" w:rsidRDefault="00787570">
            <w:pPr>
              <w:rPr>
                <w:rFonts w:ascii="宋体"/>
              </w:rPr>
            </w:pPr>
          </w:p>
        </w:tc>
        <w:tc>
          <w:tcPr>
            <w:tcW w:w="0" w:type="auto"/>
            <w:gridSpan w:val="3"/>
            <w:shd w:val="clear" w:color="auto" w:fill="auto"/>
            <w:tcMar>
              <w:top w:w="40" w:type="dxa"/>
              <w:left w:w="20" w:type="dxa"/>
              <w:bottom w:w="40" w:type="dxa"/>
              <w:right w:w="20" w:type="dxa"/>
            </w:tcMar>
          </w:tcPr>
          <w:p w14:paraId="36CA4BA1" w14:textId="77777777" w:rsidR="00787570" w:rsidRDefault="000D56E2">
            <w:pPr>
              <w:textAlignment w:val="top"/>
            </w:pPr>
            <w:r>
              <w:rPr>
                <w:rFonts w:ascii="Arial" w:eastAsia="宋体" w:hAnsi="Arial" w:cs="Arial"/>
                <w:color w:val="0071C5"/>
                <w:sz w:val="18"/>
                <w:szCs w:val="18"/>
              </w:rPr>
              <w:t>Higher period charges primarily due to lower sell-through of previously reserved non-qualified platform product related to our 10nm process technology</w:t>
            </w:r>
          </w:p>
        </w:tc>
      </w:tr>
      <w:tr w:rsidR="00787570" w14:paraId="36CA4BA7" w14:textId="77777777">
        <w:tc>
          <w:tcPr>
            <w:tcW w:w="0" w:type="auto"/>
            <w:gridSpan w:val="2"/>
            <w:shd w:val="clear" w:color="auto" w:fill="auto"/>
            <w:tcMar>
              <w:top w:w="40" w:type="dxa"/>
              <w:left w:w="20" w:type="dxa"/>
              <w:bottom w:w="40" w:type="dxa"/>
              <w:right w:w="0" w:type="dxa"/>
            </w:tcMar>
          </w:tcPr>
          <w:p w14:paraId="36CA4BA3" w14:textId="77777777" w:rsidR="00787570" w:rsidRDefault="000D56E2">
            <w:pPr>
              <w:jc w:val="right"/>
              <w:textAlignment w:val="top"/>
            </w:pPr>
            <w:r>
              <w:rPr>
                <w:rFonts w:ascii="Arial" w:eastAsia="宋体" w:hAnsi="Arial" w:cs="Arial"/>
                <w:color w:val="0071C5"/>
                <w:sz w:val="18"/>
                <w:szCs w:val="18"/>
              </w:rPr>
              <w:t>105 </w:t>
            </w:r>
          </w:p>
        </w:tc>
        <w:tc>
          <w:tcPr>
            <w:tcW w:w="0" w:type="auto"/>
            <w:shd w:val="clear" w:color="auto" w:fill="auto"/>
            <w:tcMar>
              <w:top w:w="40" w:type="dxa"/>
              <w:bottom w:w="40" w:type="dxa"/>
              <w:right w:w="20" w:type="dxa"/>
            </w:tcMar>
          </w:tcPr>
          <w:p w14:paraId="36CA4BA4"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4BA5" w14:textId="77777777" w:rsidR="00787570" w:rsidRDefault="00787570">
            <w:pPr>
              <w:rPr>
                <w:rFonts w:ascii="宋体"/>
              </w:rPr>
            </w:pPr>
          </w:p>
        </w:tc>
        <w:tc>
          <w:tcPr>
            <w:tcW w:w="0" w:type="auto"/>
            <w:gridSpan w:val="3"/>
            <w:shd w:val="clear" w:color="auto" w:fill="auto"/>
            <w:tcMar>
              <w:top w:w="40" w:type="dxa"/>
              <w:left w:w="20" w:type="dxa"/>
              <w:bottom w:w="40" w:type="dxa"/>
              <w:right w:w="20" w:type="dxa"/>
            </w:tcMar>
          </w:tcPr>
          <w:p w14:paraId="36CA4BA6" w14:textId="77777777" w:rsidR="00787570" w:rsidRDefault="000D56E2">
            <w:pPr>
              <w:textAlignment w:val="top"/>
            </w:pPr>
            <w:r>
              <w:rPr>
                <w:rFonts w:ascii="Arial" w:eastAsia="宋体" w:hAnsi="Arial" w:cs="Arial"/>
                <w:color w:val="0071C5"/>
                <w:sz w:val="18"/>
                <w:szCs w:val="18"/>
              </w:rPr>
              <w:t>Lower operating expenses</w:t>
            </w:r>
          </w:p>
        </w:tc>
      </w:tr>
      <w:tr w:rsidR="00787570" w14:paraId="36CA4BAC" w14:textId="77777777">
        <w:tc>
          <w:tcPr>
            <w:tcW w:w="0" w:type="auto"/>
            <w:gridSpan w:val="2"/>
            <w:shd w:val="clear" w:color="auto" w:fill="auto"/>
            <w:tcMar>
              <w:top w:w="40" w:type="dxa"/>
              <w:left w:w="20" w:type="dxa"/>
              <w:bottom w:w="40" w:type="dxa"/>
              <w:right w:w="0" w:type="dxa"/>
            </w:tcMar>
          </w:tcPr>
          <w:p w14:paraId="36CA4BA8" w14:textId="77777777" w:rsidR="00787570" w:rsidRDefault="000D56E2">
            <w:pPr>
              <w:jc w:val="right"/>
              <w:textAlignment w:val="top"/>
            </w:pPr>
            <w:r>
              <w:rPr>
                <w:rFonts w:ascii="Arial" w:eastAsia="宋体" w:hAnsi="Arial" w:cs="Arial"/>
                <w:color w:val="0071C5"/>
                <w:sz w:val="18"/>
                <w:szCs w:val="18"/>
              </w:rPr>
              <w:t>85 </w:t>
            </w:r>
          </w:p>
        </w:tc>
        <w:tc>
          <w:tcPr>
            <w:tcW w:w="0" w:type="auto"/>
            <w:shd w:val="clear" w:color="auto" w:fill="auto"/>
            <w:tcMar>
              <w:top w:w="40" w:type="dxa"/>
              <w:bottom w:w="40" w:type="dxa"/>
              <w:right w:w="20" w:type="dxa"/>
            </w:tcMar>
          </w:tcPr>
          <w:p w14:paraId="36CA4BA9"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4BAA" w14:textId="77777777" w:rsidR="00787570" w:rsidRDefault="00787570">
            <w:pPr>
              <w:rPr>
                <w:rFonts w:ascii="宋体"/>
              </w:rPr>
            </w:pPr>
          </w:p>
        </w:tc>
        <w:tc>
          <w:tcPr>
            <w:tcW w:w="0" w:type="auto"/>
            <w:gridSpan w:val="3"/>
            <w:shd w:val="clear" w:color="auto" w:fill="auto"/>
            <w:tcMar>
              <w:top w:w="40" w:type="dxa"/>
              <w:left w:w="20" w:type="dxa"/>
              <w:bottom w:w="40" w:type="dxa"/>
              <w:right w:w="20" w:type="dxa"/>
            </w:tcMar>
          </w:tcPr>
          <w:p w14:paraId="36CA4BAB" w14:textId="77777777" w:rsidR="00787570" w:rsidRDefault="000D56E2">
            <w:pPr>
              <w:textAlignment w:val="top"/>
            </w:pPr>
            <w:r>
              <w:rPr>
                <w:rFonts w:ascii="Arial" w:eastAsia="宋体" w:hAnsi="Arial" w:cs="Arial"/>
                <w:color w:val="0071C5"/>
                <w:sz w:val="18"/>
                <w:szCs w:val="18"/>
              </w:rPr>
              <w:t>Higher CCG adjacent product margin</w:t>
            </w:r>
          </w:p>
        </w:tc>
      </w:tr>
      <w:tr w:rsidR="00787570" w14:paraId="36CA4BB0" w14:textId="77777777">
        <w:trPr>
          <w:hidden/>
        </w:trPr>
        <w:tc>
          <w:tcPr>
            <w:tcW w:w="0" w:type="auto"/>
            <w:gridSpan w:val="3"/>
            <w:shd w:val="clear" w:color="auto" w:fill="auto"/>
          </w:tcPr>
          <w:p w14:paraId="36CA4BAD" w14:textId="77777777" w:rsidR="00787570" w:rsidRDefault="00787570">
            <w:pPr>
              <w:rPr>
                <w:rFonts w:ascii="宋体"/>
                <w:vanish/>
              </w:rPr>
            </w:pPr>
          </w:p>
        </w:tc>
        <w:tc>
          <w:tcPr>
            <w:tcW w:w="0" w:type="auto"/>
            <w:gridSpan w:val="3"/>
            <w:shd w:val="clear" w:color="auto" w:fill="auto"/>
          </w:tcPr>
          <w:p w14:paraId="36CA4BAE" w14:textId="77777777" w:rsidR="00787570" w:rsidRDefault="00787570">
            <w:pPr>
              <w:rPr>
                <w:rFonts w:ascii="宋体"/>
                <w:vanish/>
              </w:rPr>
            </w:pPr>
          </w:p>
        </w:tc>
        <w:tc>
          <w:tcPr>
            <w:tcW w:w="0" w:type="auto"/>
            <w:gridSpan w:val="3"/>
            <w:shd w:val="clear" w:color="auto" w:fill="auto"/>
          </w:tcPr>
          <w:p w14:paraId="36CA4BAF" w14:textId="77777777" w:rsidR="00787570" w:rsidRDefault="00787570">
            <w:pPr>
              <w:rPr>
                <w:rFonts w:ascii="宋体"/>
                <w:vanish/>
              </w:rPr>
            </w:pPr>
          </w:p>
        </w:tc>
      </w:tr>
      <w:tr w:rsidR="00787570" w14:paraId="36CA4BB4" w14:textId="77777777">
        <w:trPr>
          <w:hidden/>
        </w:trPr>
        <w:tc>
          <w:tcPr>
            <w:tcW w:w="0" w:type="auto"/>
            <w:gridSpan w:val="3"/>
            <w:shd w:val="clear" w:color="auto" w:fill="auto"/>
          </w:tcPr>
          <w:p w14:paraId="36CA4BB1" w14:textId="77777777" w:rsidR="00787570" w:rsidRDefault="00787570">
            <w:pPr>
              <w:rPr>
                <w:rFonts w:ascii="宋体"/>
                <w:vanish/>
              </w:rPr>
            </w:pPr>
          </w:p>
        </w:tc>
        <w:tc>
          <w:tcPr>
            <w:tcW w:w="0" w:type="auto"/>
            <w:gridSpan w:val="3"/>
            <w:shd w:val="clear" w:color="auto" w:fill="auto"/>
          </w:tcPr>
          <w:p w14:paraId="36CA4BB2" w14:textId="77777777" w:rsidR="00787570" w:rsidRDefault="00787570">
            <w:pPr>
              <w:rPr>
                <w:rFonts w:ascii="宋体"/>
                <w:vanish/>
              </w:rPr>
            </w:pPr>
          </w:p>
        </w:tc>
        <w:tc>
          <w:tcPr>
            <w:tcW w:w="0" w:type="auto"/>
            <w:gridSpan w:val="3"/>
            <w:shd w:val="clear" w:color="auto" w:fill="auto"/>
          </w:tcPr>
          <w:p w14:paraId="36CA4BB3" w14:textId="77777777" w:rsidR="00787570" w:rsidRDefault="00787570">
            <w:pPr>
              <w:rPr>
                <w:rFonts w:ascii="宋体"/>
                <w:vanish/>
              </w:rPr>
            </w:pPr>
          </w:p>
        </w:tc>
      </w:tr>
      <w:tr w:rsidR="00787570" w14:paraId="36CA4BB8" w14:textId="77777777">
        <w:trPr>
          <w:hidden/>
        </w:trPr>
        <w:tc>
          <w:tcPr>
            <w:tcW w:w="0" w:type="auto"/>
            <w:gridSpan w:val="3"/>
            <w:shd w:val="clear" w:color="auto" w:fill="auto"/>
          </w:tcPr>
          <w:p w14:paraId="36CA4BB5" w14:textId="77777777" w:rsidR="00787570" w:rsidRDefault="00787570">
            <w:pPr>
              <w:rPr>
                <w:rFonts w:ascii="宋体"/>
                <w:vanish/>
              </w:rPr>
            </w:pPr>
          </w:p>
        </w:tc>
        <w:tc>
          <w:tcPr>
            <w:tcW w:w="0" w:type="auto"/>
            <w:gridSpan w:val="3"/>
            <w:shd w:val="clear" w:color="auto" w:fill="auto"/>
          </w:tcPr>
          <w:p w14:paraId="36CA4BB6" w14:textId="77777777" w:rsidR="00787570" w:rsidRDefault="00787570">
            <w:pPr>
              <w:rPr>
                <w:rFonts w:ascii="宋体"/>
                <w:vanish/>
              </w:rPr>
            </w:pPr>
          </w:p>
        </w:tc>
        <w:tc>
          <w:tcPr>
            <w:tcW w:w="0" w:type="auto"/>
            <w:gridSpan w:val="3"/>
            <w:shd w:val="clear" w:color="auto" w:fill="auto"/>
          </w:tcPr>
          <w:p w14:paraId="36CA4BB7" w14:textId="77777777" w:rsidR="00787570" w:rsidRDefault="00787570">
            <w:pPr>
              <w:rPr>
                <w:rFonts w:ascii="宋体"/>
                <w:vanish/>
              </w:rPr>
            </w:pPr>
          </w:p>
        </w:tc>
      </w:tr>
      <w:tr w:rsidR="00787570" w14:paraId="36CA4BBC" w14:textId="77777777">
        <w:trPr>
          <w:hidden/>
        </w:trPr>
        <w:tc>
          <w:tcPr>
            <w:tcW w:w="0" w:type="auto"/>
            <w:gridSpan w:val="3"/>
            <w:shd w:val="clear" w:color="auto" w:fill="auto"/>
          </w:tcPr>
          <w:p w14:paraId="36CA4BB9" w14:textId="77777777" w:rsidR="00787570" w:rsidRDefault="00787570">
            <w:pPr>
              <w:rPr>
                <w:rFonts w:ascii="宋体"/>
                <w:vanish/>
              </w:rPr>
            </w:pPr>
          </w:p>
        </w:tc>
        <w:tc>
          <w:tcPr>
            <w:tcW w:w="0" w:type="auto"/>
            <w:gridSpan w:val="3"/>
            <w:shd w:val="clear" w:color="auto" w:fill="auto"/>
          </w:tcPr>
          <w:p w14:paraId="36CA4BBA" w14:textId="77777777" w:rsidR="00787570" w:rsidRDefault="00787570">
            <w:pPr>
              <w:rPr>
                <w:rFonts w:ascii="宋体"/>
                <w:vanish/>
              </w:rPr>
            </w:pPr>
          </w:p>
        </w:tc>
        <w:tc>
          <w:tcPr>
            <w:tcW w:w="0" w:type="auto"/>
            <w:gridSpan w:val="3"/>
            <w:shd w:val="clear" w:color="auto" w:fill="auto"/>
          </w:tcPr>
          <w:p w14:paraId="36CA4BBB" w14:textId="77777777" w:rsidR="00787570" w:rsidRDefault="00787570">
            <w:pPr>
              <w:rPr>
                <w:rFonts w:ascii="宋体"/>
                <w:vanish/>
              </w:rPr>
            </w:pPr>
          </w:p>
        </w:tc>
      </w:tr>
      <w:tr w:rsidR="00787570" w14:paraId="36CA4BC0" w14:textId="77777777">
        <w:trPr>
          <w:hidden/>
        </w:trPr>
        <w:tc>
          <w:tcPr>
            <w:tcW w:w="0" w:type="auto"/>
            <w:gridSpan w:val="3"/>
            <w:shd w:val="clear" w:color="auto" w:fill="auto"/>
          </w:tcPr>
          <w:p w14:paraId="36CA4BBD" w14:textId="77777777" w:rsidR="00787570" w:rsidRDefault="00787570">
            <w:pPr>
              <w:rPr>
                <w:rFonts w:ascii="宋体"/>
                <w:vanish/>
              </w:rPr>
            </w:pPr>
          </w:p>
        </w:tc>
        <w:tc>
          <w:tcPr>
            <w:tcW w:w="0" w:type="auto"/>
            <w:gridSpan w:val="3"/>
            <w:shd w:val="clear" w:color="auto" w:fill="auto"/>
          </w:tcPr>
          <w:p w14:paraId="36CA4BBE" w14:textId="77777777" w:rsidR="00787570" w:rsidRDefault="00787570">
            <w:pPr>
              <w:rPr>
                <w:rFonts w:ascii="宋体"/>
                <w:vanish/>
              </w:rPr>
            </w:pPr>
          </w:p>
        </w:tc>
        <w:tc>
          <w:tcPr>
            <w:tcW w:w="0" w:type="auto"/>
            <w:gridSpan w:val="3"/>
            <w:shd w:val="clear" w:color="auto" w:fill="auto"/>
          </w:tcPr>
          <w:p w14:paraId="36CA4BBF" w14:textId="77777777" w:rsidR="00787570" w:rsidRDefault="00787570">
            <w:pPr>
              <w:rPr>
                <w:rFonts w:ascii="宋体"/>
                <w:vanish/>
              </w:rPr>
            </w:pPr>
          </w:p>
        </w:tc>
      </w:tr>
      <w:tr w:rsidR="00787570" w14:paraId="36CA4BC4" w14:textId="77777777">
        <w:trPr>
          <w:hidden/>
        </w:trPr>
        <w:tc>
          <w:tcPr>
            <w:tcW w:w="0" w:type="auto"/>
            <w:gridSpan w:val="3"/>
            <w:shd w:val="clear" w:color="auto" w:fill="auto"/>
          </w:tcPr>
          <w:p w14:paraId="36CA4BC1" w14:textId="77777777" w:rsidR="00787570" w:rsidRDefault="00787570">
            <w:pPr>
              <w:rPr>
                <w:rFonts w:ascii="宋体"/>
                <w:vanish/>
              </w:rPr>
            </w:pPr>
          </w:p>
        </w:tc>
        <w:tc>
          <w:tcPr>
            <w:tcW w:w="0" w:type="auto"/>
            <w:gridSpan w:val="3"/>
            <w:shd w:val="clear" w:color="auto" w:fill="auto"/>
          </w:tcPr>
          <w:p w14:paraId="36CA4BC2" w14:textId="77777777" w:rsidR="00787570" w:rsidRDefault="00787570">
            <w:pPr>
              <w:rPr>
                <w:rFonts w:ascii="宋体"/>
                <w:vanish/>
              </w:rPr>
            </w:pPr>
          </w:p>
        </w:tc>
        <w:tc>
          <w:tcPr>
            <w:tcW w:w="0" w:type="auto"/>
            <w:gridSpan w:val="3"/>
            <w:shd w:val="clear" w:color="auto" w:fill="auto"/>
          </w:tcPr>
          <w:p w14:paraId="36CA4BC3" w14:textId="77777777" w:rsidR="00787570" w:rsidRDefault="00787570">
            <w:pPr>
              <w:rPr>
                <w:rFonts w:ascii="宋体"/>
                <w:vanish/>
              </w:rPr>
            </w:pPr>
          </w:p>
        </w:tc>
      </w:tr>
      <w:tr w:rsidR="00787570" w14:paraId="36CA4BC8" w14:textId="77777777">
        <w:trPr>
          <w:hidden/>
        </w:trPr>
        <w:tc>
          <w:tcPr>
            <w:tcW w:w="0" w:type="auto"/>
            <w:gridSpan w:val="3"/>
            <w:shd w:val="clear" w:color="auto" w:fill="auto"/>
          </w:tcPr>
          <w:p w14:paraId="36CA4BC5" w14:textId="77777777" w:rsidR="00787570" w:rsidRDefault="00787570">
            <w:pPr>
              <w:rPr>
                <w:rFonts w:ascii="宋体"/>
                <w:vanish/>
              </w:rPr>
            </w:pPr>
          </w:p>
        </w:tc>
        <w:tc>
          <w:tcPr>
            <w:tcW w:w="0" w:type="auto"/>
            <w:gridSpan w:val="3"/>
            <w:shd w:val="clear" w:color="auto" w:fill="auto"/>
          </w:tcPr>
          <w:p w14:paraId="36CA4BC6" w14:textId="77777777" w:rsidR="00787570" w:rsidRDefault="00787570">
            <w:pPr>
              <w:rPr>
                <w:rFonts w:ascii="宋体"/>
                <w:vanish/>
              </w:rPr>
            </w:pPr>
          </w:p>
        </w:tc>
        <w:tc>
          <w:tcPr>
            <w:tcW w:w="0" w:type="auto"/>
            <w:gridSpan w:val="3"/>
            <w:shd w:val="clear" w:color="auto" w:fill="auto"/>
          </w:tcPr>
          <w:p w14:paraId="36CA4BC7" w14:textId="77777777" w:rsidR="00787570" w:rsidRDefault="00787570">
            <w:pPr>
              <w:rPr>
                <w:rFonts w:ascii="宋体"/>
                <w:vanish/>
              </w:rPr>
            </w:pPr>
          </w:p>
        </w:tc>
      </w:tr>
      <w:tr w:rsidR="00787570" w14:paraId="36CA4BCD" w14:textId="77777777">
        <w:tc>
          <w:tcPr>
            <w:tcW w:w="0" w:type="auto"/>
            <w:gridSpan w:val="2"/>
            <w:shd w:val="clear" w:color="auto" w:fill="auto"/>
            <w:tcMar>
              <w:top w:w="40" w:type="dxa"/>
              <w:left w:w="20" w:type="dxa"/>
              <w:bottom w:w="40" w:type="dxa"/>
              <w:right w:w="0" w:type="dxa"/>
            </w:tcMar>
          </w:tcPr>
          <w:p w14:paraId="36CA4BC9" w14:textId="77777777" w:rsidR="00787570" w:rsidRDefault="000D56E2">
            <w:pPr>
              <w:jc w:val="right"/>
              <w:textAlignment w:val="top"/>
            </w:pPr>
            <w:r>
              <w:rPr>
                <w:rFonts w:ascii="Arial" w:eastAsia="宋体" w:hAnsi="Arial" w:cs="Arial"/>
                <w:color w:val="0071C5"/>
                <w:sz w:val="18"/>
                <w:szCs w:val="18"/>
              </w:rPr>
              <w:t>54 </w:t>
            </w:r>
          </w:p>
        </w:tc>
        <w:tc>
          <w:tcPr>
            <w:tcW w:w="0" w:type="auto"/>
            <w:shd w:val="clear" w:color="auto" w:fill="auto"/>
            <w:tcMar>
              <w:top w:w="40" w:type="dxa"/>
              <w:bottom w:w="40" w:type="dxa"/>
              <w:right w:w="20" w:type="dxa"/>
            </w:tcMar>
          </w:tcPr>
          <w:p w14:paraId="36CA4BCA"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4BCB" w14:textId="77777777" w:rsidR="00787570" w:rsidRDefault="00787570">
            <w:pPr>
              <w:rPr>
                <w:rFonts w:ascii="宋体"/>
              </w:rPr>
            </w:pPr>
          </w:p>
        </w:tc>
        <w:tc>
          <w:tcPr>
            <w:tcW w:w="0" w:type="auto"/>
            <w:gridSpan w:val="3"/>
            <w:shd w:val="clear" w:color="auto" w:fill="auto"/>
            <w:tcMar>
              <w:top w:w="40" w:type="dxa"/>
              <w:left w:w="20" w:type="dxa"/>
              <w:bottom w:w="40" w:type="dxa"/>
              <w:right w:w="20" w:type="dxa"/>
            </w:tcMar>
          </w:tcPr>
          <w:p w14:paraId="36CA4BCC" w14:textId="77777777" w:rsidR="00787570" w:rsidRDefault="000D56E2">
            <w:pPr>
              <w:textAlignment w:val="top"/>
            </w:pPr>
            <w:r>
              <w:rPr>
                <w:rFonts w:ascii="Arial" w:eastAsia="宋体" w:hAnsi="Arial" w:cs="Arial"/>
                <w:color w:val="0071C5"/>
                <w:sz w:val="18"/>
                <w:szCs w:val="18"/>
              </w:rPr>
              <w:t>Other</w:t>
            </w:r>
          </w:p>
        </w:tc>
      </w:tr>
      <w:tr w:rsidR="00787570" w14:paraId="36CA4BD3" w14:textId="77777777">
        <w:tc>
          <w:tcPr>
            <w:tcW w:w="0" w:type="auto"/>
            <w:tcBorders>
              <w:top w:val="single" w:sz="8" w:space="0" w:color="333333"/>
            </w:tcBorders>
            <w:shd w:val="clear" w:color="auto" w:fill="auto"/>
            <w:tcMar>
              <w:top w:w="40" w:type="dxa"/>
              <w:left w:w="20" w:type="dxa"/>
              <w:bottom w:w="40" w:type="dxa"/>
            </w:tcMar>
            <w:vAlign w:val="bottom"/>
          </w:tcPr>
          <w:p w14:paraId="36CA4BCE" w14:textId="77777777" w:rsidR="00787570" w:rsidRDefault="000D56E2">
            <w:pPr>
              <w:textAlignment w:val="bottom"/>
            </w:pPr>
            <w:r>
              <w:rPr>
                <w:rFonts w:ascii="Arial" w:eastAsia="宋体" w:hAnsi="Arial" w:cs="Arial"/>
                <w:b/>
                <w:bCs/>
                <w:color w:val="333333"/>
                <w:sz w:val="18"/>
                <w:szCs w:val="18"/>
              </w:rPr>
              <w:t>$</w:t>
            </w:r>
          </w:p>
        </w:tc>
        <w:tc>
          <w:tcPr>
            <w:tcW w:w="0" w:type="auto"/>
            <w:tcBorders>
              <w:top w:val="single" w:sz="8" w:space="0" w:color="333333"/>
            </w:tcBorders>
            <w:shd w:val="clear" w:color="auto" w:fill="auto"/>
            <w:tcMar>
              <w:top w:w="40" w:type="dxa"/>
              <w:bottom w:w="40" w:type="dxa"/>
              <w:right w:w="0" w:type="dxa"/>
            </w:tcMar>
            <w:vAlign w:val="bottom"/>
          </w:tcPr>
          <w:p w14:paraId="36CA4BCF" w14:textId="77777777" w:rsidR="00787570" w:rsidRDefault="000D56E2">
            <w:pPr>
              <w:jc w:val="right"/>
              <w:textAlignment w:val="bottom"/>
            </w:pPr>
            <w:r>
              <w:rPr>
                <w:rFonts w:ascii="Arial" w:eastAsia="宋体" w:hAnsi="Arial" w:cs="Arial"/>
                <w:b/>
                <w:bCs/>
                <w:color w:val="333333"/>
                <w:sz w:val="18"/>
                <w:szCs w:val="18"/>
              </w:rPr>
              <w:t>4,305</w:t>
            </w:r>
            <w:r>
              <w:rPr>
                <w:rFonts w:ascii="Arial" w:eastAsia="宋体" w:hAnsi="Arial" w:cs="Arial"/>
                <w:color w:val="333333"/>
                <w:sz w:val="18"/>
                <w:szCs w:val="18"/>
              </w:rPr>
              <w:t> </w:t>
            </w:r>
          </w:p>
        </w:tc>
        <w:tc>
          <w:tcPr>
            <w:tcW w:w="0" w:type="auto"/>
            <w:tcBorders>
              <w:top w:val="single" w:sz="8" w:space="0" w:color="333333"/>
            </w:tcBorders>
            <w:shd w:val="clear" w:color="auto" w:fill="auto"/>
            <w:tcMar>
              <w:top w:w="40" w:type="dxa"/>
              <w:bottom w:w="40" w:type="dxa"/>
              <w:right w:w="20" w:type="dxa"/>
            </w:tcMar>
            <w:vAlign w:val="bottom"/>
          </w:tcPr>
          <w:p w14:paraId="36CA4BD0"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4BD1" w14:textId="77777777" w:rsidR="00787570" w:rsidRDefault="00787570">
            <w:pPr>
              <w:rPr>
                <w:rFonts w:ascii="宋体"/>
              </w:rPr>
            </w:pPr>
          </w:p>
        </w:tc>
        <w:tc>
          <w:tcPr>
            <w:tcW w:w="0" w:type="auto"/>
            <w:gridSpan w:val="3"/>
            <w:tcBorders>
              <w:top w:val="single" w:sz="8" w:space="0" w:color="333333"/>
            </w:tcBorders>
            <w:shd w:val="clear" w:color="auto" w:fill="auto"/>
            <w:tcMar>
              <w:top w:w="40" w:type="dxa"/>
              <w:left w:w="20" w:type="dxa"/>
              <w:bottom w:w="40" w:type="dxa"/>
              <w:right w:w="20" w:type="dxa"/>
            </w:tcMar>
            <w:vAlign w:val="bottom"/>
          </w:tcPr>
          <w:p w14:paraId="36CA4BD2" w14:textId="77777777" w:rsidR="00787570" w:rsidRDefault="000D56E2">
            <w:pPr>
              <w:textAlignment w:val="bottom"/>
            </w:pPr>
            <w:r>
              <w:rPr>
                <w:rFonts w:ascii="Arial" w:eastAsia="宋体" w:hAnsi="Arial" w:cs="Arial"/>
                <w:b/>
                <w:bCs/>
                <w:color w:val="333333"/>
                <w:sz w:val="18"/>
                <w:szCs w:val="18"/>
              </w:rPr>
              <w:t>Q3 2019 CCG Operating Income</w:t>
            </w:r>
          </w:p>
        </w:tc>
      </w:tr>
      <w:tr w:rsidR="00787570" w14:paraId="36CA4BD7" w14:textId="77777777">
        <w:trPr>
          <w:trHeight w:val="160"/>
        </w:trPr>
        <w:tc>
          <w:tcPr>
            <w:tcW w:w="0" w:type="auto"/>
            <w:gridSpan w:val="3"/>
            <w:tcBorders>
              <w:top w:val="single" w:sz="8" w:space="0" w:color="333333"/>
            </w:tcBorders>
            <w:shd w:val="clear" w:color="auto" w:fill="auto"/>
            <w:tcMar>
              <w:left w:w="20" w:type="dxa"/>
              <w:right w:w="20" w:type="dxa"/>
            </w:tcMar>
            <w:vAlign w:val="bottom"/>
          </w:tcPr>
          <w:p w14:paraId="36CA4BD4"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4BD5" w14:textId="77777777" w:rsidR="00787570" w:rsidRDefault="00787570">
            <w:pPr>
              <w:rPr>
                <w:rFonts w:ascii="宋体"/>
              </w:rPr>
            </w:pPr>
          </w:p>
        </w:tc>
        <w:tc>
          <w:tcPr>
            <w:tcW w:w="0" w:type="auto"/>
            <w:gridSpan w:val="3"/>
            <w:tcBorders>
              <w:top w:val="single" w:sz="8" w:space="0" w:color="333333"/>
            </w:tcBorders>
            <w:shd w:val="clear" w:color="auto" w:fill="auto"/>
            <w:tcMar>
              <w:left w:w="20" w:type="dxa"/>
              <w:right w:w="20" w:type="dxa"/>
            </w:tcMar>
            <w:vAlign w:val="bottom"/>
          </w:tcPr>
          <w:p w14:paraId="36CA4BD6" w14:textId="77777777" w:rsidR="00787570" w:rsidRDefault="00787570">
            <w:pPr>
              <w:rPr>
                <w:rFonts w:ascii="宋体"/>
              </w:rPr>
            </w:pPr>
          </w:p>
        </w:tc>
      </w:tr>
      <w:tr w:rsidR="00787570" w14:paraId="36CA4BDD" w14:textId="77777777">
        <w:tc>
          <w:tcPr>
            <w:tcW w:w="0" w:type="auto"/>
            <w:tcBorders>
              <w:top w:val="single" w:sz="8" w:space="0" w:color="333333"/>
            </w:tcBorders>
            <w:shd w:val="clear" w:color="auto" w:fill="auto"/>
            <w:tcMar>
              <w:top w:w="40" w:type="dxa"/>
              <w:left w:w="20" w:type="dxa"/>
              <w:bottom w:w="40" w:type="dxa"/>
            </w:tcMar>
            <w:vAlign w:val="bottom"/>
          </w:tcPr>
          <w:p w14:paraId="36CA4BD8" w14:textId="77777777" w:rsidR="00787570" w:rsidRDefault="000D56E2">
            <w:pPr>
              <w:textAlignment w:val="bottom"/>
            </w:pPr>
            <w:r>
              <w:rPr>
                <w:rFonts w:ascii="Arial" w:eastAsia="宋体" w:hAnsi="Arial" w:cs="Arial"/>
                <w:b/>
                <w:bCs/>
                <w:color w:val="0071C5"/>
                <w:sz w:val="18"/>
                <w:szCs w:val="18"/>
              </w:rPr>
              <w:t>$</w:t>
            </w:r>
          </w:p>
        </w:tc>
        <w:tc>
          <w:tcPr>
            <w:tcW w:w="0" w:type="auto"/>
            <w:tcBorders>
              <w:top w:val="single" w:sz="8" w:space="0" w:color="333333"/>
            </w:tcBorders>
            <w:shd w:val="clear" w:color="auto" w:fill="auto"/>
            <w:tcMar>
              <w:top w:w="40" w:type="dxa"/>
              <w:bottom w:w="40" w:type="dxa"/>
              <w:right w:w="0" w:type="dxa"/>
            </w:tcMar>
            <w:vAlign w:val="bottom"/>
          </w:tcPr>
          <w:p w14:paraId="36CA4BD9" w14:textId="77777777" w:rsidR="00787570" w:rsidRDefault="000D56E2">
            <w:pPr>
              <w:jc w:val="right"/>
              <w:textAlignment w:val="bottom"/>
            </w:pPr>
            <w:r>
              <w:rPr>
                <w:rFonts w:ascii="Arial" w:eastAsia="宋体" w:hAnsi="Arial" w:cs="Arial"/>
                <w:b/>
                <w:bCs/>
                <w:color w:val="0071C5"/>
                <w:sz w:val="18"/>
                <w:szCs w:val="18"/>
              </w:rPr>
              <w:t>10,621</w:t>
            </w:r>
            <w:r>
              <w:rPr>
                <w:rFonts w:ascii="Arial" w:eastAsia="宋体" w:hAnsi="Arial" w:cs="Arial"/>
                <w:color w:val="0071C5"/>
                <w:sz w:val="18"/>
                <w:szCs w:val="18"/>
              </w:rPr>
              <w:t> </w:t>
            </w:r>
          </w:p>
        </w:tc>
        <w:tc>
          <w:tcPr>
            <w:tcW w:w="0" w:type="auto"/>
            <w:tcBorders>
              <w:top w:val="single" w:sz="8" w:space="0" w:color="333333"/>
            </w:tcBorders>
            <w:shd w:val="clear" w:color="auto" w:fill="auto"/>
            <w:tcMar>
              <w:top w:w="40" w:type="dxa"/>
              <w:bottom w:w="40" w:type="dxa"/>
              <w:right w:w="20" w:type="dxa"/>
            </w:tcMar>
            <w:vAlign w:val="bottom"/>
          </w:tcPr>
          <w:p w14:paraId="36CA4BDA"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4BDB" w14:textId="77777777" w:rsidR="00787570" w:rsidRDefault="00787570">
            <w:pPr>
              <w:rPr>
                <w:rFonts w:ascii="宋体"/>
              </w:rPr>
            </w:pPr>
          </w:p>
        </w:tc>
        <w:tc>
          <w:tcPr>
            <w:tcW w:w="0" w:type="auto"/>
            <w:gridSpan w:val="3"/>
            <w:tcBorders>
              <w:top w:val="single" w:sz="8" w:space="0" w:color="333333"/>
            </w:tcBorders>
            <w:shd w:val="clear" w:color="auto" w:fill="auto"/>
            <w:tcMar>
              <w:top w:w="40" w:type="dxa"/>
              <w:left w:w="20" w:type="dxa"/>
              <w:bottom w:w="40" w:type="dxa"/>
              <w:right w:w="20" w:type="dxa"/>
            </w:tcMar>
            <w:vAlign w:val="bottom"/>
          </w:tcPr>
          <w:p w14:paraId="36CA4BDC" w14:textId="77777777" w:rsidR="00787570" w:rsidRDefault="000D56E2">
            <w:pPr>
              <w:textAlignment w:val="bottom"/>
            </w:pPr>
            <w:r>
              <w:rPr>
                <w:rFonts w:ascii="Arial" w:eastAsia="宋体" w:hAnsi="Arial" w:cs="Arial"/>
                <w:b/>
                <w:bCs/>
                <w:color w:val="333333"/>
                <w:sz w:val="18"/>
                <w:szCs w:val="18"/>
              </w:rPr>
              <w:t>YTD 2020 CCG Operating Income</w:t>
            </w:r>
          </w:p>
        </w:tc>
      </w:tr>
      <w:tr w:rsidR="00787570" w14:paraId="36CA4BE2" w14:textId="77777777">
        <w:tc>
          <w:tcPr>
            <w:tcW w:w="0" w:type="auto"/>
            <w:gridSpan w:val="2"/>
            <w:tcBorders>
              <w:top w:val="single" w:sz="8" w:space="0" w:color="333333"/>
            </w:tcBorders>
            <w:shd w:val="clear" w:color="auto" w:fill="auto"/>
            <w:tcMar>
              <w:top w:w="40" w:type="dxa"/>
              <w:left w:w="20" w:type="dxa"/>
              <w:bottom w:w="40" w:type="dxa"/>
              <w:right w:w="0" w:type="dxa"/>
            </w:tcMar>
          </w:tcPr>
          <w:p w14:paraId="36CA4BDE" w14:textId="77777777" w:rsidR="00787570" w:rsidRDefault="000D56E2">
            <w:pPr>
              <w:jc w:val="right"/>
              <w:textAlignment w:val="top"/>
            </w:pPr>
            <w:r>
              <w:rPr>
                <w:rFonts w:ascii="Arial" w:eastAsia="宋体" w:hAnsi="Arial" w:cs="Arial"/>
                <w:color w:val="0071C5"/>
                <w:sz w:val="18"/>
                <w:szCs w:val="18"/>
              </w:rPr>
              <w:t>(2,545)</w:t>
            </w:r>
          </w:p>
        </w:tc>
        <w:tc>
          <w:tcPr>
            <w:tcW w:w="0" w:type="auto"/>
            <w:tcBorders>
              <w:top w:val="single" w:sz="8" w:space="0" w:color="333333"/>
            </w:tcBorders>
            <w:shd w:val="clear" w:color="auto" w:fill="auto"/>
            <w:tcMar>
              <w:top w:w="40" w:type="dxa"/>
              <w:bottom w:w="40" w:type="dxa"/>
              <w:right w:w="20" w:type="dxa"/>
            </w:tcMar>
          </w:tcPr>
          <w:p w14:paraId="36CA4BDF"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4BE0" w14:textId="77777777" w:rsidR="00787570" w:rsidRDefault="00787570">
            <w:pPr>
              <w:rPr>
                <w:rFonts w:ascii="宋体"/>
              </w:rPr>
            </w:pPr>
          </w:p>
        </w:tc>
        <w:tc>
          <w:tcPr>
            <w:tcW w:w="0" w:type="auto"/>
            <w:gridSpan w:val="3"/>
            <w:tcBorders>
              <w:top w:val="single" w:sz="8" w:space="0" w:color="333333"/>
            </w:tcBorders>
            <w:shd w:val="clear" w:color="auto" w:fill="auto"/>
            <w:tcMar>
              <w:top w:w="40" w:type="dxa"/>
              <w:left w:w="20" w:type="dxa"/>
              <w:bottom w:w="40" w:type="dxa"/>
              <w:right w:w="20" w:type="dxa"/>
            </w:tcMar>
          </w:tcPr>
          <w:p w14:paraId="36CA4BE1" w14:textId="77777777" w:rsidR="00787570" w:rsidRDefault="000D56E2">
            <w:pPr>
              <w:textAlignment w:val="top"/>
            </w:pPr>
            <w:r>
              <w:rPr>
                <w:rFonts w:ascii="Arial" w:eastAsia="宋体" w:hAnsi="Arial" w:cs="Arial"/>
                <w:color w:val="0071C5"/>
                <w:sz w:val="18"/>
                <w:szCs w:val="18"/>
              </w:rPr>
              <w:t>Higher platform unit cost primarily from increased mix of 10nm products</w:t>
            </w:r>
          </w:p>
        </w:tc>
      </w:tr>
      <w:tr w:rsidR="00787570" w14:paraId="36CA4BE7" w14:textId="77777777">
        <w:tc>
          <w:tcPr>
            <w:tcW w:w="0" w:type="auto"/>
            <w:gridSpan w:val="2"/>
            <w:shd w:val="clear" w:color="auto" w:fill="auto"/>
            <w:tcMar>
              <w:top w:w="40" w:type="dxa"/>
              <w:left w:w="20" w:type="dxa"/>
              <w:bottom w:w="40" w:type="dxa"/>
              <w:right w:w="0" w:type="dxa"/>
            </w:tcMar>
          </w:tcPr>
          <w:p w14:paraId="36CA4BE3" w14:textId="77777777" w:rsidR="00787570" w:rsidRDefault="000D56E2">
            <w:pPr>
              <w:jc w:val="right"/>
              <w:textAlignment w:val="top"/>
            </w:pPr>
            <w:r>
              <w:rPr>
                <w:rFonts w:ascii="Arial" w:eastAsia="宋体" w:hAnsi="Arial" w:cs="Arial"/>
                <w:color w:val="0071C5"/>
                <w:sz w:val="18"/>
                <w:szCs w:val="18"/>
              </w:rPr>
              <w:t>(150)</w:t>
            </w:r>
          </w:p>
        </w:tc>
        <w:tc>
          <w:tcPr>
            <w:tcW w:w="0" w:type="auto"/>
            <w:shd w:val="clear" w:color="auto" w:fill="auto"/>
            <w:tcMar>
              <w:top w:w="40" w:type="dxa"/>
              <w:bottom w:w="40" w:type="dxa"/>
              <w:right w:w="20" w:type="dxa"/>
            </w:tcMar>
          </w:tcPr>
          <w:p w14:paraId="36CA4BE4"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4BE5" w14:textId="77777777" w:rsidR="00787570" w:rsidRDefault="00787570">
            <w:pPr>
              <w:rPr>
                <w:rFonts w:ascii="宋体"/>
              </w:rPr>
            </w:pPr>
          </w:p>
        </w:tc>
        <w:tc>
          <w:tcPr>
            <w:tcW w:w="0" w:type="auto"/>
            <w:gridSpan w:val="3"/>
            <w:shd w:val="clear" w:color="auto" w:fill="auto"/>
            <w:tcMar>
              <w:top w:w="40" w:type="dxa"/>
              <w:left w:w="20" w:type="dxa"/>
              <w:bottom w:w="40" w:type="dxa"/>
              <w:right w:w="20" w:type="dxa"/>
            </w:tcMar>
          </w:tcPr>
          <w:p w14:paraId="36CA4BE6" w14:textId="77777777" w:rsidR="00787570" w:rsidRDefault="000D56E2">
            <w:pPr>
              <w:textAlignment w:val="top"/>
            </w:pPr>
            <w:r>
              <w:rPr>
                <w:rFonts w:ascii="Arial" w:eastAsia="宋体" w:hAnsi="Arial" w:cs="Arial"/>
                <w:color w:val="0071C5"/>
                <w:sz w:val="18"/>
                <w:szCs w:val="18"/>
              </w:rPr>
              <w:t xml:space="preserve">Higher period charges primarily due to </w:t>
            </w:r>
            <w:r>
              <w:rPr>
                <w:rFonts w:ascii="Arial" w:eastAsia="宋体" w:hAnsi="Arial" w:cs="Arial"/>
                <w:color w:val="0071C5"/>
                <w:sz w:val="18"/>
                <w:szCs w:val="18"/>
              </w:rPr>
              <w:t>reserved non-qualified platform product, partially offset by sell-through of previously reserved platform products related to our 10nm process technology</w:t>
            </w:r>
          </w:p>
        </w:tc>
      </w:tr>
      <w:tr w:rsidR="00787570" w14:paraId="36CA4BEC" w14:textId="77777777">
        <w:tc>
          <w:tcPr>
            <w:tcW w:w="0" w:type="auto"/>
            <w:gridSpan w:val="2"/>
            <w:shd w:val="clear" w:color="auto" w:fill="auto"/>
            <w:tcMar>
              <w:top w:w="40" w:type="dxa"/>
              <w:left w:w="20" w:type="dxa"/>
              <w:bottom w:w="40" w:type="dxa"/>
              <w:right w:w="0" w:type="dxa"/>
            </w:tcMar>
          </w:tcPr>
          <w:p w14:paraId="36CA4BE8" w14:textId="77777777" w:rsidR="00787570" w:rsidRDefault="000D56E2">
            <w:pPr>
              <w:jc w:val="right"/>
              <w:textAlignment w:val="top"/>
            </w:pPr>
            <w:r>
              <w:rPr>
                <w:rFonts w:ascii="Arial" w:eastAsia="宋体" w:hAnsi="Arial" w:cs="Arial"/>
                <w:color w:val="0071C5"/>
                <w:sz w:val="18"/>
                <w:szCs w:val="18"/>
              </w:rPr>
              <w:t>1,115 </w:t>
            </w:r>
          </w:p>
        </w:tc>
        <w:tc>
          <w:tcPr>
            <w:tcW w:w="0" w:type="auto"/>
            <w:shd w:val="clear" w:color="auto" w:fill="auto"/>
            <w:tcMar>
              <w:top w:w="40" w:type="dxa"/>
              <w:bottom w:w="40" w:type="dxa"/>
              <w:right w:w="20" w:type="dxa"/>
            </w:tcMar>
          </w:tcPr>
          <w:p w14:paraId="36CA4BE9"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4BEA" w14:textId="77777777" w:rsidR="00787570" w:rsidRDefault="00787570">
            <w:pPr>
              <w:rPr>
                <w:rFonts w:ascii="宋体"/>
              </w:rPr>
            </w:pPr>
          </w:p>
        </w:tc>
        <w:tc>
          <w:tcPr>
            <w:tcW w:w="0" w:type="auto"/>
            <w:gridSpan w:val="3"/>
            <w:shd w:val="clear" w:color="auto" w:fill="auto"/>
            <w:tcMar>
              <w:top w:w="40" w:type="dxa"/>
              <w:left w:w="20" w:type="dxa"/>
              <w:bottom w:w="40" w:type="dxa"/>
              <w:right w:w="20" w:type="dxa"/>
            </w:tcMar>
          </w:tcPr>
          <w:p w14:paraId="36CA4BEB" w14:textId="77777777" w:rsidR="00787570" w:rsidRDefault="000D56E2">
            <w:pPr>
              <w:textAlignment w:val="top"/>
            </w:pPr>
            <w:r>
              <w:rPr>
                <w:rFonts w:ascii="Arial" w:eastAsia="宋体" w:hAnsi="Arial" w:cs="Arial"/>
                <w:color w:val="0071C5"/>
                <w:sz w:val="18"/>
                <w:szCs w:val="18"/>
              </w:rPr>
              <w:t>Higher gross margin from platform revenue</w:t>
            </w:r>
          </w:p>
        </w:tc>
      </w:tr>
      <w:tr w:rsidR="00787570" w14:paraId="36CA4BF1" w14:textId="77777777">
        <w:tc>
          <w:tcPr>
            <w:tcW w:w="0" w:type="auto"/>
            <w:gridSpan w:val="2"/>
            <w:shd w:val="clear" w:color="auto" w:fill="auto"/>
            <w:tcMar>
              <w:top w:w="40" w:type="dxa"/>
              <w:left w:w="20" w:type="dxa"/>
              <w:bottom w:w="40" w:type="dxa"/>
              <w:right w:w="0" w:type="dxa"/>
            </w:tcMar>
          </w:tcPr>
          <w:p w14:paraId="36CA4BED" w14:textId="77777777" w:rsidR="00787570" w:rsidRDefault="000D56E2">
            <w:pPr>
              <w:jc w:val="right"/>
              <w:textAlignment w:val="top"/>
            </w:pPr>
            <w:r>
              <w:rPr>
                <w:rFonts w:ascii="Arial" w:eastAsia="宋体" w:hAnsi="Arial" w:cs="Arial"/>
                <w:color w:val="0071C5"/>
                <w:sz w:val="18"/>
                <w:szCs w:val="18"/>
              </w:rPr>
              <w:t>695 </w:t>
            </w:r>
          </w:p>
        </w:tc>
        <w:tc>
          <w:tcPr>
            <w:tcW w:w="0" w:type="auto"/>
            <w:shd w:val="clear" w:color="auto" w:fill="auto"/>
            <w:tcMar>
              <w:top w:w="40" w:type="dxa"/>
              <w:bottom w:w="40" w:type="dxa"/>
              <w:right w:w="20" w:type="dxa"/>
            </w:tcMar>
          </w:tcPr>
          <w:p w14:paraId="36CA4BEE"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4BEF" w14:textId="77777777" w:rsidR="00787570" w:rsidRDefault="00787570">
            <w:pPr>
              <w:rPr>
                <w:rFonts w:ascii="宋体"/>
              </w:rPr>
            </w:pPr>
          </w:p>
        </w:tc>
        <w:tc>
          <w:tcPr>
            <w:tcW w:w="0" w:type="auto"/>
            <w:gridSpan w:val="3"/>
            <w:shd w:val="clear" w:color="auto" w:fill="auto"/>
            <w:tcMar>
              <w:top w:w="40" w:type="dxa"/>
              <w:left w:w="20" w:type="dxa"/>
              <w:bottom w:w="40" w:type="dxa"/>
              <w:right w:w="20" w:type="dxa"/>
            </w:tcMar>
          </w:tcPr>
          <w:p w14:paraId="36CA4BF0" w14:textId="77777777" w:rsidR="00787570" w:rsidRDefault="000D56E2">
            <w:pPr>
              <w:textAlignment w:val="top"/>
            </w:pPr>
            <w:r>
              <w:rPr>
                <w:rFonts w:ascii="Arial" w:eastAsia="宋体" w:hAnsi="Arial" w:cs="Arial"/>
                <w:color w:val="0071C5"/>
                <w:sz w:val="18"/>
                <w:szCs w:val="18"/>
              </w:rPr>
              <w:t>Lower operating expenses</w:t>
            </w:r>
          </w:p>
        </w:tc>
      </w:tr>
      <w:tr w:rsidR="00787570" w14:paraId="36CA4BF6" w14:textId="77777777">
        <w:tc>
          <w:tcPr>
            <w:tcW w:w="0" w:type="auto"/>
            <w:gridSpan w:val="2"/>
            <w:shd w:val="clear" w:color="auto" w:fill="auto"/>
            <w:tcMar>
              <w:top w:w="40" w:type="dxa"/>
              <w:left w:w="20" w:type="dxa"/>
              <w:bottom w:w="40" w:type="dxa"/>
              <w:right w:w="0" w:type="dxa"/>
            </w:tcMar>
          </w:tcPr>
          <w:p w14:paraId="36CA4BF2" w14:textId="77777777" w:rsidR="00787570" w:rsidRDefault="000D56E2">
            <w:pPr>
              <w:jc w:val="right"/>
              <w:textAlignment w:val="top"/>
            </w:pPr>
            <w:r>
              <w:rPr>
                <w:rFonts w:ascii="Arial" w:eastAsia="宋体" w:hAnsi="Arial" w:cs="Arial"/>
                <w:color w:val="0071C5"/>
                <w:sz w:val="18"/>
                <w:szCs w:val="18"/>
              </w:rPr>
              <w:t>350 </w:t>
            </w:r>
          </w:p>
        </w:tc>
        <w:tc>
          <w:tcPr>
            <w:tcW w:w="0" w:type="auto"/>
            <w:shd w:val="clear" w:color="auto" w:fill="auto"/>
            <w:tcMar>
              <w:top w:w="40" w:type="dxa"/>
              <w:bottom w:w="40" w:type="dxa"/>
              <w:right w:w="20" w:type="dxa"/>
            </w:tcMar>
          </w:tcPr>
          <w:p w14:paraId="36CA4BF3"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4BF4" w14:textId="77777777" w:rsidR="00787570" w:rsidRDefault="00787570">
            <w:pPr>
              <w:rPr>
                <w:rFonts w:ascii="宋体"/>
              </w:rPr>
            </w:pPr>
          </w:p>
        </w:tc>
        <w:tc>
          <w:tcPr>
            <w:tcW w:w="0" w:type="auto"/>
            <w:gridSpan w:val="3"/>
            <w:shd w:val="clear" w:color="auto" w:fill="auto"/>
            <w:tcMar>
              <w:top w:w="40" w:type="dxa"/>
              <w:left w:w="20" w:type="dxa"/>
              <w:bottom w:w="40" w:type="dxa"/>
              <w:right w:w="20" w:type="dxa"/>
            </w:tcMar>
          </w:tcPr>
          <w:p w14:paraId="36CA4BF5" w14:textId="77777777" w:rsidR="00787570" w:rsidRDefault="000D56E2">
            <w:pPr>
              <w:textAlignment w:val="top"/>
            </w:pPr>
            <w:r>
              <w:rPr>
                <w:rFonts w:ascii="Arial" w:eastAsia="宋体" w:hAnsi="Arial" w:cs="Arial"/>
                <w:color w:val="0071C5"/>
                <w:sz w:val="18"/>
                <w:szCs w:val="18"/>
              </w:rPr>
              <w:t>Higher CCG adjacent product margin</w:t>
            </w:r>
          </w:p>
        </w:tc>
      </w:tr>
      <w:tr w:rsidR="00787570" w14:paraId="36CA4BFA" w14:textId="77777777">
        <w:trPr>
          <w:hidden/>
        </w:trPr>
        <w:tc>
          <w:tcPr>
            <w:tcW w:w="0" w:type="auto"/>
            <w:gridSpan w:val="3"/>
            <w:shd w:val="clear" w:color="auto" w:fill="auto"/>
          </w:tcPr>
          <w:p w14:paraId="36CA4BF7" w14:textId="77777777" w:rsidR="00787570" w:rsidRDefault="00787570">
            <w:pPr>
              <w:rPr>
                <w:rFonts w:ascii="宋体"/>
                <w:vanish/>
              </w:rPr>
            </w:pPr>
          </w:p>
        </w:tc>
        <w:tc>
          <w:tcPr>
            <w:tcW w:w="0" w:type="auto"/>
            <w:gridSpan w:val="3"/>
            <w:shd w:val="clear" w:color="auto" w:fill="auto"/>
          </w:tcPr>
          <w:p w14:paraId="36CA4BF8" w14:textId="77777777" w:rsidR="00787570" w:rsidRDefault="00787570">
            <w:pPr>
              <w:rPr>
                <w:rFonts w:ascii="宋体"/>
                <w:vanish/>
              </w:rPr>
            </w:pPr>
          </w:p>
        </w:tc>
        <w:tc>
          <w:tcPr>
            <w:tcW w:w="0" w:type="auto"/>
            <w:gridSpan w:val="3"/>
            <w:shd w:val="clear" w:color="auto" w:fill="auto"/>
          </w:tcPr>
          <w:p w14:paraId="36CA4BF9" w14:textId="77777777" w:rsidR="00787570" w:rsidRDefault="00787570">
            <w:pPr>
              <w:rPr>
                <w:rFonts w:ascii="宋体"/>
                <w:vanish/>
              </w:rPr>
            </w:pPr>
          </w:p>
        </w:tc>
      </w:tr>
      <w:tr w:rsidR="00787570" w14:paraId="36CA4BFE" w14:textId="77777777">
        <w:trPr>
          <w:hidden/>
        </w:trPr>
        <w:tc>
          <w:tcPr>
            <w:tcW w:w="0" w:type="auto"/>
            <w:gridSpan w:val="3"/>
            <w:shd w:val="clear" w:color="auto" w:fill="auto"/>
          </w:tcPr>
          <w:p w14:paraId="36CA4BFB" w14:textId="77777777" w:rsidR="00787570" w:rsidRDefault="00787570">
            <w:pPr>
              <w:rPr>
                <w:rFonts w:ascii="宋体"/>
                <w:vanish/>
              </w:rPr>
            </w:pPr>
          </w:p>
        </w:tc>
        <w:tc>
          <w:tcPr>
            <w:tcW w:w="0" w:type="auto"/>
            <w:gridSpan w:val="3"/>
            <w:shd w:val="clear" w:color="auto" w:fill="auto"/>
          </w:tcPr>
          <w:p w14:paraId="36CA4BFC" w14:textId="77777777" w:rsidR="00787570" w:rsidRDefault="00787570">
            <w:pPr>
              <w:rPr>
                <w:rFonts w:ascii="宋体"/>
                <w:vanish/>
              </w:rPr>
            </w:pPr>
          </w:p>
        </w:tc>
        <w:tc>
          <w:tcPr>
            <w:tcW w:w="0" w:type="auto"/>
            <w:gridSpan w:val="3"/>
            <w:shd w:val="clear" w:color="auto" w:fill="auto"/>
          </w:tcPr>
          <w:p w14:paraId="36CA4BFD" w14:textId="77777777" w:rsidR="00787570" w:rsidRDefault="00787570">
            <w:pPr>
              <w:rPr>
                <w:rFonts w:ascii="宋体"/>
                <w:vanish/>
              </w:rPr>
            </w:pPr>
          </w:p>
        </w:tc>
      </w:tr>
      <w:tr w:rsidR="00787570" w14:paraId="36CA4C02" w14:textId="77777777">
        <w:trPr>
          <w:hidden/>
        </w:trPr>
        <w:tc>
          <w:tcPr>
            <w:tcW w:w="0" w:type="auto"/>
            <w:gridSpan w:val="3"/>
            <w:shd w:val="clear" w:color="auto" w:fill="auto"/>
          </w:tcPr>
          <w:p w14:paraId="36CA4BFF" w14:textId="77777777" w:rsidR="00787570" w:rsidRDefault="00787570">
            <w:pPr>
              <w:rPr>
                <w:rFonts w:ascii="宋体"/>
                <w:vanish/>
              </w:rPr>
            </w:pPr>
          </w:p>
        </w:tc>
        <w:tc>
          <w:tcPr>
            <w:tcW w:w="0" w:type="auto"/>
            <w:gridSpan w:val="3"/>
            <w:shd w:val="clear" w:color="auto" w:fill="auto"/>
          </w:tcPr>
          <w:p w14:paraId="36CA4C00" w14:textId="77777777" w:rsidR="00787570" w:rsidRDefault="00787570">
            <w:pPr>
              <w:rPr>
                <w:rFonts w:ascii="宋体"/>
                <w:vanish/>
              </w:rPr>
            </w:pPr>
          </w:p>
        </w:tc>
        <w:tc>
          <w:tcPr>
            <w:tcW w:w="0" w:type="auto"/>
            <w:gridSpan w:val="3"/>
            <w:shd w:val="clear" w:color="auto" w:fill="auto"/>
          </w:tcPr>
          <w:p w14:paraId="36CA4C01" w14:textId="77777777" w:rsidR="00787570" w:rsidRDefault="00787570">
            <w:pPr>
              <w:rPr>
                <w:rFonts w:ascii="宋体"/>
                <w:vanish/>
              </w:rPr>
            </w:pPr>
          </w:p>
        </w:tc>
      </w:tr>
      <w:tr w:rsidR="00787570" w14:paraId="36CA4C06" w14:textId="77777777">
        <w:trPr>
          <w:hidden/>
        </w:trPr>
        <w:tc>
          <w:tcPr>
            <w:tcW w:w="0" w:type="auto"/>
            <w:gridSpan w:val="3"/>
            <w:shd w:val="clear" w:color="auto" w:fill="auto"/>
          </w:tcPr>
          <w:p w14:paraId="36CA4C03" w14:textId="77777777" w:rsidR="00787570" w:rsidRDefault="00787570">
            <w:pPr>
              <w:rPr>
                <w:rFonts w:ascii="宋体"/>
                <w:vanish/>
              </w:rPr>
            </w:pPr>
          </w:p>
        </w:tc>
        <w:tc>
          <w:tcPr>
            <w:tcW w:w="0" w:type="auto"/>
            <w:gridSpan w:val="3"/>
            <w:shd w:val="clear" w:color="auto" w:fill="auto"/>
          </w:tcPr>
          <w:p w14:paraId="36CA4C04" w14:textId="77777777" w:rsidR="00787570" w:rsidRDefault="00787570">
            <w:pPr>
              <w:rPr>
                <w:rFonts w:ascii="宋体"/>
                <w:vanish/>
              </w:rPr>
            </w:pPr>
          </w:p>
        </w:tc>
        <w:tc>
          <w:tcPr>
            <w:tcW w:w="0" w:type="auto"/>
            <w:gridSpan w:val="3"/>
            <w:shd w:val="clear" w:color="auto" w:fill="auto"/>
          </w:tcPr>
          <w:p w14:paraId="36CA4C05" w14:textId="77777777" w:rsidR="00787570" w:rsidRDefault="00787570">
            <w:pPr>
              <w:rPr>
                <w:rFonts w:ascii="宋体"/>
                <w:vanish/>
              </w:rPr>
            </w:pPr>
          </w:p>
        </w:tc>
      </w:tr>
      <w:tr w:rsidR="00787570" w14:paraId="36CA4C0A" w14:textId="77777777">
        <w:trPr>
          <w:hidden/>
        </w:trPr>
        <w:tc>
          <w:tcPr>
            <w:tcW w:w="0" w:type="auto"/>
            <w:gridSpan w:val="3"/>
            <w:shd w:val="clear" w:color="auto" w:fill="auto"/>
          </w:tcPr>
          <w:p w14:paraId="36CA4C07" w14:textId="77777777" w:rsidR="00787570" w:rsidRDefault="00787570">
            <w:pPr>
              <w:rPr>
                <w:rFonts w:ascii="宋体"/>
                <w:vanish/>
              </w:rPr>
            </w:pPr>
          </w:p>
        </w:tc>
        <w:tc>
          <w:tcPr>
            <w:tcW w:w="0" w:type="auto"/>
            <w:gridSpan w:val="3"/>
            <w:shd w:val="clear" w:color="auto" w:fill="auto"/>
          </w:tcPr>
          <w:p w14:paraId="36CA4C08" w14:textId="77777777" w:rsidR="00787570" w:rsidRDefault="00787570">
            <w:pPr>
              <w:rPr>
                <w:rFonts w:ascii="宋体"/>
                <w:vanish/>
              </w:rPr>
            </w:pPr>
          </w:p>
        </w:tc>
        <w:tc>
          <w:tcPr>
            <w:tcW w:w="0" w:type="auto"/>
            <w:gridSpan w:val="3"/>
            <w:shd w:val="clear" w:color="auto" w:fill="auto"/>
          </w:tcPr>
          <w:p w14:paraId="36CA4C09" w14:textId="77777777" w:rsidR="00787570" w:rsidRDefault="00787570">
            <w:pPr>
              <w:rPr>
                <w:rFonts w:ascii="宋体"/>
                <w:vanish/>
              </w:rPr>
            </w:pPr>
          </w:p>
        </w:tc>
      </w:tr>
      <w:tr w:rsidR="00787570" w14:paraId="36CA4C0E" w14:textId="77777777">
        <w:trPr>
          <w:hidden/>
        </w:trPr>
        <w:tc>
          <w:tcPr>
            <w:tcW w:w="0" w:type="auto"/>
            <w:gridSpan w:val="3"/>
            <w:shd w:val="clear" w:color="auto" w:fill="auto"/>
          </w:tcPr>
          <w:p w14:paraId="36CA4C0B" w14:textId="77777777" w:rsidR="00787570" w:rsidRDefault="00787570">
            <w:pPr>
              <w:rPr>
                <w:rFonts w:ascii="宋体"/>
                <w:vanish/>
              </w:rPr>
            </w:pPr>
          </w:p>
        </w:tc>
        <w:tc>
          <w:tcPr>
            <w:tcW w:w="0" w:type="auto"/>
            <w:gridSpan w:val="3"/>
            <w:shd w:val="clear" w:color="auto" w:fill="auto"/>
          </w:tcPr>
          <w:p w14:paraId="36CA4C0C" w14:textId="77777777" w:rsidR="00787570" w:rsidRDefault="00787570">
            <w:pPr>
              <w:rPr>
                <w:rFonts w:ascii="宋体"/>
                <w:vanish/>
              </w:rPr>
            </w:pPr>
          </w:p>
        </w:tc>
        <w:tc>
          <w:tcPr>
            <w:tcW w:w="0" w:type="auto"/>
            <w:gridSpan w:val="3"/>
            <w:shd w:val="clear" w:color="auto" w:fill="auto"/>
          </w:tcPr>
          <w:p w14:paraId="36CA4C0D" w14:textId="77777777" w:rsidR="00787570" w:rsidRDefault="00787570">
            <w:pPr>
              <w:rPr>
                <w:rFonts w:ascii="宋体"/>
                <w:vanish/>
              </w:rPr>
            </w:pPr>
          </w:p>
        </w:tc>
      </w:tr>
      <w:tr w:rsidR="00787570" w14:paraId="36CA4C13" w14:textId="77777777">
        <w:tc>
          <w:tcPr>
            <w:tcW w:w="0" w:type="auto"/>
            <w:gridSpan w:val="2"/>
            <w:shd w:val="clear" w:color="auto" w:fill="auto"/>
            <w:tcMar>
              <w:top w:w="40" w:type="dxa"/>
              <w:left w:w="20" w:type="dxa"/>
              <w:bottom w:w="40" w:type="dxa"/>
              <w:right w:w="0" w:type="dxa"/>
            </w:tcMar>
          </w:tcPr>
          <w:p w14:paraId="36CA4C0F" w14:textId="77777777" w:rsidR="00787570" w:rsidRDefault="000D56E2">
            <w:pPr>
              <w:jc w:val="right"/>
              <w:textAlignment w:val="top"/>
            </w:pPr>
            <w:r>
              <w:rPr>
                <w:rFonts w:ascii="Arial" w:eastAsia="宋体" w:hAnsi="Arial" w:cs="Arial"/>
                <w:color w:val="0071C5"/>
                <w:sz w:val="18"/>
                <w:szCs w:val="18"/>
              </w:rPr>
              <w:t>42 </w:t>
            </w:r>
          </w:p>
        </w:tc>
        <w:tc>
          <w:tcPr>
            <w:tcW w:w="0" w:type="auto"/>
            <w:shd w:val="clear" w:color="auto" w:fill="auto"/>
            <w:tcMar>
              <w:top w:w="40" w:type="dxa"/>
              <w:bottom w:w="40" w:type="dxa"/>
              <w:right w:w="20" w:type="dxa"/>
            </w:tcMar>
          </w:tcPr>
          <w:p w14:paraId="36CA4C10"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4C11" w14:textId="77777777" w:rsidR="00787570" w:rsidRDefault="00787570">
            <w:pPr>
              <w:rPr>
                <w:rFonts w:ascii="宋体"/>
              </w:rPr>
            </w:pPr>
          </w:p>
        </w:tc>
        <w:tc>
          <w:tcPr>
            <w:tcW w:w="0" w:type="auto"/>
            <w:gridSpan w:val="3"/>
            <w:shd w:val="clear" w:color="auto" w:fill="auto"/>
            <w:tcMar>
              <w:top w:w="40" w:type="dxa"/>
              <w:left w:w="20" w:type="dxa"/>
              <w:bottom w:w="40" w:type="dxa"/>
              <w:right w:w="20" w:type="dxa"/>
            </w:tcMar>
          </w:tcPr>
          <w:p w14:paraId="36CA4C12" w14:textId="77777777" w:rsidR="00787570" w:rsidRDefault="000D56E2">
            <w:pPr>
              <w:textAlignment w:val="top"/>
            </w:pPr>
            <w:r>
              <w:rPr>
                <w:rFonts w:ascii="Arial" w:eastAsia="宋体" w:hAnsi="Arial" w:cs="Arial"/>
                <w:color w:val="0071C5"/>
                <w:sz w:val="18"/>
                <w:szCs w:val="18"/>
              </w:rPr>
              <w:t>Other</w:t>
            </w:r>
          </w:p>
        </w:tc>
      </w:tr>
      <w:tr w:rsidR="00787570" w14:paraId="36CA4C19" w14:textId="77777777">
        <w:tc>
          <w:tcPr>
            <w:tcW w:w="0" w:type="auto"/>
            <w:tcBorders>
              <w:top w:val="single" w:sz="8" w:space="0" w:color="333333"/>
              <w:bottom w:val="single" w:sz="8" w:space="0" w:color="333333"/>
            </w:tcBorders>
            <w:shd w:val="clear" w:color="auto" w:fill="auto"/>
            <w:tcMar>
              <w:top w:w="40" w:type="dxa"/>
              <w:left w:w="20" w:type="dxa"/>
              <w:bottom w:w="40" w:type="dxa"/>
            </w:tcMar>
            <w:vAlign w:val="bottom"/>
          </w:tcPr>
          <w:p w14:paraId="36CA4C14" w14:textId="77777777" w:rsidR="00787570" w:rsidRDefault="000D56E2">
            <w:pPr>
              <w:textAlignment w:val="bottom"/>
            </w:pPr>
            <w:r>
              <w:rPr>
                <w:rFonts w:ascii="Arial" w:eastAsia="宋体" w:hAnsi="Arial" w:cs="Arial"/>
                <w:b/>
                <w:bCs/>
                <w:color w:val="333333"/>
                <w:sz w:val="18"/>
                <w:szCs w:val="18"/>
              </w:rPr>
              <w:t>$</w:t>
            </w:r>
          </w:p>
        </w:tc>
        <w:tc>
          <w:tcPr>
            <w:tcW w:w="0" w:type="auto"/>
            <w:tcBorders>
              <w:top w:val="single" w:sz="8" w:space="0" w:color="333333"/>
              <w:bottom w:val="single" w:sz="8" w:space="0" w:color="333333"/>
            </w:tcBorders>
            <w:shd w:val="clear" w:color="auto" w:fill="auto"/>
            <w:tcMar>
              <w:top w:w="40" w:type="dxa"/>
              <w:bottom w:w="40" w:type="dxa"/>
              <w:right w:w="0" w:type="dxa"/>
            </w:tcMar>
            <w:vAlign w:val="bottom"/>
          </w:tcPr>
          <w:p w14:paraId="36CA4C15" w14:textId="77777777" w:rsidR="00787570" w:rsidRDefault="000D56E2">
            <w:pPr>
              <w:jc w:val="right"/>
              <w:textAlignment w:val="bottom"/>
            </w:pPr>
            <w:r>
              <w:rPr>
                <w:rFonts w:ascii="Arial" w:eastAsia="宋体" w:hAnsi="Arial" w:cs="Arial"/>
                <w:b/>
                <w:bCs/>
                <w:color w:val="333333"/>
                <w:sz w:val="18"/>
                <w:szCs w:val="18"/>
              </w:rPr>
              <w:t>11,114</w:t>
            </w:r>
            <w:r>
              <w:rPr>
                <w:rFonts w:ascii="Arial" w:eastAsia="宋体" w:hAnsi="Arial" w:cs="Arial"/>
                <w:color w:val="333333"/>
                <w:sz w:val="18"/>
                <w:szCs w:val="18"/>
              </w:rPr>
              <w:t> </w:t>
            </w:r>
          </w:p>
        </w:tc>
        <w:tc>
          <w:tcPr>
            <w:tcW w:w="0" w:type="auto"/>
            <w:tcBorders>
              <w:top w:val="single" w:sz="8" w:space="0" w:color="333333"/>
              <w:bottom w:val="single" w:sz="8" w:space="0" w:color="333333"/>
            </w:tcBorders>
            <w:shd w:val="clear" w:color="auto" w:fill="auto"/>
            <w:tcMar>
              <w:top w:w="40" w:type="dxa"/>
              <w:bottom w:w="40" w:type="dxa"/>
              <w:right w:w="20" w:type="dxa"/>
            </w:tcMar>
            <w:vAlign w:val="bottom"/>
          </w:tcPr>
          <w:p w14:paraId="36CA4C16"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4C17" w14:textId="77777777" w:rsidR="00787570" w:rsidRDefault="00787570">
            <w:pPr>
              <w:rPr>
                <w:rFonts w:ascii="宋体"/>
              </w:rPr>
            </w:pPr>
          </w:p>
        </w:tc>
        <w:tc>
          <w:tcPr>
            <w:tcW w:w="0" w:type="auto"/>
            <w:gridSpan w:val="3"/>
            <w:tcBorders>
              <w:top w:val="single" w:sz="8" w:space="0" w:color="333333"/>
              <w:bottom w:val="single" w:sz="8" w:space="0" w:color="333333"/>
            </w:tcBorders>
            <w:shd w:val="clear" w:color="auto" w:fill="auto"/>
            <w:tcMar>
              <w:top w:w="40" w:type="dxa"/>
              <w:left w:w="20" w:type="dxa"/>
              <w:bottom w:w="40" w:type="dxa"/>
              <w:right w:w="20" w:type="dxa"/>
            </w:tcMar>
            <w:vAlign w:val="bottom"/>
          </w:tcPr>
          <w:p w14:paraId="36CA4C18" w14:textId="77777777" w:rsidR="00787570" w:rsidRDefault="000D56E2">
            <w:pPr>
              <w:textAlignment w:val="bottom"/>
            </w:pPr>
            <w:r>
              <w:rPr>
                <w:rFonts w:ascii="Arial" w:eastAsia="宋体" w:hAnsi="Arial" w:cs="Arial"/>
                <w:b/>
                <w:bCs/>
                <w:color w:val="333333"/>
                <w:sz w:val="18"/>
                <w:szCs w:val="18"/>
              </w:rPr>
              <w:t>YTD 2019 CCG Operating Income</w:t>
            </w:r>
          </w:p>
        </w:tc>
      </w:tr>
    </w:tbl>
    <w:p w14:paraId="36CA4C1A" w14:textId="77777777" w:rsidR="00787570" w:rsidRDefault="00787570">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95"/>
        <w:gridCol w:w="416"/>
        <w:gridCol w:w="36"/>
        <w:gridCol w:w="47"/>
        <w:gridCol w:w="4254"/>
        <w:gridCol w:w="36"/>
        <w:gridCol w:w="47"/>
        <w:gridCol w:w="3369"/>
        <w:gridCol w:w="36"/>
      </w:tblGrid>
      <w:tr w:rsidR="00787570" w14:paraId="36CA4C24" w14:textId="77777777">
        <w:tc>
          <w:tcPr>
            <w:tcW w:w="50" w:type="pct"/>
            <w:shd w:val="clear" w:color="auto" w:fill="auto"/>
            <w:vAlign w:val="bottom"/>
          </w:tcPr>
          <w:p w14:paraId="36CA4C1B" w14:textId="77777777" w:rsidR="00787570" w:rsidRDefault="00787570">
            <w:pPr>
              <w:rPr>
                <w:rFonts w:ascii="宋体"/>
              </w:rPr>
            </w:pPr>
          </w:p>
        </w:tc>
        <w:tc>
          <w:tcPr>
            <w:tcW w:w="220" w:type="pct"/>
            <w:shd w:val="clear" w:color="auto" w:fill="auto"/>
            <w:vAlign w:val="bottom"/>
          </w:tcPr>
          <w:p w14:paraId="36CA4C1C" w14:textId="77777777" w:rsidR="00787570" w:rsidRDefault="00787570">
            <w:pPr>
              <w:rPr>
                <w:rFonts w:ascii="宋体"/>
              </w:rPr>
            </w:pPr>
          </w:p>
        </w:tc>
        <w:tc>
          <w:tcPr>
            <w:tcW w:w="5" w:type="pct"/>
            <w:shd w:val="clear" w:color="auto" w:fill="auto"/>
            <w:vAlign w:val="bottom"/>
          </w:tcPr>
          <w:p w14:paraId="36CA4C1D" w14:textId="77777777" w:rsidR="00787570" w:rsidRDefault="00787570">
            <w:pPr>
              <w:rPr>
                <w:rFonts w:ascii="宋体"/>
              </w:rPr>
            </w:pPr>
          </w:p>
        </w:tc>
        <w:tc>
          <w:tcPr>
            <w:tcW w:w="50" w:type="pct"/>
            <w:shd w:val="clear" w:color="auto" w:fill="auto"/>
            <w:vAlign w:val="bottom"/>
          </w:tcPr>
          <w:p w14:paraId="36CA4C1E" w14:textId="77777777" w:rsidR="00787570" w:rsidRDefault="00787570">
            <w:pPr>
              <w:rPr>
                <w:rFonts w:ascii="宋体"/>
              </w:rPr>
            </w:pPr>
          </w:p>
        </w:tc>
        <w:tc>
          <w:tcPr>
            <w:tcW w:w="2572" w:type="pct"/>
            <w:shd w:val="clear" w:color="auto" w:fill="auto"/>
            <w:vAlign w:val="bottom"/>
          </w:tcPr>
          <w:p w14:paraId="36CA4C1F" w14:textId="77777777" w:rsidR="00787570" w:rsidRDefault="00787570">
            <w:pPr>
              <w:rPr>
                <w:rFonts w:ascii="宋体"/>
              </w:rPr>
            </w:pPr>
          </w:p>
        </w:tc>
        <w:tc>
          <w:tcPr>
            <w:tcW w:w="5" w:type="pct"/>
            <w:shd w:val="clear" w:color="auto" w:fill="auto"/>
            <w:vAlign w:val="bottom"/>
          </w:tcPr>
          <w:p w14:paraId="36CA4C20" w14:textId="77777777" w:rsidR="00787570" w:rsidRDefault="00787570">
            <w:pPr>
              <w:rPr>
                <w:rFonts w:ascii="宋体"/>
              </w:rPr>
            </w:pPr>
          </w:p>
        </w:tc>
        <w:tc>
          <w:tcPr>
            <w:tcW w:w="50" w:type="pct"/>
            <w:shd w:val="clear" w:color="auto" w:fill="auto"/>
            <w:vAlign w:val="bottom"/>
          </w:tcPr>
          <w:p w14:paraId="36CA4C21" w14:textId="77777777" w:rsidR="00787570" w:rsidRDefault="00787570">
            <w:pPr>
              <w:rPr>
                <w:rFonts w:ascii="宋体"/>
              </w:rPr>
            </w:pPr>
          </w:p>
        </w:tc>
        <w:tc>
          <w:tcPr>
            <w:tcW w:w="2042" w:type="pct"/>
            <w:shd w:val="clear" w:color="auto" w:fill="auto"/>
            <w:vAlign w:val="bottom"/>
          </w:tcPr>
          <w:p w14:paraId="36CA4C22" w14:textId="77777777" w:rsidR="00787570" w:rsidRDefault="00787570">
            <w:pPr>
              <w:rPr>
                <w:rFonts w:ascii="宋体"/>
              </w:rPr>
            </w:pPr>
          </w:p>
        </w:tc>
        <w:tc>
          <w:tcPr>
            <w:tcW w:w="5" w:type="pct"/>
            <w:shd w:val="clear" w:color="auto" w:fill="auto"/>
            <w:vAlign w:val="bottom"/>
          </w:tcPr>
          <w:p w14:paraId="36CA4C23" w14:textId="77777777" w:rsidR="00787570" w:rsidRDefault="00787570">
            <w:pPr>
              <w:rPr>
                <w:rFonts w:ascii="宋体"/>
              </w:rPr>
            </w:pPr>
          </w:p>
        </w:tc>
      </w:tr>
      <w:tr w:rsidR="00787570" w14:paraId="36CA4C28" w14:textId="77777777">
        <w:tc>
          <w:tcPr>
            <w:tcW w:w="0" w:type="auto"/>
            <w:gridSpan w:val="3"/>
            <w:tcBorders>
              <w:top w:val="single" w:sz="8" w:space="0" w:color="0071C5"/>
            </w:tcBorders>
            <w:shd w:val="clear" w:color="auto" w:fill="auto"/>
            <w:tcMar>
              <w:left w:w="20" w:type="dxa"/>
              <w:right w:w="20" w:type="dxa"/>
            </w:tcMar>
            <w:vAlign w:val="center"/>
          </w:tcPr>
          <w:p w14:paraId="36CA4C25" w14:textId="77777777" w:rsidR="00787570" w:rsidRDefault="000D56E2">
            <w:pPr>
              <w:textAlignment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Viewer9_files/intc-20200926_g2.jpg"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36CA5C5F" wp14:editId="36CA5C60">
                  <wp:extent cx="304800" cy="304800"/>
                  <wp:effectExtent l="0" t="0" r="0" b="0"/>
                  <wp:docPr id="73" name="图片 117" descr="IMG_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117" descr="IMG_329"/>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8" w:space="0" w:color="0071C5"/>
            </w:tcBorders>
            <w:shd w:val="clear" w:color="auto" w:fill="auto"/>
            <w:tcMar>
              <w:top w:w="40" w:type="dxa"/>
              <w:left w:w="20" w:type="dxa"/>
              <w:bottom w:w="40" w:type="dxa"/>
              <w:right w:w="20" w:type="dxa"/>
            </w:tcMar>
            <w:vAlign w:val="center"/>
          </w:tcPr>
          <w:p w14:paraId="36CA4C26" w14:textId="77777777" w:rsidR="00787570" w:rsidRDefault="000D56E2">
            <w:pPr>
              <w:textAlignment w:val="center"/>
            </w:pPr>
            <w:r>
              <w:rPr>
                <w:rFonts w:ascii="Arial" w:eastAsia="宋体" w:hAnsi="Arial" w:cs="Arial"/>
                <w:color w:val="333333"/>
                <w:sz w:val="16"/>
                <w:szCs w:val="16"/>
              </w:rPr>
              <w:t>MD&amp;A</w:t>
            </w:r>
          </w:p>
        </w:tc>
        <w:tc>
          <w:tcPr>
            <w:tcW w:w="0" w:type="auto"/>
            <w:gridSpan w:val="3"/>
            <w:tcBorders>
              <w:top w:val="single" w:sz="8" w:space="0" w:color="0071C5"/>
            </w:tcBorders>
            <w:shd w:val="clear" w:color="auto" w:fill="auto"/>
            <w:tcMar>
              <w:top w:w="40" w:type="dxa"/>
              <w:left w:w="20" w:type="dxa"/>
              <w:bottom w:w="40" w:type="dxa"/>
              <w:right w:w="20" w:type="dxa"/>
            </w:tcMar>
            <w:vAlign w:val="center"/>
          </w:tcPr>
          <w:p w14:paraId="36CA4C27" w14:textId="77777777" w:rsidR="00787570" w:rsidRDefault="000D56E2">
            <w:pPr>
              <w:jc w:val="right"/>
              <w:textAlignment w:val="center"/>
            </w:pPr>
            <w:r>
              <w:rPr>
                <w:rFonts w:ascii="Arial" w:eastAsia="宋体" w:hAnsi="Arial" w:cs="Arial"/>
                <w:color w:val="333333"/>
                <w:sz w:val="16"/>
                <w:szCs w:val="16"/>
              </w:rPr>
              <w:t>34</w:t>
            </w:r>
          </w:p>
        </w:tc>
      </w:tr>
    </w:tbl>
    <w:p w14:paraId="36CA4C29" w14:textId="77777777" w:rsidR="00787570" w:rsidRDefault="000D56E2">
      <w:r>
        <w:pict w14:anchorId="36CA5C61">
          <v:rect id="_x0000_i1060" style="width:415.3pt;height:1.5pt" o:hralign="center" o:hrstd="t" o:hr="t" fillcolor="#a0a0a0" stroked="f"/>
        </w:pict>
      </w:r>
    </w:p>
    <w:p w14:paraId="36CA4C2A" w14:textId="77777777" w:rsidR="00787570" w:rsidRDefault="000D56E2">
      <w:pPr>
        <w:spacing w:after="180"/>
        <w:jc w:val="right"/>
      </w:pPr>
      <w:hyperlink r:id="rId62" w:anchor="i32771df14e9449d2bec5be911426bf04_7" w:history="1">
        <w:r>
          <w:rPr>
            <w:rStyle w:val="a5"/>
            <w:rFonts w:ascii="Arial" w:eastAsia="宋体" w:hAnsi="Arial" w:cs="Arial"/>
            <w:b/>
            <w:bCs/>
            <w:sz w:val="16"/>
            <w:szCs w:val="16"/>
          </w:rPr>
          <w:t>Table of Contents</w:t>
        </w:r>
      </w:hyperlink>
    </w:p>
    <w:p w14:paraId="36CA4C2B" w14:textId="77777777" w:rsidR="00787570" w:rsidRDefault="00787570">
      <w:pPr>
        <w:spacing w:after="180"/>
        <w:jc w:val="right"/>
      </w:pPr>
    </w:p>
    <w:tbl>
      <w:tblPr>
        <w:tblW w:w="5000" w:type="pct"/>
        <w:tblCellMar>
          <w:top w:w="15" w:type="dxa"/>
          <w:left w:w="15" w:type="dxa"/>
          <w:bottom w:w="15" w:type="dxa"/>
          <w:right w:w="15" w:type="dxa"/>
        </w:tblCellMar>
        <w:tblLook w:val="04A0" w:firstRow="1" w:lastRow="0" w:firstColumn="1" w:lastColumn="0" w:noHBand="0" w:noVBand="1"/>
      </w:tblPr>
      <w:tblGrid>
        <w:gridCol w:w="69"/>
        <w:gridCol w:w="8231"/>
        <w:gridCol w:w="36"/>
      </w:tblGrid>
      <w:tr w:rsidR="00787570" w14:paraId="36CA4C2F" w14:textId="77777777">
        <w:tc>
          <w:tcPr>
            <w:tcW w:w="50" w:type="pct"/>
            <w:shd w:val="clear" w:color="auto" w:fill="auto"/>
          </w:tcPr>
          <w:p w14:paraId="36CA4C2C" w14:textId="77777777" w:rsidR="00787570" w:rsidRDefault="00787570">
            <w:pPr>
              <w:rPr>
                <w:rFonts w:ascii="宋体"/>
              </w:rPr>
            </w:pPr>
          </w:p>
        </w:tc>
        <w:tc>
          <w:tcPr>
            <w:tcW w:w="4945" w:type="pct"/>
            <w:shd w:val="clear" w:color="auto" w:fill="auto"/>
          </w:tcPr>
          <w:p w14:paraId="36CA4C2D" w14:textId="77777777" w:rsidR="00787570" w:rsidRDefault="00787570">
            <w:pPr>
              <w:rPr>
                <w:rFonts w:ascii="宋体"/>
              </w:rPr>
            </w:pPr>
          </w:p>
        </w:tc>
        <w:tc>
          <w:tcPr>
            <w:tcW w:w="5" w:type="pct"/>
            <w:shd w:val="clear" w:color="auto" w:fill="auto"/>
          </w:tcPr>
          <w:p w14:paraId="36CA4C2E" w14:textId="77777777" w:rsidR="00787570" w:rsidRDefault="00787570">
            <w:pPr>
              <w:rPr>
                <w:rFonts w:ascii="宋体"/>
              </w:rPr>
            </w:pPr>
          </w:p>
        </w:tc>
      </w:tr>
      <w:tr w:rsidR="00787570" w14:paraId="36CA4C31" w14:textId="77777777">
        <w:tc>
          <w:tcPr>
            <w:tcW w:w="0" w:type="auto"/>
            <w:gridSpan w:val="3"/>
            <w:shd w:val="clear" w:color="auto" w:fill="0071C5"/>
            <w:tcMar>
              <w:top w:w="40" w:type="dxa"/>
              <w:left w:w="20" w:type="dxa"/>
              <w:bottom w:w="40" w:type="dxa"/>
              <w:right w:w="20" w:type="dxa"/>
            </w:tcMar>
            <w:vAlign w:val="center"/>
          </w:tcPr>
          <w:p w14:paraId="36CA4C30" w14:textId="77777777" w:rsidR="00787570" w:rsidRDefault="000D56E2">
            <w:pPr>
              <w:textAlignment w:val="center"/>
            </w:pPr>
            <w:r>
              <w:rPr>
                <w:rFonts w:ascii="Arial" w:eastAsia="宋体" w:hAnsi="Arial" w:cs="Arial"/>
                <w:b/>
                <w:bCs/>
                <w:color w:val="FFFFFF"/>
                <w:sz w:val="36"/>
                <w:szCs w:val="36"/>
              </w:rPr>
              <w:t>CONSOLIDATED RESULTS OF OPERATIONS</w:t>
            </w:r>
          </w:p>
        </w:tc>
      </w:tr>
    </w:tbl>
    <w:p w14:paraId="36CA4C32" w14:textId="77777777" w:rsidR="00787570" w:rsidRDefault="00787570">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41"/>
        <w:gridCol w:w="865"/>
        <w:gridCol w:w="34"/>
        <w:gridCol w:w="37"/>
        <w:gridCol w:w="34"/>
        <w:gridCol w:w="34"/>
        <w:gridCol w:w="115"/>
        <w:gridCol w:w="485"/>
        <w:gridCol w:w="40"/>
        <w:gridCol w:w="37"/>
        <w:gridCol w:w="35"/>
        <w:gridCol w:w="35"/>
        <w:gridCol w:w="74"/>
        <w:gridCol w:w="550"/>
        <w:gridCol w:w="160"/>
        <w:gridCol w:w="37"/>
        <w:gridCol w:w="35"/>
        <w:gridCol w:w="35"/>
        <w:gridCol w:w="115"/>
        <w:gridCol w:w="485"/>
        <w:gridCol w:w="40"/>
        <w:gridCol w:w="37"/>
        <w:gridCol w:w="35"/>
        <w:gridCol w:w="35"/>
        <w:gridCol w:w="74"/>
        <w:gridCol w:w="550"/>
        <w:gridCol w:w="160"/>
        <w:gridCol w:w="37"/>
        <w:gridCol w:w="35"/>
        <w:gridCol w:w="35"/>
        <w:gridCol w:w="115"/>
        <w:gridCol w:w="485"/>
        <w:gridCol w:w="40"/>
        <w:gridCol w:w="37"/>
        <w:gridCol w:w="35"/>
        <w:gridCol w:w="35"/>
        <w:gridCol w:w="74"/>
        <w:gridCol w:w="550"/>
        <w:gridCol w:w="160"/>
        <w:gridCol w:w="37"/>
        <w:gridCol w:w="35"/>
        <w:gridCol w:w="35"/>
        <w:gridCol w:w="115"/>
        <w:gridCol w:w="485"/>
        <w:gridCol w:w="40"/>
        <w:gridCol w:w="37"/>
        <w:gridCol w:w="35"/>
        <w:gridCol w:w="35"/>
        <w:gridCol w:w="74"/>
        <w:gridCol w:w="550"/>
        <w:gridCol w:w="160"/>
        <w:gridCol w:w="50"/>
        <w:gridCol w:w="50"/>
        <w:gridCol w:w="50"/>
        <w:gridCol w:w="50"/>
        <w:gridCol w:w="50"/>
        <w:gridCol w:w="50"/>
        <w:gridCol w:w="52"/>
        <w:gridCol w:w="50"/>
        <w:gridCol w:w="50"/>
        <w:gridCol w:w="181"/>
        <w:gridCol w:w="178"/>
        <w:gridCol w:w="35"/>
      </w:tblGrid>
      <w:tr w:rsidR="00787570" w14:paraId="36CA4C66" w14:textId="77777777">
        <w:trPr>
          <w:gridAfter w:val="12"/>
        </w:trPr>
        <w:tc>
          <w:tcPr>
            <w:tcW w:w="50" w:type="pct"/>
            <w:shd w:val="clear" w:color="auto" w:fill="auto"/>
          </w:tcPr>
          <w:p w14:paraId="36CA4C33" w14:textId="77777777" w:rsidR="00787570" w:rsidRDefault="00787570">
            <w:pPr>
              <w:rPr>
                <w:rFonts w:ascii="宋体"/>
              </w:rPr>
            </w:pPr>
          </w:p>
        </w:tc>
        <w:tc>
          <w:tcPr>
            <w:tcW w:w="1338" w:type="pct"/>
            <w:shd w:val="clear" w:color="auto" w:fill="auto"/>
          </w:tcPr>
          <w:p w14:paraId="36CA4C34" w14:textId="77777777" w:rsidR="00787570" w:rsidRDefault="00787570">
            <w:pPr>
              <w:rPr>
                <w:rFonts w:ascii="宋体"/>
              </w:rPr>
            </w:pPr>
          </w:p>
        </w:tc>
        <w:tc>
          <w:tcPr>
            <w:tcW w:w="5" w:type="pct"/>
            <w:shd w:val="clear" w:color="auto" w:fill="auto"/>
          </w:tcPr>
          <w:p w14:paraId="36CA4C35" w14:textId="77777777" w:rsidR="00787570" w:rsidRDefault="00787570">
            <w:pPr>
              <w:rPr>
                <w:rFonts w:ascii="宋体"/>
              </w:rPr>
            </w:pPr>
          </w:p>
        </w:tc>
        <w:tc>
          <w:tcPr>
            <w:tcW w:w="5" w:type="pct"/>
            <w:shd w:val="clear" w:color="auto" w:fill="auto"/>
          </w:tcPr>
          <w:p w14:paraId="36CA4C36" w14:textId="77777777" w:rsidR="00787570" w:rsidRDefault="00787570">
            <w:pPr>
              <w:rPr>
                <w:rFonts w:ascii="宋体"/>
              </w:rPr>
            </w:pPr>
          </w:p>
        </w:tc>
        <w:tc>
          <w:tcPr>
            <w:tcW w:w="24" w:type="pct"/>
            <w:shd w:val="clear" w:color="auto" w:fill="auto"/>
          </w:tcPr>
          <w:p w14:paraId="36CA4C37" w14:textId="77777777" w:rsidR="00787570" w:rsidRDefault="00787570">
            <w:pPr>
              <w:rPr>
                <w:rFonts w:ascii="宋体"/>
              </w:rPr>
            </w:pPr>
          </w:p>
        </w:tc>
        <w:tc>
          <w:tcPr>
            <w:tcW w:w="5" w:type="pct"/>
            <w:shd w:val="clear" w:color="auto" w:fill="auto"/>
          </w:tcPr>
          <w:p w14:paraId="36CA4C38" w14:textId="77777777" w:rsidR="00787570" w:rsidRDefault="00787570">
            <w:pPr>
              <w:rPr>
                <w:rFonts w:ascii="宋体"/>
              </w:rPr>
            </w:pPr>
          </w:p>
        </w:tc>
        <w:tc>
          <w:tcPr>
            <w:tcW w:w="50" w:type="pct"/>
            <w:shd w:val="clear" w:color="auto" w:fill="auto"/>
          </w:tcPr>
          <w:p w14:paraId="36CA4C39" w14:textId="77777777" w:rsidR="00787570" w:rsidRDefault="00787570">
            <w:pPr>
              <w:rPr>
                <w:rFonts w:ascii="宋体"/>
              </w:rPr>
            </w:pPr>
          </w:p>
        </w:tc>
        <w:tc>
          <w:tcPr>
            <w:tcW w:w="307" w:type="pct"/>
            <w:shd w:val="clear" w:color="auto" w:fill="auto"/>
          </w:tcPr>
          <w:p w14:paraId="36CA4C3A" w14:textId="77777777" w:rsidR="00787570" w:rsidRDefault="00787570">
            <w:pPr>
              <w:rPr>
                <w:rFonts w:ascii="宋体"/>
              </w:rPr>
            </w:pPr>
          </w:p>
        </w:tc>
        <w:tc>
          <w:tcPr>
            <w:tcW w:w="5" w:type="pct"/>
            <w:shd w:val="clear" w:color="auto" w:fill="auto"/>
          </w:tcPr>
          <w:p w14:paraId="36CA4C3B" w14:textId="77777777" w:rsidR="00787570" w:rsidRDefault="00787570">
            <w:pPr>
              <w:rPr>
                <w:rFonts w:ascii="宋体"/>
              </w:rPr>
            </w:pPr>
          </w:p>
        </w:tc>
        <w:tc>
          <w:tcPr>
            <w:tcW w:w="5" w:type="pct"/>
            <w:shd w:val="clear" w:color="auto" w:fill="auto"/>
          </w:tcPr>
          <w:p w14:paraId="36CA4C3C" w14:textId="77777777" w:rsidR="00787570" w:rsidRDefault="00787570">
            <w:pPr>
              <w:rPr>
                <w:rFonts w:ascii="宋体"/>
              </w:rPr>
            </w:pPr>
          </w:p>
        </w:tc>
        <w:tc>
          <w:tcPr>
            <w:tcW w:w="24" w:type="pct"/>
            <w:shd w:val="clear" w:color="auto" w:fill="auto"/>
          </w:tcPr>
          <w:p w14:paraId="36CA4C3D" w14:textId="77777777" w:rsidR="00787570" w:rsidRDefault="00787570">
            <w:pPr>
              <w:rPr>
                <w:rFonts w:ascii="宋体"/>
              </w:rPr>
            </w:pPr>
          </w:p>
        </w:tc>
        <w:tc>
          <w:tcPr>
            <w:tcW w:w="5" w:type="pct"/>
            <w:shd w:val="clear" w:color="auto" w:fill="auto"/>
          </w:tcPr>
          <w:p w14:paraId="36CA4C3E" w14:textId="77777777" w:rsidR="00787570" w:rsidRDefault="00787570">
            <w:pPr>
              <w:rPr>
                <w:rFonts w:ascii="宋体"/>
              </w:rPr>
            </w:pPr>
          </w:p>
        </w:tc>
        <w:tc>
          <w:tcPr>
            <w:tcW w:w="50" w:type="pct"/>
            <w:shd w:val="clear" w:color="auto" w:fill="auto"/>
          </w:tcPr>
          <w:p w14:paraId="36CA4C3F" w14:textId="77777777" w:rsidR="00787570" w:rsidRDefault="00787570">
            <w:pPr>
              <w:rPr>
                <w:rFonts w:ascii="宋体"/>
              </w:rPr>
            </w:pPr>
          </w:p>
        </w:tc>
        <w:tc>
          <w:tcPr>
            <w:tcW w:w="416" w:type="pct"/>
            <w:shd w:val="clear" w:color="auto" w:fill="auto"/>
          </w:tcPr>
          <w:p w14:paraId="36CA4C40" w14:textId="77777777" w:rsidR="00787570" w:rsidRDefault="00787570">
            <w:pPr>
              <w:rPr>
                <w:rFonts w:ascii="宋体"/>
              </w:rPr>
            </w:pPr>
          </w:p>
        </w:tc>
        <w:tc>
          <w:tcPr>
            <w:tcW w:w="5" w:type="pct"/>
            <w:shd w:val="clear" w:color="auto" w:fill="auto"/>
          </w:tcPr>
          <w:p w14:paraId="36CA4C41" w14:textId="77777777" w:rsidR="00787570" w:rsidRDefault="00787570">
            <w:pPr>
              <w:rPr>
                <w:rFonts w:ascii="宋体"/>
              </w:rPr>
            </w:pPr>
          </w:p>
        </w:tc>
        <w:tc>
          <w:tcPr>
            <w:tcW w:w="5" w:type="pct"/>
            <w:shd w:val="clear" w:color="auto" w:fill="auto"/>
          </w:tcPr>
          <w:p w14:paraId="36CA4C42" w14:textId="77777777" w:rsidR="00787570" w:rsidRDefault="00787570">
            <w:pPr>
              <w:rPr>
                <w:rFonts w:ascii="宋体"/>
              </w:rPr>
            </w:pPr>
          </w:p>
        </w:tc>
        <w:tc>
          <w:tcPr>
            <w:tcW w:w="24" w:type="pct"/>
            <w:shd w:val="clear" w:color="auto" w:fill="auto"/>
          </w:tcPr>
          <w:p w14:paraId="36CA4C43" w14:textId="77777777" w:rsidR="00787570" w:rsidRDefault="00787570">
            <w:pPr>
              <w:rPr>
                <w:rFonts w:ascii="宋体"/>
              </w:rPr>
            </w:pPr>
          </w:p>
        </w:tc>
        <w:tc>
          <w:tcPr>
            <w:tcW w:w="5" w:type="pct"/>
            <w:shd w:val="clear" w:color="auto" w:fill="auto"/>
          </w:tcPr>
          <w:p w14:paraId="36CA4C44" w14:textId="77777777" w:rsidR="00787570" w:rsidRDefault="00787570">
            <w:pPr>
              <w:rPr>
                <w:rFonts w:ascii="宋体"/>
              </w:rPr>
            </w:pPr>
          </w:p>
        </w:tc>
        <w:tc>
          <w:tcPr>
            <w:tcW w:w="50" w:type="pct"/>
            <w:shd w:val="clear" w:color="auto" w:fill="auto"/>
          </w:tcPr>
          <w:p w14:paraId="36CA4C45" w14:textId="77777777" w:rsidR="00787570" w:rsidRDefault="00787570">
            <w:pPr>
              <w:rPr>
                <w:rFonts w:ascii="宋体"/>
              </w:rPr>
            </w:pPr>
          </w:p>
        </w:tc>
        <w:tc>
          <w:tcPr>
            <w:tcW w:w="307" w:type="pct"/>
            <w:shd w:val="clear" w:color="auto" w:fill="auto"/>
          </w:tcPr>
          <w:p w14:paraId="36CA4C46" w14:textId="77777777" w:rsidR="00787570" w:rsidRDefault="00787570">
            <w:pPr>
              <w:rPr>
                <w:rFonts w:ascii="宋体"/>
              </w:rPr>
            </w:pPr>
          </w:p>
        </w:tc>
        <w:tc>
          <w:tcPr>
            <w:tcW w:w="5" w:type="pct"/>
            <w:shd w:val="clear" w:color="auto" w:fill="auto"/>
          </w:tcPr>
          <w:p w14:paraId="36CA4C47" w14:textId="77777777" w:rsidR="00787570" w:rsidRDefault="00787570">
            <w:pPr>
              <w:rPr>
                <w:rFonts w:ascii="宋体"/>
              </w:rPr>
            </w:pPr>
          </w:p>
        </w:tc>
        <w:tc>
          <w:tcPr>
            <w:tcW w:w="5" w:type="pct"/>
            <w:shd w:val="clear" w:color="auto" w:fill="auto"/>
          </w:tcPr>
          <w:p w14:paraId="36CA4C48" w14:textId="77777777" w:rsidR="00787570" w:rsidRDefault="00787570">
            <w:pPr>
              <w:rPr>
                <w:rFonts w:ascii="宋体"/>
              </w:rPr>
            </w:pPr>
          </w:p>
        </w:tc>
        <w:tc>
          <w:tcPr>
            <w:tcW w:w="24" w:type="pct"/>
            <w:shd w:val="clear" w:color="auto" w:fill="auto"/>
          </w:tcPr>
          <w:p w14:paraId="36CA4C49" w14:textId="77777777" w:rsidR="00787570" w:rsidRDefault="00787570">
            <w:pPr>
              <w:rPr>
                <w:rFonts w:ascii="宋体"/>
              </w:rPr>
            </w:pPr>
          </w:p>
        </w:tc>
        <w:tc>
          <w:tcPr>
            <w:tcW w:w="5" w:type="pct"/>
            <w:shd w:val="clear" w:color="auto" w:fill="auto"/>
          </w:tcPr>
          <w:p w14:paraId="36CA4C4A" w14:textId="77777777" w:rsidR="00787570" w:rsidRDefault="00787570">
            <w:pPr>
              <w:rPr>
                <w:rFonts w:ascii="宋体"/>
              </w:rPr>
            </w:pPr>
          </w:p>
        </w:tc>
        <w:tc>
          <w:tcPr>
            <w:tcW w:w="50" w:type="pct"/>
            <w:shd w:val="clear" w:color="auto" w:fill="auto"/>
          </w:tcPr>
          <w:p w14:paraId="36CA4C4B" w14:textId="77777777" w:rsidR="00787570" w:rsidRDefault="00787570">
            <w:pPr>
              <w:rPr>
                <w:rFonts w:ascii="宋体"/>
              </w:rPr>
            </w:pPr>
          </w:p>
        </w:tc>
        <w:tc>
          <w:tcPr>
            <w:tcW w:w="416" w:type="pct"/>
            <w:shd w:val="clear" w:color="auto" w:fill="auto"/>
          </w:tcPr>
          <w:p w14:paraId="36CA4C4C" w14:textId="77777777" w:rsidR="00787570" w:rsidRDefault="00787570">
            <w:pPr>
              <w:rPr>
                <w:rFonts w:ascii="宋体"/>
              </w:rPr>
            </w:pPr>
          </w:p>
        </w:tc>
        <w:tc>
          <w:tcPr>
            <w:tcW w:w="5" w:type="pct"/>
            <w:shd w:val="clear" w:color="auto" w:fill="auto"/>
          </w:tcPr>
          <w:p w14:paraId="36CA4C4D" w14:textId="77777777" w:rsidR="00787570" w:rsidRDefault="00787570">
            <w:pPr>
              <w:rPr>
                <w:rFonts w:ascii="宋体"/>
              </w:rPr>
            </w:pPr>
          </w:p>
        </w:tc>
        <w:tc>
          <w:tcPr>
            <w:tcW w:w="5" w:type="pct"/>
            <w:shd w:val="clear" w:color="auto" w:fill="auto"/>
          </w:tcPr>
          <w:p w14:paraId="36CA4C4E" w14:textId="77777777" w:rsidR="00787570" w:rsidRDefault="00787570">
            <w:pPr>
              <w:rPr>
                <w:rFonts w:ascii="宋体"/>
              </w:rPr>
            </w:pPr>
          </w:p>
        </w:tc>
        <w:tc>
          <w:tcPr>
            <w:tcW w:w="24" w:type="pct"/>
            <w:shd w:val="clear" w:color="auto" w:fill="auto"/>
          </w:tcPr>
          <w:p w14:paraId="36CA4C4F" w14:textId="77777777" w:rsidR="00787570" w:rsidRDefault="00787570">
            <w:pPr>
              <w:rPr>
                <w:rFonts w:ascii="宋体"/>
              </w:rPr>
            </w:pPr>
          </w:p>
        </w:tc>
        <w:tc>
          <w:tcPr>
            <w:tcW w:w="5" w:type="pct"/>
            <w:shd w:val="clear" w:color="auto" w:fill="auto"/>
          </w:tcPr>
          <w:p w14:paraId="36CA4C50" w14:textId="77777777" w:rsidR="00787570" w:rsidRDefault="00787570">
            <w:pPr>
              <w:rPr>
                <w:rFonts w:ascii="宋体"/>
              </w:rPr>
            </w:pPr>
          </w:p>
        </w:tc>
        <w:tc>
          <w:tcPr>
            <w:tcW w:w="50" w:type="pct"/>
            <w:shd w:val="clear" w:color="auto" w:fill="auto"/>
          </w:tcPr>
          <w:p w14:paraId="36CA4C51" w14:textId="77777777" w:rsidR="00787570" w:rsidRDefault="00787570">
            <w:pPr>
              <w:rPr>
                <w:rFonts w:ascii="宋体"/>
              </w:rPr>
            </w:pPr>
          </w:p>
        </w:tc>
        <w:tc>
          <w:tcPr>
            <w:tcW w:w="307" w:type="pct"/>
            <w:shd w:val="clear" w:color="auto" w:fill="auto"/>
          </w:tcPr>
          <w:p w14:paraId="36CA4C52" w14:textId="77777777" w:rsidR="00787570" w:rsidRDefault="00787570">
            <w:pPr>
              <w:rPr>
                <w:rFonts w:ascii="宋体"/>
              </w:rPr>
            </w:pPr>
          </w:p>
        </w:tc>
        <w:tc>
          <w:tcPr>
            <w:tcW w:w="5" w:type="pct"/>
            <w:shd w:val="clear" w:color="auto" w:fill="auto"/>
          </w:tcPr>
          <w:p w14:paraId="36CA4C53" w14:textId="77777777" w:rsidR="00787570" w:rsidRDefault="00787570">
            <w:pPr>
              <w:rPr>
                <w:rFonts w:ascii="宋体"/>
              </w:rPr>
            </w:pPr>
          </w:p>
        </w:tc>
        <w:tc>
          <w:tcPr>
            <w:tcW w:w="5" w:type="pct"/>
            <w:shd w:val="clear" w:color="auto" w:fill="auto"/>
          </w:tcPr>
          <w:p w14:paraId="36CA4C54" w14:textId="77777777" w:rsidR="00787570" w:rsidRDefault="00787570">
            <w:pPr>
              <w:rPr>
                <w:rFonts w:ascii="宋体"/>
              </w:rPr>
            </w:pPr>
          </w:p>
        </w:tc>
        <w:tc>
          <w:tcPr>
            <w:tcW w:w="24" w:type="pct"/>
            <w:shd w:val="clear" w:color="auto" w:fill="auto"/>
          </w:tcPr>
          <w:p w14:paraId="36CA4C55" w14:textId="77777777" w:rsidR="00787570" w:rsidRDefault="00787570">
            <w:pPr>
              <w:rPr>
                <w:rFonts w:ascii="宋体"/>
              </w:rPr>
            </w:pPr>
          </w:p>
        </w:tc>
        <w:tc>
          <w:tcPr>
            <w:tcW w:w="5" w:type="pct"/>
            <w:shd w:val="clear" w:color="auto" w:fill="auto"/>
          </w:tcPr>
          <w:p w14:paraId="36CA4C56" w14:textId="77777777" w:rsidR="00787570" w:rsidRDefault="00787570">
            <w:pPr>
              <w:rPr>
                <w:rFonts w:ascii="宋体"/>
              </w:rPr>
            </w:pPr>
          </w:p>
        </w:tc>
        <w:tc>
          <w:tcPr>
            <w:tcW w:w="50" w:type="pct"/>
            <w:shd w:val="clear" w:color="auto" w:fill="auto"/>
          </w:tcPr>
          <w:p w14:paraId="36CA4C57" w14:textId="77777777" w:rsidR="00787570" w:rsidRDefault="00787570">
            <w:pPr>
              <w:rPr>
                <w:rFonts w:ascii="宋体"/>
              </w:rPr>
            </w:pPr>
          </w:p>
        </w:tc>
        <w:tc>
          <w:tcPr>
            <w:tcW w:w="416" w:type="pct"/>
            <w:shd w:val="clear" w:color="auto" w:fill="auto"/>
          </w:tcPr>
          <w:p w14:paraId="36CA4C58" w14:textId="77777777" w:rsidR="00787570" w:rsidRDefault="00787570">
            <w:pPr>
              <w:rPr>
                <w:rFonts w:ascii="宋体"/>
              </w:rPr>
            </w:pPr>
          </w:p>
        </w:tc>
        <w:tc>
          <w:tcPr>
            <w:tcW w:w="5" w:type="pct"/>
            <w:shd w:val="clear" w:color="auto" w:fill="auto"/>
          </w:tcPr>
          <w:p w14:paraId="36CA4C59" w14:textId="77777777" w:rsidR="00787570" w:rsidRDefault="00787570">
            <w:pPr>
              <w:rPr>
                <w:rFonts w:ascii="宋体"/>
              </w:rPr>
            </w:pPr>
          </w:p>
        </w:tc>
        <w:tc>
          <w:tcPr>
            <w:tcW w:w="5" w:type="pct"/>
            <w:shd w:val="clear" w:color="auto" w:fill="auto"/>
          </w:tcPr>
          <w:p w14:paraId="36CA4C5A" w14:textId="77777777" w:rsidR="00787570" w:rsidRDefault="00787570">
            <w:pPr>
              <w:rPr>
                <w:rFonts w:ascii="宋体"/>
              </w:rPr>
            </w:pPr>
          </w:p>
        </w:tc>
        <w:tc>
          <w:tcPr>
            <w:tcW w:w="24" w:type="pct"/>
            <w:shd w:val="clear" w:color="auto" w:fill="auto"/>
          </w:tcPr>
          <w:p w14:paraId="36CA4C5B" w14:textId="77777777" w:rsidR="00787570" w:rsidRDefault="00787570">
            <w:pPr>
              <w:rPr>
                <w:rFonts w:ascii="宋体"/>
              </w:rPr>
            </w:pPr>
          </w:p>
        </w:tc>
        <w:tc>
          <w:tcPr>
            <w:tcW w:w="5" w:type="pct"/>
            <w:shd w:val="clear" w:color="auto" w:fill="auto"/>
          </w:tcPr>
          <w:p w14:paraId="36CA4C5C" w14:textId="77777777" w:rsidR="00787570" w:rsidRDefault="00787570">
            <w:pPr>
              <w:rPr>
                <w:rFonts w:ascii="宋体"/>
              </w:rPr>
            </w:pPr>
          </w:p>
        </w:tc>
        <w:tc>
          <w:tcPr>
            <w:tcW w:w="50" w:type="pct"/>
            <w:shd w:val="clear" w:color="auto" w:fill="auto"/>
          </w:tcPr>
          <w:p w14:paraId="36CA4C5D" w14:textId="77777777" w:rsidR="00787570" w:rsidRDefault="00787570">
            <w:pPr>
              <w:rPr>
                <w:rFonts w:ascii="宋体"/>
              </w:rPr>
            </w:pPr>
          </w:p>
        </w:tc>
        <w:tc>
          <w:tcPr>
            <w:tcW w:w="307" w:type="pct"/>
            <w:shd w:val="clear" w:color="auto" w:fill="auto"/>
          </w:tcPr>
          <w:p w14:paraId="36CA4C5E" w14:textId="77777777" w:rsidR="00787570" w:rsidRDefault="00787570">
            <w:pPr>
              <w:rPr>
                <w:rFonts w:ascii="宋体"/>
              </w:rPr>
            </w:pPr>
          </w:p>
        </w:tc>
        <w:tc>
          <w:tcPr>
            <w:tcW w:w="5" w:type="pct"/>
            <w:shd w:val="clear" w:color="auto" w:fill="auto"/>
          </w:tcPr>
          <w:p w14:paraId="36CA4C5F" w14:textId="77777777" w:rsidR="00787570" w:rsidRDefault="00787570">
            <w:pPr>
              <w:rPr>
                <w:rFonts w:ascii="宋体"/>
              </w:rPr>
            </w:pPr>
          </w:p>
        </w:tc>
        <w:tc>
          <w:tcPr>
            <w:tcW w:w="5" w:type="pct"/>
            <w:shd w:val="clear" w:color="auto" w:fill="auto"/>
          </w:tcPr>
          <w:p w14:paraId="36CA4C60" w14:textId="77777777" w:rsidR="00787570" w:rsidRDefault="00787570">
            <w:pPr>
              <w:rPr>
                <w:rFonts w:ascii="宋体"/>
              </w:rPr>
            </w:pPr>
          </w:p>
        </w:tc>
        <w:tc>
          <w:tcPr>
            <w:tcW w:w="24" w:type="pct"/>
            <w:shd w:val="clear" w:color="auto" w:fill="auto"/>
          </w:tcPr>
          <w:p w14:paraId="36CA4C61" w14:textId="77777777" w:rsidR="00787570" w:rsidRDefault="00787570">
            <w:pPr>
              <w:rPr>
                <w:rFonts w:ascii="宋体"/>
              </w:rPr>
            </w:pPr>
          </w:p>
        </w:tc>
        <w:tc>
          <w:tcPr>
            <w:tcW w:w="5" w:type="pct"/>
            <w:shd w:val="clear" w:color="auto" w:fill="auto"/>
          </w:tcPr>
          <w:p w14:paraId="36CA4C62" w14:textId="77777777" w:rsidR="00787570" w:rsidRDefault="00787570">
            <w:pPr>
              <w:rPr>
                <w:rFonts w:ascii="宋体"/>
              </w:rPr>
            </w:pPr>
          </w:p>
        </w:tc>
        <w:tc>
          <w:tcPr>
            <w:tcW w:w="50" w:type="pct"/>
            <w:shd w:val="clear" w:color="auto" w:fill="auto"/>
          </w:tcPr>
          <w:p w14:paraId="36CA4C63" w14:textId="77777777" w:rsidR="00787570" w:rsidRDefault="00787570">
            <w:pPr>
              <w:rPr>
                <w:rFonts w:ascii="宋体"/>
              </w:rPr>
            </w:pPr>
          </w:p>
        </w:tc>
        <w:tc>
          <w:tcPr>
            <w:tcW w:w="416" w:type="pct"/>
            <w:shd w:val="clear" w:color="auto" w:fill="auto"/>
          </w:tcPr>
          <w:p w14:paraId="36CA4C64" w14:textId="77777777" w:rsidR="00787570" w:rsidRDefault="00787570">
            <w:pPr>
              <w:rPr>
                <w:rFonts w:ascii="宋体"/>
              </w:rPr>
            </w:pPr>
          </w:p>
        </w:tc>
        <w:tc>
          <w:tcPr>
            <w:tcW w:w="5" w:type="pct"/>
            <w:shd w:val="clear" w:color="auto" w:fill="auto"/>
          </w:tcPr>
          <w:p w14:paraId="36CA4C65" w14:textId="77777777" w:rsidR="00787570" w:rsidRDefault="00787570">
            <w:pPr>
              <w:rPr>
                <w:rFonts w:ascii="宋体"/>
              </w:rPr>
            </w:pPr>
          </w:p>
        </w:tc>
      </w:tr>
      <w:tr w:rsidR="00787570" w14:paraId="36CA4C73" w14:textId="77777777">
        <w:tc>
          <w:tcPr>
            <w:tcW w:w="0" w:type="auto"/>
            <w:gridSpan w:val="3"/>
            <w:shd w:val="clear" w:color="auto" w:fill="auto"/>
            <w:tcMar>
              <w:left w:w="20" w:type="dxa"/>
              <w:right w:w="20" w:type="dxa"/>
            </w:tcMar>
            <w:vAlign w:val="bottom"/>
          </w:tcPr>
          <w:p w14:paraId="36CA4C67"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4C68" w14:textId="77777777" w:rsidR="00787570" w:rsidRDefault="00787570">
            <w:pPr>
              <w:rPr>
                <w:rFonts w:ascii="宋体"/>
              </w:rPr>
            </w:pPr>
          </w:p>
        </w:tc>
        <w:tc>
          <w:tcPr>
            <w:tcW w:w="0" w:type="auto"/>
            <w:gridSpan w:val="21"/>
            <w:tcBorders>
              <w:bottom w:val="single" w:sz="8" w:space="0" w:color="0071C5"/>
            </w:tcBorders>
            <w:shd w:val="clear" w:color="auto" w:fill="auto"/>
            <w:tcMar>
              <w:top w:w="40" w:type="dxa"/>
              <w:left w:w="20" w:type="dxa"/>
              <w:bottom w:w="40" w:type="dxa"/>
              <w:right w:w="20" w:type="dxa"/>
            </w:tcMar>
            <w:vAlign w:val="bottom"/>
          </w:tcPr>
          <w:p w14:paraId="36CA4C69" w14:textId="77777777" w:rsidR="00787570" w:rsidRDefault="000D56E2">
            <w:pPr>
              <w:jc w:val="center"/>
              <w:textAlignment w:val="bottom"/>
            </w:pPr>
            <w:r>
              <w:rPr>
                <w:rFonts w:ascii="Arial" w:eastAsia="宋体" w:hAnsi="Arial" w:cs="Arial"/>
                <w:b/>
                <w:bCs/>
                <w:color w:val="333333"/>
                <w:sz w:val="18"/>
                <w:szCs w:val="18"/>
              </w:rPr>
              <w:t>Three Months Ended</w:t>
            </w:r>
          </w:p>
        </w:tc>
        <w:tc>
          <w:tcPr>
            <w:tcW w:w="0" w:type="auto"/>
            <w:gridSpan w:val="3"/>
            <w:shd w:val="clear" w:color="auto" w:fill="auto"/>
          </w:tcPr>
          <w:p w14:paraId="36CA4C6A" w14:textId="77777777" w:rsidR="00787570" w:rsidRDefault="00787570">
            <w:pPr>
              <w:rPr>
                <w:rFonts w:ascii="宋体"/>
                <w:vanish/>
              </w:rPr>
            </w:pPr>
          </w:p>
        </w:tc>
        <w:tc>
          <w:tcPr>
            <w:tcW w:w="0" w:type="auto"/>
            <w:gridSpan w:val="3"/>
            <w:shd w:val="clear" w:color="auto" w:fill="auto"/>
          </w:tcPr>
          <w:p w14:paraId="36CA4C6B" w14:textId="77777777" w:rsidR="00787570" w:rsidRDefault="00787570">
            <w:pPr>
              <w:rPr>
                <w:rFonts w:ascii="宋体"/>
                <w:vanish/>
              </w:rPr>
            </w:pPr>
          </w:p>
        </w:tc>
        <w:tc>
          <w:tcPr>
            <w:tcW w:w="0" w:type="auto"/>
            <w:gridSpan w:val="3"/>
            <w:shd w:val="clear" w:color="auto" w:fill="auto"/>
          </w:tcPr>
          <w:p w14:paraId="36CA4C6C" w14:textId="77777777" w:rsidR="00787570" w:rsidRDefault="00787570">
            <w:pPr>
              <w:rPr>
                <w:rFonts w:ascii="宋体"/>
                <w:vanish/>
              </w:rPr>
            </w:pPr>
          </w:p>
        </w:tc>
        <w:tc>
          <w:tcPr>
            <w:tcW w:w="0" w:type="auto"/>
            <w:gridSpan w:val="3"/>
            <w:shd w:val="clear" w:color="auto" w:fill="auto"/>
          </w:tcPr>
          <w:p w14:paraId="36CA4C6D" w14:textId="77777777" w:rsidR="00787570" w:rsidRDefault="00787570">
            <w:pPr>
              <w:rPr>
                <w:rFonts w:ascii="宋体"/>
                <w:vanish/>
              </w:rPr>
            </w:pPr>
          </w:p>
        </w:tc>
        <w:tc>
          <w:tcPr>
            <w:tcW w:w="0" w:type="auto"/>
            <w:gridSpan w:val="3"/>
            <w:shd w:val="clear" w:color="auto" w:fill="auto"/>
          </w:tcPr>
          <w:p w14:paraId="36CA4C6E" w14:textId="77777777" w:rsidR="00787570" w:rsidRDefault="00787570">
            <w:pPr>
              <w:rPr>
                <w:rFonts w:ascii="宋体"/>
                <w:vanish/>
              </w:rPr>
            </w:pPr>
          </w:p>
        </w:tc>
        <w:tc>
          <w:tcPr>
            <w:tcW w:w="0" w:type="auto"/>
            <w:gridSpan w:val="3"/>
            <w:shd w:val="clear" w:color="auto" w:fill="auto"/>
          </w:tcPr>
          <w:p w14:paraId="36CA4C6F" w14:textId="77777777" w:rsidR="00787570" w:rsidRDefault="00787570">
            <w:pPr>
              <w:rPr>
                <w:rFonts w:ascii="宋体"/>
                <w:vanish/>
              </w:rPr>
            </w:pPr>
          </w:p>
        </w:tc>
        <w:tc>
          <w:tcPr>
            <w:tcW w:w="0" w:type="auto"/>
            <w:gridSpan w:val="3"/>
            <w:shd w:val="clear" w:color="auto" w:fill="auto"/>
            <w:tcMar>
              <w:left w:w="20" w:type="dxa"/>
              <w:right w:w="20" w:type="dxa"/>
            </w:tcMar>
            <w:vAlign w:val="bottom"/>
          </w:tcPr>
          <w:p w14:paraId="36CA4C70" w14:textId="77777777" w:rsidR="00787570" w:rsidRDefault="00787570">
            <w:pPr>
              <w:rPr>
                <w:rFonts w:ascii="宋体"/>
              </w:rPr>
            </w:pPr>
          </w:p>
        </w:tc>
        <w:tc>
          <w:tcPr>
            <w:tcW w:w="0" w:type="auto"/>
            <w:gridSpan w:val="14"/>
            <w:tcBorders>
              <w:bottom w:val="single" w:sz="8" w:space="0" w:color="0071C5"/>
            </w:tcBorders>
            <w:shd w:val="clear" w:color="auto" w:fill="auto"/>
            <w:tcMar>
              <w:top w:w="40" w:type="dxa"/>
              <w:left w:w="20" w:type="dxa"/>
              <w:bottom w:w="40" w:type="dxa"/>
              <w:right w:w="20" w:type="dxa"/>
            </w:tcMar>
            <w:vAlign w:val="bottom"/>
          </w:tcPr>
          <w:p w14:paraId="36CA4C71" w14:textId="77777777" w:rsidR="00787570" w:rsidRDefault="000D56E2">
            <w:pPr>
              <w:jc w:val="center"/>
              <w:textAlignment w:val="bottom"/>
            </w:pPr>
            <w:r>
              <w:rPr>
                <w:rFonts w:ascii="Arial" w:eastAsia="宋体" w:hAnsi="Arial" w:cs="Arial"/>
                <w:b/>
                <w:bCs/>
                <w:color w:val="333333"/>
                <w:sz w:val="18"/>
                <w:szCs w:val="18"/>
              </w:rPr>
              <w:t>Nine Months Ended</w:t>
            </w:r>
          </w:p>
        </w:tc>
        <w:tc>
          <w:tcPr>
            <w:tcW w:w="0" w:type="auto"/>
            <w:shd w:val="clear" w:color="auto" w:fill="auto"/>
          </w:tcPr>
          <w:p w14:paraId="36CA4C72" w14:textId="77777777" w:rsidR="00787570" w:rsidRDefault="00787570">
            <w:pPr>
              <w:rPr>
                <w:rFonts w:ascii="宋体"/>
                <w:vanish/>
              </w:rPr>
            </w:pPr>
          </w:p>
        </w:tc>
      </w:tr>
      <w:tr w:rsidR="00787570" w14:paraId="36CA4C84" w14:textId="77777777">
        <w:tc>
          <w:tcPr>
            <w:tcW w:w="0" w:type="auto"/>
            <w:gridSpan w:val="3"/>
            <w:shd w:val="clear" w:color="auto" w:fill="auto"/>
            <w:tcMar>
              <w:left w:w="20" w:type="dxa"/>
              <w:right w:w="20" w:type="dxa"/>
            </w:tcMar>
            <w:vAlign w:val="bottom"/>
          </w:tcPr>
          <w:p w14:paraId="36CA4C74"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4C75" w14:textId="77777777" w:rsidR="00787570" w:rsidRDefault="00787570">
            <w:pPr>
              <w:rPr>
                <w:rFonts w:ascii="宋体"/>
              </w:rPr>
            </w:pPr>
          </w:p>
        </w:tc>
        <w:tc>
          <w:tcPr>
            <w:tcW w:w="0" w:type="auto"/>
            <w:gridSpan w:val="9"/>
            <w:tcBorders>
              <w:top w:val="single" w:sz="8" w:space="0" w:color="0071C5"/>
            </w:tcBorders>
            <w:shd w:val="clear" w:color="auto" w:fill="auto"/>
            <w:tcMar>
              <w:top w:w="40" w:type="dxa"/>
              <w:left w:w="20" w:type="dxa"/>
              <w:bottom w:w="40" w:type="dxa"/>
              <w:right w:w="20" w:type="dxa"/>
            </w:tcMar>
            <w:vAlign w:val="bottom"/>
          </w:tcPr>
          <w:p w14:paraId="36CA4C76" w14:textId="77777777" w:rsidR="00787570" w:rsidRDefault="000D56E2">
            <w:pPr>
              <w:jc w:val="center"/>
              <w:textAlignment w:val="bottom"/>
            </w:pPr>
            <w:r>
              <w:rPr>
                <w:rFonts w:ascii="Arial" w:eastAsia="宋体" w:hAnsi="Arial" w:cs="Arial"/>
                <w:b/>
                <w:bCs/>
                <w:color w:val="333333"/>
                <w:sz w:val="18"/>
                <w:szCs w:val="18"/>
              </w:rPr>
              <w:t>Q3 2020</w:t>
            </w:r>
          </w:p>
        </w:tc>
        <w:tc>
          <w:tcPr>
            <w:tcW w:w="0" w:type="auto"/>
            <w:gridSpan w:val="3"/>
            <w:shd w:val="clear" w:color="auto" w:fill="auto"/>
          </w:tcPr>
          <w:p w14:paraId="36CA4C77" w14:textId="77777777" w:rsidR="00787570" w:rsidRDefault="00787570">
            <w:pPr>
              <w:rPr>
                <w:rFonts w:ascii="宋体"/>
                <w:vanish/>
              </w:rPr>
            </w:pPr>
          </w:p>
        </w:tc>
        <w:tc>
          <w:tcPr>
            <w:tcW w:w="0" w:type="auto"/>
            <w:gridSpan w:val="3"/>
            <w:shd w:val="clear" w:color="auto" w:fill="auto"/>
          </w:tcPr>
          <w:p w14:paraId="36CA4C78" w14:textId="77777777" w:rsidR="00787570" w:rsidRDefault="00787570">
            <w:pPr>
              <w:rPr>
                <w:rFonts w:ascii="宋体"/>
                <w:vanish/>
              </w:rPr>
            </w:pPr>
          </w:p>
        </w:tc>
        <w:tc>
          <w:tcPr>
            <w:tcW w:w="0" w:type="auto"/>
            <w:gridSpan w:val="3"/>
            <w:tcBorders>
              <w:top w:val="single" w:sz="8" w:space="0" w:color="0071C5"/>
            </w:tcBorders>
            <w:shd w:val="clear" w:color="auto" w:fill="auto"/>
            <w:tcMar>
              <w:left w:w="20" w:type="dxa"/>
              <w:right w:w="20" w:type="dxa"/>
            </w:tcMar>
            <w:vAlign w:val="bottom"/>
          </w:tcPr>
          <w:p w14:paraId="36CA4C79" w14:textId="77777777" w:rsidR="00787570" w:rsidRDefault="00787570">
            <w:pPr>
              <w:rPr>
                <w:rFonts w:ascii="宋体"/>
              </w:rPr>
            </w:pPr>
          </w:p>
        </w:tc>
        <w:tc>
          <w:tcPr>
            <w:tcW w:w="0" w:type="auto"/>
            <w:gridSpan w:val="9"/>
            <w:tcBorders>
              <w:top w:val="single" w:sz="8" w:space="0" w:color="0071C5"/>
            </w:tcBorders>
            <w:shd w:val="clear" w:color="auto" w:fill="auto"/>
            <w:tcMar>
              <w:top w:w="40" w:type="dxa"/>
              <w:left w:w="20" w:type="dxa"/>
              <w:bottom w:w="40" w:type="dxa"/>
              <w:right w:w="20" w:type="dxa"/>
            </w:tcMar>
            <w:vAlign w:val="bottom"/>
          </w:tcPr>
          <w:p w14:paraId="36CA4C7A" w14:textId="77777777" w:rsidR="00787570" w:rsidRDefault="000D56E2">
            <w:pPr>
              <w:jc w:val="center"/>
              <w:textAlignment w:val="bottom"/>
            </w:pPr>
            <w:r>
              <w:rPr>
                <w:rFonts w:ascii="Arial" w:eastAsia="宋体" w:hAnsi="Arial" w:cs="Arial"/>
                <w:b/>
                <w:bCs/>
                <w:color w:val="333333"/>
                <w:sz w:val="18"/>
                <w:szCs w:val="18"/>
              </w:rPr>
              <w:t>Q3 2019</w:t>
            </w:r>
          </w:p>
        </w:tc>
        <w:tc>
          <w:tcPr>
            <w:tcW w:w="0" w:type="auto"/>
            <w:gridSpan w:val="3"/>
            <w:shd w:val="clear" w:color="auto" w:fill="auto"/>
          </w:tcPr>
          <w:p w14:paraId="36CA4C7B" w14:textId="77777777" w:rsidR="00787570" w:rsidRDefault="00787570">
            <w:pPr>
              <w:rPr>
                <w:rFonts w:ascii="宋体"/>
                <w:vanish/>
              </w:rPr>
            </w:pPr>
          </w:p>
        </w:tc>
        <w:tc>
          <w:tcPr>
            <w:tcW w:w="0" w:type="auto"/>
            <w:gridSpan w:val="3"/>
            <w:shd w:val="clear" w:color="auto" w:fill="auto"/>
          </w:tcPr>
          <w:p w14:paraId="36CA4C7C" w14:textId="77777777" w:rsidR="00787570" w:rsidRDefault="00787570">
            <w:pPr>
              <w:rPr>
                <w:rFonts w:ascii="宋体"/>
                <w:vanish/>
              </w:rPr>
            </w:pPr>
          </w:p>
        </w:tc>
        <w:tc>
          <w:tcPr>
            <w:tcW w:w="0" w:type="auto"/>
            <w:gridSpan w:val="3"/>
            <w:shd w:val="clear" w:color="auto" w:fill="auto"/>
            <w:tcMar>
              <w:left w:w="20" w:type="dxa"/>
              <w:right w:w="20" w:type="dxa"/>
            </w:tcMar>
            <w:vAlign w:val="bottom"/>
          </w:tcPr>
          <w:p w14:paraId="36CA4C7D" w14:textId="77777777" w:rsidR="00787570" w:rsidRDefault="00787570">
            <w:pPr>
              <w:rPr>
                <w:rFonts w:ascii="宋体"/>
              </w:rPr>
            </w:pPr>
          </w:p>
        </w:tc>
        <w:tc>
          <w:tcPr>
            <w:tcW w:w="0" w:type="auto"/>
            <w:gridSpan w:val="9"/>
            <w:tcBorders>
              <w:top w:val="single" w:sz="8" w:space="0" w:color="0071C5"/>
            </w:tcBorders>
            <w:shd w:val="clear" w:color="auto" w:fill="auto"/>
            <w:tcMar>
              <w:top w:w="40" w:type="dxa"/>
              <w:left w:w="20" w:type="dxa"/>
              <w:bottom w:w="40" w:type="dxa"/>
              <w:right w:w="20" w:type="dxa"/>
            </w:tcMar>
            <w:vAlign w:val="bottom"/>
          </w:tcPr>
          <w:p w14:paraId="36CA4C7E" w14:textId="77777777" w:rsidR="00787570" w:rsidRDefault="000D56E2">
            <w:pPr>
              <w:jc w:val="center"/>
              <w:textAlignment w:val="bottom"/>
            </w:pPr>
            <w:r>
              <w:rPr>
                <w:rFonts w:ascii="Arial" w:eastAsia="宋体" w:hAnsi="Arial" w:cs="Arial"/>
                <w:b/>
                <w:bCs/>
                <w:color w:val="333333"/>
                <w:sz w:val="18"/>
                <w:szCs w:val="18"/>
              </w:rPr>
              <w:t>YTD 2020</w:t>
            </w:r>
          </w:p>
        </w:tc>
        <w:tc>
          <w:tcPr>
            <w:tcW w:w="0" w:type="auto"/>
            <w:gridSpan w:val="3"/>
            <w:shd w:val="clear" w:color="auto" w:fill="auto"/>
          </w:tcPr>
          <w:p w14:paraId="36CA4C7F" w14:textId="77777777" w:rsidR="00787570" w:rsidRDefault="00787570">
            <w:pPr>
              <w:rPr>
                <w:rFonts w:ascii="宋体"/>
                <w:vanish/>
              </w:rPr>
            </w:pPr>
          </w:p>
        </w:tc>
        <w:tc>
          <w:tcPr>
            <w:tcW w:w="0" w:type="auto"/>
            <w:gridSpan w:val="3"/>
            <w:shd w:val="clear" w:color="auto" w:fill="auto"/>
          </w:tcPr>
          <w:p w14:paraId="36CA4C80" w14:textId="77777777" w:rsidR="00787570" w:rsidRDefault="00787570">
            <w:pPr>
              <w:rPr>
                <w:rFonts w:ascii="宋体"/>
                <w:vanish/>
              </w:rPr>
            </w:pPr>
          </w:p>
        </w:tc>
        <w:tc>
          <w:tcPr>
            <w:tcW w:w="0" w:type="auto"/>
            <w:gridSpan w:val="3"/>
            <w:tcBorders>
              <w:top w:val="single" w:sz="8" w:space="0" w:color="0071C5"/>
            </w:tcBorders>
            <w:shd w:val="clear" w:color="auto" w:fill="auto"/>
            <w:tcMar>
              <w:left w:w="20" w:type="dxa"/>
              <w:right w:w="20" w:type="dxa"/>
            </w:tcMar>
            <w:vAlign w:val="bottom"/>
          </w:tcPr>
          <w:p w14:paraId="36CA4C81" w14:textId="77777777" w:rsidR="00787570" w:rsidRDefault="00787570">
            <w:pPr>
              <w:rPr>
                <w:rFonts w:ascii="宋体"/>
              </w:rPr>
            </w:pPr>
          </w:p>
        </w:tc>
        <w:tc>
          <w:tcPr>
            <w:tcW w:w="0" w:type="auto"/>
            <w:gridSpan w:val="2"/>
            <w:tcBorders>
              <w:top w:val="single" w:sz="8" w:space="0" w:color="0071C5"/>
            </w:tcBorders>
            <w:shd w:val="clear" w:color="auto" w:fill="auto"/>
            <w:tcMar>
              <w:top w:w="40" w:type="dxa"/>
              <w:left w:w="20" w:type="dxa"/>
              <w:bottom w:w="40" w:type="dxa"/>
              <w:right w:w="20" w:type="dxa"/>
            </w:tcMar>
            <w:vAlign w:val="bottom"/>
          </w:tcPr>
          <w:p w14:paraId="36CA4C82" w14:textId="77777777" w:rsidR="00787570" w:rsidRDefault="000D56E2">
            <w:pPr>
              <w:jc w:val="center"/>
              <w:textAlignment w:val="bottom"/>
            </w:pPr>
            <w:r>
              <w:rPr>
                <w:rFonts w:ascii="Arial" w:eastAsia="宋体" w:hAnsi="Arial" w:cs="Arial"/>
                <w:b/>
                <w:bCs/>
                <w:color w:val="333333"/>
                <w:sz w:val="18"/>
                <w:szCs w:val="18"/>
              </w:rPr>
              <w:t>YTD 2019</w:t>
            </w:r>
          </w:p>
        </w:tc>
        <w:tc>
          <w:tcPr>
            <w:tcW w:w="0" w:type="auto"/>
            <w:shd w:val="clear" w:color="auto" w:fill="auto"/>
          </w:tcPr>
          <w:p w14:paraId="36CA4C83" w14:textId="77777777" w:rsidR="00787570" w:rsidRDefault="00787570">
            <w:pPr>
              <w:rPr>
                <w:rFonts w:ascii="宋体"/>
                <w:vanish/>
              </w:rPr>
            </w:pPr>
          </w:p>
        </w:tc>
      </w:tr>
      <w:tr w:rsidR="00787570" w14:paraId="36CA4CA2" w14:textId="77777777">
        <w:tc>
          <w:tcPr>
            <w:tcW w:w="0" w:type="auto"/>
            <w:gridSpan w:val="3"/>
            <w:shd w:val="clear" w:color="auto" w:fill="auto"/>
            <w:tcMar>
              <w:top w:w="40" w:type="dxa"/>
              <w:left w:w="20" w:type="dxa"/>
              <w:bottom w:w="40" w:type="dxa"/>
              <w:right w:w="20" w:type="dxa"/>
            </w:tcMar>
            <w:vAlign w:val="bottom"/>
          </w:tcPr>
          <w:p w14:paraId="36CA4C85" w14:textId="77777777" w:rsidR="00787570" w:rsidRDefault="000D56E2">
            <w:pPr>
              <w:textAlignment w:val="bottom"/>
            </w:pPr>
            <w:r>
              <w:rPr>
                <w:rFonts w:ascii="Arial" w:eastAsia="宋体" w:hAnsi="Arial" w:cs="Arial"/>
                <w:b/>
                <w:bCs/>
                <w:color w:val="333333"/>
                <w:sz w:val="18"/>
                <w:szCs w:val="18"/>
              </w:rPr>
              <w:t>(In Mi</w:t>
            </w:r>
            <w:r>
              <w:rPr>
                <w:rFonts w:ascii="Arial" w:eastAsia="宋体" w:hAnsi="Arial" w:cs="Arial"/>
                <w:b/>
                <w:bCs/>
                <w:color w:val="333333"/>
                <w:sz w:val="18"/>
                <w:szCs w:val="18"/>
              </w:rPr>
              <w:t>llions, Except Per Share Amounts)</w:t>
            </w:r>
          </w:p>
        </w:tc>
        <w:tc>
          <w:tcPr>
            <w:tcW w:w="0" w:type="auto"/>
            <w:gridSpan w:val="3"/>
            <w:shd w:val="clear" w:color="auto" w:fill="auto"/>
            <w:tcMar>
              <w:left w:w="20" w:type="dxa"/>
              <w:right w:w="20" w:type="dxa"/>
            </w:tcMar>
            <w:vAlign w:val="bottom"/>
          </w:tcPr>
          <w:p w14:paraId="36CA4C86" w14:textId="77777777" w:rsidR="00787570" w:rsidRDefault="00787570">
            <w:pPr>
              <w:rPr>
                <w:rFonts w:ascii="宋体"/>
              </w:rPr>
            </w:pPr>
          </w:p>
        </w:tc>
        <w:tc>
          <w:tcPr>
            <w:tcW w:w="0" w:type="auto"/>
            <w:gridSpan w:val="3"/>
            <w:tcBorders>
              <w:top w:val="single" w:sz="8" w:space="0" w:color="0071C5"/>
            </w:tcBorders>
            <w:shd w:val="clear" w:color="auto" w:fill="auto"/>
            <w:tcMar>
              <w:top w:w="40" w:type="dxa"/>
              <w:left w:w="20" w:type="dxa"/>
              <w:bottom w:w="40" w:type="dxa"/>
              <w:right w:w="20" w:type="dxa"/>
            </w:tcMar>
            <w:vAlign w:val="bottom"/>
          </w:tcPr>
          <w:p w14:paraId="36CA4C87" w14:textId="77777777" w:rsidR="00787570" w:rsidRDefault="000D56E2">
            <w:pPr>
              <w:jc w:val="center"/>
              <w:textAlignment w:val="bottom"/>
            </w:pPr>
            <w:r>
              <w:rPr>
                <w:rFonts w:ascii="Arial" w:eastAsia="宋体" w:hAnsi="Arial" w:cs="Arial"/>
                <w:b/>
                <w:bCs/>
                <w:color w:val="333333"/>
                <w:sz w:val="18"/>
                <w:szCs w:val="18"/>
              </w:rPr>
              <w:t>Amount</w:t>
            </w:r>
          </w:p>
        </w:tc>
        <w:tc>
          <w:tcPr>
            <w:tcW w:w="0" w:type="auto"/>
            <w:gridSpan w:val="3"/>
            <w:tcBorders>
              <w:top w:val="single" w:sz="8" w:space="0" w:color="0071C5"/>
            </w:tcBorders>
            <w:shd w:val="clear" w:color="auto" w:fill="auto"/>
            <w:tcMar>
              <w:left w:w="20" w:type="dxa"/>
              <w:right w:w="20" w:type="dxa"/>
            </w:tcMar>
            <w:vAlign w:val="bottom"/>
          </w:tcPr>
          <w:p w14:paraId="36CA4C88" w14:textId="77777777" w:rsidR="00787570" w:rsidRDefault="00787570">
            <w:pPr>
              <w:rPr>
                <w:rFonts w:ascii="宋体"/>
              </w:rPr>
            </w:pPr>
          </w:p>
        </w:tc>
        <w:tc>
          <w:tcPr>
            <w:tcW w:w="0" w:type="auto"/>
            <w:gridSpan w:val="3"/>
            <w:tcBorders>
              <w:top w:val="single" w:sz="8" w:space="0" w:color="0071C5"/>
            </w:tcBorders>
            <w:shd w:val="clear" w:color="auto" w:fill="auto"/>
            <w:tcMar>
              <w:top w:w="40" w:type="dxa"/>
              <w:left w:w="20" w:type="dxa"/>
              <w:bottom w:w="40" w:type="dxa"/>
              <w:right w:w="20" w:type="dxa"/>
            </w:tcMar>
            <w:vAlign w:val="bottom"/>
          </w:tcPr>
          <w:p w14:paraId="36CA4C89" w14:textId="77777777" w:rsidR="00787570" w:rsidRDefault="000D56E2">
            <w:pPr>
              <w:jc w:val="center"/>
              <w:textAlignment w:val="bottom"/>
            </w:pPr>
            <w:r>
              <w:rPr>
                <w:rFonts w:ascii="Arial" w:eastAsia="宋体" w:hAnsi="Arial" w:cs="Arial"/>
                <w:b/>
                <w:bCs/>
                <w:color w:val="333333"/>
                <w:sz w:val="18"/>
                <w:szCs w:val="18"/>
              </w:rPr>
              <w:t>% of Net</w:t>
            </w:r>
            <w:r>
              <w:rPr>
                <w:rFonts w:ascii="Arial" w:eastAsia="宋体" w:hAnsi="Arial" w:cs="Arial"/>
                <w:b/>
                <w:bCs/>
                <w:color w:val="333333"/>
                <w:sz w:val="18"/>
                <w:szCs w:val="18"/>
              </w:rPr>
              <w:br/>
              <w:t>Revenue</w:t>
            </w:r>
          </w:p>
        </w:tc>
        <w:tc>
          <w:tcPr>
            <w:tcW w:w="0" w:type="auto"/>
            <w:gridSpan w:val="3"/>
            <w:shd w:val="clear" w:color="auto" w:fill="auto"/>
            <w:tcMar>
              <w:left w:w="20" w:type="dxa"/>
              <w:right w:w="20" w:type="dxa"/>
            </w:tcMar>
            <w:vAlign w:val="bottom"/>
          </w:tcPr>
          <w:p w14:paraId="36CA4C8A" w14:textId="77777777" w:rsidR="00787570" w:rsidRDefault="00787570">
            <w:pPr>
              <w:rPr>
                <w:rFonts w:ascii="宋体"/>
              </w:rPr>
            </w:pPr>
          </w:p>
        </w:tc>
        <w:tc>
          <w:tcPr>
            <w:tcW w:w="0" w:type="auto"/>
            <w:gridSpan w:val="3"/>
            <w:tcBorders>
              <w:top w:val="single" w:sz="8" w:space="0" w:color="0071C5"/>
            </w:tcBorders>
            <w:shd w:val="clear" w:color="auto" w:fill="auto"/>
            <w:tcMar>
              <w:top w:w="40" w:type="dxa"/>
              <w:left w:w="20" w:type="dxa"/>
              <w:bottom w:w="40" w:type="dxa"/>
              <w:right w:w="20" w:type="dxa"/>
            </w:tcMar>
            <w:vAlign w:val="bottom"/>
          </w:tcPr>
          <w:p w14:paraId="36CA4C8B" w14:textId="77777777" w:rsidR="00787570" w:rsidRDefault="000D56E2">
            <w:pPr>
              <w:jc w:val="center"/>
              <w:textAlignment w:val="bottom"/>
            </w:pPr>
            <w:r>
              <w:rPr>
                <w:rFonts w:ascii="Arial" w:eastAsia="宋体" w:hAnsi="Arial" w:cs="Arial"/>
                <w:b/>
                <w:bCs/>
                <w:color w:val="333333"/>
                <w:sz w:val="18"/>
                <w:szCs w:val="18"/>
              </w:rPr>
              <w:t>Amount</w:t>
            </w:r>
          </w:p>
        </w:tc>
        <w:tc>
          <w:tcPr>
            <w:tcW w:w="0" w:type="auto"/>
            <w:gridSpan w:val="3"/>
            <w:tcBorders>
              <w:top w:val="single" w:sz="8" w:space="0" w:color="0071C5"/>
            </w:tcBorders>
            <w:shd w:val="clear" w:color="auto" w:fill="auto"/>
            <w:tcMar>
              <w:left w:w="20" w:type="dxa"/>
              <w:right w:w="20" w:type="dxa"/>
            </w:tcMar>
            <w:vAlign w:val="bottom"/>
          </w:tcPr>
          <w:p w14:paraId="36CA4C8C" w14:textId="77777777" w:rsidR="00787570" w:rsidRDefault="00787570">
            <w:pPr>
              <w:rPr>
                <w:rFonts w:ascii="宋体"/>
              </w:rPr>
            </w:pPr>
          </w:p>
        </w:tc>
        <w:tc>
          <w:tcPr>
            <w:tcW w:w="0" w:type="auto"/>
            <w:gridSpan w:val="3"/>
            <w:tcBorders>
              <w:top w:val="single" w:sz="8" w:space="0" w:color="0071C5"/>
            </w:tcBorders>
            <w:shd w:val="clear" w:color="auto" w:fill="auto"/>
            <w:tcMar>
              <w:top w:w="40" w:type="dxa"/>
              <w:left w:w="20" w:type="dxa"/>
              <w:bottom w:w="40" w:type="dxa"/>
              <w:right w:w="20" w:type="dxa"/>
            </w:tcMar>
            <w:vAlign w:val="bottom"/>
          </w:tcPr>
          <w:p w14:paraId="36CA4C8D" w14:textId="77777777" w:rsidR="00787570" w:rsidRDefault="000D56E2">
            <w:pPr>
              <w:jc w:val="center"/>
              <w:textAlignment w:val="bottom"/>
            </w:pPr>
            <w:r>
              <w:rPr>
                <w:rFonts w:ascii="Arial" w:eastAsia="宋体" w:hAnsi="Arial" w:cs="Arial"/>
                <w:b/>
                <w:bCs/>
                <w:color w:val="333333"/>
                <w:sz w:val="18"/>
                <w:szCs w:val="18"/>
              </w:rPr>
              <w:t>% of Net</w:t>
            </w:r>
            <w:r>
              <w:rPr>
                <w:rFonts w:ascii="Arial" w:eastAsia="宋体" w:hAnsi="Arial" w:cs="Arial"/>
                <w:b/>
                <w:bCs/>
                <w:color w:val="333333"/>
                <w:sz w:val="18"/>
                <w:szCs w:val="18"/>
              </w:rPr>
              <w:br/>
              <w:t>Revenue</w:t>
            </w:r>
          </w:p>
        </w:tc>
        <w:tc>
          <w:tcPr>
            <w:tcW w:w="0" w:type="auto"/>
            <w:gridSpan w:val="3"/>
            <w:shd w:val="clear" w:color="auto" w:fill="auto"/>
            <w:tcMar>
              <w:left w:w="20" w:type="dxa"/>
              <w:right w:w="20" w:type="dxa"/>
            </w:tcMar>
            <w:vAlign w:val="bottom"/>
          </w:tcPr>
          <w:p w14:paraId="36CA4C8E" w14:textId="77777777" w:rsidR="00787570" w:rsidRDefault="00787570">
            <w:pPr>
              <w:rPr>
                <w:rFonts w:ascii="宋体"/>
              </w:rPr>
            </w:pPr>
          </w:p>
        </w:tc>
        <w:tc>
          <w:tcPr>
            <w:tcW w:w="0" w:type="auto"/>
            <w:gridSpan w:val="3"/>
            <w:tcBorders>
              <w:top w:val="single" w:sz="8" w:space="0" w:color="0071C5"/>
            </w:tcBorders>
            <w:shd w:val="clear" w:color="auto" w:fill="auto"/>
            <w:tcMar>
              <w:top w:w="40" w:type="dxa"/>
              <w:left w:w="20" w:type="dxa"/>
              <w:bottom w:w="40" w:type="dxa"/>
              <w:right w:w="20" w:type="dxa"/>
            </w:tcMar>
            <w:vAlign w:val="bottom"/>
          </w:tcPr>
          <w:p w14:paraId="36CA4C8F" w14:textId="77777777" w:rsidR="00787570" w:rsidRDefault="000D56E2">
            <w:pPr>
              <w:jc w:val="center"/>
              <w:textAlignment w:val="bottom"/>
            </w:pPr>
            <w:r>
              <w:rPr>
                <w:rFonts w:ascii="Arial" w:eastAsia="宋体" w:hAnsi="Arial" w:cs="Arial"/>
                <w:b/>
                <w:bCs/>
                <w:color w:val="333333"/>
                <w:sz w:val="18"/>
                <w:szCs w:val="18"/>
              </w:rPr>
              <w:t>Amount</w:t>
            </w:r>
          </w:p>
        </w:tc>
        <w:tc>
          <w:tcPr>
            <w:tcW w:w="0" w:type="auto"/>
            <w:gridSpan w:val="3"/>
            <w:tcBorders>
              <w:top w:val="single" w:sz="8" w:space="0" w:color="0071C5"/>
            </w:tcBorders>
            <w:shd w:val="clear" w:color="auto" w:fill="auto"/>
            <w:tcMar>
              <w:left w:w="20" w:type="dxa"/>
              <w:right w:w="20" w:type="dxa"/>
            </w:tcMar>
            <w:vAlign w:val="bottom"/>
          </w:tcPr>
          <w:p w14:paraId="36CA4C90" w14:textId="77777777" w:rsidR="00787570" w:rsidRDefault="00787570">
            <w:pPr>
              <w:rPr>
                <w:rFonts w:ascii="宋体"/>
              </w:rPr>
            </w:pPr>
          </w:p>
        </w:tc>
        <w:tc>
          <w:tcPr>
            <w:tcW w:w="0" w:type="auto"/>
            <w:gridSpan w:val="3"/>
            <w:tcBorders>
              <w:top w:val="single" w:sz="8" w:space="0" w:color="0071C5"/>
            </w:tcBorders>
            <w:shd w:val="clear" w:color="auto" w:fill="auto"/>
            <w:tcMar>
              <w:top w:w="40" w:type="dxa"/>
              <w:left w:w="20" w:type="dxa"/>
              <w:bottom w:w="40" w:type="dxa"/>
              <w:right w:w="20" w:type="dxa"/>
            </w:tcMar>
            <w:vAlign w:val="bottom"/>
          </w:tcPr>
          <w:p w14:paraId="36CA4C91" w14:textId="77777777" w:rsidR="00787570" w:rsidRDefault="000D56E2">
            <w:pPr>
              <w:jc w:val="center"/>
              <w:textAlignment w:val="bottom"/>
            </w:pPr>
            <w:r>
              <w:rPr>
                <w:rFonts w:ascii="Arial" w:eastAsia="宋体" w:hAnsi="Arial" w:cs="Arial"/>
                <w:b/>
                <w:bCs/>
                <w:color w:val="333333"/>
                <w:sz w:val="18"/>
                <w:szCs w:val="18"/>
              </w:rPr>
              <w:t>% of Net</w:t>
            </w:r>
            <w:r>
              <w:rPr>
                <w:rFonts w:ascii="Arial" w:eastAsia="宋体" w:hAnsi="Arial" w:cs="Arial"/>
                <w:b/>
                <w:bCs/>
                <w:color w:val="333333"/>
                <w:sz w:val="18"/>
                <w:szCs w:val="18"/>
              </w:rPr>
              <w:br/>
              <w:t>Revenue</w:t>
            </w:r>
          </w:p>
        </w:tc>
        <w:tc>
          <w:tcPr>
            <w:tcW w:w="0" w:type="auto"/>
            <w:gridSpan w:val="3"/>
            <w:shd w:val="clear" w:color="auto" w:fill="auto"/>
            <w:tcMar>
              <w:left w:w="20" w:type="dxa"/>
              <w:right w:w="20" w:type="dxa"/>
            </w:tcMar>
            <w:vAlign w:val="bottom"/>
          </w:tcPr>
          <w:p w14:paraId="36CA4C92" w14:textId="77777777" w:rsidR="00787570" w:rsidRDefault="00787570">
            <w:pPr>
              <w:rPr>
                <w:rFonts w:ascii="宋体"/>
              </w:rPr>
            </w:pPr>
          </w:p>
        </w:tc>
        <w:tc>
          <w:tcPr>
            <w:tcW w:w="0" w:type="auto"/>
            <w:gridSpan w:val="3"/>
            <w:tcBorders>
              <w:top w:val="single" w:sz="8" w:space="0" w:color="0071C5"/>
            </w:tcBorders>
            <w:shd w:val="clear" w:color="auto" w:fill="auto"/>
            <w:tcMar>
              <w:top w:w="40" w:type="dxa"/>
              <w:left w:w="20" w:type="dxa"/>
              <w:bottom w:w="40" w:type="dxa"/>
              <w:right w:w="20" w:type="dxa"/>
            </w:tcMar>
            <w:vAlign w:val="bottom"/>
          </w:tcPr>
          <w:p w14:paraId="36CA4C93" w14:textId="77777777" w:rsidR="00787570" w:rsidRDefault="000D56E2">
            <w:pPr>
              <w:jc w:val="center"/>
              <w:textAlignment w:val="bottom"/>
            </w:pPr>
            <w:r>
              <w:rPr>
                <w:rFonts w:ascii="Arial" w:eastAsia="宋体" w:hAnsi="Arial" w:cs="Arial"/>
                <w:b/>
                <w:bCs/>
                <w:color w:val="333333"/>
                <w:sz w:val="18"/>
                <w:szCs w:val="18"/>
              </w:rPr>
              <w:t>Amount</w:t>
            </w:r>
          </w:p>
        </w:tc>
        <w:tc>
          <w:tcPr>
            <w:tcW w:w="0" w:type="auto"/>
            <w:gridSpan w:val="3"/>
            <w:tcBorders>
              <w:top w:val="single" w:sz="8" w:space="0" w:color="0071C5"/>
            </w:tcBorders>
            <w:shd w:val="clear" w:color="auto" w:fill="auto"/>
            <w:tcMar>
              <w:left w:w="20" w:type="dxa"/>
              <w:right w:w="20" w:type="dxa"/>
            </w:tcMar>
            <w:vAlign w:val="bottom"/>
          </w:tcPr>
          <w:p w14:paraId="36CA4C94" w14:textId="77777777" w:rsidR="00787570" w:rsidRDefault="00787570">
            <w:pPr>
              <w:rPr>
                <w:rFonts w:ascii="宋体"/>
              </w:rPr>
            </w:pPr>
          </w:p>
        </w:tc>
        <w:tc>
          <w:tcPr>
            <w:tcW w:w="0" w:type="auto"/>
            <w:gridSpan w:val="3"/>
            <w:tcBorders>
              <w:top w:val="single" w:sz="8" w:space="0" w:color="0071C5"/>
            </w:tcBorders>
            <w:shd w:val="clear" w:color="auto" w:fill="auto"/>
            <w:tcMar>
              <w:top w:w="40" w:type="dxa"/>
              <w:left w:w="20" w:type="dxa"/>
              <w:bottom w:w="40" w:type="dxa"/>
              <w:right w:w="20" w:type="dxa"/>
            </w:tcMar>
            <w:vAlign w:val="bottom"/>
          </w:tcPr>
          <w:p w14:paraId="36CA4C95" w14:textId="77777777" w:rsidR="00787570" w:rsidRDefault="000D56E2">
            <w:pPr>
              <w:jc w:val="center"/>
              <w:textAlignment w:val="bottom"/>
            </w:pPr>
            <w:r>
              <w:rPr>
                <w:rFonts w:ascii="Arial" w:eastAsia="宋体" w:hAnsi="Arial" w:cs="Arial"/>
                <w:b/>
                <w:bCs/>
                <w:color w:val="333333"/>
                <w:sz w:val="18"/>
                <w:szCs w:val="18"/>
              </w:rPr>
              <w:t>% of Net</w:t>
            </w:r>
            <w:r>
              <w:rPr>
                <w:rFonts w:ascii="Arial" w:eastAsia="宋体" w:hAnsi="Arial" w:cs="Arial"/>
                <w:b/>
                <w:bCs/>
                <w:color w:val="333333"/>
                <w:sz w:val="18"/>
                <w:szCs w:val="18"/>
              </w:rPr>
              <w:br/>
              <w:t>Revenue</w:t>
            </w:r>
          </w:p>
        </w:tc>
        <w:tc>
          <w:tcPr>
            <w:tcW w:w="0" w:type="auto"/>
            <w:shd w:val="clear" w:color="auto" w:fill="auto"/>
          </w:tcPr>
          <w:p w14:paraId="36CA4C96" w14:textId="77777777" w:rsidR="00787570" w:rsidRDefault="00787570">
            <w:pPr>
              <w:rPr>
                <w:rFonts w:ascii="宋体"/>
              </w:rPr>
            </w:pPr>
          </w:p>
        </w:tc>
        <w:tc>
          <w:tcPr>
            <w:tcW w:w="0" w:type="auto"/>
            <w:shd w:val="clear" w:color="auto" w:fill="auto"/>
          </w:tcPr>
          <w:p w14:paraId="36CA4C97" w14:textId="77777777" w:rsidR="00787570" w:rsidRDefault="00787570">
            <w:pPr>
              <w:rPr>
                <w:rFonts w:ascii="宋体"/>
              </w:rPr>
            </w:pPr>
          </w:p>
        </w:tc>
        <w:tc>
          <w:tcPr>
            <w:tcW w:w="0" w:type="auto"/>
            <w:shd w:val="clear" w:color="auto" w:fill="auto"/>
          </w:tcPr>
          <w:p w14:paraId="36CA4C98" w14:textId="77777777" w:rsidR="00787570" w:rsidRDefault="00787570">
            <w:pPr>
              <w:rPr>
                <w:rFonts w:ascii="宋体"/>
              </w:rPr>
            </w:pPr>
          </w:p>
        </w:tc>
        <w:tc>
          <w:tcPr>
            <w:tcW w:w="0" w:type="auto"/>
            <w:shd w:val="clear" w:color="auto" w:fill="auto"/>
          </w:tcPr>
          <w:p w14:paraId="36CA4C99" w14:textId="77777777" w:rsidR="00787570" w:rsidRDefault="00787570">
            <w:pPr>
              <w:rPr>
                <w:rFonts w:ascii="宋体"/>
              </w:rPr>
            </w:pPr>
          </w:p>
        </w:tc>
        <w:tc>
          <w:tcPr>
            <w:tcW w:w="0" w:type="auto"/>
            <w:shd w:val="clear" w:color="auto" w:fill="auto"/>
          </w:tcPr>
          <w:p w14:paraId="36CA4C9A" w14:textId="77777777" w:rsidR="00787570" w:rsidRDefault="00787570">
            <w:pPr>
              <w:rPr>
                <w:rFonts w:ascii="宋体"/>
              </w:rPr>
            </w:pPr>
          </w:p>
        </w:tc>
        <w:tc>
          <w:tcPr>
            <w:tcW w:w="0" w:type="auto"/>
            <w:shd w:val="clear" w:color="auto" w:fill="auto"/>
          </w:tcPr>
          <w:p w14:paraId="36CA4C9B" w14:textId="77777777" w:rsidR="00787570" w:rsidRDefault="00787570">
            <w:pPr>
              <w:rPr>
                <w:rFonts w:ascii="宋体"/>
              </w:rPr>
            </w:pPr>
          </w:p>
        </w:tc>
        <w:tc>
          <w:tcPr>
            <w:tcW w:w="0" w:type="auto"/>
            <w:shd w:val="clear" w:color="auto" w:fill="auto"/>
          </w:tcPr>
          <w:p w14:paraId="36CA4C9C" w14:textId="77777777" w:rsidR="00787570" w:rsidRDefault="00787570">
            <w:pPr>
              <w:rPr>
                <w:rFonts w:ascii="宋体"/>
              </w:rPr>
            </w:pPr>
          </w:p>
        </w:tc>
        <w:tc>
          <w:tcPr>
            <w:tcW w:w="0" w:type="auto"/>
            <w:shd w:val="clear" w:color="auto" w:fill="auto"/>
          </w:tcPr>
          <w:p w14:paraId="36CA4C9D" w14:textId="77777777" w:rsidR="00787570" w:rsidRDefault="00787570">
            <w:pPr>
              <w:rPr>
                <w:rFonts w:ascii="宋体"/>
              </w:rPr>
            </w:pPr>
          </w:p>
        </w:tc>
        <w:tc>
          <w:tcPr>
            <w:tcW w:w="0" w:type="auto"/>
            <w:shd w:val="clear" w:color="auto" w:fill="auto"/>
          </w:tcPr>
          <w:p w14:paraId="36CA4C9E" w14:textId="77777777" w:rsidR="00787570" w:rsidRDefault="00787570">
            <w:pPr>
              <w:rPr>
                <w:rFonts w:ascii="宋体"/>
              </w:rPr>
            </w:pPr>
          </w:p>
        </w:tc>
        <w:tc>
          <w:tcPr>
            <w:tcW w:w="0" w:type="auto"/>
            <w:shd w:val="clear" w:color="auto" w:fill="auto"/>
          </w:tcPr>
          <w:p w14:paraId="36CA4C9F" w14:textId="77777777" w:rsidR="00787570" w:rsidRDefault="00787570">
            <w:pPr>
              <w:rPr>
                <w:rFonts w:ascii="宋体"/>
              </w:rPr>
            </w:pPr>
          </w:p>
        </w:tc>
        <w:tc>
          <w:tcPr>
            <w:tcW w:w="0" w:type="auto"/>
            <w:shd w:val="clear" w:color="auto" w:fill="auto"/>
          </w:tcPr>
          <w:p w14:paraId="36CA4CA0" w14:textId="77777777" w:rsidR="00787570" w:rsidRDefault="00787570">
            <w:pPr>
              <w:rPr>
                <w:rFonts w:ascii="宋体"/>
              </w:rPr>
            </w:pPr>
          </w:p>
        </w:tc>
        <w:tc>
          <w:tcPr>
            <w:tcW w:w="0" w:type="auto"/>
            <w:shd w:val="clear" w:color="auto" w:fill="auto"/>
          </w:tcPr>
          <w:p w14:paraId="36CA4CA1" w14:textId="77777777" w:rsidR="00787570" w:rsidRDefault="00787570">
            <w:pPr>
              <w:rPr>
                <w:rFonts w:ascii="宋体"/>
              </w:rPr>
            </w:pPr>
          </w:p>
        </w:tc>
      </w:tr>
      <w:tr w:rsidR="00787570" w14:paraId="36CA4CCC" w14:textId="77777777">
        <w:tc>
          <w:tcPr>
            <w:tcW w:w="0" w:type="auto"/>
            <w:gridSpan w:val="3"/>
            <w:tcBorders>
              <w:top w:val="single" w:sz="8" w:space="0" w:color="0071C5"/>
            </w:tcBorders>
            <w:shd w:val="clear" w:color="auto" w:fill="auto"/>
            <w:tcMar>
              <w:top w:w="40" w:type="dxa"/>
              <w:left w:w="20" w:type="dxa"/>
              <w:bottom w:w="40" w:type="dxa"/>
              <w:right w:w="20" w:type="dxa"/>
            </w:tcMar>
          </w:tcPr>
          <w:p w14:paraId="36CA4CA3" w14:textId="77777777" w:rsidR="00787570" w:rsidRDefault="000D56E2">
            <w:pPr>
              <w:ind w:hanging="180"/>
              <w:textAlignment w:val="top"/>
            </w:pPr>
            <w:r>
              <w:rPr>
                <w:rFonts w:ascii="Arial" w:eastAsia="宋体" w:hAnsi="Arial" w:cs="Arial"/>
                <w:b/>
                <w:bCs/>
                <w:color w:val="333333"/>
                <w:sz w:val="18"/>
                <w:szCs w:val="18"/>
              </w:rPr>
              <w:t>Net revenue</w:t>
            </w:r>
          </w:p>
        </w:tc>
        <w:tc>
          <w:tcPr>
            <w:tcW w:w="0" w:type="auto"/>
            <w:gridSpan w:val="3"/>
            <w:shd w:val="clear" w:color="auto" w:fill="auto"/>
            <w:tcMar>
              <w:left w:w="20" w:type="dxa"/>
              <w:right w:w="20" w:type="dxa"/>
            </w:tcMar>
            <w:vAlign w:val="bottom"/>
          </w:tcPr>
          <w:p w14:paraId="36CA4CA4" w14:textId="77777777" w:rsidR="00787570" w:rsidRDefault="00787570">
            <w:pPr>
              <w:rPr>
                <w:rFonts w:ascii="宋体"/>
              </w:rPr>
            </w:pPr>
          </w:p>
        </w:tc>
        <w:tc>
          <w:tcPr>
            <w:tcW w:w="0" w:type="auto"/>
            <w:tcBorders>
              <w:top w:val="single" w:sz="8" w:space="0" w:color="0071C5"/>
            </w:tcBorders>
            <w:shd w:val="clear" w:color="auto" w:fill="auto"/>
            <w:tcMar>
              <w:top w:w="40" w:type="dxa"/>
              <w:left w:w="20" w:type="dxa"/>
              <w:bottom w:w="40" w:type="dxa"/>
            </w:tcMar>
            <w:vAlign w:val="bottom"/>
          </w:tcPr>
          <w:p w14:paraId="36CA4CA5" w14:textId="77777777" w:rsidR="00787570" w:rsidRDefault="000D56E2">
            <w:pPr>
              <w:textAlignment w:val="bottom"/>
            </w:pPr>
            <w:r>
              <w:rPr>
                <w:rFonts w:ascii="Arial" w:eastAsia="宋体" w:hAnsi="Arial" w:cs="Arial"/>
                <w:b/>
                <w:bCs/>
                <w:color w:val="0071C5"/>
                <w:sz w:val="18"/>
                <w:szCs w:val="18"/>
              </w:rPr>
              <w:t>$</w:t>
            </w:r>
          </w:p>
        </w:tc>
        <w:tc>
          <w:tcPr>
            <w:tcW w:w="0" w:type="auto"/>
            <w:tcBorders>
              <w:top w:val="single" w:sz="8" w:space="0" w:color="0071C5"/>
            </w:tcBorders>
            <w:shd w:val="clear" w:color="auto" w:fill="auto"/>
            <w:tcMar>
              <w:top w:w="40" w:type="dxa"/>
              <w:bottom w:w="40" w:type="dxa"/>
              <w:right w:w="0" w:type="dxa"/>
            </w:tcMar>
            <w:vAlign w:val="bottom"/>
          </w:tcPr>
          <w:p w14:paraId="36CA4CA6" w14:textId="77777777" w:rsidR="00787570" w:rsidRDefault="000D56E2">
            <w:pPr>
              <w:jc w:val="right"/>
              <w:textAlignment w:val="bottom"/>
            </w:pPr>
            <w:r>
              <w:rPr>
                <w:rFonts w:ascii="Arial" w:eastAsia="宋体" w:hAnsi="Arial" w:cs="Arial"/>
                <w:b/>
                <w:bCs/>
                <w:color w:val="0071C5"/>
                <w:sz w:val="18"/>
                <w:szCs w:val="18"/>
              </w:rPr>
              <w:t>18,333</w:t>
            </w:r>
            <w:r>
              <w:rPr>
                <w:rFonts w:ascii="Arial" w:eastAsia="宋体" w:hAnsi="Arial" w:cs="Arial"/>
                <w:color w:val="0071C5"/>
                <w:sz w:val="18"/>
                <w:szCs w:val="18"/>
              </w:rPr>
              <w:t> </w:t>
            </w:r>
          </w:p>
        </w:tc>
        <w:tc>
          <w:tcPr>
            <w:tcW w:w="0" w:type="auto"/>
            <w:tcBorders>
              <w:top w:val="single" w:sz="8" w:space="0" w:color="0071C5"/>
            </w:tcBorders>
            <w:shd w:val="clear" w:color="auto" w:fill="auto"/>
            <w:tcMar>
              <w:top w:w="40" w:type="dxa"/>
              <w:bottom w:w="40" w:type="dxa"/>
              <w:right w:w="20" w:type="dxa"/>
            </w:tcMar>
            <w:vAlign w:val="bottom"/>
          </w:tcPr>
          <w:p w14:paraId="36CA4CA7"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4CA8" w14:textId="77777777" w:rsidR="00787570" w:rsidRDefault="00787570">
            <w:pPr>
              <w:rPr>
                <w:rFonts w:ascii="宋体"/>
              </w:rPr>
            </w:pPr>
          </w:p>
        </w:tc>
        <w:tc>
          <w:tcPr>
            <w:tcW w:w="0" w:type="auto"/>
            <w:gridSpan w:val="2"/>
            <w:tcBorders>
              <w:top w:val="single" w:sz="8" w:space="0" w:color="0071C5"/>
            </w:tcBorders>
            <w:shd w:val="clear" w:color="auto" w:fill="auto"/>
            <w:tcMar>
              <w:top w:w="40" w:type="dxa"/>
              <w:left w:w="20" w:type="dxa"/>
              <w:bottom w:w="40" w:type="dxa"/>
              <w:right w:w="0" w:type="dxa"/>
            </w:tcMar>
            <w:vAlign w:val="bottom"/>
          </w:tcPr>
          <w:p w14:paraId="36CA4CA9" w14:textId="77777777" w:rsidR="00787570" w:rsidRDefault="000D56E2">
            <w:pPr>
              <w:jc w:val="right"/>
              <w:textAlignment w:val="bottom"/>
            </w:pPr>
            <w:r>
              <w:rPr>
                <w:rFonts w:ascii="Arial" w:eastAsia="宋体" w:hAnsi="Arial" w:cs="Arial"/>
                <w:b/>
                <w:bCs/>
                <w:color w:val="0071C5"/>
                <w:sz w:val="18"/>
                <w:szCs w:val="18"/>
              </w:rPr>
              <w:t>100.0</w:t>
            </w:r>
            <w:r>
              <w:rPr>
                <w:rFonts w:ascii="Arial" w:eastAsia="宋体" w:hAnsi="Arial" w:cs="Arial"/>
                <w:color w:val="0071C5"/>
                <w:sz w:val="18"/>
                <w:szCs w:val="18"/>
              </w:rPr>
              <w:t> </w:t>
            </w:r>
          </w:p>
        </w:tc>
        <w:tc>
          <w:tcPr>
            <w:tcW w:w="0" w:type="auto"/>
            <w:tcBorders>
              <w:top w:val="single" w:sz="8" w:space="0" w:color="0071C5"/>
            </w:tcBorders>
            <w:shd w:val="clear" w:color="auto" w:fill="auto"/>
            <w:tcMar>
              <w:top w:w="40" w:type="dxa"/>
              <w:bottom w:w="40" w:type="dxa"/>
              <w:right w:w="20" w:type="dxa"/>
            </w:tcMar>
            <w:vAlign w:val="bottom"/>
          </w:tcPr>
          <w:p w14:paraId="36CA4CAA" w14:textId="77777777" w:rsidR="00787570" w:rsidRDefault="000D56E2">
            <w:pPr>
              <w:jc w:val="right"/>
              <w:textAlignment w:val="bottom"/>
            </w:pPr>
            <w:r>
              <w:rPr>
                <w:rFonts w:ascii="Arial" w:eastAsia="宋体" w:hAnsi="Arial" w:cs="Arial"/>
                <w:b/>
                <w:bCs/>
                <w:color w:val="0071C5"/>
                <w:sz w:val="18"/>
                <w:szCs w:val="18"/>
              </w:rPr>
              <w:t>%</w:t>
            </w:r>
          </w:p>
        </w:tc>
        <w:tc>
          <w:tcPr>
            <w:tcW w:w="0" w:type="auto"/>
            <w:gridSpan w:val="3"/>
            <w:shd w:val="clear" w:color="auto" w:fill="auto"/>
            <w:tcMar>
              <w:left w:w="20" w:type="dxa"/>
              <w:right w:w="20" w:type="dxa"/>
            </w:tcMar>
            <w:vAlign w:val="bottom"/>
          </w:tcPr>
          <w:p w14:paraId="36CA4CAB" w14:textId="77777777" w:rsidR="00787570" w:rsidRDefault="00787570">
            <w:pPr>
              <w:rPr>
                <w:rFonts w:ascii="宋体"/>
              </w:rPr>
            </w:pPr>
          </w:p>
        </w:tc>
        <w:tc>
          <w:tcPr>
            <w:tcW w:w="0" w:type="auto"/>
            <w:tcBorders>
              <w:top w:val="single" w:sz="8" w:space="0" w:color="0071C5"/>
            </w:tcBorders>
            <w:shd w:val="clear" w:color="auto" w:fill="auto"/>
            <w:tcMar>
              <w:top w:w="40" w:type="dxa"/>
              <w:left w:w="20" w:type="dxa"/>
              <w:bottom w:w="40" w:type="dxa"/>
            </w:tcMar>
            <w:vAlign w:val="bottom"/>
          </w:tcPr>
          <w:p w14:paraId="36CA4CAC" w14:textId="77777777" w:rsidR="00787570" w:rsidRDefault="000D56E2">
            <w:pPr>
              <w:textAlignment w:val="bottom"/>
            </w:pPr>
            <w:r>
              <w:rPr>
                <w:rFonts w:ascii="Arial" w:eastAsia="宋体" w:hAnsi="Arial" w:cs="Arial"/>
                <w:b/>
                <w:bCs/>
                <w:color w:val="333333"/>
                <w:sz w:val="18"/>
                <w:szCs w:val="18"/>
              </w:rPr>
              <w:t>$</w:t>
            </w:r>
          </w:p>
        </w:tc>
        <w:tc>
          <w:tcPr>
            <w:tcW w:w="0" w:type="auto"/>
            <w:tcBorders>
              <w:top w:val="single" w:sz="8" w:space="0" w:color="0071C5"/>
            </w:tcBorders>
            <w:shd w:val="clear" w:color="auto" w:fill="auto"/>
            <w:tcMar>
              <w:top w:w="40" w:type="dxa"/>
              <w:bottom w:w="40" w:type="dxa"/>
              <w:right w:w="0" w:type="dxa"/>
            </w:tcMar>
            <w:vAlign w:val="bottom"/>
          </w:tcPr>
          <w:p w14:paraId="36CA4CAD" w14:textId="77777777" w:rsidR="00787570" w:rsidRDefault="000D56E2">
            <w:pPr>
              <w:jc w:val="right"/>
              <w:textAlignment w:val="bottom"/>
            </w:pPr>
            <w:r>
              <w:rPr>
                <w:rFonts w:ascii="Arial" w:eastAsia="宋体" w:hAnsi="Arial" w:cs="Arial"/>
                <w:b/>
                <w:bCs/>
                <w:color w:val="333333"/>
                <w:sz w:val="18"/>
                <w:szCs w:val="18"/>
              </w:rPr>
              <w:t>19,190</w:t>
            </w:r>
            <w:r>
              <w:rPr>
                <w:rFonts w:ascii="Arial" w:eastAsia="宋体" w:hAnsi="Arial" w:cs="Arial"/>
                <w:color w:val="333333"/>
                <w:sz w:val="18"/>
                <w:szCs w:val="18"/>
              </w:rPr>
              <w:t> </w:t>
            </w:r>
          </w:p>
        </w:tc>
        <w:tc>
          <w:tcPr>
            <w:tcW w:w="0" w:type="auto"/>
            <w:tcBorders>
              <w:top w:val="single" w:sz="8" w:space="0" w:color="0071C5"/>
            </w:tcBorders>
            <w:shd w:val="clear" w:color="auto" w:fill="auto"/>
            <w:tcMar>
              <w:top w:w="40" w:type="dxa"/>
              <w:bottom w:w="40" w:type="dxa"/>
              <w:right w:w="20" w:type="dxa"/>
            </w:tcMar>
            <w:vAlign w:val="bottom"/>
          </w:tcPr>
          <w:p w14:paraId="36CA4CAE"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4CAF" w14:textId="77777777" w:rsidR="00787570" w:rsidRDefault="00787570">
            <w:pPr>
              <w:rPr>
                <w:rFonts w:ascii="宋体"/>
              </w:rPr>
            </w:pPr>
          </w:p>
        </w:tc>
        <w:tc>
          <w:tcPr>
            <w:tcW w:w="0" w:type="auto"/>
            <w:gridSpan w:val="2"/>
            <w:tcBorders>
              <w:top w:val="single" w:sz="8" w:space="0" w:color="0071C5"/>
            </w:tcBorders>
            <w:shd w:val="clear" w:color="auto" w:fill="auto"/>
            <w:tcMar>
              <w:top w:w="40" w:type="dxa"/>
              <w:left w:w="20" w:type="dxa"/>
              <w:bottom w:w="40" w:type="dxa"/>
              <w:right w:w="0" w:type="dxa"/>
            </w:tcMar>
            <w:vAlign w:val="bottom"/>
          </w:tcPr>
          <w:p w14:paraId="36CA4CB0" w14:textId="77777777" w:rsidR="00787570" w:rsidRDefault="000D56E2">
            <w:pPr>
              <w:jc w:val="right"/>
              <w:textAlignment w:val="bottom"/>
            </w:pPr>
            <w:r>
              <w:rPr>
                <w:rFonts w:ascii="Arial" w:eastAsia="宋体" w:hAnsi="Arial" w:cs="Arial"/>
                <w:b/>
                <w:bCs/>
                <w:color w:val="333333"/>
                <w:sz w:val="18"/>
                <w:szCs w:val="18"/>
              </w:rPr>
              <w:t>100.0</w:t>
            </w:r>
            <w:r>
              <w:rPr>
                <w:rFonts w:ascii="Arial" w:eastAsia="宋体" w:hAnsi="Arial" w:cs="Arial"/>
                <w:color w:val="333333"/>
                <w:sz w:val="18"/>
                <w:szCs w:val="18"/>
              </w:rPr>
              <w:t> </w:t>
            </w:r>
          </w:p>
        </w:tc>
        <w:tc>
          <w:tcPr>
            <w:tcW w:w="0" w:type="auto"/>
            <w:tcBorders>
              <w:top w:val="single" w:sz="8" w:space="0" w:color="0071C5"/>
            </w:tcBorders>
            <w:shd w:val="clear" w:color="auto" w:fill="auto"/>
            <w:tcMar>
              <w:top w:w="40" w:type="dxa"/>
              <w:bottom w:w="40" w:type="dxa"/>
              <w:right w:w="20" w:type="dxa"/>
            </w:tcMar>
            <w:vAlign w:val="bottom"/>
          </w:tcPr>
          <w:p w14:paraId="36CA4CB1" w14:textId="77777777" w:rsidR="00787570" w:rsidRDefault="000D56E2">
            <w:pPr>
              <w:jc w:val="right"/>
              <w:textAlignment w:val="bottom"/>
            </w:pPr>
            <w:r>
              <w:rPr>
                <w:rFonts w:ascii="Arial" w:eastAsia="宋体" w:hAnsi="Arial" w:cs="Arial"/>
                <w:b/>
                <w:bCs/>
                <w:color w:val="333333"/>
                <w:sz w:val="18"/>
                <w:szCs w:val="18"/>
              </w:rPr>
              <w:t>%</w:t>
            </w:r>
          </w:p>
        </w:tc>
        <w:tc>
          <w:tcPr>
            <w:tcW w:w="0" w:type="auto"/>
            <w:gridSpan w:val="3"/>
            <w:shd w:val="clear" w:color="auto" w:fill="auto"/>
            <w:tcMar>
              <w:left w:w="20" w:type="dxa"/>
              <w:right w:w="20" w:type="dxa"/>
            </w:tcMar>
            <w:vAlign w:val="bottom"/>
          </w:tcPr>
          <w:p w14:paraId="36CA4CB2" w14:textId="77777777" w:rsidR="00787570" w:rsidRDefault="00787570">
            <w:pPr>
              <w:rPr>
                <w:rFonts w:ascii="宋体"/>
              </w:rPr>
            </w:pPr>
          </w:p>
        </w:tc>
        <w:tc>
          <w:tcPr>
            <w:tcW w:w="0" w:type="auto"/>
            <w:tcBorders>
              <w:top w:val="single" w:sz="8" w:space="0" w:color="0071C5"/>
            </w:tcBorders>
            <w:shd w:val="clear" w:color="auto" w:fill="auto"/>
            <w:tcMar>
              <w:top w:w="40" w:type="dxa"/>
              <w:left w:w="20" w:type="dxa"/>
              <w:bottom w:w="40" w:type="dxa"/>
            </w:tcMar>
            <w:vAlign w:val="bottom"/>
          </w:tcPr>
          <w:p w14:paraId="36CA4CB3" w14:textId="77777777" w:rsidR="00787570" w:rsidRDefault="000D56E2">
            <w:pPr>
              <w:textAlignment w:val="bottom"/>
            </w:pPr>
            <w:r>
              <w:rPr>
                <w:rFonts w:ascii="Arial" w:eastAsia="宋体" w:hAnsi="Arial" w:cs="Arial"/>
                <w:b/>
                <w:bCs/>
                <w:color w:val="0071C5"/>
                <w:sz w:val="18"/>
                <w:szCs w:val="18"/>
              </w:rPr>
              <w:t>$</w:t>
            </w:r>
          </w:p>
        </w:tc>
        <w:tc>
          <w:tcPr>
            <w:tcW w:w="0" w:type="auto"/>
            <w:tcBorders>
              <w:top w:val="single" w:sz="8" w:space="0" w:color="0071C5"/>
            </w:tcBorders>
            <w:shd w:val="clear" w:color="auto" w:fill="auto"/>
            <w:tcMar>
              <w:top w:w="40" w:type="dxa"/>
              <w:bottom w:w="40" w:type="dxa"/>
              <w:right w:w="0" w:type="dxa"/>
            </w:tcMar>
            <w:vAlign w:val="bottom"/>
          </w:tcPr>
          <w:p w14:paraId="36CA4CB4" w14:textId="77777777" w:rsidR="00787570" w:rsidRDefault="000D56E2">
            <w:pPr>
              <w:jc w:val="right"/>
              <w:textAlignment w:val="bottom"/>
            </w:pPr>
            <w:r>
              <w:rPr>
                <w:rFonts w:ascii="Arial" w:eastAsia="宋体" w:hAnsi="Arial" w:cs="Arial"/>
                <w:b/>
                <w:bCs/>
                <w:color w:val="0071C5"/>
                <w:sz w:val="18"/>
                <w:szCs w:val="18"/>
              </w:rPr>
              <w:t>57,889</w:t>
            </w:r>
            <w:r>
              <w:rPr>
                <w:rFonts w:ascii="Arial" w:eastAsia="宋体" w:hAnsi="Arial" w:cs="Arial"/>
                <w:color w:val="0071C5"/>
                <w:sz w:val="18"/>
                <w:szCs w:val="18"/>
              </w:rPr>
              <w:t> </w:t>
            </w:r>
          </w:p>
        </w:tc>
        <w:tc>
          <w:tcPr>
            <w:tcW w:w="0" w:type="auto"/>
            <w:tcBorders>
              <w:top w:val="single" w:sz="8" w:space="0" w:color="0071C5"/>
            </w:tcBorders>
            <w:shd w:val="clear" w:color="auto" w:fill="auto"/>
            <w:tcMar>
              <w:top w:w="40" w:type="dxa"/>
              <w:bottom w:w="40" w:type="dxa"/>
              <w:right w:w="20" w:type="dxa"/>
            </w:tcMar>
            <w:vAlign w:val="bottom"/>
          </w:tcPr>
          <w:p w14:paraId="36CA4CB5"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4CB6" w14:textId="77777777" w:rsidR="00787570" w:rsidRDefault="00787570">
            <w:pPr>
              <w:rPr>
                <w:rFonts w:ascii="宋体"/>
              </w:rPr>
            </w:pPr>
          </w:p>
        </w:tc>
        <w:tc>
          <w:tcPr>
            <w:tcW w:w="0" w:type="auto"/>
            <w:gridSpan w:val="2"/>
            <w:tcBorders>
              <w:top w:val="single" w:sz="8" w:space="0" w:color="0071C5"/>
            </w:tcBorders>
            <w:shd w:val="clear" w:color="auto" w:fill="auto"/>
            <w:tcMar>
              <w:top w:w="40" w:type="dxa"/>
              <w:left w:w="20" w:type="dxa"/>
              <w:bottom w:w="40" w:type="dxa"/>
              <w:right w:w="0" w:type="dxa"/>
            </w:tcMar>
            <w:vAlign w:val="bottom"/>
          </w:tcPr>
          <w:p w14:paraId="36CA4CB7" w14:textId="77777777" w:rsidR="00787570" w:rsidRDefault="000D56E2">
            <w:pPr>
              <w:jc w:val="right"/>
              <w:textAlignment w:val="bottom"/>
            </w:pPr>
            <w:r>
              <w:rPr>
                <w:rFonts w:ascii="Arial" w:eastAsia="宋体" w:hAnsi="Arial" w:cs="Arial"/>
                <w:b/>
                <w:bCs/>
                <w:color w:val="0071C5"/>
                <w:sz w:val="18"/>
                <w:szCs w:val="18"/>
              </w:rPr>
              <w:t>100.0</w:t>
            </w:r>
            <w:r>
              <w:rPr>
                <w:rFonts w:ascii="Arial" w:eastAsia="宋体" w:hAnsi="Arial" w:cs="Arial"/>
                <w:color w:val="0071C5"/>
                <w:sz w:val="18"/>
                <w:szCs w:val="18"/>
              </w:rPr>
              <w:t> </w:t>
            </w:r>
          </w:p>
        </w:tc>
        <w:tc>
          <w:tcPr>
            <w:tcW w:w="0" w:type="auto"/>
            <w:tcBorders>
              <w:top w:val="single" w:sz="8" w:space="0" w:color="0071C5"/>
            </w:tcBorders>
            <w:shd w:val="clear" w:color="auto" w:fill="auto"/>
            <w:tcMar>
              <w:top w:w="40" w:type="dxa"/>
              <w:bottom w:w="40" w:type="dxa"/>
              <w:right w:w="20" w:type="dxa"/>
            </w:tcMar>
            <w:vAlign w:val="bottom"/>
          </w:tcPr>
          <w:p w14:paraId="36CA4CB8" w14:textId="77777777" w:rsidR="00787570" w:rsidRDefault="000D56E2">
            <w:pPr>
              <w:jc w:val="right"/>
              <w:textAlignment w:val="bottom"/>
            </w:pPr>
            <w:r>
              <w:rPr>
                <w:rFonts w:ascii="Arial" w:eastAsia="宋体" w:hAnsi="Arial" w:cs="Arial"/>
                <w:b/>
                <w:bCs/>
                <w:color w:val="0071C5"/>
                <w:sz w:val="18"/>
                <w:szCs w:val="18"/>
              </w:rPr>
              <w:t>%</w:t>
            </w:r>
          </w:p>
        </w:tc>
        <w:tc>
          <w:tcPr>
            <w:tcW w:w="0" w:type="auto"/>
            <w:gridSpan w:val="3"/>
            <w:shd w:val="clear" w:color="auto" w:fill="auto"/>
            <w:tcMar>
              <w:left w:w="20" w:type="dxa"/>
              <w:right w:w="20" w:type="dxa"/>
            </w:tcMar>
            <w:vAlign w:val="bottom"/>
          </w:tcPr>
          <w:p w14:paraId="36CA4CB9" w14:textId="77777777" w:rsidR="00787570" w:rsidRDefault="00787570">
            <w:pPr>
              <w:rPr>
                <w:rFonts w:ascii="宋体"/>
              </w:rPr>
            </w:pPr>
          </w:p>
        </w:tc>
        <w:tc>
          <w:tcPr>
            <w:tcW w:w="0" w:type="auto"/>
            <w:tcBorders>
              <w:top w:val="single" w:sz="8" w:space="0" w:color="0071C5"/>
            </w:tcBorders>
            <w:shd w:val="clear" w:color="auto" w:fill="auto"/>
            <w:tcMar>
              <w:top w:w="40" w:type="dxa"/>
              <w:left w:w="20" w:type="dxa"/>
              <w:bottom w:w="40" w:type="dxa"/>
            </w:tcMar>
            <w:vAlign w:val="bottom"/>
          </w:tcPr>
          <w:p w14:paraId="36CA4CBA" w14:textId="77777777" w:rsidR="00787570" w:rsidRDefault="000D56E2">
            <w:pPr>
              <w:textAlignment w:val="bottom"/>
            </w:pPr>
            <w:r>
              <w:rPr>
                <w:rFonts w:ascii="Arial" w:eastAsia="宋体" w:hAnsi="Arial" w:cs="Arial"/>
                <w:b/>
                <w:bCs/>
                <w:color w:val="333333"/>
                <w:sz w:val="18"/>
                <w:szCs w:val="18"/>
              </w:rPr>
              <w:t>$</w:t>
            </w:r>
          </w:p>
        </w:tc>
        <w:tc>
          <w:tcPr>
            <w:tcW w:w="0" w:type="auto"/>
            <w:tcBorders>
              <w:top w:val="single" w:sz="8" w:space="0" w:color="0071C5"/>
            </w:tcBorders>
            <w:shd w:val="clear" w:color="auto" w:fill="auto"/>
            <w:tcMar>
              <w:top w:w="40" w:type="dxa"/>
              <w:bottom w:w="40" w:type="dxa"/>
              <w:right w:w="0" w:type="dxa"/>
            </w:tcMar>
            <w:vAlign w:val="bottom"/>
          </w:tcPr>
          <w:p w14:paraId="36CA4CBB" w14:textId="77777777" w:rsidR="00787570" w:rsidRDefault="000D56E2">
            <w:pPr>
              <w:jc w:val="right"/>
              <w:textAlignment w:val="bottom"/>
            </w:pPr>
            <w:r>
              <w:rPr>
                <w:rFonts w:ascii="Arial" w:eastAsia="宋体" w:hAnsi="Arial" w:cs="Arial"/>
                <w:b/>
                <w:bCs/>
                <w:color w:val="333333"/>
                <w:sz w:val="18"/>
                <w:szCs w:val="18"/>
              </w:rPr>
              <w:t>51,756</w:t>
            </w:r>
            <w:r>
              <w:rPr>
                <w:rFonts w:ascii="Arial" w:eastAsia="宋体" w:hAnsi="Arial" w:cs="Arial"/>
                <w:color w:val="333333"/>
                <w:sz w:val="18"/>
                <w:szCs w:val="18"/>
              </w:rPr>
              <w:t> </w:t>
            </w:r>
          </w:p>
        </w:tc>
        <w:tc>
          <w:tcPr>
            <w:tcW w:w="0" w:type="auto"/>
            <w:tcBorders>
              <w:top w:val="single" w:sz="8" w:space="0" w:color="0071C5"/>
            </w:tcBorders>
            <w:shd w:val="clear" w:color="auto" w:fill="auto"/>
            <w:tcMar>
              <w:top w:w="40" w:type="dxa"/>
              <w:bottom w:w="40" w:type="dxa"/>
              <w:right w:w="20" w:type="dxa"/>
            </w:tcMar>
            <w:vAlign w:val="bottom"/>
          </w:tcPr>
          <w:p w14:paraId="36CA4CBC"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4CBD" w14:textId="77777777" w:rsidR="00787570" w:rsidRDefault="00787570">
            <w:pPr>
              <w:rPr>
                <w:rFonts w:ascii="宋体"/>
              </w:rPr>
            </w:pPr>
          </w:p>
        </w:tc>
        <w:tc>
          <w:tcPr>
            <w:tcW w:w="0" w:type="auto"/>
            <w:gridSpan w:val="2"/>
            <w:tcBorders>
              <w:top w:val="single" w:sz="8" w:space="0" w:color="0071C5"/>
            </w:tcBorders>
            <w:shd w:val="clear" w:color="auto" w:fill="auto"/>
            <w:tcMar>
              <w:top w:w="40" w:type="dxa"/>
              <w:left w:w="20" w:type="dxa"/>
              <w:bottom w:w="40" w:type="dxa"/>
              <w:right w:w="0" w:type="dxa"/>
            </w:tcMar>
            <w:vAlign w:val="bottom"/>
          </w:tcPr>
          <w:p w14:paraId="36CA4CBE" w14:textId="77777777" w:rsidR="00787570" w:rsidRDefault="000D56E2">
            <w:pPr>
              <w:jc w:val="right"/>
              <w:textAlignment w:val="bottom"/>
            </w:pPr>
            <w:r>
              <w:rPr>
                <w:rFonts w:ascii="Arial" w:eastAsia="宋体" w:hAnsi="Arial" w:cs="Arial"/>
                <w:b/>
                <w:bCs/>
                <w:color w:val="333333"/>
                <w:sz w:val="18"/>
                <w:szCs w:val="18"/>
              </w:rPr>
              <w:t>100.0</w:t>
            </w:r>
            <w:r>
              <w:rPr>
                <w:rFonts w:ascii="Arial" w:eastAsia="宋体" w:hAnsi="Arial" w:cs="Arial"/>
                <w:color w:val="333333"/>
                <w:sz w:val="18"/>
                <w:szCs w:val="18"/>
              </w:rPr>
              <w:t> </w:t>
            </w:r>
          </w:p>
        </w:tc>
        <w:tc>
          <w:tcPr>
            <w:tcW w:w="0" w:type="auto"/>
            <w:tcBorders>
              <w:top w:val="single" w:sz="8" w:space="0" w:color="0071C5"/>
            </w:tcBorders>
            <w:shd w:val="clear" w:color="auto" w:fill="auto"/>
            <w:tcMar>
              <w:top w:w="40" w:type="dxa"/>
              <w:bottom w:w="40" w:type="dxa"/>
              <w:right w:w="20" w:type="dxa"/>
            </w:tcMar>
            <w:vAlign w:val="bottom"/>
          </w:tcPr>
          <w:p w14:paraId="36CA4CBF" w14:textId="77777777" w:rsidR="00787570" w:rsidRDefault="000D56E2">
            <w:pPr>
              <w:jc w:val="right"/>
              <w:textAlignment w:val="bottom"/>
            </w:pPr>
            <w:r>
              <w:rPr>
                <w:rFonts w:ascii="Arial" w:eastAsia="宋体" w:hAnsi="Arial" w:cs="Arial"/>
                <w:b/>
                <w:bCs/>
                <w:color w:val="333333"/>
                <w:sz w:val="18"/>
                <w:szCs w:val="18"/>
              </w:rPr>
              <w:t>%</w:t>
            </w:r>
          </w:p>
        </w:tc>
        <w:tc>
          <w:tcPr>
            <w:tcW w:w="0" w:type="auto"/>
            <w:shd w:val="clear" w:color="auto" w:fill="auto"/>
          </w:tcPr>
          <w:p w14:paraId="36CA4CC0" w14:textId="77777777" w:rsidR="00787570" w:rsidRDefault="00787570">
            <w:pPr>
              <w:rPr>
                <w:rFonts w:ascii="宋体"/>
              </w:rPr>
            </w:pPr>
          </w:p>
        </w:tc>
        <w:tc>
          <w:tcPr>
            <w:tcW w:w="0" w:type="auto"/>
            <w:shd w:val="clear" w:color="auto" w:fill="auto"/>
          </w:tcPr>
          <w:p w14:paraId="36CA4CC1" w14:textId="77777777" w:rsidR="00787570" w:rsidRDefault="00787570">
            <w:pPr>
              <w:rPr>
                <w:rFonts w:ascii="宋体"/>
              </w:rPr>
            </w:pPr>
          </w:p>
        </w:tc>
        <w:tc>
          <w:tcPr>
            <w:tcW w:w="0" w:type="auto"/>
            <w:shd w:val="clear" w:color="auto" w:fill="auto"/>
          </w:tcPr>
          <w:p w14:paraId="36CA4CC2" w14:textId="77777777" w:rsidR="00787570" w:rsidRDefault="00787570">
            <w:pPr>
              <w:rPr>
                <w:rFonts w:ascii="宋体"/>
              </w:rPr>
            </w:pPr>
          </w:p>
        </w:tc>
        <w:tc>
          <w:tcPr>
            <w:tcW w:w="0" w:type="auto"/>
            <w:shd w:val="clear" w:color="auto" w:fill="auto"/>
          </w:tcPr>
          <w:p w14:paraId="36CA4CC3" w14:textId="77777777" w:rsidR="00787570" w:rsidRDefault="00787570">
            <w:pPr>
              <w:rPr>
                <w:rFonts w:ascii="宋体"/>
              </w:rPr>
            </w:pPr>
          </w:p>
        </w:tc>
        <w:tc>
          <w:tcPr>
            <w:tcW w:w="0" w:type="auto"/>
            <w:shd w:val="clear" w:color="auto" w:fill="auto"/>
          </w:tcPr>
          <w:p w14:paraId="36CA4CC4" w14:textId="77777777" w:rsidR="00787570" w:rsidRDefault="00787570">
            <w:pPr>
              <w:rPr>
                <w:rFonts w:ascii="宋体"/>
              </w:rPr>
            </w:pPr>
          </w:p>
        </w:tc>
        <w:tc>
          <w:tcPr>
            <w:tcW w:w="0" w:type="auto"/>
            <w:shd w:val="clear" w:color="auto" w:fill="auto"/>
          </w:tcPr>
          <w:p w14:paraId="36CA4CC5" w14:textId="77777777" w:rsidR="00787570" w:rsidRDefault="00787570">
            <w:pPr>
              <w:rPr>
                <w:rFonts w:ascii="宋体"/>
              </w:rPr>
            </w:pPr>
          </w:p>
        </w:tc>
        <w:tc>
          <w:tcPr>
            <w:tcW w:w="0" w:type="auto"/>
            <w:shd w:val="clear" w:color="auto" w:fill="auto"/>
          </w:tcPr>
          <w:p w14:paraId="36CA4CC6" w14:textId="77777777" w:rsidR="00787570" w:rsidRDefault="00787570">
            <w:pPr>
              <w:rPr>
                <w:rFonts w:ascii="宋体"/>
              </w:rPr>
            </w:pPr>
          </w:p>
        </w:tc>
        <w:tc>
          <w:tcPr>
            <w:tcW w:w="0" w:type="auto"/>
            <w:shd w:val="clear" w:color="auto" w:fill="auto"/>
          </w:tcPr>
          <w:p w14:paraId="36CA4CC7" w14:textId="77777777" w:rsidR="00787570" w:rsidRDefault="00787570">
            <w:pPr>
              <w:rPr>
                <w:rFonts w:ascii="宋体"/>
              </w:rPr>
            </w:pPr>
          </w:p>
        </w:tc>
        <w:tc>
          <w:tcPr>
            <w:tcW w:w="0" w:type="auto"/>
            <w:shd w:val="clear" w:color="auto" w:fill="auto"/>
          </w:tcPr>
          <w:p w14:paraId="36CA4CC8" w14:textId="77777777" w:rsidR="00787570" w:rsidRDefault="00787570">
            <w:pPr>
              <w:rPr>
                <w:rFonts w:ascii="宋体"/>
              </w:rPr>
            </w:pPr>
          </w:p>
        </w:tc>
        <w:tc>
          <w:tcPr>
            <w:tcW w:w="0" w:type="auto"/>
            <w:shd w:val="clear" w:color="auto" w:fill="auto"/>
          </w:tcPr>
          <w:p w14:paraId="36CA4CC9" w14:textId="77777777" w:rsidR="00787570" w:rsidRDefault="00787570">
            <w:pPr>
              <w:rPr>
                <w:rFonts w:ascii="宋体"/>
              </w:rPr>
            </w:pPr>
          </w:p>
        </w:tc>
        <w:tc>
          <w:tcPr>
            <w:tcW w:w="0" w:type="auto"/>
            <w:shd w:val="clear" w:color="auto" w:fill="auto"/>
          </w:tcPr>
          <w:p w14:paraId="36CA4CCA" w14:textId="77777777" w:rsidR="00787570" w:rsidRDefault="00787570">
            <w:pPr>
              <w:rPr>
                <w:rFonts w:ascii="宋体"/>
              </w:rPr>
            </w:pPr>
          </w:p>
        </w:tc>
        <w:tc>
          <w:tcPr>
            <w:tcW w:w="0" w:type="auto"/>
            <w:shd w:val="clear" w:color="auto" w:fill="auto"/>
          </w:tcPr>
          <w:p w14:paraId="36CA4CCB" w14:textId="77777777" w:rsidR="00787570" w:rsidRDefault="00787570">
            <w:pPr>
              <w:rPr>
                <w:rFonts w:ascii="宋体"/>
              </w:rPr>
            </w:pPr>
          </w:p>
        </w:tc>
      </w:tr>
      <w:tr w:rsidR="00787570" w14:paraId="36CA4CF2" w14:textId="77777777">
        <w:tc>
          <w:tcPr>
            <w:tcW w:w="0" w:type="auto"/>
            <w:gridSpan w:val="3"/>
            <w:shd w:val="clear" w:color="auto" w:fill="auto"/>
            <w:tcMar>
              <w:top w:w="40" w:type="dxa"/>
              <w:left w:w="20" w:type="dxa"/>
              <w:bottom w:w="40" w:type="dxa"/>
              <w:right w:w="20" w:type="dxa"/>
            </w:tcMar>
          </w:tcPr>
          <w:p w14:paraId="36CA4CCD" w14:textId="77777777" w:rsidR="00787570" w:rsidRDefault="000D56E2">
            <w:pPr>
              <w:ind w:hanging="180"/>
              <w:textAlignment w:val="top"/>
            </w:pPr>
            <w:r>
              <w:rPr>
                <w:rFonts w:ascii="Arial" w:eastAsia="宋体" w:hAnsi="Arial" w:cs="Arial"/>
                <w:color w:val="333333"/>
                <w:sz w:val="18"/>
                <w:szCs w:val="18"/>
              </w:rPr>
              <w:t>Cost of sales</w:t>
            </w:r>
          </w:p>
        </w:tc>
        <w:tc>
          <w:tcPr>
            <w:tcW w:w="0" w:type="auto"/>
            <w:gridSpan w:val="3"/>
            <w:shd w:val="clear" w:color="auto" w:fill="auto"/>
            <w:tcMar>
              <w:left w:w="20" w:type="dxa"/>
              <w:right w:w="20" w:type="dxa"/>
            </w:tcMar>
            <w:vAlign w:val="bottom"/>
          </w:tcPr>
          <w:p w14:paraId="36CA4CCE"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4CCF" w14:textId="77777777" w:rsidR="00787570" w:rsidRDefault="000D56E2">
            <w:pPr>
              <w:jc w:val="right"/>
              <w:textAlignment w:val="bottom"/>
            </w:pPr>
            <w:r>
              <w:rPr>
                <w:rFonts w:ascii="Arial" w:eastAsia="宋体" w:hAnsi="Arial" w:cs="Arial"/>
                <w:color w:val="0071C5"/>
                <w:sz w:val="18"/>
                <w:szCs w:val="18"/>
              </w:rPr>
              <w:t>8,592 </w:t>
            </w:r>
          </w:p>
        </w:tc>
        <w:tc>
          <w:tcPr>
            <w:tcW w:w="0" w:type="auto"/>
            <w:shd w:val="clear" w:color="auto" w:fill="auto"/>
            <w:tcMar>
              <w:top w:w="40" w:type="dxa"/>
              <w:bottom w:w="40" w:type="dxa"/>
              <w:right w:w="20" w:type="dxa"/>
            </w:tcMar>
            <w:vAlign w:val="bottom"/>
          </w:tcPr>
          <w:p w14:paraId="36CA4CD0"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4CD1"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4CD2" w14:textId="77777777" w:rsidR="00787570" w:rsidRDefault="000D56E2">
            <w:pPr>
              <w:jc w:val="right"/>
              <w:textAlignment w:val="bottom"/>
            </w:pPr>
            <w:r>
              <w:rPr>
                <w:rFonts w:ascii="Arial" w:eastAsia="宋体" w:hAnsi="Arial" w:cs="Arial"/>
                <w:color w:val="0071C5"/>
                <w:sz w:val="18"/>
                <w:szCs w:val="18"/>
              </w:rPr>
              <w:t>46.9 </w:t>
            </w:r>
          </w:p>
        </w:tc>
        <w:tc>
          <w:tcPr>
            <w:tcW w:w="0" w:type="auto"/>
            <w:shd w:val="clear" w:color="auto" w:fill="auto"/>
            <w:tcMar>
              <w:top w:w="40" w:type="dxa"/>
              <w:bottom w:w="40" w:type="dxa"/>
              <w:right w:w="20" w:type="dxa"/>
            </w:tcMar>
            <w:vAlign w:val="bottom"/>
          </w:tcPr>
          <w:p w14:paraId="36CA4CD3" w14:textId="77777777" w:rsidR="00787570" w:rsidRDefault="000D56E2">
            <w:pPr>
              <w:jc w:val="right"/>
              <w:textAlignment w:val="bottom"/>
            </w:pPr>
            <w:r>
              <w:rPr>
                <w:rFonts w:ascii="Arial" w:eastAsia="宋体" w:hAnsi="Arial" w:cs="Arial"/>
                <w:color w:val="0071C5"/>
                <w:sz w:val="18"/>
                <w:szCs w:val="18"/>
              </w:rPr>
              <w:t>%</w:t>
            </w:r>
          </w:p>
        </w:tc>
        <w:tc>
          <w:tcPr>
            <w:tcW w:w="0" w:type="auto"/>
            <w:gridSpan w:val="3"/>
            <w:shd w:val="clear" w:color="auto" w:fill="auto"/>
            <w:tcMar>
              <w:left w:w="20" w:type="dxa"/>
              <w:right w:w="20" w:type="dxa"/>
            </w:tcMar>
            <w:vAlign w:val="bottom"/>
          </w:tcPr>
          <w:p w14:paraId="36CA4CD4"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4CD5" w14:textId="77777777" w:rsidR="00787570" w:rsidRDefault="000D56E2">
            <w:pPr>
              <w:jc w:val="right"/>
              <w:textAlignment w:val="bottom"/>
            </w:pPr>
            <w:r>
              <w:rPr>
                <w:rFonts w:ascii="Arial" w:eastAsia="宋体" w:hAnsi="Arial" w:cs="Arial"/>
                <w:color w:val="333333"/>
                <w:sz w:val="18"/>
                <w:szCs w:val="18"/>
              </w:rPr>
              <w:t>7,895 </w:t>
            </w:r>
          </w:p>
        </w:tc>
        <w:tc>
          <w:tcPr>
            <w:tcW w:w="0" w:type="auto"/>
            <w:shd w:val="clear" w:color="auto" w:fill="auto"/>
            <w:tcMar>
              <w:top w:w="40" w:type="dxa"/>
              <w:bottom w:w="40" w:type="dxa"/>
              <w:right w:w="20" w:type="dxa"/>
            </w:tcMar>
            <w:vAlign w:val="bottom"/>
          </w:tcPr>
          <w:p w14:paraId="36CA4CD6"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4CD7"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4CD8" w14:textId="77777777" w:rsidR="00787570" w:rsidRDefault="000D56E2">
            <w:pPr>
              <w:jc w:val="right"/>
              <w:textAlignment w:val="bottom"/>
            </w:pPr>
            <w:r>
              <w:rPr>
                <w:rFonts w:ascii="Arial" w:eastAsia="宋体" w:hAnsi="Arial" w:cs="Arial"/>
                <w:color w:val="333333"/>
                <w:sz w:val="18"/>
                <w:szCs w:val="18"/>
              </w:rPr>
              <w:t>41.1 </w:t>
            </w:r>
          </w:p>
        </w:tc>
        <w:tc>
          <w:tcPr>
            <w:tcW w:w="0" w:type="auto"/>
            <w:shd w:val="clear" w:color="auto" w:fill="auto"/>
            <w:tcMar>
              <w:top w:w="40" w:type="dxa"/>
              <w:bottom w:w="40" w:type="dxa"/>
              <w:right w:w="20" w:type="dxa"/>
            </w:tcMar>
            <w:vAlign w:val="bottom"/>
          </w:tcPr>
          <w:p w14:paraId="36CA4CD9" w14:textId="77777777" w:rsidR="00787570" w:rsidRDefault="000D56E2">
            <w:pPr>
              <w:jc w:val="right"/>
              <w:textAlignment w:val="bottom"/>
            </w:pPr>
            <w:r>
              <w:rPr>
                <w:rFonts w:ascii="Arial" w:eastAsia="宋体" w:hAnsi="Arial" w:cs="Arial"/>
                <w:color w:val="333333"/>
                <w:sz w:val="18"/>
                <w:szCs w:val="18"/>
              </w:rPr>
              <w:t>%</w:t>
            </w:r>
          </w:p>
        </w:tc>
        <w:tc>
          <w:tcPr>
            <w:tcW w:w="0" w:type="auto"/>
            <w:gridSpan w:val="3"/>
            <w:shd w:val="clear" w:color="auto" w:fill="auto"/>
            <w:tcMar>
              <w:left w:w="20" w:type="dxa"/>
              <w:right w:w="20" w:type="dxa"/>
            </w:tcMar>
            <w:vAlign w:val="bottom"/>
          </w:tcPr>
          <w:p w14:paraId="36CA4CDA"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4CDB" w14:textId="77777777" w:rsidR="00787570" w:rsidRDefault="000D56E2">
            <w:pPr>
              <w:jc w:val="right"/>
              <w:textAlignment w:val="bottom"/>
            </w:pPr>
            <w:r>
              <w:rPr>
                <w:rFonts w:ascii="Arial" w:eastAsia="宋体" w:hAnsi="Arial" w:cs="Arial"/>
                <w:color w:val="0071C5"/>
                <w:sz w:val="18"/>
                <w:szCs w:val="18"/>
              </w:rPr>
              <w:t>25,625 </w:t>
            </w:r>
          </w:p>
        </w:tc>
        <w:tc>
          <w:tcPr>
            <w:tcW w:w="0" w:type="auto"/>
            <w:shd w:val="clear" w:color="auto" w:fill="auto"/>
            <w:tcMar>
              <w:top w:w="40" w:type="dxa"/>
              <w:bottom w:w="40" w:type="dxa"/>
              <w:right w:w="20" w:type="dxa"/>
            </w:tcMar>
            <w:vAlign w:val="bottom"/>
          </w:tcPr>
          <w:p w14:paraId="36CA4CDC"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4CDD"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4CDE" w14:textId="77777777" w:rsidR="00787570" w:rsidRDefault="000D56E2">
            <w:pPr>
              <w:jc w:val="right"/>
              <w:textAlignment w:val="bottom"/>
            </w:pPr>
            <w:r>
              <w:rPr>
                <w:rFonts w:ascii="Arial" w:eastAsia="宋体" w:hAnsi="Arial" w:cs="Arial"/>
                <w:color w:val="0071C5"/>
                <w:sz w:val="18"/>
                <w:szCs w:val="18"/>
              </w:rPr>
              <w:t>44.3 </w:t>
            </w:r>
          </w:p>
        </w:tc>
        <w:tc>
          <w:tcPr>
            <w:tcW w:w="0" w:type="auto"/>
            <w:shd w:val="clear" w:color="auto" w:fill="auto"/>
            <w:tcMar>
              <w:top w:w="40" w:type="dxa"/>
              <w:bottom w:w="40" w:type="dxa"/>
              <w:right w:w="20" w:type="dxa"/>
            </w:tcMar>
            <w:vAlign w:val="bottom"/>
          </w:tcPr>
          <w:p w14:paraId="36CA4CDF" w14:textId="77777777" w:rsidR="00787570" w:rsidRDefault="000D56E2">
            <w:pPr>
              <w:jc w:val="right"/>
              <w:textAlignment w:val="bottom"/>
            </w:pPr>
            <w:r>
              <w:rPr>
                <w:rFonts w:ascii="Arial" w:eastAsia="宋体" w:hAnsi="Arial" w:cs="Arial"/>
                <w:color w:val="0071C5"/>
                <w:sz w:val="18"/>
                <w:szCs w:val="18"/>
              </w:rPr>
              <w:t>%</w:t>
            </w:r>
          </w:p>
        </w:tc>
        <w:tc>
          <w:tcPr>
            <w:tcW w:w="0" w:type="auto"/>
            <w:gridSpan w:val="3"/>
            <w:shd w:val="clear" w:color="auto" w:fill="auto"/>
            <w:tcMar>
              <w:left w:w="20" w:type="dxa"/>
              <w:right w:w="20" w:type="dxa"/>
            </w:tcMar>
            <w:vAlign w:val="bottom"/>
          </w:tcPr>
          <w:p w14:paraId="36CA4CE0"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4CE1" w14:textId="77777777" w:rsidR="00787570" w:rsidRDefault="000D56E2">
            <w:pPr>
              <w:jc w:val="right"/>
              <w:textAlignment w:val="bottom"/>
            </w:pPr>
            <w:r>
              <w:rPr>
                <w:rFonts w:ascii="Arial" w:eastAsia="宋体" w:hAnsi="Arial" w:cs="Arial"/>
                <w:color w:val="333333"/>
                <w:sz w:val="18"/>
                <w:szCs w:val="18"/>
              </w:rPr>
              <w:t>21,494 </w:t>
            </w:r>
          </w:p>
        </w:tc>
        <w:tc>
          <w:tcPr>
            <w:tcW w:w="0" w:type="auto"/>
            <w:shd w:val="clear" w:color="auto" w:fill="auto"/>
            <w:tcMar>
              <w:top w:w="40" w:type="dxa"/>
              <w:bottom w:w="40" w:type="dxa"/>
              <w:right w:w="20" w:type="dxa"/>
            </w:tcMar>
            <w:vAlign w:val="bottom"/>
          </w:tcPr>
          <w:p w14:paraId="36CA4CE2"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4CE3"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4CE4" w14:textId="77777777" w:rsidR="00787570" w:rsidRDefault="000D56E2">
            <w:pPr>
              <w:jc w:val="right"/>
              <w:textAlignment w:val="bottom"/>
            </w:pPr>
            <w:r>
              <w:rPr>
                <w:rFonts w:ascii="Arial" w:eastAsia="宋体" w:hAnsi="Arial" w:cs="Arial"/>
                <w:color w:val="333333"/>
                <w:sz w:val="18"/>
                <w:szCs w:val="18"/>
              </w:rPr>
              <w:t>41.5 </w:t>
            </w:r>
          </w:p>
        </w:tc>
        <w:tc>
          <w:tcPr>
            <w:tcW w:w="0" w:type="auto"/>
            <w:shd w:val="clear" w:color="auto" w:fill="auto"/>
            <w:tcMar>
              <w:top w:w="40" w:type="dxa"/>
              <w:bottom w:w="40" w:type="dxa"/>
              <w:right w:w="20" w:type="dxa"/>
            </w:tcMar>
            <w:vAlign w:val="bottom"/>
          </w:tcPr>
          <w:p w14:paraId="36CA4CE5" w14:textId="77777777" w:rsidR="00787570" w:rsidRDefault="000D56E2">
            <w:pPr>
              <w:jc w:val="right"/>
              <w:textAlignment w:val="bottom"/>
            </w:pPr>
            <w:r>
              <w:rPr>
                <w:rFonts w:ascii="Arial" w:eastAsia="宋体" w:hAnsi="Arial" w:cs="Arial"/>
                <w:color w:val="333333"/>
                <w:sz w:val="18"/>
                <w:szCs w:val="18"/>
              </w:rPr>
              <w:t>%</w:t>
            </w:r>
          </w:p>
        </w:tc>
        <w:tc>
          <w:tcPr>
            <w:tcW w:w="0" w:type="auto"/>
            <w:shd w:val="clear" w:color="auto" w:fill="auto"/>
          </w:tcPr>
          <w:p w14:paraId="36CA4CE6" w14:textId="77777777" w:rsidR="00787570" w:rsidRDefault="00787570">
            <w:pPr>
              <w:rPr>
                <w:rFonts w:ascii="宋体"/>
              </w:rPr>
            </w:pPr>
          </w:p>
        </w:tc>
        <w:tc>
          <w:tcPr>
            <w:tcW w:w="0" w:type="auto"/>
            <w:shd w:val="clear" w:color="auto" w:fill="auto"/>
          </w:tcPr>
          <w:p w14:paraId="36CA4CE7" w14:textId="77777777" w:rsidR="00787570" w:rsidRDefault="00787570">
            <w:pPr>
              <w:rPr>
                <w:rFonts w:ascii="宋体"/>
              </w:rPr>
            </w:pPr>
          </w:p>
        </w:tc>
        <w:tc>
          <w:tcPr>
            <w:tcW w:w="0" w:type="auto"/>
            <w:shd w:val="clear" w:color="auto" w:fill="auto"/>
          </w:tcPr>
          <w:p w14:paraId="36CA4CE8" w14:textId="77777777" w:rsidR="00787570" w:rsidRDefault="00787570">
            <w:pPr>
              <w:rPr>
                <w:rFonts w:ascii="宋体"/>
              </w:rPr>
            </w:pPr>
          </w:p>
        </w:tc>
        <w:tc>
          <w:tcPr>
            <w:tcW w:w="0" w:type="auto"/>
            <w:shd w:val="clear" w:color="auto" w:fill="auto"/>
          </w:tcPr>
          <w:p w14:paraId="36CA4CE9" w14:textId="77777777" w:rsidR="00787570" w:rsidRDefault="00787570">
            <w:pPr>
              <w:rPr>
                <w:rFonts w:ascii="宋体"/>
              </w:rPr>
            </w:pPr>
          </w:p>
        </w:tc>
        <w:tc>
          <w:tcPr>
            <w:tcW w:w="0" w:type="auto"/>
            <w:shd w:val="clear" w:color="auto" w:fill="auto"/>
          </w:tcPr>
          <w:p w14:paraId="36CA4CEA" w14:textId="77777777" w:rsidR="00787570" w:rsidRDefault="00787570">
            <w:pPr>
              <w:rPr>
                <w:rFonts w:ascii="宋体"/>
              </w:rPr>
            </w:pPr>
          </w:p>
        </w:tc>
        <w:tc>
          <w:tcPr>
            <w:tcW w:w="0" w:type="auto"/>
            <w:shd w:val="clear" w:color="auto" w:fill="auto"/>
          </w:tcPr>
          <w:p w14:paraId="36CA4CEB" w14:textId="77777777" w:rsidR="00787570" w:rsidRDefault="00787570">
            <w:pPr>
              <w:rPr>
                <w:rFonts w:ascii="宋体"/>
              </w:rPr>
            </w:pPr>
          </w:p>
        </w:tc>
        <w:tc>
          <w:tcPr>
            <w:tcW w:w="0" w:type="auto"/>
            <w:shd w:val="clear" w:color="auto" w:fill="auto"/>
          </w:tcPr>
          <w:p w14:paraId="36CA4CEC" w14:textId="77777777" w:rsidR="00787570" w:rsidRDefault="00787570">
            <w:pPr>
              <w:rPr>
                <w:rFonts w:ascii="宋体"/>
              </w:rPr>
            </w:pPr>
          </w:p>
        </w:tc>
        <w:tc>
          <w:tcPr>
            <w:tcW w:w="0" w:type="auto"/>
            <w:shd w:val="clear" w:color="auto" w:fill="auto"/>
          </w:tcPr>
          <w:p w14:paraId="36CA4CED" w14:textId="77777777" w:rsidR="00787570" w:rsidRDefault="00787570">
            <w:pPr>
              <w:rPr>
                <w:rFonts w:ascii="宋体"/>
              </w:rPr>
            </w:pPr>
          </w:p>
        </w:tc>
        <w:tc>
          <w:tcPr>
            <w:tcW w:w="0" w:type="auto"/>
            <w:shd w:val="clear" w:color="auto" w:fill="auto"/>
          </w:tcPr>
          <w:p w14:paraId="36CA4CEE" w14:textId="77777777" w:rsidR="00787570" w:rsidRDefault="00787570">
            <w:pPr>
              <w:rPr>
                <w:rFonts w:ascii="宋体"/>
              </w:rPr>
            </w:pPr>
          </w:p>
        </w:tc>
        <w:tc>
          <w:tcPr>
            <w:tcW w:w="0" w:type="auto"/>
            <w:shd w:val="clear" w:color="auto" w:fill="auto"/>
          </w:tcPr>
          <w:p w14:paraId="36CA4CEF" w14:textId="77777777" w:rsidR="00787570" w:rsidRDefault="00787570">
            <w:pPr>
              <w:rPr>
                <w:rFonts w:ascii="宋体"/>
              </w:rPr>
            </w:pPr>
          </w:p>
        </w:tc>
        <w:tc>
          <w:tcPr>
            <w:tcW w:w="0" w:type="auto"/>
            <w:shd w:val="clear" w:color="auto" w:fill="auto"/>
          </w:tcPr>
          <w:p w14:paraId="36CA4CF0" w14:textId="77777777" w:rsidR="00787570" w:rsidRDefault="00787570">
            <w:pPr>
              <w:rPr>
                <w:rFonts w:ascii="宋体"/>
              </w:rPr>
            </w:pPr>
          </w:p>
        </w:tc>
        <w:tc>
          <w:tcPr>
            <w:tcW w:w="0" w:type="auto"/>
            <w:shd w:val="clear" w:color="auto" w:fill="auto"/>
          </w:tcPr>
          <w:p w14:paraId="36CA4CF1" w14:textId="77777777" w:rsidR="00787570" w:rsidRDefault="00787570">
            <w:pPr>
              <w:rPr>
                <w:rFonts w:ascii="宋体"/>
              </w:rPr>
            </w:pPr>
          </w:p>
        </w:tc>
      </w:tr>
      <w:tr w:rsidR="00787570" w14:paraId="36CA4D18" w14:textId="77777777">
        <w:tc>
          <w:tcPr>
            <w:tcW w:w="0" w:type="auto"/>
            <w:gridSpan w:val="3"/>
            <w:shd w:val="clear" w:color="auto" w:fill="auto"/>
            <w:tcMar>
              <w:top w:w="40" w:type="dxa"/>
              <w:left w:w="20" w:type="dxa"/>
              <w:bottom w:w="40" w:type="dxa"/>
              <w:right w:w="20" w:type="dxa"/>
            </w:tcMar>
          </w:tcPr>
          <w:p w14:paraId="36CA4CF3" w14:textId="77777777" w:rsidR="00787570" w:rsidRDefault="000D56E2">
            <w:pPr>
              <w:ind w:hanging="180"/>
              <w:textAlignment w:val="top"/>
            </w:pPr>
            <w:r>
              <w:rPr>
                <w:rFonts w:ascii="Arial" w:eastAsia="宋体" w:hAnsi="Arial" w:cs="Arial"/>
                <w:b/>
                <w:bCs/>
                <w:color w:val="333333"/>
                <w:sz w:val="18"/>
                <w:szCs w:val="18"/>
              </w:rPr>
              <w:t>Gross margin</w:t>
            </w:r>
          </w:p>
        </w:tc>
        <w:tc>
          <w:tcPr>
            <w:tcW w:w="0" w:type="auto"/>
            <w:gridSpan w:val="3"/>
            <w:shd w:val="clear" w:color="auto" w:fill="auto"/>
            <w:tcMar>
              <w:left w:w="20" w:type="dxa"/>
              <w:right w:w="20" w:type="dxa"/>
            </w:tcMar>
            <w:vAlign w:val="bottom"/>
          </w:tcPr>
          <w:p w14:paraId="36CA4CF4" w14:textId="77777777" w:rsidR="00787570" w:rsidRDefault="00787570">
            <w:pPr>
              <w:rPr>
                <w:rFonts w:ascii="宋体"/>
              </w:rPr>
            </w:pPr>
          </w:p>
        </w:tc>
        <w:tc>
          <w:tcPr>
            <w:tcW w:w="0" w:type="auto"/>
            <w:gridSpan w:val="2"/>
            <w:tcBorders>
              <w:top w:val="single" w:sz="8" w:space="0" w:color="333333"/>
            </w:tcBorders>
            <w:shd w:val="clear" w:color="auto" w:fill="auto"/>
            <w:tcMar>
              <w:top w:w="40" w:type="dxa"/>
              <w:left w:w="20" w:type="dxa"/>
              <w:bottom w:w="40" w:type="dxa"/>
              <w:right w:w="0" w:type="dxa"/>
            </w:tcMar>
            <w:vAlign w:val="bottom"/>
          </w:tcPr>
          <w:p w14:paraId="36CA4CF5" w14:textId="77777777" w:rsidR="00787570" w:rsidRDefault="000D56E2">
            <w:pPr>
              <w:jc w:val="right"/>
              <w:textAlignment w:val="bottom"/>
            </w:pPr>
            <w:r>
              <w:rPr>
                <w:rFonts w:ascii="Arial" w:eastAsia="宋体" w:hAnsi="Arial" w:cs="Arial"/>
                <w:b/>
                <w:bCs/>
                <w:color w:val="0071C5"/>
                <w:sz w:val="18"/>
                <w:szCs w:val="18"/>
              </w:rPr>
              <w:t>9,741</w:t>
            </w:r>
            <w:r>
              <w:rPr>
                <w:rFonts w:ascii="Arial" w:eastAsia="宋体" w:hAnsi="Arial" w:cs="Arial"/>
                <w:color w:val="0071C5"/>
                <w:sz w:val="18"/>
                <w:szCs w:val="18"/>
              </w:rPr>
              <w:t> </w:t>
            </w:r>
          </w:p>
        </w:tc>
        <w:tc>
          <w:tcPr>
            <w:tcW w:w="0" w:type="auto"/>
            <w:tcBorders>
              <w:top w:val="single" w:sz="8" w:space="0" w:color="333333"/>
            </w:tcBorders>
            <w:shd w:val="clear" w:color="auto" w:fill="auto"/>
            <w:tcMar>
              <w:top w:w="40" w:type="dxa"/>
              <w:bottom w:w="40" w:type="dxa"/>
              <w:right w:w="20" w:type="dxa"/>
            </w:tcMar>
            <w:vAlign w:val="bottom"/>
          </w:tcPr>
          <w:p w14:paraId="36CA4CF6"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4CF7" w14:textId="77777777" w:rsidR="00787570" w:rsidRDefault="00787570">
            <w:pPr>
              <w:rPr>
                <w:rFonts w:ascii="宋体"/>
              </w:rPr>
            </w:pPr>
          </w:p>
        </w:tc>
        <w:tc>
          <w:tcPr>
            <w:tcW w:w="0" w:type="auto"/>
            <w:gridSpan w:val="2"/>
            <w:tcBorders>
              <w:top w:val="single" w:sz="8" w:space="0" w:color="333333"/>
            </w:tcBorders>
            <w:shd w:val="clear" w:color="auto" w:fill="auto"/>
            <w:tcMar>
              <w:top w:w="40" w:type="dxa"/>
              <w:left w:w="20" w:type="dxa"/>
              <w:bottom w:w="40" w:type="dxa"/>
              <w:right w:w="0" w:type="dxa"/>
            </w:tcMar>
            <w:vAlign w:val="bottom"/>
          </w:tcPr>
          <w:p w14:paraId="36CA4CF8" w14:textId="77777777" w:rsidR="00787570" w:rsidRDefault="000D56E2">
            <w:pPr>
              <w:jc w:val="right"/>
              <w:textAlignment w:val="bottom"/>
            </w:pPr>
            <w:r>
              <w:rPr>
                <w:rFonts w:ascii="Arial" w:eastAsia="宋体" w:hAnsi="Arial" w:cs="Arial"/>
                <w:b/>
                <w:bCs/>
                <w:color w:val="0071C5"/>
                <w:sz w:val="18"/>
                <w:szCs w:val="18"/>
              </w:rPr>
              <w:t>53.1</w:t>
            </w:r>
            <w:r>
              <w:rPr>
                <w:rFonts w:ascii="Arial" w:eastAsia="宋体" w:hAnsi="Arial" w:cs="Arial"/>
                <w:color w:val="0071C5"/>
                <w:sz w:val="18"/>
                <w:szCs w:val="18"/>
              </w:rPr>
              <w:t> </w:t>
            </w:r>
          </w:p>
        </w:tc>
        <w:tc>
          <w:tcPr>
            <w:tcW w:w="0" w:type="auto"/>
            <w:tcBorders>
              <w:top w:val="single" w:sz="8" w:space="0" w:color="333333"/>
            </w:tcBorders>
            <w:shd w:val="clear" w:color="auto" w:fill="auto"/>
            <w:tcMar>
              <w:top w:w="40" w:type="dxa"/>
              <w:bottom w:w="40" w:type="dxa"/>
              <w:right w:w="20" w:type="dxa"/>
            </w:tcMar>
            <w:vAlign w:val="bottom"/>
          </w:tcPr>
          <w:p w14:paraId="36CA4CF9" w14:textId="77777777" w:rsidR="00787570" w:rsidRDefault="000D56E2">
            <w:pPr>
              <w:jc w:val="right"/>
              <w:textAlignment w:val="bottom"/>
            </w:pPr>
            <w:r>
              <w:rPr>
                <w:rFonts w:ascii="Arial" w:eastAsia="宋体" w:hAnsi="Arial" w:cs="Arial"/>
                <w:b/>
                <w:bCs/>
                <w:color w:val="0071C5"/>
                <w:sz w:val="18"/>
                <w:szCs w:val="18"/>
              </w:rPr>
              <w:t>%</w:t>
            </w:r>
          </w:p>
        </w:tc>
        <w:tc>
          <w:tcPr>
            <w:tcW w:w="0" w:type="auto"/>
            <w:gridSpan w:val="3"/>
            <w:shd w:val="clear" w:color="auto" w:fill="auto"/>
            <w:tcMar>
              <w:left w:w="20" w:type="dxa"/>
              <w:right w:w="20" w:type="dxa"/>
            </w:tcMar>
            <w:vAlign w:val="bottom"/>
          </w:tcPr>
          <w:p w14:paraId="36CA4CFA" w14:textId="77777777" w:rsidR="00787570" w:rsidRDefault="00787570">
            <w:pPr>
              <w:rPr>
                <w:rFonts w:ascii="宋体"/>
              </w:rPr>
            </w:pPr>
          </w:p>
        </w:tc>
        <w:tc>
          <w:tcPr>
            <w:tcW w:w="0" w:type="auto"/>
            <w:gridSpan w:val="2"/>
            <w:tcBorders>
              <w:top w:val="single" w:sz="8" w:space="0" w:color="333333"/>
            </w:tcBorders>
            <w:shd w:val="clear" w:color="auto" w:fill="auto"/>
            <w:tcMar>
              <w:top w:w="40" w:type="dxa"/>
              <w:left w:w="20" w:type="dxa"/>
              <w:bottom w:w="40" w:type="dxa"/>
              <w:right w:w="0" w:type="dxa"/>
            </w:tcMar>
            <w:vAlign w:val="bottom"/>
          </w:tcPr>
          <w:p w14:paraId="36CA4CFB" w14:textId="77777777" w:rsidR="00787570" w:rsidRDefault="000D56E2">
            <w:pPr>
              <w:jc w:val="right"/>
              <w:textAlignment w:val="bottom"/>
            </w:pPr>
            <w:r>
              <w:rPr>
                <w:rFonts w:ascii="Arial" w:eastAsia="宋体" w:hAnsi="Arial" w:cs="Arial"/>
                <w:b/>
                <w:bCs/>
                <w:color w:val="333333"/>
                <w:sz w:val="18"/>
                <w:szCs w:val="18"/>
              </w:rPr>
              <w:t>11,295</w:t>
            </w:r>
            <w:r>
              <w:rPr>
                <w:rFonts w:ascii="Arial" w:eastAsia="宋体" w:hAnsi="Arial" w:cs="Arial"/>
                <w:color w:val="333333"/>
                <w:sz w:val="18"/>
                <w:szCs w:val="18"/>
              </w:rPr>
              <w:t> </w:t>
            </w:r>
          </w:p>
        </w:tc>
        <w:tc>
          <w:tcPr>
            <w:tcW w:w="0" w:type="auto"/>
            <w:tcBorders>
              <w:top w:val="single" w:sz="8" w:space="0" w:color="333333"/>
            </w:tcBorders>
            <w:shd w:val="clear" w:color="auto" w:fill="auto"/>
            <w:tcMar>
              <w:top w:w="40" w:type="dxa"/>
              <w:bottom w:w="40" w:type="dxa"/>
              <w:right w:w="20" w:type="dxa"/>
            </w:tcMar>
            <w:vAlign w:val="bottom"/>
          </w:tcPr>
          <w:p w14:paraId="36CA4CFC"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4CFD" w14:textId="77777777" w:rsidR="00787570" w:rsidRDefault="00787570">
            <w:pPr>
              <w:rPr>
                <w:rFonts w:ascii="宋体"/>
              </w:rPr>
            </w:pPr>
          </w:p>
        </w:tc>
        <w:tc>
          <w:tcPr>
            <w:tcW w:w="0" w:type="auto"/>
            <w:gridSpan w:val="2"/>
            <w:tcBorders>
              <w:top w:val="single" w:sz="8" w:space="0" w:color="333333"/>
            </w:tcBorders>
            <w:shd w:val="clear" w:color="auto" w:fill="auto"/>
            <w:tcMar>
              <w:top w:w="40" w:type="dxa"/>
              <w:left w:w="20" w:type="dxa"/>
              <w:bottom w:w="40" w:type="dxa"/>
              <w:right w:w="0" w:type="dxa"/>
            </w:tcMar>
            <w:vAlign w:val="bottom"/>
          </w:tcPr>
          <w:p w14:paraId="36CA4CFE" w14:textId="77777777" w:rsidR="00787570" w:rsidRDefault="000D56E2">
            <w:pPr>
              <w:jc w:val="right"/>
              <w:textAlignment w:val="bottom"/>
            </w:pPr>
            <w:r>
              <w:rPr>
                <w:rFonts w:ascii="Arial" w:eastAsia="宋体" w:hAnsi="Arial" w:cs="Arial"/>
                <w:b/>
                <w:bCs/>
                <w:color w:val="333333"/>
                <w:sz w:val="18"/>
                <w:szCs w:val="18"/>
              </w:rPr>
              <w:t>58.9</w:t>
            </w:r>
            <w:r>
              <w:rPr>
                <w:rFonts w:ascii="Arial" w:eastAsia="宋体" w:hAnsi="Arial" w:cs="Arial"/>
                <w:color w:val="333333"/>
                <w:sz w:val="18"/>
                <w:szCs w:val="18"/>
              </w:rPr>
              <w:t> </w:t>
            </w:r>
          </w:p>
        </w:tc>
        <w:tc>
          <w:tcPr>
            <w:tcW w:w="0" w:type="auto"/>
            <w:tcBorders>
              <w:top w:val="single" w:sz="8" w:space="0" w:color="333333"/>
            </w:tcBorders>
            <w:shd w:val="clear" w:color="auto" w:fill="auto"/>
            <w:tcMar>
              <w:top w:w="40" w:type="dxa"/>
              <w:bottom w:w="40" w:type="dxa"/>
              <w:right w:w="20" w:type="dxa"/>
            </w:tcMar>
            <w:vAlign w:val="bottom"/>
          </w:tcPr>
          <w:p w14:paraId="36CA4CFF" w14:textId="77777777" w:rsidR="00787570" w:rsidRDefault="000D56E2">
            <w:pPr>
              <w:jc w:val="right"/>
              <w:textAlignment w:val="bottom"/>
            </w:pPr>
            <w:r>
              <w:rPr>
                <w:rFonts w:ascii="Arial" w:eastAsia="宋体" w:hAnsi="Arial" w:cs="Arial"/>
                <w:b/>
                <w:bCs/>
                <w:color w:val="333333"/>
                <w:sz w:val="18"/>
                <w:szCs w:val="18"/>
              </w:rPr>
              <w:t>%</w:t>
            </w:r>
          </w:p>
        </w:tc>
        <w:tc>
          <w:tcPr>
            <w:tcW w:w="0" w:type="auto"/>
            <w:gridSpan w:val="3"/>
            <w:shd w:val="clear" w:color="auto" w:fill="auto"/>
            <w:tcMar>
              <w:left w:w="20" w:type="dxa"/>
              <w:right w:w="20" w:type="dxa"/>
            </w:tcMar>
            <w:vAlign w:val="bottom"/>
          </w:tcPr>
          <w:p w14:paraId="36CA4D00" w14:textId="77777777" w:rsidR="00787570" w:rsidRDefault="00787570">
            <w:pPr>
              <w:rPr>
                <w:rFonts w:ascii="宋体"/>
              </w:rPr>
            </w:pPr>
          </w:p>
        </w:tc>
        <w:tc>
          <w:tcPr>
            <w:tcW w:w="0" w:type="auto"/>
            <w:gridSpan w:val="2"/>
            <w:tcBorders>
              <w:top w:val="single" w:sz="8" w:space="0" w:color="333333"/>
            </w:tcBorders>
            <w:shd w:val="clear" w:color="auto" w:fill="auto"/>
            <w:tcMar>
              <w:top w:w="40" w:type="dxa"/>
              <w:left w:w="20" w:type="dxa"/>
              <w:bottom w:w="40" w:type="dxa"/>
              <w:right w:w="0" w:type="dxa"/>
            </w:tcMar>
            <w:vAlign w:val="bottom"/>
          </w:tcPr>
          <w:p w14:paraId="36CA4D01" w14:textId="77777777" w:rsidR="00787570" w:rsidRDefault="000D56E2">
            <w:pPr>
              <w:jc w:val="right"/>
              <w:textAlignment w:val="bottom"/>
            </w:pPr>
            <w:r>
              <w:rPr>
                <w:rFonts w:ascii="Arial" w:eastAsia="宋体" w:hAnsi="Arial" w:cs="Arial"/>
                <w:b/>
                <w:bCs/>
                <w:color w:val="0071C5"/>
                <w:sz w:val="18"/>
                <w:szCs w:val="18"/>
              </w:rPr>
              <w:t>32,264</w:t>
            </w:r>
            <w:r>
              <w:rPr>
                <w:rFonts w:ascii="Arial" w:eastAsia="宋体" w:hAnsi="Arial" w:cs="Arial"/>
                <w:color w:val="0071C5"/>
                <w:sz w:val="18"/>
                <w:szCs w:val="18"/>
              </w:rPr>
              <w:t> </w:t>
            </w:r>
          </w:p>
        </w:tc>
        <w:tc>
          <w:tcPr>
            <w:tcW w:w="0" w:type="auto"/>
            <w:tcBorders>
              <w:top w:val="single" w:sz="8" w:space="0" w:color="333333"/>
            </w:tcBorders>
            <w:shd w:val="clear" w:color="auto" w:fill="auto"/>
            <w:tcMar>
              <w:top w:w="40" w:type="dxa"/>
              <w:bottom w:w="40" w:type="dxa"/>
              <w:right w:w="20" w:type="dxa"/>
            </w:tcMar>
            <w:vAlign w:val="bottom"/>
          </w:tcPr>
          <w:p w14:paraId="36CA4D02"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4D03" w14:textId="77777777" w:rsidR="00787570" w:rsidRDefault="00787570">
            <w:pPr>
              <w:rPr>
                <w:rFonts w:ascii="宋体"/>
              </w:rPr>
            </w:pPr>
          </w:p>
        </w:tc>
        <w:tc>
          <w:tcPr>
            <w:tcW w:w="0" w:type="auto"/>
            <w:gridSpan w:val="2"/>
            <w:tcBorders>
              <w:top w:val="single" w:sz="8" w:space="0" w:color="333333"/>
            </w:tcBorders>
            <w:shd w:val="clear" w:color="auto" w:fill="auto"/>
            <w:tcMar>
              <w:top w:w="40" w:type="dxa"/>
              <w:left w:w="20" w:type="dxa"/>
              <w:bottom w:w="40" w:type="dxa"/>
              <w:right w:w="0" w:type="dxa"/>
            </w:tcMar>
            <w:vAlign w:val="bottom"/>
          </w:tcPr>
          <w:p w14:paraId="36CA4D04" w14:textId="77777777" w:rsidR="00787570" w:rsidRDefault="000D56E2">
            <w:pPr>
              <w:jc w:val="right"/>
              <w:textAlignment w:val="bottom"/>
            </w:pPr>
            <w:r>
              <w:rPr>
                <w:rFonts w:ascii="Arial" w:eastAsia="宋体" w:hAnsi="Arial" w:cs="Arial"/>
                <w:b/>
                <w:bCs/>
                <w:color w:val="0071C5"/>
                <w:sz w:val="18"/>
                <w:szCs w:val="18"/>
              </w:rPr>
              <w:t>55.7</w:t>
            </w:r>
            <w:r>
              <w:rPr>
                <w:rFonts w:ascii="Arial" w:eastAsia="宋体" w:hAnsi="Arial" w:cs="Arial"/>
                <w:color w:val="0071C5"/>
                <w:sz w:val="18"/>
                <w:szCs w:val="18"/>
              </w:rPr>
              <w:t> </w:t>
            </w:r>
          </w:p>
        </w:tc>
        <w:tc>
          <w:tcPr>
            <w:tcW w:w="0" w:type="auto"/>
            <w:tcBorders>
              <w:top w:val="single" w:sz="8" w:space="0" w:color="333333"/>
            </w:tcBorders>
            <w:shd w:val="clear" w:color="auto" w:fill="auto"/>
            <w:tcMar>
              <w:top w:w="40" w:type="dxa"/>
              <w:bottom w:w="40" w:type="dxa"/>
              <w:right w:w="20" w:type="dxa"/>
            </w:tcMar>
            <w:vAlign w:val="bottom"/>
          </w:tcPr>
          <w:p w14:paraId="36CA4D05" w14:textId="77777777" w:rsidR="00787570" w:rsidRDefault="000D56E2">
            <w:pPr>
              <w:jc w:val="right"/>
              <w:textAlignment w:val="bottom"/>
            </w:pPr>
            <w:r>
              <w:rPr>
                <w:rFonts w:ascii="Arial" w:eastAsia="宋体" w:hAnsi="Arial" w:cs="Arial"/>
                <w:b/>
                <w:bCs/>
                <w:color w:val="0071C5"/>
                <w:sz w:val="18"/>
                <w:szCs w:val="18"/>
              </w:rPr>
              <w:t>%</w:t>
            </w:r>
          </w:p>
        </w:tc>
        <w:tc>
          <w:tcPr>
            <w:tcW w:w="0" w:type="auto"/>
            <w:gridSpan w:val="3"/>
            <w:shd w:val="clear" w:color="auto" w:fill="auto"/>
            <w:tcMar>
              <w:left w:w="20" w:type="dxa"/>
              <w:right w:w="20" w:type="dxa"/>
            </w:tcMar>
            <w:vAlign w:val="bottom"/>
          </w:tcPr>
          <w:p w14:paraId="36CA4D06" w14:textId="77777777" w:rsidR="00787570" w:rsidRDefault="00787570">
            <w:pPr>
              <w:rPr>
                <w:rFonts w:ascii="宋体"/>
              </w:rPr>
            </w:pPr>
          </w:p>
        </w:tc>
        <w:tc>
          <w:tcPr>
            <w:tcW w:w="0" w:type="auto"/>
            <w:gridSpan w:val="2"/>
            <w:tcBorders>
              <w:top w:val="single" w:sz="8" w:space="0" w:color="333333"/>
            </w:tcBorders>
            <w:shd w:val="clear" w:color="auto" w:fill="auto"/>
            <w:tcMar>
              <w:top w:w="40" w:type="dxa"/>
              <w:left w:w="20" w:type="dxa"/>
              <w:bottom w:w="40" w:type="dxa"/>
              <w:right w:w="0" w:type="dxa"/>
            </w:tcMar>
            <w:vAlign w:val="bottom"/>
          </w:tcPr>
          <w:p w14:paraId="36CA4D07" w14:textId="77777777" w:rsidR="00787570" w:rsidRDefault="000D56E2">
            <w:pPr>
              <w:jc w:val="right"/>
              <w:textAlignment w:val="bottom"/>
            </w:pPr>
            <w:r>
              <w:rPr>
                <w:rFonts w:ascii="Arial" w:eastAsia="宋体" w:hAnsi="Arial" w:cs="Arial"/>
                <w:b/>
                <w:bCs/>
                <w:color w:val="333333"/>
                <w:sz w:val="18"/>
                <w:szCs w:val="18"/>
              </w:rPr>
              <w:t>30,262</w:t>
            </w:r>
            <w:r>
              <w:rPr>
                <w:rFonts w:ascii="Arial" w:eastAsia="宋体" w:hAnsi="Arial" w:cs="Arial"/>
                <w:color w:val="333333"/>
                <w:sz w:val="18"/>
                <w:szCs w:val="18"/>
              </w:rPr>
              <w:t> </w:t>
            </w:r>
          </w:p>
        </w:tc>
        <w:tc>
          <w:tcPr>
            <w:tcW w:w="0" w:type="auto"/>
            <w:tcBorders>
              <w:top w:val="single" w:sz="8" w:space="0" w:color="333333"/>
            </w:tcBorders>
            <w:shd w:val="clear" w:color="auto" w:fill="auto"/>
            <w:tcMar>
              <w:top w:w="40" w:type="dxa"/>
              <w:bottom w:w="40" w:type="dxa"/>
              <w:right w:w="20" w:type="dxa"/>
            </w:tcMar>
            <w:vAlign w:val="bottom"/>
          </w:tcPr>
          <w:p w14:paraId="36CA4D08"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4D09" w14:textId="77777777" w:rsidR="00787570" w:rsidRDefault="00787570">
            <w:pPr>
              <w:rPr>
                <w:rFonts w:ascii="宋体"/>
              </w:rPr>
            </w:pPr>
          </w:p>
        </w:tc>
        <w:tc>
          <w:tcPr>
            <w:tcW w:w="0" w:type="auto"/>
            <w:gridSpan w:val="2"/>
            <w:tcBorders>
              <w:top w:val="single" w:sz="8" w:space="0" w:color="333333"/>
            </w:tcBorders>
            <w:shd w:val="clear" w:color="auto" w:fill="auto"/>
            <w:tcMar>
              <w:top w:w="40" w:type="dxa"/>
              <w:left w:w="20" w:type="dxa"/>
              <w:bottom w:w="40" w:type="dxa"/>
              <w:right w:w="0" w:type="dxa"/>
            </w:tcMar>
            <w:vAlign w:val="bottom"/>
          </w:tcPr>
          <w:p w14:paraId="36CA4D0A" w14:textId="77777777" w:rsidR="00787570" w:rsidRDefault="000D56E2">
            <w:pPr>
              <w:jc w:val="right"/>
              <w:textAlignment w:val="bottom"/>
            </w:pPr>
            <w:r>
              <w:rPr>
                <w:rFonts w:ascii="Arial" w:eastAsia="宋体" w:hAnsi="Arial" w:cs="Arial"/>
                <w:b/>
                <w:bCs/>
                <w:color w:val="333333"/>
                <w:sz w:val="18"/>
                <w:szCs w:val="18"/>
              </w:rPr>
              <w:t>58.5</w:t>
            </w:r>
            <w:r>
              <w:rPr>
                <w:rFonts w:ascii="Arial" w:eastAsia="宋体" w:hAnsi="Arial" w:cs="Arial"/>
                <w:color w:val="333333"/>
                <w:sz w:val="18"/>
                <w:szCs w:val="18"/>
              </w:rPr>
              <w:t> </w:t>
            </w:r>
          </w:p>
        </w:tc>
        <w:tc>
          <w:tcPr>
            <w:tcW w:w="0" w:type="auto"/>
            <w:tcBorders>
              <w:top w:val="single" w:sz="8" w:space="0" w:color="333333"/>
            </w:tcBorders>
            <w:shd w:val="clear" w:color="auto" w:fill="auto"/>
            <w:tcMar>
              <w:top w:w="40" w:type="dxa"/>
              <w:bottom w:w="40" w:type="dxa"/>
              <w:right w:w="20" w:type="dxa"/>
            </w:tcMar>
            <w:vAlign w:val="bottom"/>
          </w:tcPr>
          <w:p w14:paraId="36CA4D0B" w14:textId="77777777" w:rsidR="00787570" w:rsidRDefault="000D56E2">
            <w:pPr>
              <w:jc w:val="right"/>
              <w:textAlignment w:val="bottom"/>
            </w:pPr>
            <w:r>
              <w:rPr>
                <w:rFonts w:ascii="Arial" w:eastAsia="宋体" w:hAnsi="Arial" w:cs="Arial"/>
                <w:b/>
                <w:bCs/>
                <w:color w:val="333333"/>
                <w:sz w:val="18"/>
                <w:szCs w:val="18"/>
              </w:rPr>
              <w:t>%</w:t>
            </w:r>
          </w:p>
        </w:tc>
        <w:tc>
          <w:tcPr>
            <w:tcW w:w="0" w:type="auto"/>
            <w:shd w:val="clear" w:color="auto" w:fill="auto"/>
          </w:tcPr>
          <w:p w14:paraId="36CA4D0C" w14:textId="77777777" w:rsidR="00787570" w:rsidRDefault="00787570">
            <w:pPr>
              <w:rPr>
                <w:rFonts w:ascii="宋体"/>
              </w:rPr>
            </w:pPr>
          </w:p>
        </w:tc>
        <w:tc>
          <w:tcPr>
            <w:tcW w:w="0" w:type="auto"/>
            <w:shd w:val="clear" w:color="auto" w:fill="auto"/>
          </w:tcPr>
          <w:p w14:paraId="36CA4D0D" w14:textId="77777777" w:rsidR="00787570" w:rsidRDefault="00787570">
            <w:pPr>
              <w:rPr>
                <w:rFonts w:ascii="宋体"/>
              </w:rPr>
            </w:pPr>
          </w:p>
        </w:tc>
        <w:tc>
          <w:tcPr>
            <w:tcW w:w="0" w:type="auto"/>
            <w:shd w:val="clear" w:color="auto" w:fill="auto"/>
          </w:tcPr>
          <w:p w14:paraId="36CA4D0E" w14:textId="77777777" w:rsidR="00787570" w:rsidRDefault="00787570">
            <w:pPr>
              <w:rPr>
                <w:rFonts w:ascii="宋体"/>
              </w:rPr>
            </w:pPr>
          </w:p>
        </w:tc>
        <w:tc>
          <w:tcPr>
            <w:tcW w:w="0" w:type="auto"/>
            <w:shd w:val="clear" w:color="auto" w:fill="auto"/>
          </w:tcPr>
          <w:p w14:paraId="36CA4D0F" w14:textId="77777777" w:rsidR="00787570" w:rsidRDefault="00787570">
            <w:pPr>
              <w:rPr>
                <w:rFonts w:ascii="宋体"/>
              </w:rPr>
            </w:pPr>
          </w:p>
        </w:tc>
        <w:tc>
          <w:tcPr>
            <w:tcW w:w="0" w:type="auto"/>
            <w:shd w:val="clear" w:color="auto" w:fill="auto"/>
          </w:tcPr>
          <w:p w14:paraId="36CA4D10" w14:textId="77777777" w:rsidR="00787570" w:rsidRDefault="00787570">
            <w:pPr>
              <w:rPr>
                <w:rFonts w:ascii="宋体"/>
              </w:rPr>
            </w:pPr>
          </w:p>
        </w:tc>
        <w:tc>
          <w:tcPr>
            <w:tcW w:w="0" w:type="auto"/>
            <w:shd w:val="clear" w:color="auto" w:fill="auto"/>
          </w:tcPr>
          <w:p w14:paraId="36CA4D11" w14:textId="77777777" w:rsidR="00787570" w:rsidRDefault="00787570">
            <w:pPr>
              <w:rPr>
                <w:rFonts w:ascii="宋体"/>
              </w:rPr>
            </w:pPr>
          </w:p>
        </w:tc>
        <w:tc>
          <w:tcPr>
            <w:tcW w:w="0" w:type="auto"/>
            <w:shd w:val="clear" w:color="auto" w:fill="auto"/>
          </w:tcPr>
          <w:p w14:paraId="36CA4D12" w14:textId="77777777" w:rsidR="00787570" w:rsidRDefault="00787570">
            <w:pPr>
              <w:rPr>
                <w:rFonts w:ascii="宋体"/>
              </w:rPr>
            </w:pPr>
          </w:p>
        </w:tc>
        <w:tc>
          <w:tcPr>
            <w:tcW w:w="0" w:type="auto"/>
            <w:shd w:val="clear" w:color="auto" w:fill="auto"/>
          </w:tcPr>
          <w:p w14:paraId="36CA4D13" w14:textId="77777777" w:rsidR="00787570" w:rsidRDefault="00787570">
            <w:pPr>
              <w:rPr>
                <w:rFonts w:ascii="宋体"/>
              </w:rPr>
            </w:pPr>
          </w:p>
        </w:tc>
        <w:tc>
          <w:tcPr>
            <w:tcW w:w="0" w:type="auto"/>
            <w:shd w:val="clear" w:color="auto" w:fill="auto"/>
          </w:tcPr>
          <w:p w14:paraId="36CA4D14" w14:textId="77777777" w:rsidR="00787570" w:rsidRDefault="00787570">
            <w:pPr>
              <w:rPr>
                <w:rFonts w:ascii="宋体"/>
              </w:rPr>
            </w:pPr>
          </w:p>
        </w:tc>
        <w:tc>
          <w:tcPr>
            <w:tcW w:w="0" w:type="auto"/>
            <w:shd w:val="clear" w:color="auto" w:fill="auto"/>
          </w:tcPr>
          <w:p w14:paraId="36CA4D15" w14:textId="77777777" w:rsidR="00787570" w:rsidRDefault="00787570">
            <w:pPr>
              <w:rPr>
                <w:rFonts w:ascii="宋体"/>
              </w:rPr>
            </w:pPr>
          </w:p>
        </w:tc>
        <w:tc>
          <w:tcPr>
            <w:tcW w:w="0" w:type="auto"/>
            <w:shd w:val="clear" w:color="auto" w:fill="auto"/>
          </w:tcPr>
          <w:p w14:paraId="36CA4D16" w14:textId="77777777" w:rsidR="00787570" w:rsidRDefault="00787570">
            <w:pPr>
              <w:rPr>
                <w:rFonts w:ascii="宋体"/>
              </w:rPr>
            </w:pPr>
          </w:p>
        </w:tc>
        <w:tc>
          <w:tcPr>
            <w:tcW w:w="0" w:type="auto"/>
            <w:shd w:val="clear" w:color="auto" w:fill="auto"/>
          </w:tcPr>
          <w:p w14:paraId="36CA4D17" w14:textId="77777777" w:rsidR="00787570" w:rsidRDefault="00787570">
            <w:pPr>
              <w:rPr>
                <w:rFonts w:ascii="宋体"/>
              </w:rPr>
            </w:pPr>
          </w:p>
        </w:tc>
      </w:tr>
      <w:tr w:rsidR="00787570" w14:paraId="36CA4D3E" w14:textId="77777777">
        <w:tc>
          <w:tcPr>
            <w:tcW w:w="0" w:type="auto"/>
            <w:gridSpan w:val="3"/>
            <w:shd w:val="clear" w:color="auto" w:fill="auto"/>
            <w:tcMar>
              <w:top w:w="40" w:type="dxa"/>
              <w:left w:w="20" w:type="dxa"/>
              <w:bottom w:w="40" w:type="dxa"/>
              <w:right w:w="20" w:type="dxa"/>
            </w:tcMar>
          </w:tcPr>
          <w:p w14:paraId="36CA4D19" w14:textId="77777777" w:rsidR="00787570" w:rsidRDefault="000D56E2">
            <w:pPr>
              <w:ind w:hanging="180"/>
              <w:textAlignment w:val="top"/>
            </w:pPr>
            <w:r>
              <w:rPr>
                <w:rFonts w:ascii="Arial" w:eastAsia="宋体" w:hAnsi="Arial" w:cs="Arial"/>
                <w:color w:val="333333"/>
                <w:sz w:val="18"/>
                <w:szCs w:val="18"/>
              </w:rPr>
              <w:t>Research and development</w:t>
            </w:r>
          </w:p>
        </w:tc>
        <w:tc>
          <w:tcPr>
            <w:tcW w:w="0" w:type="auto"/>
            <w:gridSpan w:val="3"/>
            <w:shd w:val="clear" w:color="auto" w:fill="auto"/>
            <w:tcMar>
              <w:left w:w="20" w:type="dxa"/>
              <w:right w:w="20" w:type="dxa"/>
            </w:tcMar>
            <w:vAlign w:val="bottom"/>
          </w:tcPr>
          <w:p w14:paraId="36CA4D1A"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4D1B" w14:textId="77777777" w:rsidR="00787570" w:rsidRDefault="000D56E2">
            <w:pPr>
              <w:jc w:val="right"/>
              <w:textAlignment w:val="bottom"/>
            </w:pPr>
            <w:r>
              <w:rPr>
                <w:rFonts w:ascii="Arial" w:eastAsia="宋体" w:hAnsi="Arial" w:cs="Arial"/>
                <w:color w:val="0071C5"/>
                <w:sz w:val="18"/>
                <w:szCs w:val="18"/>
              </w:rPr>
              <w:t>3,272 </w:t>
            </w:r>
          </w:p>
        </w:tc>
        <w:tc>
          <w:tcPr>
            <w:tcW w:w="0" w:type="auto"/>
            <w:shd w:val="clear" w:color="auto" w:fill="auto"/>
            <w:tcMar>
              <w:top w:w="40" w:type="dxa"/>
              <w:bottom w:w="40" w:type="dxa"/>
              <w:right w:w="20" w:type="dxa"/>
            </w:tcMar>
            <w:vAlign w:val="bottom"/>
          </w:tcPr>
          <w:p w14:paraId="36CA4D1C"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4D1D"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4D1E" w14:textId="77777777" w:rsidR="00787570" w:rsidRDefault="000D56E2">
            <w:pPr>
              <w:jc w:val="right"/>
              <w:textAlignment w:val="bottom"/>
            </w:pPr>
            <w:r>
              <w:rPr>
                <w:rFonts w:ascii="Arial" w:eastAsia="宋体" w:hAnsi="Arial" w:cs="Arial"/>
                <w:color w:val="0071C5"/>
                <w:sz w:val="18"/>
                <w:szCs w:val="18"/>
              </w:rPr>
              <w:t>17.8 </w:t>
            </w:r>
          </w:p>
        </w:tc>
        <w:tc>
          <w:tcPr>
            <w:tcW w:w="0" w:type="auto"/>
            <w:shd w:val="clear" w:color="auto" w:fill="auto"/>
            <w:tcMar>
              <w:top w:w="40" w:type="dxa"/>
              <w:bottom w:w="40" w:type="dxa"/>
              <w:right w:w="20" w:type="dxa"/>
            </w:tcMar>
            <w:vAlign w:val="bottom"/>
          </w:tcPr>
          <w:p w14:paraId="36CA4D1F" w14:textId="77777777" w:rsidR="00787570" w:rsidRDefault="000D56E2">
            <w:pPr>
              <w:jc w:val="right"/>
              <w:textAlignment w:val="bottom"/>
            </w:pPr>
            <w:r>
              <w:rPr>
                <w:rFonts w:ascii="Arial" w:eastAsia="宋体" w:hAnsi="Arial" w:cs="Arial"/>
                <w:color w:val="0071C5"/>
                <w:sz w:val="18"/>
                <w:szCs w:val="18"/>
              </w:rPr>
              <w:t>%</w:t>
            </w:r>
          </w:p>
        </w:tc>
        <w:tc>
          <w:tcPr>
            <w:tcW w:w="0" w:type="auto"/>
            <w:gridSpan w:val="3"/>
            <w:shd w:val="clear" w:color="auto" w:fill="auto"/>
            <w:tcMar>
              <w:left w:w="20" w:type="dxa"/>
              <w:right w:w="20" w:type="dxa"/>
            </w:tcMar>
            <w:vAlign w:val="bottom"/>
          </w:tcPr>
          <w:p w14:paraId="36CA4D20"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4D21" w14:textId="77777777" w:rsidR="00787570" w:rsidRDefault="000D56E2">
            <w:pPr>
              <w:jc w:val="right"/>
              <w:textAlignment w:val="bottom"/>
            </w:pPr>
            <w:r>
              <w:rPr>
                <w:rFonts w:ascii="Arial" w:eastAsia="宋体" w:hAnsi="Arial" w:cs="Arial"/>
                <w:color w:val="333333"/>
                <w:sz w:val="18"/>
                <w:szCs w:val="18"/>
              </w:rPr>
              <w:t>3,208 </w:t>
            </w:r>
          </w:p>
        </w:tc>
        <w:tc>
          <w:tcPr>
            <w:tcW w:w="0" w:type="auto"/>
            <w:shd w:val="clear" w:color="auto" w:fill="auto"/>
            <w:tcMar>
              <w:top w:w="40" w:type="dxa"/>
              <w:bottom w:w="40" w:type="dxa"/>
              <w:right w:w="20" w:type="dxa"/>
            </w:tcMar>
            <w:vAlign w:val="bottom"/>
          </w:tcPr>
          <w:p w14:paraId="36CA4D22"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4D23"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4D24" w14:textId="77777777" w:rsidR="00787570" w:rsidRDefault="000D56E2">
            <w:pPr>
              <w:jc w:val="right"/>
              <w:textAlignment w:val="bottom"/>
            </w:pPr>
            <w:r>
              <w:rPr>
                <w:rFonts w:ascii="Arial" w:eastAsia="宋体" w:hAnsi="Arial" w:cs="Arial"/>
                <w:color w:val="333333"/>
                <w:sz w:val="18"/>
                <w:szCs w:val="18"/>
              </w:rPr>
              <w:t>16.7 </w:t>
            </w:r>
          </w:p>
        </w:tc>
        <w:tc>
          <w:tcPr>
            <w:tcW w:w="0" w:type="auto"/>
            <w:shd w:val="clear" w:color="auto" w:fill="auto"/>
            <w:tcMar>
              <w:top w:w="40" w:type="dxa"/>
              <w:bottom w:w="40" w:type="dxa"/>
              <w:right w:w="20" w:type="dxa"/>
            </w:tcMar>
            <w:vAlign w:val="bottom"/>
          </w:tcPr>
          <w:p w14:paraId="36CA4D25" w14:textId="77777777" w:rsidR="00787570" w:rsidRDefault="000D56E2">
            <w:pPr>
              <w:jc w:val="right"/>
              <w:textAlignment w:val="bottom"/>
            </w:pPr>
            <w:r>
              <w:rPr>
                <w:rFonts w:ascii="Arial" w:eastAsia="宋体" w:hAnsi="Arial" w:cs="Arial"/>
                <w:color w:val="333333"/>
                <w:sz w:val="18"/>
                <w:szCs w:val="18"/>
              </w:rPr>
              <w:t>%</w:t>
            </w:r>
          </w:p>
        </w:tc>
        <w:tc>
          <w:tcPr>
            <w:tcW w:w="0" w:type="auto"/>
            <w:gridSpan w:val="3"/>
            <w:shd w:val="clear" w:color="auto" w:fill="auto"/>
            <w:tcMar>
              <w:left w:w="20" w:type="dxa"/>
              <w:right w:w="20" w:type="dxa"/>
            </w:tcMar>
            <w:vAlign w:val="bottom"/>
          </w:tcPr>
          <w:p w14:paraId="36CA4D26"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4D27" w14:textId="77777777" w:rsidR="00787570" w:rsidRDefault="000D56E2">
            <w:pPr>
              <w:jc w:val="right"/>
              <w:textAlignment w:val="bottom"/>
            </w:pPr>
            <w:r>
              <w:rPr>
                <w:rFonts w:ascii="Arial" w:eastAsia="宋体" w:hAnsi="Arial" w:cs="Arial"/>
                <w:color w:val="0071C5"/>
                <w:sz w:val="18"/>
                <w:szCs w:val="18"/>
              </w:rPr>
              <w:t>9,901 </w:t>
            </w:r>
          </w:p>
        </w:tc>
        <w:tc>
          <w:tcPr>
            <w:tcW w:w="0" w:type="auto"/>
            <w:shd w:val="clear" w:color="auto" w:fill="auto"/>
            <w:tcMar>
              <w:top w:w="40" w:type="dxa"/>
              <w:bottom w:w="40" w:type="dxa"/>
              <w:right w:w="20" w:type="dxa"/>
            </w:tcMar>
            <w:vAlign w:val="bottom"/>
          </w:tcPr>
          <w:p w14:paraId="36CA4D28"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4D29"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4D2A" w14:textId="77777777" w:rsidR="00787570" w:rsidRDefault="000D56E2">
            <w:pPr>
              <w:jc w:val="right"/>
              <w:textAlignment w:val="bottom"/>
            </w:pPr>
            <w:r>
              <w:rPr>
                <w:rFonts w:ascii="Arial" w:eastAsia="宋体" w:hAnsi="Arial" w:cs="Arial"/>
                <w:color w:val="0071C5"/>
                <w:sz w:val="18"/>
                <w:szCs w:val="18"/>
              </w:rPr>
              <w:t>17.1 </w:t>
            </w:r>
          </w:p>
        </w:tc>
        <w:tc>
          <w:tcPr>
            <w:tcW w:w="0" w:type="auto"/>
            <w:shd w:val="clear" w:color="auto" w:fill="auto"/>
            <w:tcMar>
              <w:top w:w="40" w:type="dxa"/>
              <w:bottom w:w="40" w:type="dxa"/>
              <w:right w:w="20" w:type="dxa"/>
            </w:tcMar>
            <w:vAlign w:val="bottom"/>
          </w:tcPr>
          <w:p w14:paraId="36CA4D2B" w14:textId="77777777" w:rsidR="00787570" w:rsidRDefault="000D56E2">
            <w:pPr>
              <w:jc w:val="right"/>
              <w:textAlignment w:val="bottom"/>
            </w:pPr>
            <w:r>
              <w:rPr>
                <w:rFonts w:ascii="Arial" w:eastAsia="宋体" w:hAnsi="Arial" w:cs="Arial"/>
                <w:color w:val="0071C5"/>
                <w:sz w:val="18"/>
                <w:szCs w:val="18"/>
              </w:rPr>
              <w:t>%</w:t>
            </w:r>
          </w:p>
        </w:tc>
        <w:tc>
          <w:tcPr>
            <w:tcW w:w="0" w:type="auto"/>
            <w:gridSpan w:val="3"/>
            <w:shd w:val="clear" w:color="auto" w:fill="auto"/>
            <w:tcMar>
              <w:left w:w="20" w:type="dxa"/>
              <w:right w:w="20" w:type="dxa"/>
            </w:tcMar>
            <w:vAlign w:val="bottom"/>
          </w:tcPr>
          <w:p w14:paraId="36CA4D2C"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4D2D" w14:textId="77777777" w:rsidR="00787570" w:rsidRDefault="000D56E2">
            <w:pPr>
              <w:jc w:val="right"/>
              <w:textAlignment w:val="bottom"/>
            </w:pPr>
            <w:r>
              <w:rPr>
                <w:rFonts w:ascii="Arial" w:eastAsia="宋体" w:hAnsi="Arial" w:cs="Arial"/>
                <w:color w:val="333333"/>
                <w:sz w:val="18"/>
                <w:szCs w:val="18"/>
              </w:rPr>
              <w:t>9,978 </w:t>
            </w:r>
          </w:p>
        </w:tc>
        <w:tc>
          <w:tcPr>
            <w:tcW w:w="0" w:type="auto"/>
            <w:shd w:val="clear" w:color="auto" w:fill="auto"/>
            <w:tcMar>
              <w:top w:w="40" w:type="dxa"/>
              <w:bottom w:w="40" w:type="dxa"/>
              <w:right w:w="20" w:type="dxa"/>
            </w:tcMar>
            <w:vAlign w:val="bottom"/>
          </w:tcPr>
          <w:p w14:paraId="36CA4D2E"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4D2F"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4D30" w14:textId="77777777" w:rsidR="00787570" w:rsidRDefault="000D56E2">
            <w:pPr>
              <w:jc w:val="right"/>
              <w:textAlignment w:val="bottom"/>
            </w:pPr>
            <w:r>
              <w:rPr>
                <w:rFonts w:ascii="Arial" w:eastAsia="宋体" w:hAnsi="Arial" w:cs="Arial"/>
                <w:color w:val="333333"/>
                <w:sz w:val="18"/>
                <w:szCs w:val="18"/>
              </w:rPr>
              <w:t>19.3 </w:t>
            </w:r>
          </w:p>
        </w:tc>
        <w:tc>
          <w:tcPr>
            <w:tcW w:w="0" w:type="auto"/>
            <w:shd w:val="clear" w:color="auto" w:fill="auto"/>
            <w:tcMar>
              <w:top w:w="40" w:type="dxa"/>
              <w:bottom w:w="40" w:type="dxa"/>
              <w:right w:w="20" w:type="dxa"/>
            </w:tcMar>
            <w:vAlign w:val="bottom"/>
          </w:tcPr>
          <w:p w14:paraId="36CA4D31" w14:textId="77777777" w:rsidR="00787570" w:rsidRDefault="000D56E2">
            <w:pPr>
              <w:jc w:val="right"/>
              <w:textAlignment w:val="bottom"/>
            </w:pPr>
            <w:r>
              <w:rPr>
                <w:rFonts w:ascii="Arial" w:eastAsia="宋体" w:hAnsi="Arial" w:cs="Arial"/>
                <w:color w:val="333333"/>
                <w:sz w:val="18"/>
                <w:szCs w:val="18"/>
              </w:rPr>
              <w:t>%</w:t>
            </w:r>
          </w:p>
        </w:tc>
        <w:tc>
          <w:tcPr>
            <w:tcW w:w="0" w:type="auto"/>
            <w:shd w:val="clear" w:color="auto" w:fill="auto"/>
          </w:tcPr>
          <w:p w14:paraId="36CA4D32" w14:textId="77777777" w:rsidR="00787570" w:rsidRDefault="00787570">
            <w:pPr>
              <w:rPr>
                <w:rFonts w:ascii="宋体"/>
              </w:rPr>
            </w:pPr>
          </w:p>
        </w:tc>
        <w:tc>
          <w:tcPr>
            <w:tcW w:w="0" w:type="auto"/>
            <w:shd w:val="clear" w:color="auto" w:fill="auto"/>
          </w:tcPr>
          <w:p w14:paraId="36CA4D33" w14:textId="77777777" w:rsidR="00787570" w:rsidRDefault="00787570">
            <w:pPr>
              <w:rPr>
                <w:rFonts w:ascii="宋体"/>
              </w:rPr>
            </w:pPr>
          </w:p>
        </w:tc>
        <w:tc>
          <w:tcPr>
            <w:tcW w:w="0" w:type="auto"/>
            <w:shd w:val="clear" w:color="auto" w:fill="auto"/>
          </w:tcPr>
          <w:p w14:paraId="36CA4D34" w14:textId="77777777" w:rsidR="00787570" w:rsidRDefault="00787570">
            <w:pPr>
              <w:rPr>
                <w:rFonts w:ascii="宋体"/>
              </w:rPr>
            </w:pPr>
          </w:p>
        </w:tc>
        <w:tc>
          <w:tcPr>
            <w:tcW w:w="0" w:type="auto"/>
            <w:shd w:val="clear" w:color="auto" w:fill="auto"/>
          </w:tcPr>
          <w:p w14:paraId="36CA4D35" w14:textId="77777777" w:rsidR="00787570" w:rsidRDefault="00787570">
            <w:pPr>
              <w:rPr>
                <w:rFonts w:ascii="宋体"/>
              </w:rPr>
            </w:pPr>
          </w:p>
        </w:tc>
        <w:tc>
          <w:tcPr>
            <w:tcW w:w="0" w:type="auto"/>
            <w:shd w:val="clear" w:color="auto" w:fill="auto"/>
          </w:tcPr>
          <w:p w14:paraId="36CA4D36" w14:textId="77777777" w:rsidR="00787570" w:rsidRDefault="00787570">
            <w:pPr>
              <w:rPr>
                <w:rFonts w:ascii="宋体"/>
              </w:rPr>
            </w:pPr>
          </w:p>
        </w:tc>
        <w:tc>
          <w:tcPr>
            <w:tcW w:w="0" w:type="auto"/>
            <w:shd w:val="clear" w:color="auto" w:fill="auto"/>
          </w:tcPr>
          <w:p w14:paraId="36CA4D37" w14:textId="77777777" w:rsidR="00787570" w:rsidRDefault="00787570">
            <w:pPr>
              <w:rPr>
                <w:rFonts w:ascii="宋体"/>
              </w:rPr>
            </w:pPr>
          </w:p>
        </w:tc>
        <w:tc>
          <w:tcPr>
            <w:tcW w:w="0" w:type="auto"/>
            <w:shd w:val="clear" w:color="auto" w:fill="auto"/>
          </w:tcPr>
          <w:p w14:paraId="36CA4D38" w14:textId="77777777" w:rsidR="00787570" w:rsidRDefault="00787570">
            <w:pPr>
              <w:rPr>
                <w:rFonts w:ascii="宋体"/>
              </w:rPr>
            </w:pPr>
          </w:p>
        </w:tc>
        <w:tc>
          <w:tcPr>
            <w:tcW w:w="0" w:type="auto"/>
            <w:shd w:val="clear" w:color="auto" w:fill="auto"/>
          </w:tcPr>
          <w:p w14:paraId="36CA4D39" w14:textId="77777777" w:rsidR="00787570" w:rsidRDefault="00787570">
            <w:pPr>
              <w:rPr>
                <w:rFonts w:ascii="宋体"/>
              </w:rPr>
            </w:pPr>
          </w:p>
        </w:tc>
        <w:tc>
          <w:tcPr>
            <w:tcW w:w="0" w:type="auto"/>
            <w:shd w:val="clear" w:color="auto" w:fill="auto"/>
          </w:tcPr>
          <w:p w14:paraId="36CA4D3A" w14:textId="77777777" w:rsidR="00787570" w:rsidRDefault="00787570">
            <w:pPr>
              <w:rPr>
                <w:rFonts w:ascii="宋体"/>
              </w:rPr>
            </w:pPr>
          </w:p>
        </w:tc>
        <w:tc>
          <w:tcPr>
            <w:tcW w:w="0" w:type="auto"/>
            <w:shd w:val="clear" w:color="auto" w:fill="auto"/>
          </w:tcPr>
          <w:p w14:paraId="36CA4D3B" w14:textId="77777777" w:rsidR="00787570" w:rsidRDefault="00787570">
            <w:pPr>
              <w:rPr>
                <w:rFonts w:ascii="宋体"/>
              </w:rPr>
            </w:pPr>
          </w:p>
        </w:tc>
        <w:tc>
          <w:tcPr>
            <w:tcW w:w="0" w:type="auto"/>
            <w:shd w:val="clear" w:color="auto" w:fill="auto"/>
          </w:tcPr>
          <w:p w14:paraId="36CA4D3C" w14:textId="77777777" w:rsidR="00787570" w:rsidRDefault="00787570">
            <w:pPr>
              <w:rPr>
                <w:rFonts w:ascii="宋体"/>
              </w:rPr>
            </w:pPr>
          </w:p>
        </w:tc>
        <w:tc>
          <w:tcPr>
            <w:tcW w:w="0" w:type="auto"/>
            <w:shd w:val="clear" w:color="auto" w:fill="auto"/>
          </w:tcPr>
          <w:p w14:paraId="36CA4D3D" w14:textId="77777777" w:rsidR="00787570" w:rsidRDefault="00787570">
            <w:pPr>
              <w:rPr>
                <w:rFonts w:ascii="宋体"/>
              </w:rPr>
            </w:pPr>
          </w:p>
        </w:tc>
      </w:tr>
      <w:tr w:rsidR="00787570" w14:paraId="36CA4D64" w14:textId="77777777">
        <w:tc>
          <w:tcPr>
            <w:tcW w:w="0" w:type="auto"/>
            <w:gridSpan w:val="3"/>
            <w:shd w:val="clear" w:color="auto" w:fill="auto"/>
            <w:tcMar>
              <w:top w:w="40" w:type="dxa"/>
              <w:left w:w="20" w:type="dxa"/>
              <w:bottom w:w="40" w:type="dxa"/>
              <w:right w:w="20" w:type="dxa"/>
            </w:tcMar>
            <w:vAlign w:val="bottom"/>
          </w:tcPr>
          <w:p w14:paraId="36CA4D3F" w14:textId="77777777" w:rsidR="00787570" w:rsidRDefault="000D56E2">
            <w:pPr>
              <w:textAlignment w:val="bottom"/>
            </w:pPr>
            <w:r>
              <w:rPr>
                <w:rFonts w:ascii="Arial" w:eastAsia="宋体" w:hAnsi="Arial" w:cs="Arial"/>
                <w:color w:val="333333"/>
                <w:sz w:val="18"/>
                <w:szCs w:val="18"/>
              </w:rPr>
              <w:t>Marketing, general and administrative</w:t>
            </w:r>
          </w:p>
        </w:tc>
        <w:tc>
          <w:tcPr>
            <w:tcW w:w="0" w:type="auto"/>
            <w:gridSpan w:val="3"/>
            <w:shd w:val="clear" w:color="auto" w:fill="auto"/>
            <w:tcMar>
              <w:left w:w="20" w:type="dxa"/>
              <w:right w:w="20" w:type="dxa"/>
            </w:tcMar>
            <w:vAlign w:val="bottom"/>
          </w:tcPr>
          <w:p w14:paraId="36CA4D40"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4D41" w14:textId="77777777" w:rsidR="00787570" w:rsidRDefault="000D56E2">
            <w:pPr>
              <w:jc w:val="right"/>
              <w:textAlignment w:val="bottom"/>
            </w:pPr>
            <w:r>
              <w:rPr>
                <w:rFonts w:ascii="Arial" w:eastAsia="宋体" w:hAnsi="Arial" w:cs="Arial"/>
                <w:color w:val="0071C5"/>
                <w:sz w:val="18"/>
                <w:szCs w:val="18"/>
              </w:rPr>
              <w:t>1,435 </w:t>
            </w:r>
          </w:p>
        </w:tc>
        <w:tc>
          <w:tcPr>
            <w:tcW w:w="0" w:type="auto"/>
            <w:shd w:val="clear" w:color="auto" w:fill="auto"/>
            <w:tcMar>
              <w:top w:w="40" w:type="dxa"/>
              <w:bottom w:w="40" w:type="dxa"/>
              <w:right w:w="20" w:type="dxa"/>
            </w:tcMar>
            <w:vAlign w:val="bottom"/>
          </w:tcPr>
          <w:p w14:paraId="36CA4D42"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4D43"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4D44" w14:textId="77777777" w:rsidR="00787570" w:rsidRDefault="000D56E2">
            <w:pPr>
              <w:jc w:val="right"/>
              <w:textAlignment w:val="bottom"/>
            </w:pPr>
            <w:r>
              <w:rPr>
                <w:rFonts w:ascii="Arial" w:eastAsia="宋体" w:hAnsi="Arial" w:cs="Arial"/>
                <w:color w:val="0071C5"/>
                <w:sz w:val="18"/>
                <w:szCs w:val="18"/>
              </w:rPr>
              <w:t>7.8 </w:t>
            </w:r>
          </w:p>
        </w:tc>
        <w:tc>
          <w:tcPr>
            <w:tcW w:w="0" w:type="auto"/>
            <w:shd w:val="clear" w:color="auto" w:fill="auto"/>
            <w:tcMar>
              <w:top w:w="40" w:type="dxa"/>
              <w:bottom w:w="40" w:type="dxa"/>
              <w:right w:w="20" w:type="dxa"/>
            </w:tcMar>
            <w:vAlign w:val="bottom"/>
          </w:tcPr>
          <w:p w14:paraId="36CA4D45" w14:textId="77777777" w:rsidR="00787570" w:rsidRDefault="000D56E2">
            <w:pPr>
              <w:jc w:val="right"/>
              <w:textAlignment w:val="bottom"/>
            </w:pPr>
            <w:r>
              <w:rPr>
                <w:rFonts w:ascii="Arial" w:eastAsia="宋体" w:hAnsi="Arial" w:cs="Arial"/>
                <w:color w:val="0071C5"/>
                <w:sz w:val="18"/>
                <w:szCs w:val="18"/>
              </w:rPr>
              <w:t>%</w:t>
            </w:r>
          </w:p>
        </w:tc>
        <w:tc>
          <w:tcPr>
            <w:tcW w:w="0" w:type="auto"/>
            <w:gridSpan w:val="3"/>
            <w:shd w:val="clear" w:color="auto" w:fill="auto"/>
            <w:tcMar>
              <w:left w:w="20" w:type="dxa"/>
              <w:right w:w="20" w:type="dxa"/>
            </w:tcMar>
            <w:vAlign w:val="bottom"/>
          </w:tcPr>
          <w:p w14:paraId="36CA4D46"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4D47" w14:textId="77777777" w:rsidR="00787570" w:rsidRDefault="000D56E2">
            <w:pPr>
              <w:jc w:val="right"/>
              <w:textAlignment w:val="bottom"/>
            </w:pPr>
            <w:r>
              <w:rPr>
                <w:rFonts w:ascii="Arial" w:eastAsia="宋体" w:hAnsi="Arial" w:cs="Arial"/>
                <w:color w:val="333333"/>
                <w:sz w:val="18"/>
                <w:szCs w:val="18"/>
              </w:rPr>
              <w:t>1,536 </w:t>
            </w:r>
          </w:p>
        </w:tc>
        <w:tc>
          <w:tcPr>
            <w:tcW w:w="0" w:type="auto"/>
            <w:shd w:val="clear" w:color="auto" w:fill="auto"/>
            <w:tcMar>
              <w:top w:w="40" w:type="dxa"/>
              <w:bottom w:w="40" w:type="dxa"/>
              <w:right w:w="20" w:type="dxa"/>
            </w:tcMar>
            <w:vAlign w:val="bottom"/>
          </w:tcPr>
          <w:p w14:paraId="36CA4D48"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4D49"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4D4A" w14:textId="77777777" w:rsidR="00787570" w:rsidRDefault="000D56E2">
            <w:pPr>
              <w:jc w:val="right"/>
              <w:textAlignment w:val="bottom"/>
            </w:pPr>
            <w:r>
              <w:rPr>
                <w:rFonts w:ascii="Arial" w:eastAsia="宋体" w:hAnsi="Arial" w:cs="Arial"/>
                <w:color w:val="333333"/>
                <w:sz w:val="18"/>
                <w:szCs w:val="18"/>
              </w:rPr>
              <w:t>8.0 </w:t>
            </w:r>
          </w:p>
        </w:tc>
        <w:tc>
          <w:tcPr>
            <w:tcW w:w="0" w:type="auto"/>
            <w:shd w:val="clear" w:color="auto" w:fill="auto"/>
            <w:tcMar>
              <w:top w:w="40" w:type="dxa"/>
              <w:bottom w:w="40" w:type="dxa"/>
              <w:right w:w="20" w:type="dxa"/>
            </w:tcMar>
            <w:vAlign w:val="bottom"/>
          </w:tcPr>
          <w:p w14:paraId="36CA4D4B" w14:textId="77777777" w:rsidR="00787570" w:rsidRDefault="000D56E2">
            <w:pPr>
              <w:jc w:val="right"/>
              <w:textAlignment w:val="bottom"/>
            </w:pPr>
            <w:r>
              <w:rPr>
                <w:rFonts w:ascii="Arial" w:eastAsia="宋体" w:hAnsi="Arial" w:cs="Arial"/>
                <w:color w:val="333333"/>
                <w:sz w:val="18"/>
                <w:szCs w:val="18"/>
              </w:rPr>
              <w:t>%</w:t>
            </w:r>
          </w:p>
        </w:tc>
        <w:tc>
          <w:tcPr>
            <w:tcW w:w="0" w:type="auto"/>
            <w:gridSpan w:val="3"/>
            <w:shd w:val="clear" w:color="auto" w:fill="auto"/>
            <w:tcMar>
              <w:left w:w="20" w:type="dxa"/>
              <w:right w:w="20" w:type="dxa"/>
            </w:tcMar>
            <w:vAlign w:val="bottom"/>
          </w:tcPr>
          <w:p w14:paraId="36CA4D4C"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4D4D" w14:textId="77777777" w:rsidR="00787570" w:rsidRDefault="000D56E2">
            <w:pPr>
              <w:jc w:val="right"/>
              <w:textAlignment w:val="bottom"/>
            </w:pPr>
            <w:r>
              <w:rPr>
                <w:rFonts w:ascii="Arial" w:eastAsia="宋体" w:hAnsi="Arial" w:cs="Arial"/>
                <w:color w:val="0071C5"/>
                <w:sz w:val="18"/>
                <w:szCs w:val="18"/>
              </w:rPr>
              <w:t>4,423 </w:t>
            </w:r>
          </w:p>
        </w:tc>
        <w:tc>
          <w:tcPr>
            <w:tcW w:w="0" w:type="auto"/>
            <w:shd w:val="clear" w:color="auto" w:fill="auto"/>
            <w:tcMar>
              <w:top w:w="40" w:type="dxa"/>
              <w:bottom w:w="40" w:type="dxa"/>
              <w:right w:w="20" w:type="dxa"/>
            </w:tcMar>
            <w:vAlign w:val="bottom"/>
          </w:tcPr>
          <w:p w14:paraId="36CA4D4E"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4D4F"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4D50" w14:textId="77777777" w:rsidR="00787570" w:rsidRDefault="000D56E2">
            <w:pPr>
              <w:jc w:val="right"/>
              <w:textAlignment w:val="bottom"/>
            </w:pPr>
            <w:r>
              <w:rPr>
                <w:rFonts w:ascii="Arial" w:eastAsia="宋体" w:hAnsi="Arial" w:cs="Arial"/>
                <w:color w:val="0071C5"/>
                <w:sz w:val="18"/>
                <w:szCs w:val="18"/>
              </w:rPr>
              <w:t>7.6 </w:t>
            </w:r>
          </w:p>
        </w:tc>
        <w:tc>
          <w:tcPr>
            <w:tcW w:w="0" w:type="auto"/>
            <w:shd w:val="clear" w:color="auto" w:fill="auto"/>
            <w:tcMar>
              <w:top w:w="40" w:type="dxa"/>
              <w:bottom w:w="40" w:type="dxa"/>
              <w:right w:w="20" w:type="dxa"/>
            </w:tcMar>
            <w:vAlign w:val="bottom"/>
          </w:tcPr>
          <w:p w14:paraId="36CA4D51" w14:textId="77777777" w:rsidR="00787570" w:rsidRDefault="000D56E2">
            <w:pPr>
              <w:jc w:val="right"/>
              <w:textAlignment w:val="bottom"/>
            </w:pPr>
            <w:r>
              <w:rPr>
                <w:rFonts w:ascii="Arial" w:eastAsia="宋体" w:hAnsi="Arial" w:cs="Arial"/>
                <w:color w:val="0071C5"/>
                <w:sz w:val="18"/>
                <w:szCs w:val="18"/>
              </w:rPr>
              <w:t>%</w:t>
            </w:r>
          </w:p>
        </w:tc>
        <w:tc>
          <w:tcPr>
            <w:tcW w:w="0" w:type="auto"/>
            <w:gridSpan w:val="3"/>
            <w:shd w:val="clear" w:color="auto" w:fill="auto"/>
            <w:tcMar>
              <w:left w:w="20" w:type="dxa"/>
              <w:right w:w="20" w:type="dxa"/>
            </w:tcMar>
            <w:vAlign w:val="bottom"/>
          </w:tcPr>
          <w:p w14:paraId="36CA4D52"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4D53" w14:textId="77777777" w:rsidR="00787570" w:rsidRDefault="000D56E2">
            <w:pPr>
              <w:jc w:val="right"/>
              <w:textAlignment w:val="bottom"/>
            </w:pPr>
            <w:r>
              <w:rPr>
                <w:rFonts w:ascii="Arial" w:eastAsia="宋体" w:hAnsi="Arial" w:cs="Arial"/>
                <w:color w:val="333333"/>
                <w:sz w:val="18"/>
                <w:szCs w:val="18"/>
              </w:rPr>
              <w:t>4,758 </w:t>
            </w:r>
          </w:p>
        </w:tc>
        <w:tc>
          <w:tcPr>
            <w:tcW w:w="0" w:type="auto"/>
            <w:shd w:val="clear" w:color="auto" w:fill="auto"/>
            <w:tcMar>
              <w:top w:w="40" w:type="dxa"/>
              <w:bottom w:w="40" w:type="dxa"/>
              <w:right w:w="20" w:type="dxa"/>
            </w:tcMar>
            <w:vAlign w:val="bottom"/>
          </w:tcPr>
          <w:p w14:paraId="36CA4D54"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4D55"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4D56" w14:textId="77777777" w:rsidR="00787570" w:rsidRDefault="000D56E2">
            <w:pPr>
              <w:jc w:val="right"/>
              <w:textAlignment w:val="bottom"/>
            </w:pPr>
            <w:r>
              <w:rPr>
                <w:rFonts w:ascii="Arial" w:eastAsia="宋体" w:hAnsi="Arial" w:cs="Arial"/>
                <w:color w:val="333333"/>
                <w:sz w:val="18"/>
                <w:szCs w:val="18"/>
              </w:rPr>
              <w:t>9.2 </w:t>
            </w:r>
          </w:p>
        </w:tc>
        <w:tc>
          <w:tcPr>
            <w:tcW w:w="0" w:type="auto"/>
            <w:shd w:val="clear" w:color="auto" w:fill="auto"/>
            <w:tcMar>
              <w:top w:w="40" w:type="dxa"/>
              <w:bottom w:w="40" w:type="dxa"/>
              <w:right w:w="20" w:type="dxa"/>
            </w:tcMar>
            <w:vAlign w:val="bottom"/>
          </w:tcPr>
          <w:p w14:paraId="36CA4D57" w14:textId="77777777" w:rsidR="00787570" w:rsidRDefault="000D56E2">
            <w:pPr>
              <w:jc w:val="right"/>
              <w:textAlignment w:val="bottom"/>
            </w:pPr>
            <w:r>
              <w:rPr>
                <w:rFonts w:ascii="Arial" w:eastAsia="宋体" w:hAnsi="Arial" w:cs="Arial"/>
                <w:color w:val="333333"/>
                <w:sz w:val="18"/>
                <w:szCs w:val="18"/>
              </w:rPr>
              <w:t>%</w:t>
            </w:r>
          </w:p>
        </w:tc>
        <w:tc>
          <w:tcPr>
            <w:tcW w:w="0" w:type="auto"/>
            <w:shd w:val="clear" w:color="auto" w:fill="auto"/>
          </w:tcPr>
          <w:p w14:paraId="36CA4D58" w14:textId="77777777" w:rsidR="00787570" w:rsidRDefault="00787570">
            <w:pPr>
              <w:rPr>
                <w:rFonts w:ascii="宋体"/>
              </w:rPr>
            </w:pPr>
          </w:p>
        </w:tc>
        <w:tc>
          <w:tcPr>
            <w:tcW w:w="0" w:type="auto"/>
            <w:shd w:val="clear" w:color="auto" w:fill="auto"/>
          </w:tcPr>
          <w:p w14:paraId="36CA4D59" w14:textId="77777777" w:rsidR="00787570" w:rsidRDefault="00787570">
            <w:pPr>
              <w:rPr>
                <w:rFonts w:ascii="宋体"/>
              </w:rPr>
            </w:pPr>
          </w:p>
        </w:tc>
        <w:tc>
          <w:tcPr>
            <w:tcW w:w="0" w:type="auto"/>
            <w:shd w:val="clear" w:color="auto" w:fill="auto"/>
          </w:tcPr>
          <w:p w14:paraId="36CA4D5A" w14:textId="77777777" w:rsidR="00787570" w:rsidRDefault="00787570">
            <w:pPr>
              <w:rPr>
                <w:rFonts w:ascii="宋体"/>
              </w:rPr>
            </w:pPr>
          </w:p>
        </w:tc>
        <w:tc>
          <w:tcPr>
            <w:tcW w:w="0" w:type="auto"/>
            <w:shd w:val="clear" w:color="auto" w:fill="auto"/>
          </w:tcPr>
          <w:p w14:paraId="36CA4D5B" w14:textId="77777777" w:rsidR="00787570" w:rsidRDefault="00787570">
            <w:pPr>
              <w:rPr>
                <w:rFonts w:ascii="宋体"/>
              </w:rPr>
            </w:pPr>
          </w:p>
        </w:tc>
        <w:tc>
          <w:tcPr>
            <w:tcW w:w="0" w:type="auto"/>
            <w:shd w:val="clear" w:color="auto" w:fill="auto"/>
          </w:tcPr>
          <w:p w14:paraId="36CA4D5C" w14:textId="77777777" w:rsidR="00787570" w:rsidRDefault="00787570">
            <w:pPr>
              <w:rPr>
                <w:rFonts w:ascii="宋体"/>
              </w:rPr>
            </w:pPr>
          </w:p>
        </w:tc>
        <w:tc>
          <w:tcPr>
            <w:tcW w:w="0" w:type="auto"/>
            <w:shd w:val="clear" w:color="auto" w:fill="auto"/>
          </w:tcPr>
          <w:p w14:paraId="36CA4D5D" w14:textId="77777777" w:rsidR="00787570" w:rsidRDefault="00787570">
            <w:pPr>
              <w:rPr>
                <w:rFonts w:ascii="宋体"/>
              </w:rPr>
            </w:pPr>
          </w:p>
        </w:tc>
        <w:tc>
          <w:tcPr>
            <w:tcW w:w="0" w:type="auto"/>
            <w:shd w:val="clear" w:color="auto" w:fill="auto"/>
          </w:tcPr>
          <w:p w14:paraId="36CA4D5E" w14:textId="77777777" w:rsidR="00787570" w:rsidRDefault="00787570">
            <w:pPr>
              <w:rPr>
                <w:rFonts w:ascii="宋体"/>
              </w:rPr>
            </w:pPr>
          </w:p>
        </w:tc>
        <w:tc>
          <w:tcPr>
            <w:tcW w:w="0" w:type="auto"/>
            <w:shd w:val="clear" w:color="auto" w:fill="auto"/>
          </w:tcPr>
          <w:p w14:paraId="36CA4D5F" w14:textId="77777777" w:rsidR="00787570" w:rsidRDefault="00787570">
            <w:pPr>
              <w:rPr>
                <w:rFonts w:ascii="宋体"/>
              </w:rPr>
            </w:pPr>
          </w:p>
        </w:tc>
        <w:tc>
          <w:tcPr>
            <w:tcW w:w="0" w:type="auto"/>
            <w:shd w:val="clear" w:color="auto" w:fill="auto"/>
          </w:tcPr>
          <w:p w14:paraId="36CA4D60" w14:textId="77777777" w:rsidR="00787570" w:rsidRDefault="00787570">
            <w:pPr>
              <w:rPr>
                <w:rFonts w:ascii="宋体"/>
              </w:rPr>
            </w:pPr>
          </w:p>
        </w:tc>
        <w:tc>
          <w:tcPr>
            <w:tcW w:w="0" w:type="auto"/>
            <w:shd w:val="clear" w:color="auto" w:fill="auto"/>
          </w:tcPr>
          <w:p w14:paraId="36CA4D61" w14:textId="77777777" w:rsidR="00787570" w:rsidRDefault="00787570">
            <w:pPr>
              <w:rPr>
                <w:rFonts w:ascii="宋体"/>
              </w:rPr>
            </w:pPr>
          </w:p>
        </w:tc>
        <w:tc>
          <w:tcPr>
            <w:tcW w:w="0" w:type="auto"/>
            <w:shd w:val="clear" w:color="auto" w:fill="auto"/>
          </w:tcPr>
          <w:p w14:paraId="36CA4D62" w14:textId="77777777" w:rsidR="00787570" w:rsidRDefault="00787570">
            <w:pPr>
              <w:rPr>
                <w:rFonts w:ascii="宋体"/>
              </w:rPr>
            </w:pPr>
          </w:p>
        </w:tc>
        <w:tc>
          <w:tcPr>
            <w:tcW w:w="0" w:type="auto"/>
            <w:shd w:val="clear" w:color="auto" w:fill="auto"/>
          </w:tcPr>
          <w:p w14:paraId="36CA4D63" w14:textId="77777777" w:rsidR="00787570" w:rsidRDefault="00787570">
            <w:pPr>
              <w:rPr>
                <w:rFonts w:ascii="宋体"/>
              </w:rPr>
            </w:pPr>
          </w:p>
        </w:tc>
      </w:tr>
      <w:tr w:rsidR="00787570" w14:paraId="36CA4D8A" w14:textId="77777777">
        <w:tc>
          <w:tcPr>
            <w:tcW w:w="0" w:type="auto"/>
            <w:gridSpan w:val="3"/>
            <w:shd w:val="clear" w:color="auto" w:fill="auto"/>
            <w:tcMar>
              <w:top w:w="40" w:type="dxa"/>
              <w:left w:w="20" w:type="dxa"/>
              <w:bottom w:w="40" w:type="dxa"/>
              <w:right w:w="20" w:type="dxa"/>
            </w:tcMar>
          </w:tcPr>
          <w:p w14:paraId="36CA4D65" w14:textId="77777777" w:rsidR="00787570" w:rsidRDefault="000D56E2">
            <w:pPr>
              <w:ind w:hanging="180"/>
              <w:textAlignment w:val="top"/>
            </w:pPr>
            <w:r>
              <w:rPr>
                <w:rFonts w:ascii="Arial" w:eastAsia="宋体" w:hAnsi="Arial" w:cs="Arial"/>
                <w:color w:val="333333"/>
                <w:sz w:val="18"/>
                <w:szCs w:val="18"/>
              </w:rPr>
              <w:t>Restructuring and other charges</w:t>
            </w:r>
          </w:p>
        </w:tc>
        <w:tc>
          <w:tcPr>
            <w:tcW w:w="0" w:type="auto"/>
            <w:gridSpan w:val="3"/>
            <w:shd w:val="clear" w:color="auto" w:fill="auto"/>
            <w:tcMar>
              <w:left w:w="20" w:type="dxa"/>
              <w:right w:w="20" w:type="dxa"/>
            </w:tcMar>
            <w:vAlign w:val="bottom"/>
          </w:tcPr>
          <w:p w14:paraId="36CA4D66"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4D67" w14:textId="77777777" w:rsidR="00787570" w:rsidRDefault="000D56E2">
            <w:pPr>
              <w:jc w:val="right"/>
              <w:textAlignment w:val="bottom"/>
            </w:pPr>
            <w:r>
              <w:rPr>
                <w:rFonts w:ascii="Arial" w:eastAsia="宋体" w:hAnsi="Arial" w:cs="Arial"/>
                <w:color w:val="0071C5"/>
                <w:sz w:val="18"/>
                <w:szCs w:val="18"/>
              </w:rPr>
              <w:t>(25)</w:t>
            </w:r>
          </w:p>
        </w:tc>
        <w:tc>
          <w:tcPr>
            <w:tcW w:w="0" w:type="auto"/>
            <w:shd w:val="clear" w:color="auto" w:fill="auto"/>
            <w:tcMar>
              <w:top w:w="40" w:type="dxa"/>
              <w:bottom w:w="40" w:type="dxa"/>
              <w:right w:w="20" w:type="dxa"/>
            </w:tcMar>
            <w:vAlign w:val="bottom"/>
          </w:tcPr>
          <w:p w14:paraId="36CA4D68"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4D69"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4D6A" w14:textId="77777777" w:rsidR="00787570" w:rsidRDefault="000D56E2">
            <w:pPr>
              <w:jc w:val="right"/>
              <w:textAlignment w:val="bottom"/>
            </w:pPr>
            <w:r>
              <w:rPr>
                <w:rFonts w:ascii="Arial" w:eastAsia="宋体" w:hAnsi="Arial" w:cs="Arial"/>
                <w:color w:val="0071C5"/>
                <w:sz w:val="18"/>
                <w:szCs w:val="18"/>
              </w:rPr>
              <w:t>(0.1)</w:t>
            </w:r>
          </w:p>
        </w:tc>
        <w:tc>
          <w:tcPr>
            <w:tcW w:w="0" w:type="auto"/>
            <w:shd w:val="clear" w:color="auto" w:fill="auto"/>
            <w:tcMar>
              <w:top w:w="40" w:type="dxa"/>
              <w:bottom w:w="40" w:type="dxa"/>
              <w:right w:w="20" w:type="dxa"/>
            </w:tcMar>
            <w:vAlign w:val="bottom"/>
          </w:tcPr>
          <w:p w14:paraId="36CA4D6B" w14:textId="77777777" w:rsidR="00787570" w:rsidRDefault="000D56E2">
            <w:pPr>
              <w:jc w:val="right"/>
              <w:textAlignment w:val="bottom"/>
            </w:pPr>
            <w:r>
              <w:rPr>
                <w:rFonts w:ascii="Arial" w:eastAsia="宋体" w:hAnsi="Arial" w:cs="Arial"/>
                <w:color w:val="0071C5"/>
                <w:sz w:val="18"/>
                <w:szCs w:val="18"/>
              </w:rPr>
              <w:t>%</w:t>
            </w:r>
          </w:p>
        </w:tc>
        <w:tc>
          <w:tcPr>
            <w:tcW w:w="0" w:type="auto"/>
            <w:gridSpan w:val="3"/>
            <w:shd w:val="clear" w:color="auto" w:fill="auto"/>
            <w:tcMar>
              <w:left w:w="20" w:type="dxa"/>
              <w:right w:w="20" w:type="dxa"/>
            </w:tcMar>
            <w:vAlign w:val="bottom"/>
          </w:tcPr>
          <w:p w14:paraId="36CA4D6C"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4D6D" w14:textId="77777777" w:rsidR="00787570" w:rsidRDefault="000D56E2">
            <w:pPr>
              <w:jc w:val="right"/>
              <w:textAlignment w:val="bottom"/>
            </w:pPr>
            <w:r>
              <w:rPr>
                <w:rFonts w:ascii="Arial" w:eastAsia="宋体" w:hAnsi="Arial" w:cs="Arial"/>
                <w:color w:val="333333"/>
                <w:sz w:val="18"/>
                <w:szCs w:val="18"/>
              </w:rPr>
              <w:t>104 </w:t>
            </w:r>
          </w:p>
        </w:tc>
        <w:tc>
          <w:tcPr>
            <w:tcW w:w="0" w:type="auto"/>
            <w:shd w:val="clear" w:color="auto" w:fill="auto"/>
            <w:tcMar>
              <w:top w:w="40" w:type="dxa"/>
              <w:bottom w:w="40" w:type="dxa"/>
              <w:right w:w="20" w:type="dxa"/>
            </w:tcMar>
            <w:vAlign w:val="bottom"/>
          </w:tcPr>
          <w:p w14:paraId="36CA4D6E"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4D6F"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4D70" w14:textId="77777777" w:rsidR="00787570" w:rsidRDefault="000D56E2">
            <w:pPr>
              <w:jc w:val="right"/>
              <w:textAlignment w:val="bottom"/>
            </w:pPr>
            <w:r>
              <w:rPr>
                <w:rFonts w:ascii="Arial" w:eastAsia="宋体" w:hAnsi="Arial" w:cs="Arial"/>
                <w:color w:val="333333"/>
                <w:sz w:val="18"/>
                <w:szCs w:val="18"/>
              </w:rPr>
              <w:t>0.5 </w:t>
            </w:r>
          </w:p>
        </w:tc>
        <w:tc>
          <w:tcPr>
            <w:tcW w:w="0" w:type="auto"/>
            <w:shd w:val="clear" w:color="auto" w:fill="auto"/>
            <w:tcMar>
              <w:top w:w="40" w:type="dxa"/>
              <w:bottom w:w="40" w:type="dxa"/>
              <w:right w:w="20" w:type="dxa"/>
            </w:tcMar>
            <w:vAlign w:val="bottom"/>
          </w:tcPr>
          <w:p w14:paraId="36CA4D71" w14:textId="77777777" w:rsidR="00787570" w:rsidRDefault="000D56E2">
            <w:pPr>
              <w:jc w:val="right"/>
              <w:textAlignment w:val="bottom"/>
            </w:pPr>
            <w:r>
              <w:rPr>
                <w:rFonts w:ascii="Arial" w:eastAsia="宋体" w:hAnsi="Arial" w:cs="Arial"/>
                <w:color w:val="333333"/>
                <w:sz w:val="18"/>
                <w:szCs w:val="18"/>
              </w:rPr>
              <w:t>%</w:t>
            </w:r>
          </w:p>
        </w:tc>
        <w:tc>
          <w:tcPr>
            <w:tcW w:w="0" w:type="auto"/>
            <w:gridSpan w:val="3"/>
            <w:shd w:val="clear" w:color="auto" w:fill="auto"/>
            <w:tcMar>
              <w:left w:w="20" w:type="dxa"/>
              <w:right w:w="20" w:type="dxa"/>
            </w:tcMar>
            <w:vAlign w:val="bottom"/>
          </w:tcPr>
          <w:p w14:paraId="36CA4D72"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4D73" w14:textId="77777777" w:rsidR="00787570" w:rsidRDefault="000D56E2">
            <w:pPr>
              <w:jc w:val="right"/>
              <w:textAlignment w:val="bottom"/>
            </w:pPr>
            <w:r>
              <w:rPr>
                <w:rFonts w:ascii="Arial" w:eastAsia="宋体" w:hAnsi="Arial" w:cs="Arial"/>
                <w:color w:val="0071C5"/>
                <w:sz w:val="18"/>
                <w:szCs w:val="18"/>
              </w:rPr>
              <w:t>146 </w:t>
            </w:r>
          </w:p>
        </w:tc>
        <w:tc>
          <w:tcPr>
            <w:tcW w:w="0" w:type="auto"/>
            <w:shd w:val="clear" w:color="auto" w:fill="auto"/>
            <w:tcMar>
              <w:top w:w="40" w:type="dxa"/>
              <w:bottom w:w="40" w:type="dxa"/>
              <w:right w:w="20" w:type="dxa"/>
            </w:tcMar>
            <w:vAlign w:val="bottom"/>
          </w:tcPr>
          <w:p w14:paraId="36CA4D74"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4D75"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4D76" w14:textId="77777777" w:rsidR="00787570" w:rsidRDefault="000D56E2">
            <w:pPr>
              <w:jc w:val="right"/>
              <w:textAlignment w:val="bottom"/>
            </w:pPr>
            <w:r>
              <w:rPr>
                <w:rFonts w:ascii="Arial" w:eastAsia="宋体" w:hAnsi="Arial" w:cs="Arial"/>
                <w:color w:val="0071C5"/>
                <w:sz w:val="18"/>
                <w:szCs w:val="18"/>
              </w:rPr>
              <w:t>0.3 </w:t>
            </w:r>
          </w:p>
        </w:tc>
        <w:tc>
          <w:tcPr>
            <w:tcW w:w="0" w:type="auto"/>
            <w:shd w:val="clear" w:color="auto" w:fill="auto"/>
            <w:tcMar>
              <w:top w:w="40" w:type="dxa"/>
              <w:bottom w:w="40" w:type="dxa"/>
              <w:right w:w="20" w:type="dxa"/>
            </w:tcMar>
            <w:vAlign w:val="bottom"/>
          </w:tcPr>
          <w:p w14:paraId="36CA4D77" w14:textId="77777777" w:rsidR="00787570" w:rsidRDefault="000D56E2">
            <w:pPr>
              <w:jc w:val="right"/>
              <w:textAlignment w:val="bottom"/>
            </w:pPr>
            <w:r>
              <w:rPr>
                <w:rFonts w:ascii="Arial" w:eastAsia="宋体" w:hAnsi="Arial" w:cs="Arial"/>
                <w:color w:val="0071C5"/>
                <w:sz w:val="18"/>
                <w:szCs w:val="18"/>
              </w:rPr>
              <w:t>%</w:t>
            </w:r>
          </w:p>
        </w:tc>
        <w:tc>
          <w:tcPr>
            <w:tcW w:w="0" w:type="auto"/>
            <w:gridSpan w:val="3"/>
            <w:shd w:val="clear" w:color="auto" w:fill="auto"/>
            <w:tcMar>
              <w:left w:w="20" w:type="dxa"/>
              <w:right w:w="20" w:type="dxa"/>
            </w:tcMar>
            <w:vAlign w:val="bottom"/>
          </w:tcPr>
          <w:p w14:paraId="36CA4D78"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4D79" w14:textId="77777777" w:rsidR="00787570" w:rsidRDefault="000D56E2">
            <w:pPr>
              <w:jc w:val="right"/>
              <w:textAlignment w:val="bottom"/>
            </w:pPr>
            <w:r>
              <w:rPr>
                <w:rFonts w:ascii="Arial" w:eastAsia="宋体" w:hAnsi="Arial" w:cs="Arial"/>
                <w:color w:val="333333"/>
                <w:sz w:val="18"/>
                <w:szCs w:val="18"/>
              </w:rPr>
              <w:t>288 </w:t>
            </w:r>
          </w:p>
        </w:tc>
        <w:tc>
          <w:tcPr>
            <w:tcW w:w="0" w:type="auto"/>
            <w:shd w:val="clear" w:color="auto" w:fill="auto"/>
            <w:tcMar>
              <w:top w:w="40" w:type="dxa"/>
              <w:bottom w:w="40" w:type="dxa"/>
              <w:right w:w="20" w:type="dxa"/>
            </w:tcMar>
            <w:vAlign w:val="bottom"/>
          </w:tcPr>
          <w:p w14:paraId="36CA4D7A"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4D7B"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4D7C" w14:textId="77777777" w:rsidR="00787570" w:rsidRDefault="000D56E2">
            <w:pPr>
              <w:jc w:val="right"/>
              <w:textAlignment w:val="bottom"/>
            </w:pPr>
            <w:r>
              <w:rPr>
                <w:rFonts w:ascii="Arial" w:eastAsia="宋体" w:hAnsi="Arial" w:cs="Arial"/>
                <w:color w:val="333333"/>
                <w:sz w:val="18"/>
                <w:szCs w:val="18"/>
              </w:rPr>
              <w:t>0.6 </w:t>
            </w:r>
          </w:p>
        </w:tc>
        <w:tc>
          <w:tcPr>
            <w:tcW w:w="0" w:type="auto"/>
            <w:shd w:val="clear" w:color="auto" w:fill="auto"/>
            <w:tcMar>
              <w:top w:w="40" w:type="dxa"/>
              <w:bottom w:w="40" w:type="dxa"/>
              <w:right w:w="20" w:type="dxa"/>
            </w:tcMar>
            <w:vAlign w:val="bottom"/>
          </w:tcPr>
          <w:p w14:paraId="36CA4D7D" w14:textId="77777777" w:rsidR="00787570" w:rsidRDefault="000D56E2">
            <w:pPr>
              <w:jc w:val="right"/>
              <w:textAlignment w:val="bottom"/>
            </w:pPr>
            <w:r>
              <w:rPr>
                <w:rFonts w:ascii="Arial" w:eastAsia="宋体" w:hAnsi="Arial" w:cs="Arial"/>
                <w:color w:val="333333"/>
                <w:sz w:val="18"/>
                <w:szCs w:val="18"/>
              </w:rPr>
              <w:t>%</w:t>
            </w:r>
          </w:p>
        </w:tc>
        <w:tc>
          <w:tcPr>
            <w:tcW w:w="0" w:type="auto"/>
            <w:shd w:val="clear" w:color="auto" w:fill="auto"/>
          </w:tcPr>
          <w:p w14:paraId="36CA4D7E" w14:textId="77777777" w:rsidR="00787570" w:rsidRDefault="00787570">
            <w:pPr>
              <w:rPr>
                <w:rFonts w:ascii="宋体"/>
              </w:rPr>
            </w:pPr>
          </w:p>
        </w:tc>
        <w:tc>
          <w:tcPr>
            <w:tcW w:w="0" w:type="auto"/>
            <w:shd w:val="clear" w:color="auto" w:fill="auto"/>
          </w:tcPr>
          <w:p w14:paraId="36CA4D7F" w14:textId="77777777" w:rsidR="00787570" w:rsidRDefault="00787570">
            <w:pPr>
              <w:rPr>
                <w:rFonts w:ascii="宋体"/>
              </w:rPr>
            </w:pPr>
          </w:p>
        </w:tc>
        <w:tc>
          <w:tcPr>
            <w:tcW w:w="0" w:type="auto"/>
            <w:shd w:val="clear" w:color="auto" w:fill="auto"/>
          </w:tcPr>
          <w:p w14:paraId="36CA4D80" w14:textId="77777777" w:rsidR="00787570" w:rsidRDefault="00787570">
            <w:pPr>
              <w:rPr>
                <w:rFonts w:ascii="宋体"/>
              </w:rPr>
            </w:pPr>
          </w:p>
        </w:tc>
        <w:tc>
          <w:tcPr>
            <w:tcW w:w="0" w:type="auto"/>
            <w:shd w:val="clear" w:color="auto" w:fill="auto"/>
          </w:tcPr>
          <w:p w14:paraId="36CA4D81" w14:textId="77777777" w:rsidR="00787570" w:rsidRDefault="00787570">
            <w:pPr>
              <w:rPr>
                <w:rFonts w:ascii="宋体"/>
              </w:rPr>
            </w:pPr>
          </w:p>
        </w:tc>
        <w:tc>
          <w:tcPr>
            <w:tcW w:w="0" w:type="auto"/>
            <w:shd w:val="clear" w:color="auto" w:fill="auto"/>
          </w:tcPr>
          <w:p w14:paraId="36CA4D82" w14:textId="77777777" w:rsidR="00787570" w:rsidRDefault="00787570">
            <w:pPr>
              <w:rPr>
                <w:rFonts w:ascii="宋体"/>
              </w:rPr>
            </w:pPr>
          </w:p>
        </w:tc>
        <w:tc>
          <w:tcPr>
            <w:tcW w:w="0" w:type="auto"/>
            <w:shd w:val="clear" w:color="auto" w:fill="auto"/>
          </w:tcPr>
          <w:p w14:paraId="36CA4D83" w14:textId="77777777" w:rsidR="00787570" w:rsidRDefault="00787570">
            <w:pPr>
              <w:rPr>
                <w:rFonts w:ascii="宋体"/>
              </w:rPr>
            </w:pPr>
          </w:p>
        </w:tc>
        <w:tc>
          <w:tcPr>
            <w:tcW w:w="0" w:type="auto"/>
            <w:shd w:val="clear" w:color="auto" w:fill="auto"/>
          </w:tcPr>
          <w:p w14:paraId="36CA4D84" w14:textId="77777777" w:rsidR="00787570" w:rsidRDefault="00787570">
            <w:pPr>
              <w:rPr>
                <w:rFonts w:ascii="宋体"/>
              </w:rPr>
            </w:pPr>
          </w:p>
        </w:tc>
        <w:tc>
          <w:tcPr>
            <w:tcW w:w="0" w:type="auto"/>
            <w:shd w:val="clear" w:color="auto" w:fill="auto"/>
          </w:tcPr>
          <w:p w14:paraId="36CA4D85" w14:textId="77777777" w:rsidR="00787570" w:rsidRDefault="00787570">
            <w:pPr>
              <w:rPr>
                <w:rFonts w:ascii="宋体"/>
              </w:rPr>
            </w:pPr>
          </w:p>
        </w:tc>
        <w:tc>
          <w:tcPr>
            <w:tcW w:w="0" w:type="auto"/>
            <w:shd w:val="clear" w:color="auto" w:fill="auto"/>
          </w:tcPr>
          <w:p w14:paraId="36CA4D86" w14:textId="77777777" w:rsidR="00787570" w:rsidRDefault="00787570">
            <w:pPr>
              <w:rPr>
                <w:rFonts w:ascii="宋体"/>
              </w:rPr>
            </w:pPr>
          </w:p>
        </w:tc>
        <w:tc>
          <w:tcPr>
            <w:tcW w:w="0" w:type="auto"/>
            <w:shd w:val="clear" w:color="auto" w:fill="auto"/>
          </w:tcPr>
          <w:p w14:paraId="36CA4D87" w14:textId="77777777" w:rsidR="00787570" w:rsidRDefault="00787570">
            <w:pPr>
              <w:rPr>
                <w:rFonts w:ascii="宋体"/>
              </w:rPr>
            </w:pPr>
          </w:p>
        </w:tc>
        <w:tc>
          <w:tcPr>
            <w:tcW w:w="0" w:type="auto"/>
            <w:shd w:val="clear" w:color="auto" w:fill="auto"/>
          </w:tcPr>
          <w:p w14:paraId="36CA4D88" w14:textId="77777777" w:rsidR="00787570" w:rsidRDefault="00787570">
            <w:pPr>
              <w:rPr>
                <w:rFonts w:ascii="宋体"/>
              </w:rPr>
            </w:pPr>
          </w:p>
        </w:tc>
        <w:tc>
          <w:tcPr>
            <w:tcW w:w="0" w:type="auto"/>
            <w:shd w:val="clear" w:color="auto" w:fill="auto"/>
          </w:tcPr>
          <w:p w14:paraId="36CA4D89" w14:textId="77777777" w:rsidR="00787570" w:rsidRDefault="00787570">
            <w:pPr>
              <w:rPr>
                <w:rFonts w:ascii="宋体"/>
              </w:rPr>
            </w:pPr>
          </w:p>
        </w:tc>
      </w:tr>
      <w:tr w:rsidR="00787570" w14:paraId="36CA4DB0" w14:textId="77777777">
        <w:tc>
          <w:tcPr>
            <w:tcW w:w="0" w:type="auto"/>
            <w:gridSpan w:val="3"/>
            <w:shd w:val="clear" w:color="auto" w:fill="auto"/>
            <w:tcMar>
              <w:top w:w="40" w:type="dxa"/>
              <w:left w:w="20" w:type="dxa"/>
              <w:bottom w:w="40" w:type="dxa"/>
              <w:right w:w="20" w:type="dxa"/>
            </w:tcMar>
          </w:tcPr>
          <w:p w14:paraId="36CA4D8B" w14:textId="77777777" w:rsidR="00787570" w:rsidRDefault="000D56E2">
            <w:pPr>
              <w:ind w:hanging="180"/>
              <w:textAlignment w:val="top"/>
            </w:pPr>
            <w:r>
              <w:rPr>
                <w:rFonts w:ascii="Arial" w:eastAsia="宋体" w:hAnsi="Arial" w:cs="Arial"/>
                <w:b/>
                <w:bCs/>
                <w:color w:val="333333"/>
                <w:sz w:val="18"/>
                <w:szCs w:val="18"/>
              </w:rPr>
              <w:t>Operating income</w:t>
            </w:r>
          </w:p>
        </w:tc>
        <w:tc>
          <w:tcPr>
            <w:tcW w:w="0" w:type="auto"/>
            <w:gridSpan w:val="3"/>
            <w:shd w:val="clear" w:color="auto" w:fill="auto"/>
            <w:tcMar>
              <w:left w:w="20" w:type="dxa"/>
              <w:right w:w="20" w:type="dxa"/>
            </w:tcMar>
            <w:vAlign w:val="bottom"/>
          </w:tcPr>
          <w:p w14:paraId="36CA4D8C" w14:textId="77777777" w:rsidR="00787570" w:rsidRDefault="00787570">
            <w:pPr>
              <w:rPr>
                <w:rFonts w:ascii="宋体"/>
              </w:rPr>
            </w:pPr>
          </w:p>
        </w:tc>
        <w:tc>
          <w:tcPr>
            <w:tcW w:w="0" w:type="auto"/>
            <w:gridSpan w:val="2"/>
            <w:tcBorders>
              <w:top w:val="single" w:sz="8" w:space="0" w:color="333333"/>
            </w:tcBorders>
            <w:shd w:val="clear" w:color="auto" w:fill="auto"/>
            <w:tcMar>
              <w:top w:w="40" w:type="dxa"/>
              <w:left w:w="20" w:type="dxa"/>
              <w:bottom w:w="40" w:type="dxa"/>
              <w:right w:w="0" w:type="dxa"/>
            </w:tcMar>
            <w:vAlign w:val="bottom"/>
          </w:tcPr>
          <w:p w14:paraId="36CA4D8D" w14:textId="77777777" w:rsidR="00787570" w:rsidRDefault="000D56E2">
            <w:pPr>
              <w:jc w:val="right"/>
              <w:textAlignment w:val="bottom"/>
            </w:pPr>
            <w:r>
              <w:rPr>
                <w:rFonts w:ascii="Arial" w:eastAsia="宋体" w:hAnsi="Arial" w:cs="Arial"/>
                <w:b/>
                <w:bCs/>
                <w:color w:val="0071C5"/>
                <w:sz w:val="18"/>
                <w:szCs w:val="18"/>
              </w:rPr>
              <w:t>5,059</w:t>
            </w:r>
            <w:r>
              <w:rPr>
                <w:rFonts w:ascii="Arial" w:eastAsia="宋体" w:hAnsi="Arial" w:cs="Arial"/>
                <w:color w:val="0071C5"/>
                <w:sz w:val="18"/>
                <w:szCs w:val="18"/>
              </w:rPr>
              <w:t> </w:t>
            </w:r>
          </w:p>
        </w:tc>
        <w:tc>
          <w:tcPr>
            <w:tcW w:w="0" w:type="auto"/>
            <w:tcBorders>
              <w:top w:val="single" w:sz="8" w:space="0" w:color="333333"/>
            </w:tcBorders>
            <w:shd w:val="clear" w:color="auto" w:fill="auto"/>
            <w:tcMar>
              <w:top w:w="40" w:type="dxa"/>
              <w:bottom w:w="40" w:type="dxa"/>
              <w:right w:w="20" w:type="dxa"/>
            </w:tcMar>
            <w:vAlign w:val="bottom"/>
          </w:tcPr>
          <w:p w14:paraId="36CA4D8E"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4D8F" w14:textId="77777777" w:rsidR="00787570" w:rsidRDefault="00787570">
            <w:pPr>
              <w:rPr>
                <w:rFonts w:ascii="宋体"/>
              </w:rPr>
            </w:pPr>
          </w:p>
        </w:tc>
        <w:tc>
          <w:tcPr>
            <w:tcW w:w="0" w:type="auto"/>
            <w:gridSpan w:val="2"/>
            <w:tcBorders>
              <w:top w:val="single" w:sz="8" w:space="0" w:color="333333"/>
            </w:tcBorders>
            <w:shd w:val="clear" w:color="auto" w:fill="auto"/>
            <w:tcMar>
              <w:top w:w="40" w:type="dxa"/>
              <w:left w:w="20" w:type="dxa"/>
              <w:bottom w:w="40" w:type="dxa"/>
              <w:right w:w="0" w:type="dxa"/>
            </w:tcMar>
            <w:vAlign w:val="bottom"/>
          </w:tcPr>
          <w:p w14:paraId="36CA4D90" w14:textId="77777777" w:rsidR="00787570" w:rsidRDefault="000D56E2">
            <w:pPr>
              <w:jc w:val="right"/>
              <w:textAlignment w:val="bottom"/>
            </w:pPr>
            <w:r>
              <w:rPr>
                <w:rFonts w:ascii="Arial" w:eastAsia="宋体" w:hAnsi="Arial" w:cs="Arial"/>
                <w:b/>
                <w:bCs/>
                <w:color w:val="0071C5"/>
                <w:sz w:val="18"/>
                <w:szCs w:val="18"/>
              </w:rPr>
              <w:t>27.6</w:t>
            </w:r>
            <w:r>
              <w:rPr>
                <w:rFonts w:ascii="Arial" w:eastAsia="宋体" w:hAnsi="Arial" w:cs="Arial"/>
                <w:color w:val="0071C5"/>
                <w:sz w:val="18"/>
                <w:szCs w:val="18"/>
              </w:rPr>
              <w:t> </w:t>
            </w:r>
          </w:p>
        </w:tc>
        <w:tc>
          <w:tcPr>
            <w:tcW w:w="0" w:type="auto"/>
            <w:tcBorders>
              <w:top w:val="single" w:sz="8" w:space="0" w:color="333333"/>
            </w:tcBorders>
            <w:shd w:val="clear" w:color="auto" w:fill="auto"/>
            <w:tcMar>
              <w:top w:w="40" w:type="dxa"/>
              <w:bottom w:w="40" w:type="dxa"/>
              <w:right w:w="20" w:type="dxa"/>
            </w:tcMar>
            <w:vAlign w:val="bottom"/>
          </w:tcPr>
          <w:p w14:paraId="36CA4D91" w14:textId="77777777" w:rsidR="00787570" w:rsidRDefault="000D56E2">
            <w:pPr>
              <w:jc w:val="right"/>
              <w:textAlignment w:val="bottom"/>
            </w:pPr>
            <w:r>
              <w:rPr>
                <w:rFonts w:ascii="Arial" w:eastAsia="宋体" w:hAnsi="Arial" w:cs="Arial"/>
                <w:b/>
                <w:bCs/>
                <w:color w:val="0071C5"/>
                <w:sz w:val="18"/>
                <w:szCs w:val="18"/>
              </w:rPr>
              <w:t>%</w:t>
            </w:r>
          </w:p>
        </w:tc>
        <w:tc>
          <w:tcPr>
            <w:tcW w:w="0" w:type="auto"/>
            <w:gridSpan w:val="3"/>
            <w:shd w:val="clear" w:color="auto" w:fill="auto"/>
            <w:tcMar>
              <w:left w:w="20" w:type="dxa"/>
              <w:right w:w="20" w:type="dxa"/>
            </w:tcMar>
            <w:vAlign w:val="bottom"/>
          </w:tcPr>
          <w:p w14:paraId="36CA4D92" w14:textId="77777777" w:rsidR="00787570" w:rsidRDefault="00787570">
            <w:pPr>
              <w:rPr>
                <w:rFonts w:ascii="宋体"/>
              </w:rPr>
            </w:pPr>
          </w:p>
        </w:tc>
        <w:tc>
          <w:tcPr>
            <w:tcW w:w="0" w:type="auto"/>
            <w:gridSpan w:val="2"/>
            <w:tcBorders>
              <w:top w:val="single" w:sz="8" w:space="0" w:color="333333"/>
            </w:tcBorders>
            <w:shd w:val="clear" w:color="auto" w:fill="auto"/>
            <w:tcMar>
              <w:top w:w="40" w:type="dxa"/>
              <w:left w:w="20" w:type="dxa"/>
              <w:bottom w:w="40" w:type="dxa"/>
              <w:right w:w="0" w:type="dxa"/>
            </w:tcMar>
            <w:vAlign w:val="bottom"/>
          </w:tcPr>
          <w:p w14:paraId="36CA4D93" w14:textId="77777777" w:rsidR="00787570" w:rsidRDefault="000D56E2">
            <w:pPr>
              <w:jc w:val="right"/>
              <w:textAlignment w:val="bottom"/>
            </w:pPr>
            <w:r>
              <w:rPr>
                <w:rFonts w:ascii="Arial" w:eastAsia="宋体" w:hAnsi="Arial" w:cs="Arial"/>
                <w:b/>
                <w:bCs/>
                <w:color w:val="333333"/>
                <w:sz w:val="18"/>
                <w:szCs w:val="18"/>
              </w:rPr>
              <w:t>6,447</w:t>
            </w:r>
            <w:r>
              <w:rPr>
                <w:rFonts w:ascii="Arial" w:eastAsia="宋体" w:hAnsi="Arial" w:cs="Arial"/>
                <w:color w:val="333333"/>
                <w:sz w:val="18"/>
                <w:szCs w:val="18"/>
              </w:rPr>
              <w:t> </w:t>
            </w:r>
          </w:p>
        </w:tc>
        <w:tc>
          <w:tcPr>
            <w:tcW w:w="0" w:type="auto"/>
            <w:tcBorders>
              <w:top w:val="single" w:sz="8" w:space="0" w:color="333333"/>
            </w:tcBorders>
            <w:shd w:val="clear" w:color="auto" w:fill="auto"/>
            <w:tcMar>
              <w:top w:w="40" w:type="dxa"/>
              <w:bottom w:w="40" w:type="dxa"/>
              <w:right w:w="20" w:type="dxa"/>
            </w:tcMar>
            <w:vAlign w:val="bottom"/>
          </w:tcPr>
          <w:p w14:paraId="36CA4D94"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4D95" w14:textId="77777777" w:rsidR="00787570" w:rsidRDefault="00787570">
            <w:pPr>
              <w:rPr>
                <w:rFonts w:ascii="宋体"/>
              </w:rPr>
            </w:pPr>
          </w:p>
        </w:tc>
        <w:tc>
          <w:tcPr>
            <w:tcW w:w="0" w:type="auto"/>
            <w:gridSpan w:val="2"/>
            <w:tcBorders>
              <w:top w:val="single" w:sz="8" w:space="0" w:color="333333"/>
            </w:tcBorders>
            <w:shd w:val="clear" w:color="auto" w:fill="auto"/>
            <w:tcMar>
              <w:top w:w="40" w:type="dxa"/>
              <w:left w:w="20" w:type="dxa"/>
              <w:bottom w:w="40" w:type="dxa"/>
              <w:right w:w="0" w:type="dxa"/>
            </w:tcMar>
            <w:vAlign w:val="bottom"/>
          </w:tcPr>
          <w:p w14:paraId="36CA4D96" w14:textId="77777777" w:rsidR="00787570" w:rsidRDefault="000D56E2">
            <w:pPr>
              <w:jc w:val="right"/>
              <w:textAlignment w:val="bottom"/>
            </w:pPr>
            <w:r>
              <w:rPr>
                <w:rFonts w:ascii="Arial" w:eastAsia="宋体" w:hAnsi="Arial" w:cs="Arial"/>
                <w:b/>
                <w:bCs/>
                <w:color w:val="333333"/>
                <w:sz w:val="18"/>
                <w:szCs w:val="18"/>
              </w:rPr>
              <w:t>33.6</w:t>
            </w:r>
            <w:r>
              <w:rPr>
                <w:rFonts w:ascii="Arial" w:eastAsia="宋体" w:hAnsi="Arial" w:cs="Arial"/>
                <w:color w:val="333333"/>
                <w:sz w:val="18"/>
                <w:szCs w:val="18"/>
              </w:rPr>
              <w:t> </w:t>
            </w:r>
          </w:p>
        </w:tc>
        <w:tc>
          <w:tcPr>
            <w:tcW w:w="0" w:type="auto"/>
            <w:tcBorders>
              <w:top w:val="single" w:sz="8" w:space="0" w:color="333333"/>
            </w:tcBorders>
            <w:shd w:val="clear" w:color="auto" w:fill="auto"/>
            <w:tcMar>
              <w:top w:w="40" w:type="dxa"/>
              <w:bottom w:w="40" w:type="dxa"/>
              <w:right w:w="20" w:type="dxa"/>
            </w:tcMar>
            <w:vAlign w:val="bottom"/>
          </w:tcPr>
          <w:p w14:paraId="36CA4D97" w14:textId="77777777" w:rsidR="00787570" w:rsidRDefault="000D56E2">
            <w:pPr>
              <w:jc w:val="right"/>
              <w:textAlignment w:val="bottom"/>
            </w:pPr>
            <w:r>
              <w:rPr>
                <w:rFonts w:ascii="Arial" w:eastAsia="宋体" w:hAnsi="Arial" w:cs="Arial"/>
                <w:b/>
                <w:bCs/>
                <w:color w:val="333333"/>
                <w:sz w:val="18"/>
                <w:szCs w:val="18"/>
              </w:rPr>
              <w:t>%</w:t>
            </w:r>
          </w:p>
        </w:tc>
        <w:tc>
          <w:tcPr>
            <w:tcW w:w="0" w:type="auto"/>
            <w:gridSpan w:val="3"/>
            <w:shd w:val="clear" w:color="auto" w:fill="auto"/>
            <w:tcMar>
              <w:left w:w="20" w:type="dxa"/>
              <w:right w:w="20" w:type="dxa"/>
            </w:tcMar>
            <w:vAlign w:val="bottom"/>
          </w:tcPr>
          <w:p w14:paraId="36CA4D98" w14:textId="77777777" w:rsidR="00787570" w:rsidRDefault="00787570">
            <w:pPr>
              <w:rPr>
                <w:rFonts w:ascii="宋体"/>
              </w:rPr>
            </w:pPr>
          </w:p>
        </w:tc>
        <w:tc>
          <w:tcPr>
            <w:tcW w:w="0" w:type="auto"/>
            <w:gridSpan w:val="2"/>
            <w:tcBorders>
              <w:top w:val="single" w:sz="8" w:space="0" w:color="333333"/>
            </w:tcBorders>
            <w:shd w:val="clear" w:color="auto" w:fill="auto"/>
            <w:tcMar>
              <w:top w:w="40" w:type="dxa"/>
              <w:left w:w="20" w:type="dxa"/>
              <w:bottom w:w="40" w:type="dxa"/>
              <w:right w:w="0" w:type="dxa"/>
            </w:tcMar>
            <w:vAlign w:val="bottom"/>
          </w:tcPr>
          <w:p w14:paraId="36CA4D99" w14:textId="77777777" w:rsidR="00787570" w:rsidRDefault="000D56E2">
            <w:pPr>
              <w:jc w:val="right"/>
              <w:textAlignment w:val="bottom"/>
            </w:pPr>
            <w:r>
              <w:rPr>
                <w:rFonts w:ascii="Arial" w:eastAsia="宋体" w:hAnsi="Arial" w:cs="Arial"/>
                <w:b/>
                <w:bCs/>
                <w:color w:val="0071C5"/>
                <w:sz w:val="18"/>
                <w:szCs w:val="18"/>
              </w:rPr>
              <w:t>17,794</w:t>
            </w:r>
            <w:r>
              <w:rPr>
                <w:rFonts w:ascii="Arial" w:eastAsia="宋体" w:hAnsi="Arial" w:cs="Arial"/>
                <w:color w:val="0071C5"/>
                <w:sz w:val="18"/>
                <w:szCs w:val="18"/>
              </w:rPr>
              <w:t> </w:t>
            </w:r>
          </w:p>
        </w:tc>
        <w:tc>
          <w:tcPr>
            <w:tcW w:w="0" w:type="auto"/>
            <w:tcBorders>
              <w:top w:val="single" w:sz="8" w:space="0" w:color="333333"/>
            </w:tcBorders>
            <w:shd w:val="clear" w:color="auto" w:fill="auto"/>
            <w:tcMar>
              <w:top w:w="40" w:type="dxa"/>
              <w:bottom w:w="40" w:type="dxa"/>
              <w:right w:w="20" w:type="dxa"/>
            </w:tcMar>
            <w:vAlign w:val="bottom"/>
          </w:tcPr>
          <w:p w14:paraId="36CA4D9A"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4D9B" w14:textId="77777777" w:rsidR="00787570" w:rsidRDefault="00787570">
            <w:pPr>
              <w:rPr>
                <w:rFonts w:ascii="宋体"/>
              </w:rPr>
            </w:pPr>
          </w:p>
        </w:tc>
        <w:tc>
          <w:tcPr>
            <w:tcW w:w="0" w:type="auto"/>
            <w:gridSpan w:val="2"/>
            <w:tcBorders>
              <w:top w:val="single" w:sz="8" w:space="0" w:color="333333"/>
            </w:tcBorders>
            <w:shd w:val="clear" w:color="auto" w:fill="auto"/>
            <w:tcMar>
              <w:top w:w="40" w:type="dxa"/>
              <w:left w:w="20" w:type="dxa"/>
              <w:bottom w:w="40" w:type="dxa"/>
              <w:right w:w="0" w:type="dxa"/>
            </w:tcMar>
            <w:vAlign w:val="bottom"/>
          </w:tcPr>
          <w:p w14:paraId="36CA4D9C" w14:textId="77777777" w:rsidR="00787570" w:rsidRDefault="000D56E2">
            <w:pPr>
              <w:jc w:val="right"/>
              <w:textAlignment w:val="bottom"/>
            </w:pPr>
            <w:r>
              <w:rPr>
                <w:rFonts w:ascii="Arial" w:eastAsia="宋体" w:hAnsi="Arial" w:cs="Arial"/>
                <w:b/>
                <w:bCs/>
                <w:color w:val="0071C5"/>
                <w:sz w:val="18"/>
                <w:szCs w:val="18"/>
              </w:rPr>
              <w:t>30.7</w:t>
            </w:r>
            <w:r>
              <w:rPr>
                <w:rFonts w:ascii="Arial" w:eastAsia="宋体" w:hAnsi="Arial" w:cs="Arial"/>
                <w:color w:val="0071C5"/>
                <w:sz w:val="18"/>
                <w:szCs w:val="18"/>
              </w:rPr>
              <w:t> </w:t>
            </w:r>
          </w:p>
        </w:tc>
        <w:tc>
          <w:tcPr>
            <w:tcW w:w="0" w:type="auto"/>
            <w:tcBorders>
              <w:top w:val="single" w:sz="8" w:space="0" w:color="333333"/>
            </w:tcBorders>
            <w:shd w:val="clear" w:color="auto" w:fill="auto"/>
            <w:tcMar>
              <w:top w:w="40" w:type="dxa"/>
              <w:bottom w:w="40" w:type="dxa"/>
              <w:right w:w="20" w:type="dxa"/>
            </w:tcMar>
            <w:vAlign w:val="bottom"/>
          </w:tcPr>
          <w:p w14:paraId="36CA4D9D" w14:textId="77777777" w:rsidR="00787570" w:rsidRDefault="000D56E2">
            <w:pPr>
              <w:jc w:val="right"/>
              <w:textAlignment w:val="bottom"/>
            </w:pPr>
            <w:r>
              <w:rPr>
                <w:rFonts w:ascii="Arial" w:eastAsia="宋体" w:hAnsi="Arial" w:cs="Arial"/>
                <w:b/>
                <w:bCs/>
                <w:color w:val="0071C5"/>
                <w:sz w:val="18"/>
                <w:szCs w:val="18"/>
              </w:rPr>
              <w:t>%</w:t>
            </w:r>
          </w:p>
        </w:tc>
        <w:tc>
          <w:tcPr>
            <w:tcW w:w="0" w:type="auto"/>
            <w:gridSpan w:val="3"/>
            <w:shd w:val="clear" w:color="auto" w:fill="auto"/>
            <w:tcMar>
              <w:left w:w="20" w:type="dxa"/>
              <w:right w:w="20" w:type="dxa"/>
            </w:tcMar>
            <w:vAlign w:val="bottom"/>
          </w:tcPr>
          <w:p w14:paraId="36CA4D9E" w14:textId="77777777" w:rsidR="00787570" w:rsidRDefault="00787570">
            <w:pPr>
              <w:rPr>
                <w:rFonts w:ascii="宋体"/>
              </w:rPr>
            </w:pPr>
          </w:p>
        </w:tc>
        <w:tc>
          <w:tcPr>
            <w:tcW w:w="0" w:type="auto"/>
            <w:gridSpan w:val="2"/>
            <w:tcBorders>
              <w:top w:val="single" w:sz="8" w:space="0" w:color="333333"/>
            </w:tcBorders>
            <w:shd w:val="clear" w:color="auto" w:fill="auto"/>
            <w:tcMar>
              <w:top w:w="40" w:type="dxa"/>
              <w:left w:w="20" w:type="dxa"/>
              <w:bottom w:w="40" w:type="dxa"/>
              <w:right w:w="0" w:type="dxa"/>
            </w:tcMar>
            <w:vAlign w:val="bottom"/>
          </w:tcPr>
          <w:p w14:paraId="36CA4D9F" w14:textId="77777777" w:rsidR="00787570" w:rsidRDefault="000D56E2">
            <w:pPr>
              <w:jc w:val="right"/>
              <w:textAlignment w:val="bottom"/>
            </w:pPr>
            <w:r>
              <w:rPr>
                <w:rFonts w:ascii="Arial" w:eastAsia="宋体" w:hAnsi="Arial" w:cs="Arial"/>
                <w:b/>
                <w:bCs/>
                <w:color w:val="333333"/>
                <w:sz w:val="18"/>
                <w:szCs w:val="18"/>
              </w:rPr>
              <w:t>15,238</w:t>
            </w:r>
            <w:r>
              <w:rPr>
                <w:rFonts w:ascii="Arial" w:eastAsia="宋体" w:hAnsi="Arial" w:cs="Arial"/>
                <w:color w:val="333333"/>
                <w:sz w:val="18"/>
                <w:szCs w:val="18"/>
              </w:rPr>
              <w:t> </w:t>
            </w:r>
          </w:p>
        </w:tc>
        <w:tc>
          <w:tcPr>
            <w:tcW w:w="0" w:type="auto"/>
            <w:tcBorders>
              <w:top w:val="single" w:sz="8" w:space="0" w:color="333333"/>
            </w:tcBorders>
            <w:shd w:val="clear" w:color="auto" w:fill="auto"/>
            <w:tcMar>
              <w:top w:w="40" w:type="dxa"/>
              <w:bottom w:w="40" w:type="dxa"/>
              <w:right w:w="20" w:type="dxa"/>
            </w:tcMar>
            <w:vAlign w:val="bottom"/>
          </w:tcPr>
          <w:p w14:paraId="36CA4DA0"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4DA1" w14:textId="77777777" w:rsidR="00787570" w:rsidRDefault="00787570">
            <w:pPr>
              <w:rPr>
                <w:rFonts w:ascii="宋体"/>
              </w:rPr>
            </w:pPr>
          </w:p>
        </w:tc>
        <w:tc>
          <w:tcPr>
            <w:tcW w:w="0" w:type="auto"/>
            <w:gridSpan w:val="2"/>
            <w:tcBorders>
              <w:top w:val="single" w:sz="8" w:space="0" w:color="333333"/>
            </w:tcBorders>
            <w:shd w:val="clear" w:color="auto" w:fill="auto"/>
            <w:tcMar>
              <w:top w:w="40" w:type="dxa"/>
              <w:left w:w="20" w:type="dxa"/>
              <w:bottom w:w="40" w:type="dxa"/>
              <w:right w:w="0" w:type="dxa"/>
            </w:tcMar>
            <w:vAlign w:val="bottom"/>
          </w:tcPr>
          <w:p w14:paraId="36CA4DA2" w14:textId="77777777" w:rsidR="00787570" w:rsidRDefault="000D56E2">
            <w:pPr>
              <w:jc w:val="right"/>
              <w:textAlignment w:val="bottom"/>
            </w:pPr>
            <w:r>
              <w:rPr>
                <w:rFonts w:ascii="Arial" w:eastAsia="宋体" w:hAnsi="Arial" w:cs="Arial"/>
                <w:b/>
                <w:bCs/>
                <w:color w:val="333333"/>
                <w:sz w:val="18"/>
                <w:szCs w:val="18"/>
              </w:rPr>
              <w:t>29.4</w:t>
            </w:r>
            <w:r>
              <w:rPr>
                <w:rFonts w:ascii="Arial" w:eastAsia="宋体" w:hAnsi="Arial" w:cs="Arial"/>
                <w:color w:val="333333"/>
                <w:sz w:val="18"/>
                <w:szCs w:val="18"/>
              </w:rPr>
              <w:t> </w:t>
            </w:r>
          </w:p>
        </w:tc>
        <w:tc>
          <w:tcPr>
            <w:tcW w:w="0" w:type="auto"/>
            <w:tcBorders>
              <w:top w:val="single" w:sz="8" w:space="0" w:color="333333"/>
            </w:tcBorders>
            <w:shd w:val="clear" w:color="auto" w:fill="auto"/>
            <w:tcMar>
              <w:top w:w="40" w:type="dxa"/>
              <w:bottom w:w="40" w:type="dxa"/>
              <w:right w:w="20" w:type="dxa"/>
            </w:tcMar>
            <w:vAlign w:val="bottom"/>
          </w:tcPr>
          <w:p w14:paraId="36CA4DA3" w14:textId="77777777" w:rsidR="00787570" w:rsidRDefault="000D56E2">
            <w:pPr>
              <w:jc w:val="right"/>
              <w:textAlignment w:val="bottom"/>
            </w:pPr>
            <w:r>
              <w:rPr>
                <w:rFonts w:ascii="Arial" w:eastAsia="宋体" w:hAnsi="Arial" w:cs="Arial"/>
                <w:b/>
                <w:bCs/>
                <w:color w:val="333333"/>
                <w:sz w:val="18"/>
                <w:szCs w:val="18"/>
              </w:rPr>
              <w:t>%</w:t>
            </w:r>
          </w:p>
        </w:tc>
        <w:tc>
          <w:tcPr>
            <w:tcW w:w="0" w:type="auto"/>
            <w:shd w:val="clear" w:color="auto" w:fill="auto"/>
          </w:tcPr>
          <w:p w14:paraId="36CA4DA4" w14:textId="77777777" w:rsidR="00787570" w:rsidRDefault="00787570">
            <w:pPr>
              <w:rPr>
                <w:rFonts w:ascii="宋体"/>
              </w:rPr>
            </w:pPr>
          </w:p>
        </w:tc>
        <w:tc>
          <w:tcPr>
            <w:tcW w:w="0" w:type="auto"/>
            <w:shd w:val="clear" w:color="auto" w:fill="auto"/>
          </w:tcPr>
          <w:p w14:paraId="36CA4DA5" w14:textId="77777777" w:rsidR="00787570" w:rsidRDefault="00787570">
            <w:pPr>
              <w:rPr>
                <w:rFonts w:ascii="宋体"/>
              </w:rPr>
            </w:pPr>
          </w:p>
        </w:tc>
        <w:tc>
          <w:tcPr>
            <w:tcW w:w="0" w:type="auto"/>
            <w:shd w:val="clear" w:color="auto" w:fill="auto"/>
          </w:tcPr>
          <w:p w14:paraId="36CA4DA6" w14:textId="77777777" w:rsidR="00787570" w:rsidRDefault="00787570">
            <w:pPr>
              <w:rPr>
                <w:rFonts w:ascii="宋体"/>
              </w:rPr>
            </w:pPr>
          </w:p>
        </w:tc>
        <w:tc>
          <w:tcPr>
            <w:tcW w:w="0" w:type="auto"/>
            <w:shd w:val="clear" w:color="auto" w:fill="auto"/>
          </w:tcPr>
          <w:p w14:paraId="36CA4DA7" w14:textId="77777777" w:rsidR="00787570" w:rsidRDefault="00787570">
            <w:pPr>
              <w:rPr>
                <w:rFonts w:ascii="宋体"/>
              </w:rPr>
            </w:pPr>
          </w:p>
        </w:tc>
        <w:tc>
          <w:tcPr>
            <w:tcW w:w="0" w:type="auto"/>
            <w:shd w:val="clear" w:color="auto" w:fill="auto"/>
          </w:tcPr>
          <w:p w14:paraId="36CA4DA8" w14:textId="77777777" w:rsidR="00787570" w:rsidRDefault="00787570">
            <w:pPr>
              <w:rPr>
                <w:rFonts w:ascii="宋体"/>
              </w:rPr>
            </w:pPr>
          </w:p>
        </w:tc>
        <w:tc>
          <w:tcPr>
            <w:tcW w:w="0" w:type="auto"/>
            <w:shd w:val="clear" w:color="auto" w:fill="auto"/>
          </w:tcPr>
          <w:p w14:paraId="36CA4DA9" w14:textId="77777777" w:rsidR="00787570" w:rsidRDefault="00787570">
            <w:pPr>
              <w:rPr>
                <w:rFonts w:ascii="宋体"/>
              </w:rPr>
            </w:pPr>
          </w:p>
        </w:tc>
        <w:tc>
          <w:tcPr>
            <w:tcW w:w="0" w:type="auto"/>
            <w:shd w:val="clear" w:color="auto" w:fill="auto"/>
          </w:tcPr>
          <w:p w14:paraId="36CA4DAA" w14:textId="77777777" w:rsidR="00787570" w:rsidRDefault="00787570">
            <w:pPr>
              <w:rPr>
                <w:rFonts w:ascii="宋体"/>
              </w:rPr>
            </w:pPr>
          </w:p>
        </w:tc>
        <w:tc>
          <w:tcPr>
            <w:tcW w:w="0" w:type="auto"/>
            <w:shd w:val="clear" w:color="auto" w:fill="auto"/>
          </w:tcPr>
          <w:p w14:paraId="36CA4DAB" w14:textId="77777777" w:rsidR="00787570" w:rsidRDefault="00787570">
            <w:pPr>
              <w:rPr>
                <w:rFonts w:ascii="宋体"/>
              </w:rPr>
            </w:pPr>
          </w:p>
        </w:tc>
        <w:tc>
          <w:tcPr>
            <w:tcW w:w="0" w:type="auto"/>
            <w:shd w:val="clear" w:color="auto" w:fill="auto"/>
          </w:tcPr>
          <w:p w14:paraId="36CA4DAC" w14:textId="77777777" w:rsidR="00787570" w:rsidRDefault="00787570">
            <w:pPr>
              <w:rPr>
                <w:rFonts w:ascii="宋体"/>
              </w:rPr>
            </w:pPr>
          </w:p>
        </w:tc>
        <w:tc>
          <w:tcPr>
            <w:tcW w:w="0" w:type="auto"/>
            <w:shd w:val="clear" w:color="auto" w:fill="auto"/>
          </w:tcPr>
          <w:p w14:paraId="36CA4DAD" w14:textId="77777777" w:rsidR="00787570" w:rsidRDefault="00787570">
            <w:pPr>
              <w:rPr>
                <w:rFonts w:ascii="宋体"/>
              </w:rPr>
            </w:pPr>
          </w:p>
        </w:tc>
        <w:tc>
          <w:tcPr>
            <w:tcW w:w="0" w:type="auto"/>
            <w:shd w:val="clear" w:color="auto" w:fill="auto"/>
          </w:tcPr>
          <w:p w14:paraId="36CA4DAE" w14:textId="77777777" w:rsidR="00787570" w:rsidRDefault="00787570">
            <w:pPr>
              <w:rPr>
                <w:rFonts w:ascii="宋体"/>
              </w:rPr>
            </w:pPr>
          </w:p>
        </w:tc>
        <w:tc>
          <w:tcPr>
            <w:tcW w:w="0" w:type="auto"/>
            <w:shd w:val="clear" w:color="auto" w:fill="auto"/>
          </w:tcPr>
          <w:p w14:paraId="36CA4DAF" w14:textId="77777777" w:rsidR="00787570" w:rsidRDefault="00787570">
            <w:pPr>
              <w:rPr>
                <w:rFonts w:ascii="宋体"/>
              </w:rPr>
            </w:pPr>
          </w:p>
        </w:tc>
      </w:tr>
      <w:tr w:rsidR="00787570" w14:paraId="36CA4DD6" w14:textId="77777777">
        <w:tc>
          <w:tcPr>
            <w:tcW w:w="0" w:type="auto"/>
            <w:gridSpan w:val="3"/>
            <w:shd w:val="clear" w:color="auto" w:fill="auto"/>
            <w:tcMar>
              <w:top w:w="40" w:type="dxa"/>
              <w:left w:w="20" w:type="dxa"/>
              <w:bottom w:w="40" w:type="dxa"/>
              <w:right w:w="20" w:type="dxa"/>
            </w:tcMar>
            <w:vAlign w:val="bottom"/>
          </w:tcPr>
          <w:p w14:paraId="36CA4DB1" w14:textId="77777777" w:rsidR="00787570" w:rsidRDefault="000D56E2">
            <w:pPr>
              <w:textAlignment w:val="bottom"/>
            </w:pPr>
            <w:r>
              <w:rPr>
                <w:rFonts w:ascii="Arial" w:eastAsia="宋体" w:hAnsi="Arial" w:cs="Arial"/>
                <w:color w:val="333333"/>
                <w:sz w:val="18"/>
                <w:szCs w:val="18"/>
              </w:rPr>
              <w:t>Gains (losses) on equity investments, net</w:t>
            </w:r>
          </w:p>
        </w:tc>
        <w:tc>
          <w:tcPr>
            <w:tcW w:w="0" w:type="auto"/>
            <w:gridSpan w:val="3"/>
            <w:shd w:val="clear" w:color="auto" w:fill="auto"/>
            <w:tcMar>
              <w:left w:w="20" w:type="dxa"/>
              <w:right w:w="20" w:type="dxa"/>
            </w:tcMar>
            <w:vAlign w:val="bottom"/>
          </w:tcPr>
          <w:p w14:paraId="36CA4DB2"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4DB3" w14:textId="77777777" w:rsidR="00787570" w:rsidRDefault="000D56E2">
            <w:pPr>
              <w:jc w:val="right"/>
              <w:textAlignment w:val="bottom"/>
            </w:pPr>
            <w:r>
              <w:rPr>
                <w:rFonts w:ascii="Arial" w:eastAsia="宋体" w:hAnsi="Arial" w:cs="Arial"/>
                <w:color w:val="0071C5"/>
                <w:sz w:val="18"/>
                <w:szCs w:val="18"/>
              </w:rPr>
              <w:t>56 </w:t>
            </w:r>
          </w:p>
        </w:tc>
        <w:tc>
          <w:tcPr>
            <w:tcW w:w="0" w:type="auto"/>
            <w:shd w:val="clear" w:color="auto" w:fill="auto"/>
            <w:tcMar>
              <w:top w:w="40" w:type="dxa"/>
              <w:bottom w:w="40" w:type="dxa"/>
              <w:right w:w="20" w:type="dxa"/>
            </w:tcMar>
            <w:vAlign w:val="bottom"/>
          </w:tcPr>
          <w:p w14:paraId="36CA4DB4"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4DB5"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4DB6" w14:textId="77777777" w:rsidR="00787570" w:rsidRDefault="000D56E2">
            <w:pPr>
              <w:jc w:val="right"/>
              <w:textAlignment w:val="bottom"/>
            </w:pPr>
            <w:r>
              <w:rPr>
                <w:rFonts w:ascii="Arial" w:eastAsia="宋体" w:hAnsi="Arial" w:cs="Arial"/>
                <w:color w:val="0071C5"/>
                <w:sz w:val="18"/>
                <w:szCs w:val="18"/>
              </w:rPr>
              <w:t>0.3 </w:t>
            </w:r>
          </w:p>
        </w:tc>
        <w:tc>
          <w:tcPr>
            <w:tcW w:w="0" w:type="auto"/>
            <w:shd w:val="clear" w:color="auto" w:fill="auto"/>
            <w:tcMar>
              <w:top w:w="40" w:type="dxa"/>
              <w:bottom w:w="40" w:type="dxa"/>
              <w:right w:w="20" w:type="dxa"/>
            </w:tcMar>
            <w:vAlign w:val="bottom"/>
          </w:tcPr>
          <w:p w14:paraId="36CA4DB7" w14:textId="77777777" w:rsidR="00787570" w:rsidRDefault="000D56E2">
            <w:pPr>
              <w:jc w:val="right"/>
              <w:textAlignment w:val="bottom"/>
            </w:pPr>
            <w:r>
              <w:rPr>
                <w:rFonts w:ascii="Arial" w:eastAsia="宋体" w:hAnsi="Arial" w:cs="Arial"/>
                <w:color w:val="0071C5"/>
                <w:sz w:val="18"/>
                <w:szCs w:val="18"/>
              </w:rPr>
              <w:t>%</w:t>
            </w:r>
          </w:p>
        </w:tc>
        <w:tc>
          <w:tcPr>
            <w:tcW w:w="0" w:type="auto"/>
            <w:gridSpan w:val="3"/>
            <w:shd w:val="clear" w:color="auto" w:fill="auto"/>
            <w:tcMar>
              <w:left w:w="20" w:type="dxa"/>
              <w:right w:w="20" w:type="dxa"/>
            </w:tcMar>
            <w:vAlign w:val="bottom"/>
          </w:tcPr>
          <w:p w14:paraId="36CA4DB8"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4DB9" w14:textId="77777777" w:rsidR="00787570" w:rsidRDefault="000D56E2">
            <w:pPr>
              <w:jc w:val="right"/>
              <w:textAlignment w:val="bottom"/>
            </w:pPr>
            <w:r>
              <w:rPr>
                <w:rFonts w:ascii="Arial" w:eastAsia="宋体" w:hAnsi="Arial" w:cs="Arial"/>
                <w:color w:val="333333"/>
                <w:sz w:val="18"/>
                <w:szCs w:val="18"/>
              </w:rPr>
              <w:t>318 </w:t>
            </w:r>
          </w:p>
        </w:tc>
        <w:tc>
          <w:tcPr>
            <w:tcW w:w="0" w:type="auto"/>
            <w:shd w:val="clear" w:color="auto" w:fill="auto"/>
            <w:tcMar>
              <w:top w:w="40" w:type="dxa"/>
              <w:bottom w:w="40" w:type="dxa"/>
              <w:right w:w="20" w:type="dxa"/>
            </w:tcMar>
            <w:vAlign w:val="bottom"/>
          </w:tcPr>
          <w:p w14:paraId="36CA4DBA"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4DBB"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4DBC" w14:textId="77777777" w:rsidR="00787570" w:rsidRDefault="000D56E2">
            <w:pPr>
              <w:jc w:val="right"/>
              <w:textAlignment w:val="bottom"/>
            </w:pPr>
            <w:r>
              <w:rPr>
                <w:rFonts w:ascii="Arial" w:eastAsia="宋体" w:hAnsi="Arial" w:cs="Arial"/>
                <w:color w:val="333333"/>
                <w:sz w:val="18"/>
                <w:szCs w:val="18"/>
              </w:rPr>
              <w:t>1.7 </w:t>
            </w:r>
          </w:p>
        </w:tc>
        <w:tc>
          <w:tcPr>
            <w:tcW w:w="0" w:type="auto"/>
            <w:shd w:val="clear" w:color="auto" w:fill="auto"/>
            <w:tcMar>
              <w:top w:w="40" w:type="dxa"/>
              <w:bottom w:w="40" w:type="dxa"/>
              <w:right w:w="20" w:type="dxa"/>
            </w:tcMar>
            <w:vAlign w:val="bottom"/>
          </w:tcPr>
          <w:p w14:paraId="36CA4DBD" w14:textId="77777777" w:rsidR="00787570" w:rsidRDefault="000D56E2">
            <w:pPr>
              <w:jc w:val="right"/>
              <w:textAlignment w:val="bottom"/>
            </w:pPr>
            <w:r>
              <w:rPr>
                <w:rFonts w:ascii="Arial" w:eastAsia="宋体" w:hAnsi="Arial" w:cs="Arial"/>
                <w:color w:val="333333"/>
                <w:sz w:val="18"/>
                <w:szCs w:val="18"/>
              </w:rPr>
              <w:t>%</w:t>
            </w:r>
          </w:p>
        </w:tc>
        <w:tc>
          <w:tcPr>
            <w:tcW w:w="0" w:type="auto"/>
            <w:gridSpan w:val="3"/>
            <w:shd w:val="clear" w:color="auto" w:fill="auto"/>
            <w:tcMar>
              <w:left w:w="20" w:type="dxa"/>
              <w:right w:w="20" w:type="dxa"/>
            </w:tcMar>
            <w:vAlign w:val="bottom"/>
          </w:tcPr>
          <w:p w14:paraId="36CA4DBE"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4DBF" w14:textId="77777777" w:rsidR="00787570" w:rsidRDefault="000D56E2">
            <w:pPr>
              <w:jc w:val="right"/>
              <w:textAlignment w:val="bottom"/>
            </w:pPr>
            <w:r>
              <w:rPr>
                <w:rFonts w:ascii="Arial" w:eastAsia="宋体" w:hAnsi="Arial" w:cs="Arial"/>
                <w:color w:val="0071C5"/>
                <w:sz w:val="18"/>
                <w:szCs w:val="18"/>
              </w:rPr>
              <w:t>212 </w:t>
            </w:r>
          </w:p>
        </w:tc>
        <w:tc>
          <w:tcPr>
            <w:tcW w:w="0" w:type="auto"/>
            <w:shd w:val="clear" w:color="auto" w:fill="auto"/>
            <w:tcMar>
              <w:top w:w="40" w:type="dxa"/>
              <w:bottom w:w="40" w:type="dxa"/>
              <w:right w:w="20" w:type="dxa"/>
            </w:tcMar>
            <w:vAlign w:val="bottom"/>
          </w:tcPr>
          <w:p w14:paraId="36CA4DC0"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4DC1"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4DC2" w14:textId="77777777" w:rsidR="00787570" w:rsidRDefault="000D56E2">
            <w:pPr>
              <w:jc w:val="right"/>
              <w:textAlignment w:val="bottom"/>
            </w:pPr>
            <w:r>
              <w:rPr>
                <w:rFonts w:ascii="Arial" w:eastAsia="宋体" w:hAnsi="Arial" w:cs="Arial"/>
                <w:color w:val="0071C5"/>
                <w:sz w:val="18"/>
                <w:szCs w:val="18"/>
              </w:rPr>
              <w:t>0.4 </w:t>
            </w:r>
          </w:p>
        </w:tc>
        <w:tc>
          <w:tcPr>
            <w:tcW w:w="0" w:type="auto"/>
            <w:shd w:val="clear" w:color="auto" w:fill="auto"/>
            <w:tcMar>
              <w:top w:w="40" w:type="dxa"/>
              <w:bottom w:w="40" w:type="dxa"/>
              <w:right w:w="20" w:type="dxa"/>
            </w:tcMar>
            <w:vAlign w:val="bottom"/>
          </w:tcPr>
          <w:p w14:paraId="36CA4DC3" w14:textId="77777777" w:rsidR="00787570" w:rsidRDefault="000D56E2">
            <w:pPr>
              <w:jc w:val="right"/>
              <w:textAlignment w:val="bottom"/>
            </w:pPr>
            <w:r>
              <w:rPr>
                <w:rFonts w:ascii="Arial" w:eastAsia="宋体" w:hAnsi="Arial" w:cs="Arial"/>
                <w:color w:val="0071C5"/>
                <w:sz w:val="18"/>
                <w:szCs w:val="18"/>
              </w:rPr>
              <w:t>%</w:t>
            </w:r>
          </w:p>
        </w:tc>
        <w:tc>
          <w:tcPr>
            <w:tcW w:w="0" w:type="auto"/>
            <w:gridSpan w:val="3"/>
            <w:shd w:val="clear" w:color="auto" w:fill="auto"/>
            <w:tcMar>
              <w:left w:w="20" w:type="dxa"/>
              <w:right w:w="20" w:type="dxa"/>
            </w:tcMar>
            <w:vAlign w:val="bottom"/>
          </w:tcPr>
          <w:p w14:paraId="36CA4DC4"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4DC5" w14:textId="77777777" w:rsidR="00787570" w:rsidRDefault="000D56E2">
            <w:pPr>
              <w:jc w:val="right"/>
              <w:textAlignment w:val="bottom"/>
            </w:pPr>
            <w:r>
              <w:rPr>
                <w:rFonts w:ascii="Arial" w:eastAsia="宋体" w:hAnsi="Arial" w:cs="Arial"/>
                <w:color w:val="333333"/>
                <w:sz w:val="18"/>
                <w:szCs w:val="18"/>
              </w:rPr>
              <w:t>922 </w:t>
            </w:r>
          </w:p>
        </w:tc>
        <w:tc>
          <w:tcPr>
            <w:tcW w:w="0" w:type="auto"/>
            <w:shd w:val="clear" w:color="auto" w:fill="auto"/>
            <w:tcMar>
              <w:top w:w="40" w:type="dxa"/>
              <w:bottom w:w="40" w:type="dxa"/>
              <w:right w:w="20" w:type="dxa"/>
            </w:tcMar>
            <w:vAlign w:val="bottom"/>
          </w:tcPr>
          <w:p w14:paraId="36CA4DC6"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4DC7"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4DC8" w14:textId="77777777" w:rsidR="00787570" w:rsidRDefault="000D56E2">
            <w:pPr>
              <w:jc w:val="right"/>
              <w:textAlignment w:val="bottom"/>
            </w:pPr>
            <w:r>
              <w:rPr>
                <w:rFonts w:ascii="Arial" w:eastAsia="宋体" w:hAnsi="Arial" w:cs="Arial"/>
                <w:color w:val="333333"/>
                <w:sz w:val="18"/>
                <w:szCs w:val="18"/>
              </w:rPr>
              <w:t>1.8 </w:t>
            </w:r>
          </w:p>
        </w:tc>
        <w:tc>
          <w:tcPr>
            <w:tcW w:w="0" w:type="auto"/>
            <w:shd w:val="clear" w:color="auto" w:fill="auto"/>
            <w:tcMar>
              <w:top w:w="40" w:type="dxa"/>
              <w:bottom w:w="40" w:type="dxa"/>
              <w:right w:w="20" w:type="dxa"/>
            </w:tcMar>
            <w:vAlign w:val="bottom"/>
          </w:tcPr>
          <w:p w14:paraId="36CA4DC9" w14:textId="77777777" w:rsidR="00787570" w:rsidRDefault="000D56E2">
            <w:pPr>
              <w:jc w:val="right"/>
              <w:textAlignment w:val="bottom"/>
            </w:pPr>
            <w:r>
              <w:rPr>
                <w:rFonts w:ascii="Arial" w:eastAsia="宋体" w:hAnsi="Arial" w:cs="Arial"/>
                <w:color w:val="333333"/>
                <w:sz w:val="18"/>
                <w:szCs w:val="18"/>
              </w:rPr>
              <w:t>%</w:t>
            </w:r>
          </w:p>
        </w:tc>
        <w:tc>
          <w:tcPr>
            <w:tcW w:w="0" w:type="auto"/>
            <w:shd w:val="clear" w:color="auto" w:fill="auto"/>
          </w:tcPr>
          <w:p w14:paraId="36CA4DCA" w14:textId="77777777" w:rsidR="00787570" w:rsidRDefault="00787570">
            <w:pPr>
              <w:rPr>
                <w:rFonts w:ascii="宋体"/>
              </w:rPr>
            </w:pPr>
          </w:p>
        </w:tc>
        <w:tc>
          <w:tcPr>
            <w:tcW w:w="0" w:type="auto"/>
            <w:shd w:val="clear" w:color="auto" w:fill="auto"/>
          </w:tcPr>
          <w:p w14:paraId="36CA4DCB" w14:textId="77777777" w:rsidR="00787570" w:rsidRDefault="00787570">
            <w:pPr>
              <w:rPr>
                <w:rFonts w:ascii="宋体"/>
              </w:rPr>
            </w:pPr>
          </w:p>
        </w:tc>
        <w:tc>
          <w:tcPr>
            <w:tcW w:w="0" w:type="auto"/>
            <w:shd w:val="clear" w:color="auto" w:fill="auto"/>
          </w:tcPr>
          <w:p w14:paraId="36CA4DCC" w14:textId="77777777" w:rsidR="00787570" w:rsidRDefault="00787570">
            <w:pPr>
              <w:rPr>
                <w:rFonts w:ascii="宋体"/>
              </w:rPr>
            </w:pPr>
          </w:p>
        </w:tc>
        <w:tc>
          <w:tcPr>
            <w:tcW w:w="0" w:type="auto"/>
            <w:shd w:val="clear" w:color="auto" w:fill="auto"/>
          </w:tcPr>
          <w:p w14:paraId="36CA4DCD" w14:textId="77777777" w:rsidR="00787570" w:rsidRDefault="00787570">
            <w:pPr>
              <w:rPr>
                <w:rFonts w:ascii="宋体"/>
              </w:rPr>
            </w:pPr>
          </w:p>
        </w:tc>
        <w:tc>
          <w:tcPr>
            <w:tcW w:w="0" w:type="auto"/>
            <w:shd w:val="clear" w:color="auto" w:fill="auto"/>
          </w:tcPr>
          <w:p w14:paraId="36CA4DCE" w14:textId="77777777" w:rsidR="00787570" w:rsidRDefault="00787570">
            <w:pPr>
              <w:rPr>
                <w:rFonts w:ascii="宋体"/>
              </w:rPr>
            </w:pPr>
          </w:p>
        </w:tc>
        <w:tc>
          <w:tcPr>
            <w:tcW w:w="0" w:type="auto"/>
            <w:shd w:val="clear" w:color="auto" w:fill="auto"/>
          </w:tcPr>
          <w:p w14:paraId="36CA4DCF" w14:textId="77777777" w:rsidR="00787570" w:rsidRDefault="00787570">
            <w:pPr>
              <w:rPr>
                <w:rFonts w:ascii="宋体"/>
              </w:rPr>
            </w:pPr>
          </w:p>
        </w:tc>
        <w:tc>
          <w:tcPr>
            <w:tcW w:w="0" w:type="auto"/>
            <w:shd w:val="clear" w:color="auto" w:fill="auto"/>
          </w:tcPr>
          <w:p w14:paraId="36CA4DD0" w14:textId="77777777" w:rsidR="00787570" w:rsidRDefault="00787570">
            <w:pPr>
              <w:rPr>
                <w:rFonts w:ascii="宋体"/>
              </w:rPr>
            </w:pPr>
          </w:p>
        </w:tc>
        <w:tc>
          <w:tcPr>
            <w:tcW w:w="0" w:type="auto"/>
            <w:shd w:val="clear" w:color="auto" w:fill="auto"/>
          </w:tcPr>
          <w:p w14:paraId="36CA4DD1" w14:textId="77777777" w:rsidR="00787570" w:rsidRDefault="00787570">
            <w:pPr>
              <w:rPr>
                <w:rFonts w:ascii="宋体"/>
              </w:rPr>
            </w:pPr>
          </w:p>
        </w:tc>
        <w:tc>
          <w:tcPr>
            <w:tcW w:w="0" w:type="auto"/>
            <w:shd w:val="clear" w:color="auto" w:fill="auto"/>
          </w:tcPr>
          <w:p w14:paraId="36CA4DD2" w14:textId="77777777" w:rsidR="00787570" w:rsidRDefault="00787570">
            <w:pPr>
              <w:rPr>
                <w:rFonts w:ascii="宋体"/>
              </w:rPr>
            </w:pPr>
          </w:p>
        </w:tc>
        <w:tc>
          <w:tcPr>
            <w:tcW w:w="0" w:type="auto"/>
            <w:shd w:val="clear" w:color="auto" w:fill="auto"/>
          </w:tcPr>
          <w:p w14:paraId="36CA4DD3" w14:textId="77777777" w:rsidR="00787570" w:rsidRDefault="00787570">
            <w:pPr>
              <w:rPr>
                <w:rFonts w:ascii="宋体"/>
              </w:rPr>
            </w:pPr>
          </w:p>
        </w:tc>
        <w:tc>
          <w:tcPr>
            <w:tcW w:w="0" w:type="auto"/>
            <w:shd w:val="clear" w:color="auto" w:fill="auto"/>
          </w:tcPr>
          <w:p w14:paraId="36CA4DD4" w14:textId="77777777" w:rsidR="00787570" w:rsidRDefault="00787570">
            <w:pPr>
              <w:rPr>
                <w:rFonts w:ascii="宋体"/>
              </w:rPr>
            </w:pPr>
          </w:p>
        </w:tc>
        <w:tc>
          <w:tcPr>
            <w:tcW w:w="0" w:type="auto"/>
            <w:shd w:val="clear" w:color="auto" w:fill="auto"/>
          </w:tcPr>
          <w:p w14:paraId="36CA4DD5" w14:textId="77777777" w:rsidR="00787570" w:rsidRDefault="00787570">
            <w:pPr>
              <w:rPr>
                <w:rFonts w:ascii="宋体"/>
              </w:rPr>
            </w:pPr>
          </w:p>
        </w:tc>
      </w:tr>
      <w:tr w:rsidR="00787570" w14:paraId="36CA4DFC" w14:textId="77777777">
        <w:tc>
          <w:tcPr>
            <w:tcW w:w="0" w:type="auto"/>
            <w:gridSpan w:val="3"/>
            <w:shd w:val="clear" w:color="auto" w:fill="auto"/>
            <w:tcMar>
              <w:top w:w="40" w:type="dxa"/>
              <w:left w:w="20" w:type="dxa"/>
              <w:bottom w:w="40" w:type="dxa"/>
              <w:right w:w="20" w:type="dxa"/>
            </w:tcMar>
          </w:tcPr>
          <w:p w14:paraId="36CA4DD7" w14:textId="77777777" w:rsidR="00787570" w:rsidRDefault="000D56E2">
            <w:pPr>
              <w:ind w:hanging="180"/>
              <w:textAlignment w:val="top"/>
            </w:pPr>
            <w:r>
              <w:rPr>
                <w:rFonts w:ascii="Arial" w:eastAsia="宋体" w:hAnsi="Arial" w:cs="Arial"/>
                <w:color w:val="333333"/>
                <w:sz w:val="18"/>
                <w:szCs w:val="18"/>
              </w:rPr>
              <w:t>Interest and other, net</w:t>
            </w:r>
          </w:p>
        </w:tc>
        <w:tc>
          <w:tcPr>
            <w:tcW w:w="0" w:type="auto"/>
            <w:gridSpan w:val="3"/>
            <w:shd w:val="clear" w:color="auto" w:fill="auto"/>
            <w:tcMar>
              <w:left w:w="20" w:type="dxa"/>
              <w:right w:w="20" w:type="dxa"/>
            </w:tcMar>
            <w:vAlign w:val="bottom"/>
          </w:tcPr>
          <w:p w14:paraId="36CA4DD8"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4DD9" w14:textId="77777777" w:rsidR="00787570" w:rsidRDefault="000D56E2">
            <w:pPr>
              <w:jc w:val="right"/>
              <w:textAlignment w:val="bottom"/>
            </w:pPr>
            <w:r>
              <w:rPr>
                <w:rFonts w:ascii="Arial" w:eastAsia="宋体" w:hAnsi="Arial" w:cs="Arial"/>
                <w:color w:val="0071C5"/>
                <w:sz w:val="18"/>
                <w:szCs w:val="18"/>
              </w:rPr>
              <w:t>(74)</w:t>
            </w:r>
          </w:p>
        </w:tc>
        <w:tc>
          <w:tcPr>
            <w:tcW w:w="0" w:type="auto"/>
            <w:shd w:val="clear" w:color="auto" w:fill="auto"/>
            <w:tcMar>
              <w:top w:w="40" w:type="dxa"/>
              <w:bottom w:w="40" w:type="dxa"/>
              <w:right w:w="20" w:type="dxa"/>
            </w:tcMar>
            <w:vAlign w:val="bottom"/>
          </w:tcPr>
          <w:p w14:paraId="36CA4DDA"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4DDB"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4DDC" w14:textId="77777777" w:rsidR="00787570" w:rsidRDefault="000D56E2">
            <w:pPr>
              <w:jc w:val="right"/>
              <w:textAlignment w:val="bottom"/>
            </w:pPr>
            <w:r>
              <w:rPr>
                <w:rFonts w:ascii="Arial" w:eastAsia="宋体" w:hAnsi="Arial" w:cs="Arial"/>
                <w:color w:val="0071C5"/>
                <w:sz w:val="18"/>
                <w:szCs w:val="18"/>
              </w:rPr>
              <w:t>(0.4)</w:t>
            </w:r>
          </w:p>
        </w:tc>
        <w:tc>
          <w:tcPr>
            <w:tcW w:w="0" w:type="auto"/>
            <w:shd w:val="clear" w:color="auto" w:fill="auto"/>
            <w:tcMar>
              <w:top w:w="40" w:type="dxa"/>
              <w:bottom w:w="40" w:type="dxa"/>
              <w:right w:w="20" w:type="dxa"/>
            </w:tcMar>
            <w:vAlign w:val="bottom"/>
          </w:tcPr>
          <w:p w14:paraId="36CA4DDD" w14:textId="77777777" w:rsidR="00787570" w:rsidRDefault="000D56E2">
            <w:pPr>
              <w:jc w:val="right"/>
              <w:textAlignment w:val="bottom"/>
            </w:pPr>
            <w:r>
              <w:rPr>
                <w:rFonts w:ascii="Arial" w:eastAsia="宋体" w:hAnsi="Arial" w:cs="Arial"/>
                <w:color w:val="0071C5"/>
                <w:sz w:val="18"/>
                <w:szCs w:val="18"/>
              </w:rPr>
              <w:t>%</w:t>
            </w:r>
          </w:p>
        </w:tc>
        <w:tc>
          <w:tcPr>
            <w:tcW w:w="0" w:type="auto"/>
            <w:gridSpan w:val="3"/>
            <w:shd w:val="clear" w:color="auto" w:fill="auto"/>
            <w:tcMar>
              <w:left w:w="20" w:type="dxa"/>
              <w:right w:w="20" w:type="dxa"/>
            </w:tcMar>
            <w:vAlign w:val="bottom"/>
          </w:tcPr>
          <w:p w14:paraId="36CA4DDE"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4DDF" w14:textId="77777777" w:rsidR="00787570" w:rsidRDefault="000D56E2">
            <w:pPr>
              <w:jc w:val="right"/>
              <w:textAlignment w:val="bottom"/>
            </w:pPr>
            <w:r>
              <w:rPr>
                <w:rFonts w:ascii="Arial" w:eastAsia="宋体" w:hAnsi="Arial" w:cs="Arial"/>
                <w:color w:val="333333"/>
                <w:sz w:val="18"/>
                <w:szCs w:val="18"/>
              </w:rPr>
              <w:t>(46)</w:t>
            </w:r>
          </w:p>
        </w:tc>
        <w:tc>
          <w:tcPr>
            <w:tcW w:w="0" w:type="auto"/>
            <w:shd w:val="clear" w:color="auto" w:fill="auto"/>
            <w:tcMar>
              <w:top w:w="40" w:type="dxa"/>
              <w:bottom w:w="40" w:type="dxa"/>
              <w:right w:w="20" w:type="dxa"/>
            </w:tcMar>
            <w:vAlign w:val="bottom"/>
          </w:tcPr>
          <w:p w14:paraId="36CA4DE0"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4DE1"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4DE2" w14:textId="77777777" w:rsidR="00787570" w:rsidRDefault="000D56E2">
            <w:pPr>
              <w:jc w:val="right"/>
              <w:textAlignment w:val="bottom"/>
            </w:pPr>
            <w:r>
              <w:rPr>
                <w:rFonts w:ascii="Arial" w:eastAsia="宋体" w:hAnsi="Arial" w:cs="Arial"/>
                <w:color w:val="333333"/>
                <w:sz w:val="18"/>
                <w:szCs w:val="18"/>
              </w:rPr>
              <w:t>(0.2)</w:t>
            </w:r>
          </w:p>
        </w:tc>
        <w:tc>
          <w:tcPr>
            <w:tcW w:w="0" w:type="auto"/>
            <w:shd w:val="clear" w:color="auto" w:fill="auto"/>
            <w:tcMar>
              <w:top w:w="40" w:type="dxa"/>
              <w:bottom w:w="40" w:type="dxa"/>
              <w:right w:w="20" w:type="dxa"/>
            </w:tcMar>
            <w:vAlign w:val="bottom"/>
          </w:tcPr>
          <w:p w14:paraId="36CA4DE3" w14:textId="77777777" w:rsidR="00787570" w:rsidRDefault="000D56E2">
            <w:pPr>
              <w:jc w:val="right"/>
              <w:textAlignment w:val="bottom"/>
            </w:pPr>
            <w:r>
              <w:rPr>
                <w:rFonts w:ascii="Arial" w:eastAsia="宋体" w:hAnsi="Arial" w:cs="Arial"/>
                <w:color w:val="333333"/>
                <w:sz w:val="18"/>
                <w:szCs w:val="18"/>
              </w:rPr>
              <w:t>%</w:t>
            </w:r>
          </w:p>
        </w:tc>
        <w:tc>
          <w:tcPr>
            <w:tcW w:w="0" w:type="auto"/>
            <w:gridSpan w:val="3"/>
            <w:shd w:val="clear" w:color="auto" w:fill="auto"/>
            <w:tcMar>
              <w:left w:w="20" w:type="dxa"/>
              <w:right w:w="20" w:type="dxa"/>
            </w:tcMar>
            <w:vAlign w:val="bottom"/>
          </w:tcPr>
          <w:p w14:paraId="36CA4DE4"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4DE5" w14:textId="77777777" w:rsidR="00787570" w:rsidRDefault="000D56E2">
            <w:pPr>
              <w:jc w:val="right"/>
              <w:textAlignment w:val="bottom"/>
            </w:pPr>
            <w:r>
              <w:rPr>
                <w:rFonts w:ascii="Arial" w:eastAsia="宋体" w:hAnsi="Arial" w:cs="Arial"/>
                <w:color w:val="0071C5"/>
                <w:sz w:val="18"/>
                <w:szCs w:val="18"/>
              </w:rPr>
              <w:t>(416)</w:t>
            </w:r>
          </w:p>
        </w:tc>
        <w:tc>
          <w:tcPr>
            <w:tcW w:w="0" w:type="auto"/>
            <w:shd w:val="clear" w:color="auto" w:fill="auto"/>
            <w:tcMar>
              <w:top w:w="40" w:type="dxa"/>
              <w:bottom w:w="40" w:type="dxa"/>
              <w:right w:w="20" w:type="dxa"/>
            </w:tcMar>
            <w:vAlign w:val="bottom"/>
          </w:tcPr>
          <w:p w14:paraId="36CA4DE6"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4DE7"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4DE8" w14:textId="77777777" w:rsidR="00787570" w:rsidRDefault="000D56E2">
            <w:pPr>
              <w:jc w:val="right"/>
              <w:textAlignment w:val="bottom"/>
            </w:pPr>
            <w:r>
              <w:rPr>
                <w:rFonts w:ascii="Arial" w:eastAsia="宋体" w:hAnsi="Arial" w:cs="Arial"/>
                <w:color w:val="0071C5"/>
                <w:sz w:val="18"/>
                <w:szCs w:val="18"/>
              </w:rPr>
              <w:t>(0.7)</w:t>
            </w:r>
          </w:p>
        </w:tc>
        <w:tc>
          <w:tcPr>
            <w:tcW w:w="0" w:type="auto"/>
            <w:shd w:val="clear" w:color="auto" w:fill="auto"/>
            <w:tcMar>
              <w:top w:w="40" w:type="dxa"/>
              <w:bottom w:w="40" w:type="dxa"/>
              <w:right w:w="20" w:type="dxa"/>
            </w:tcMar>
            <w:vAlign w:val="bottom"/>
          </w:tcPr>
          <w:p w14:paraId="36CA4DE9" w14:textId="77777777" w:rsidR="00787570" w:rsidRDefault="000D56E2">
            <w:pPr>
              <w:jc w:val="right"/>
              <w:textAlignment w:val="bottom"/>
            </w:pPr>
            <w:r>
              <w:rPr>
                <w:rFonts w:ascii="Arial" w:eastAsia="宋体" w:hAnsi="Arial" w:cs="Arial"/>
                <w:color w:val="0071C5"/>
                <w:sz w:val="18"/>
                <w:szCs w:val="18"/>
              </w:rPr>
              <w:t>%</w:t>
            </w:r>
          </w:p>
        </w:tc>
        <w:tc>
          <w:tcPr>
            <w:tcW w:w="0" w:type="auto"/>
            <w:gridSpan w:val="3"/>
            <w:shd w:val="clear" w:color="auto" w:fill="auto"/>
            <w:tcMar>
              <w:left w:w="20" w:type="dxa"/>
              <w:right w:w="20" w:type="dxa"/>
            </w:tcMar>
            <w:vAlign w:val="bottom"/>
          </w:tcPr>
          <w:p w14:paraId="36CA4DEA"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4DEB" w14:textId="77777777" w:rsidR="00787570" w:rsidRDefault="000D56E2">
            <w:pPr>
              <w:jc w:val="right"/>
              <w:textAlignment w:val="bottom"/>
            </w:pPr>
            <w:r>
              <w:rPr>
                <w:rFonts w:ascii="Arial" w:eastAsia="宋体" w:hAnsi="Arial" w:cs="Arial"/>
                <w:color w:val="333333"/>
                <w:sz w:val="18"/>
                <w:szCs w:val="18"/>
              </w:rPr>
              <w:t>(170)</w:t>
            </w:r>
          </w:p>
        </w:tc>
        <w:tc>
          <w:tcPr>
            <w:tcW w:w="0" w:type="auto"/>
            <w:shd w:val="clear" w:color="auto" w:fill="auto"/>
            <w:tcMar>
              <w:top w:w="40" w:type="dxa"/>
              <w:bottom w:w="40" w:type="dxa"/>
              <w:right w:w="20" w:type="dxa"/>
            </w:tcMar>
            <w:vAlign w:val="bottom"/>
          </w:tcPr>
          <w:p w14:paraId="36CA4DEC"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4DED"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4DEE" w14:textId="77777777" w:rsidR="00787570" w:rsidRDefault="000D56E2">
            <w:pPr>
              <w:jc w:val="right"/>
              <w:textAlignment w:val="bottom"/>
            </w:pPr>
            <w:r>
              <w:rPr>
                <w:rFonts w:ascii="Arial" w:eastAsia="宋体" w:hAnsi="Arial" w:cs="Arial"/>
                <w:color w:val="333333"/>
                <w:sz w:val="18"/>
                <w:szCs w:val="18"/>
              </w:rPr>
              <w:t>(0.3)</w:t>
            </w:r>
          </w:p>
        </w:tc>
        <w:tc>
          <w:tcPr>
            <w:tcW w:w="0" w:type="auto"/>
            <w:shd w:val="clear" w:color="auto" w:fill="auto"/>
            <w:tcMar>
              <w:top w:w="40" w:type="dxa"/>
              <w:bottom w:w="40" w:type="dxa"/>
              <w:right w:w="20" w:type="dxa"/>
            </w:tcMar>
            <w:vAlign w:val="bottom"/>
          </w:tcPr>
          <w:p w14:paraId="36CA4DEF" w14:textId="77777777" w:rsidR="00787570" w:rsidRDefault="000D56E2">
            <w:pPr>
              <w:jc w:val="right"/>
              <w:textAlignment w:val="bottom"/>
            </w:pPr>
            <w:r>
              <w:rPr>
                <w:rFonts w:ascii="Arial" w:eastAsia="宋体" w:hAnsi="Arial" w:cs="Arial"/>
                <w:color w:val="333333"/>
                <w:sz w:val="18"/>
                <w:szCs w:val="18"/>
              </w:rPr>
              <w:t>%</w:t>
            </w:r>
          </w:p>
        </w:tc>
        <w:tc>
          <w:tcPr>
            <w:tcW w:w="0" w:type="auto"/>
            <w:shd w:val="clear" w:color="auto" w:fill="auto"/>
          </w:tcPr>
          <w:p w14:paraId="36CA4DF0" w14:textId="77777777" w:rsidR="00787570" w:rsidRDefault="00787570">
            <w:pPr>
              <w:rPr>
                <w:rFonts w:ascii="宋体"/>
              </w:rPr>
            </w:pPr>
          </w:p>
        </w:tc>
        <w:tc>
          <w:tcPr>
            <w:tcW w:w="0" w:type="auto"/>
            <w:shd w:val="clear" w:color="auto" w:fill="auto"/>
          </w:tcPr>
          <w:p w14:paraId="36CA4DF1" w14:textId="77777777" w:rsidR="00787570" w:rsidRDefault="00787570">
            <w:pPr>
              <w:rPr>
                <w:rFonts w:ascii="宋体"/>
              </w:rPr>
            </w:pPr>
          </w:p>
        </w:tc>
        <w:tc>
          <w:tcPr>
            <w:tcW w:w="0" w:type="auto"/>
            <w:shd w:val="clear" w:color="auto" w:fill="auto"/>
          </w:tcPr>
          <w:p w14:paraId="36CA4DF2" w14:textId="77777777" w:rsidR="00787570" w:rsidRDefault="00787570">
            <w:pPr>
              <w:rPr>
                <w:rFonts w:ascii="宋体"/>
              </w:rPr>
            </w:pPr>
          </w:p>
        </w:tc>
        <w:tc>
          <w:tcPr>
            <w:tcW w:w="0" w:type="auto"/>
            <w:shd w:val="clear" w:color="auto" w:fill="auto"/>
          </w:tcPr>
          <w:p w14:paraId="36CA4DF3" w14:textId="77777777" w:rsidR="00787570" w:rsidRDefault="00787570">
            <w:pPr>
              <w:rPr>
                <w:rFonts w:ascii="宋体"/>
              </w:rPr>
            </w:pPr>
          </w:p>
        </w:tc>
        <w:tc>
          <w:tcPr>
            <w:tcW w:w="0" w:type="auto"/>
            <w:shd w:val="clear" w:color="auto" w:fill="auto"/>
          </w:tcPr>
          <w:p w14:paraId="36CA4DF4" w14:textId="77777777" w:rsidR="00787570" w:rsidRDefault="00787570">
            <w:pPr>
              <w:rPr>
                <w:rFonts w:ascii="宋体"/>
              </w:rPr>
            </w:pPr>
          </w:p>
        </w:tc>
        <w:tc>
          <w:tcPr>
            <w:tcW w:w="0" w:type="auto"/>
            <w:shd w:val="clear" w:color="auto" w:fill="auto"/>
          </w:tcPr>
          <w:p w14:paraId="36CA4DF5" w14:textId="77777777" w:rsidR="00787570" w:rsidRDefault="00787570">
            <w:pPr>
              <w:rPr>
                <w:rFonts w:ascii="宋体"/>
              </w:rPr>
            </w:pPr>
          </w:p>
        </w:tc>
        <w:tc>
          <w:tcPr>
            <w:tcW w:w="0" w:type="auto"/>
            <w:shd w:val="clear" w:color="auto" w:fill="auto"/>
          </w:tcPr>
          <w:p w14:paraId="36CA4DF6" w14:textId="77777777" w:rsidR="00787570" w:rsidRDefault="00787570">
            <w:pPr>
              <w:rPr>
                <w:rFonts w:ascii="宋体"/>
              </w:rPr>
            </w:pPr>
          </w:p>
        </w:tc>
        <w:tc>
          <w:tcPr>
            <w:tcW w:w="0" w:type="auto"/>
            <w:shd w:val="clear" w:color="auto" w:fill="auto"/>
          </w:tcPr>
          <w:p w14:paraId="36CA4DF7" w14:textId="77777777" w:rsidR="00787570" w:rsidRDefault="00787570">
            <w:pPr>
              <w:rPr>
                <w:rFonts w:ascii="宋体"/>
              </w:rPr>
            </w:pPr>
          </w:p>
        </w:tc>
        <w:tc>
          <w:tcPr>
            <w:tcW w:w="0" w:type="auto"/>
            <w:shd w:val="clear" w:color="auto" w:fill="auto"/>
          </w:tcPr>
          <w:p w14:paraId="36CA4DF8" w14:textId="77777777" w:rsidR="00787570" w:rsidRDefault="00787570">
            <w:pPr>
              <w:rPr>
                <w:rFonts w:ascii="宋体"/>
              </w:rPr>
            </w:pPr>
          </w:p>
        </w:tc>
        <w:tc>
          <w:tcPr>
            <w:tcW w:w="0" w:type="auto"/>
            <w:shd w:val="clear" w:color="auto" w:fill="auto"/>
          </w:tcPr>
          <w:p w14:paraId="36CA4DF9" w14:textId="77777777" w:rsidR="00787570" w:rsidRDefault="00787570">
            <w:pPr>
              <w:rPr>
                <w:rFonts w:ascii="宋体"/>
              </w:rPr>
            </w:pPr>
          </w:p>
        </w:tc>
        <w:tc>
          <w:tcPr>
            <w:tcW w:w="0" w:type="auto"/>
            <w:shd w:val="clear" w:color="auto" w:fill="auto"/>
          </w:tcPr>
          <w:p w14:paraId="36CA4DFA" w14:textId="77777777" w:rsidR="00787570" w:rsidRDefault="00787570">
            <w:pPr>
              <w:rPr>
                <w:rFonts w:ascii="宋体"/>
              </w:rPr>
            </w:pPr>
          </w:p>
        </w:tc>
        <w:tc>
          <w:tcPr>
            <w:tcW w:w="0" w:type="auto"/>
            <w:shd w:val="clear" w:color="auto" w:fill="auto"/>
          </w:tcPr>
          <w:p w14:paraId="36CA4DFB" w14:textId="77777777" w:rsidR="00787570" w:rsidRDefault="00787570">
            <w:pPr>
              <w:rPr>
                <w:rFonts w:ascii="宋体"/>
              </w:rPr>
            </w:pPr>
          </w:p>
        </w:tc>
      </w:tr>
      <w:tr w:rsidR="00787570" w14:paraId="36CA4E22" w14:textId="77777777">
        <w:tc>
          <w:tcPr>
            <w:tcW w:w="0" w:type="auto"/>
            <w:gridSpan w:val="3"/>
            <w:shd w:val="clear" w:color="auto" w:fill="auto"/>
            <w:tcMar>
              <w:top w:w="40" w:type="dxa"/>
              <w:left w:w="20" w:type="dxa"/>
              <w:bottom w:w="40" w:type="dxa"/>
              <w:right w:w="20" w:type="dxa"/>
            </w:tcMar>
          </w:tcPr>
          <w:p w14:paraId="36CA4DFD" w14:textId="77777777" w:rsidR="00787570" w:rsidRDefault="000D56E2">
            <w:pPr>
              <w:ind w:hanging="180"/>
              <w:textAlignment w:val="top"/>
            </w:pPr>
            <w:r>
              <w:rPr>
                <w:rFonts w:ascii="Arial" w:eastAsia="宋体" w:hAnsi="Arial" w:cs="Arial"/>
                <w:b/>
                <w:bCs/>
                <w:color w:val="333333"/>
                <w:sz w:val="18"/>
                <w:szCs w:val="18"/>
              </w:rPr>
              <w:t>Income before taxes</w:t>
            </w:r>
          </w:p>
        </w:tc>
        <w:tc>
          <w:tcPr>
            <w:tcW w:w="0" w:type="auto"/>
            <w:gridSpan w:val="3"/>
            <w:shd w:val="clear" w:color="auto" w:fill="auto"/>
            <w:tcMar>
              <w:left w:w="20" w:type="dxa"/>
              <w:right w:w="20" w:type="dxa"/>
            </w:tcMar>
            <w:vAlign w:val="bottom"/>
          </w:tcPr>
          <w:p w14:paraId="36CA4DFE" w14:textId="77777777" w:rsidR="00787570" w:rsidRDefault="00787570">
            <w:pPr>
              <w:rPr>
                <w:rFonts w:ascii="宋体"/>
              </w:rPr>
            </w:pPr>
          </w:p>
        </w:tc>
        <w:tc>
          <w:tcPr>
            <w:tcW w:w="0" w:type="auto"/>
            <w:gridSpan w:val="2"/>
            <w:tcBorders>
              <w:top w:val="single" w:sz="8" w:space="0" w:color="333333"/>
            </w:tcBorders>
            <w:shd w:val="clear" w:color="auto" w:fill="auto"/>
            <w:tcMar>
              <w:top w:w="40" w:type="dxa"/>
              <w:left w:w="20" w:type="dxa"/>
              <w:bottom w:w="40" w:type="dxa"/>
              <w:right w:w="0" w:type="dxa"/>
            </w:tcMar>
            <w:vAlign w:val="bottom"/>
          </w:tcPr>
          <w:p w14:paraId="36CA4DFF" w14:textId="77777777" w:rsidR="00787570" w:rsidRDefault="000D56E2">
            <w:pPr>
              <w:jc w:val="right"/>
              <w:textAlignment w:val="bottom"/>
            </w:pPr>
            <w:r>
              <w:rPr>
                <w:rFonts w:ascii="Arial" w:eastAsia="宋体" w:hAnsi="Arial" w:cs="Arial"/>
                <w:b/>
                <w:bCs/>
                <w:color w:val="0071C5"/>
                <w:sz w:val="18"/>
                <w:szCs w:val="18"/>
              </w:rPr>
              <w:t>5,041</w:t>
            </w:r>
            <w:r>
              <w:rPr>
                <w:rFonts w:ascii="Arial" w:eastAsia="宋体" w:hAnsi="Arial" w:cs="Arial"/>
                <w:color w:val="0071C5"/>
                <w:sz w:val="18"/>
                <w:szCs w:val="18"/>
              </w:rPr>
              <w:t> </w:t>
            </w:r>
          </w:p>
        </w:tc>
        <w:tc>
          <w:tcPr>
            <w:tcW w:w="0" w:type="auto"/>
            <w:tcBorders>
              <w:top w:val="single" w:sz="8" w:space="0" w:color="333333"/>
            </w:tcBorders>
            <w:shd w:val="clear" w:color="auto" w:fill="auto"/>
            <w:tcMar>
              <w:top w:w="40" w:type="dxa"/>
              <w:bottom w:w="40" w:type="dxa"/>
              <w:right w:w="20" w:type="dxa"/>
            </w:tcMar>
            <w:vAlign w:val="bottom"/>
          </w:tcPr>
          <w:p w14:paraId="36CA4E00"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4E01" w14:textId="77777777" w:rsidR="00787570" w:rsidRDefault="00787570">
            <w:pPr>
              <w:rPr>
                <w:rFonts w:ascii="宋体"/>
              </w:rPr>
            </w:pPr>
          </w:p>
        </w:tc>
        <w:tc>
          <w:tcPr>
            <w:tcW w:w="0" w:type="auto"/>
            <w:gridSpan w:val="2"/>
            <w:tcBorders>
              <w:top w:val="single" w:sz="8" w:space="0" w:color="333333"/>
            </w:tcBorders>
            <w:shd w:val="clear" w:color="auto" w:fill="auto"/>
            <w:tcMar>
              <w:top w:w="40" w:type="dxa"/>
              <w:left w:w="20" w:type="dxa"/>
              <w:bottom w:w="40" w:type="dxa"/>
              <w:right w:w="0" w:type="dxa"/>
            </w:tcMar>
            <w:vAlign w:val="bottom"/>
          </w:tcPr>
          <w:p w14:paraId="36CA4E02" w14:textId="77777777" w:rsidR="00787570" w:rsidRDefault="000D56E2">
            <w:pPr>
              <w:jc w:val="right"/>
              <w:textAlignment w:val="bottom"/>
            </w:pPr>
            <w:r>
              <w:rPr>
                <w:rFonts w:ascii="Arial" w:eastAsia="宋体" w:hAnsi="Arial" w:cs="Arial"/>
                <w:b/>
                <w:bCs/>
                <w:color w:val="0071C5"/>
                <w:sz w:val="18"/>
                <w:szCs w:val="18"/>
              </w:rPr>
              <w:t>27.5</w:t>
            </w:r>
            <w:r>
              <w:rPr>
                <w:rFonts w:ascii="Arial" w:eastAsia="宋体" w:hAnsi="Arial" w:cs="Arial"/>
                <w:color w:val="0071C5"/>
                <w:sz w:val="18"/>
                <w:szCs w:val="18"/>
              </w:rPr>
              <w:t> </w:t>
            </w:r>
          </w:p>
        </w:tc>
        <w:tc>
          <w:tcPr>
            <w:tcW w:w="0" w:type="auto"/>
            <w:tcBorders>
              <w:top w:val="single" w:sz="8" w:space="0" w:color="333333"/>
            </w:tcBorders>
            <w:shd w:val="clear" w:color="auto" w:fill="auto"/>
            <w:tcMar>
              <w:top w:w="40" w:type="dxa"/>
              <w:bottom w:w="40" w:type="dxa"/>
              <w:right w:w="20" w:type="dxa"/>
            </w:tcMar>
            <w:vAlign w:val="bottom"/>
          </w:tcPr>
          <w:p w14:paraId="36CA4E03" w14:textId="77777777" w:rsidR="00787570" w:rsidRDefault="000D56E2">
            <w:pPr>
              <w:jc w:val="right"/>
              <w:textAlignment w:val="bottom"/>
            </w:pPr>
            <w:r>
              <w:rPr>
                <w:rFonts w:ascii="Arial" w:eastAsia="宋体" w:hAnsi="Arial" w:cs="Arial"/>
                <w:b/>
                <w:bCs/>
                <w:color w:val="0071C5"/>
                <w:sz w:val="18"/>
                <w:szCs w:val="18"/>
              </w:rPr>
              <w:t>%</w:t>
            </w:r>
          </w:p>
        </w:tc>
        <w:tc>
          <w:tcPr>
            <w:tcW w:w="0" w:type="auto"/>
            <w:gridSpan w:val="3"/>
            <w:shd w:val="clear" w:color="auto" w:fill="auto"/>
            <w:tcMar>
              <w:left w:w="20" w:type="dxa"/>
              <w:right w:w="20" w:type="dxa"/>
            </w:tcMar>
            <w:vAlign w:val="bottom"/>
          </w:tcPr>
          <w:p w14:paraId="36CA4E04" w14:textId="77777777" w:rsidR="00787570" w:rsidRDefault="00787570">
            <w:pPr>
              <w:rPr>
                <w:rFonts w:ascii="宋体"/>
              </w:rPr>
            </w:pPr>
          </w:p>
        </w:tc>
        <w:tc>
          <w:tcPr>
            <w:tcW w:w="0" w:type="auto"/>
            <w:gridSpan w:val="2"/>
            <w:tcBorders>
              <w:top w:val="single" w:sz="8" w:space="0" w:color="333333"/>
            </w:tcBorders>
            <w:shd w:val="clear" w:color="auto" w:fill="auto"/>
            <w:tcMar>
              <w:top w:w="40" w:type="dxa"/>
              <w:left w:w="20" w:type="dxa"/>
              <w:bottom w:w="40" w:type="dxa"/>
              <w:right w:w="0" w:type="dxa"/>
            </w:tcMar>
            <w:vAlign w:val="bottom"/>
          </w:tcPr>
          <w:p w14:paraId="36CA4E05" w14:textId="77777777" w:rsidR="00787570" w:rsidRDefault="000D56E2">
            <w:pPr>
              <w:jc w:val="right"/>
              <w:textAlignment w:val="bottom"/>
            </w:pPr>
            <w:r>
              <w:rPr>
                <w:rFonts w:ascii="Arial" w:eastAsia="宋体" w:hAnsi="Arial" w:cs="Arial"/>
                <w:b/>
                <w:bCs/>
                <w:color w:val="333333"/>
                <w:sz w:val="18"/>
                <w:szCs w:val="18"/>
              </w:rPr>
              <w:t>6,719</w:t>
            </w:r>
            <w:r>
              <w:rPr>
                <w:rFonts w:ascii="Arial" w:eastAsia="宋体" w:hAnsi="Arial" w:cs="Arial"/>
                <w:color w:val="333333"/>
                <w:sz w:val="18"/>
                <w:szCs w:val="18"/>
              </w:rPr>
              <w:t> </w:t>
            </w:r>
          </w:p>
        </w:tc>
        <w:tc>
          <w:tcPr>
            <w:tcW w:w="0" w:type="auto"/>
            <w:tcBorders>
              <w:top w:val="single" w:sz="8" w:space="0" w:color="333333"/>
            </w:tcBorders>
            <w:shd w:val="clear" w:color="auto" w:fill="auto"/>
            <w:tcMar>
              <w:top w:w="40" w:type="dxa"/>
              <w:bottom w:w="40" w:type="dxa"/>
              <w:right w:w="20" w:type="dxa"/>
            </w:tcMar>
            <w:vAlign w:val="bottom"/>
          </w:tcPr>
          <w:p w14:paraId="36CA4E06"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4E07" w14:textId="77777777" w:rsidR="00787570" w:rsidRDefault="00787570">
            <w:pPr>
              <w:rPr>
                <w:rFonts w:ascii="宋体"/>
              </w:rPr>
            </w:pPr>
          </w:p>
        </w:tc>
        <w:tc>
          <w:tcPr>
            <w:tcW w:w="0" w:type="auto"/>
            <w:gridSpan w:val="2"/>
            <w:tcBorders>
              <w:top w:val="single" w:sz="8" w:space="0" w:color="333333"/>
            </w:tcBorders>
            <w:shd w:val="clear" w:color="auto" w:fill="auto"/>
            <w:tcMar>
              <w:top w:w="40" w:type="dxa"/>
              <w:left w:w="20" w:type="dxa"/>
              <w:bottom w:w="40" w:type="dxa"/>
              <w:right w:w="0" w:type="dxa"/>
            </w:tcMar>
            <w:vAlign w:val="bottom"/>
          </w:tcPr>
          <w:p w14:paraId="36CA4E08" w14:textId="77777777" w:rsidR="00787570" w:rsidRDefault="000D56E2">
            <w:pPr>
              <w:jc w:val="right"/>
              <w:textAlignment w:val="bottom"/>
            </w:pPr>
            <w:r>
              <w:rPr>
                <w:rFonts w:ascii="Arial" w:eastAsia="宋体" w:hAnsi="Arial" w:cs="Arial"/>
                <w:b/>
                <w:bCs/>
                <w:color w:val="333333"/>
                <w:sz w:val="18"/>
                <w:szCs w:val="18"/>
              </w:rPr>
              <w:t>35.0</w:t>
            </w:r>
            <w:r>
              <w:rPr>
                <w:rFonts w:ascii="Arial" w:eastAsia="宋体" w:hAnsi="Arial" w:cs="Arial"/>
                <w:color w:val="333333"/>
                <w:sz w:val="18"/>
                <w:szCs w:val="18"/>
              </w:rPr>
              <w:t> </w:t>
            </w:r>
          </w:p>
        </w:tc>
        <w:tc>
          <w:tcPr>
            <w:tcW w:w="0" w:type="auto"/>
            <w:tcBorders>
              <w:top w:val="single" w:sz="8" w:space="0" w:color="333333"/>
            </w:tcBorders>
            <w:shd w:val="clear" w:color="auto" w:fill="auto"/>
            <w:tcMar>
              <w:top w:w="40" w:type="dxa"/>
              <w:bottom w:w="40" w:type="dxa"/>
              <w:right w:w="20" w:type="dxa"/>
            </w:tcMar>
            <w:vAlign w:val="bottom"/>
          </w:tcPr>
          <w:p w14:paraId="36CA4E09" w14:textId="77777777" w:rsidR="00787570" w:rsidRDefault="000D56E2">
            <w:pPr>
              <w:jc w:val="right"/>
              <w:textAlignment w:val="bottom"/>
            </w:pPr>
            <w:r>
              <w:rPr>
                <w:rFonts w:ascii="Arial" w:eastAsia="宋体" w:hAnsi="Arial" w:cs="Arial"/>
                <w:b/>
                <w:bCs/>
                <w:color w:val="333333"/>
                <w:sz w:val="18"/>
                <w:szCs w:val="18"/>
              </w:rPr>
              <w:t>%</w:t>
            </w:r>
          </w:p>
        </w:tc>
        <w:tc>
          <w:tcPr>
            <w:tcW w:w="0" w:type="auto"/>
            <w:gridSpan w:val="3"/>
            <w:shd w:val="clear" w:color="auto" w:fill="auto"/>
            <w:tcMar>
              <w:left w:w="20" w:type="dxa"/>
              <w:right w:w="20" w:type="dxa"/>
            </w:tcMar>
            <w:vAlign w:val="bottom"/>
          </w:tcPr>
          <w:p w14:paraId="36CA4E0A" w14:textId="77777777" w:rsidR="00787570" w:rsidRDefault="00787570">
            <w:pPr>
              <w:rPr>
                <w:rFonts w:ascii="宋体"/>
              </w:rPr>
            </w:pPr>
          </w:p>
        </w:tc>
        <w:tc>
          <w:tcPr>
            <w:tcW w:w="0" w:type="auto"/>
            <w:gridSpan w:val="2"/>
            <w:tcBorders>
              <w:top w:val="single" w:sz="8" w:space="0" w:color="333333"/>
            </w:tcBorders>
            <w:shd w:val="clear" w:color="auto" w:fill="auto"/>
            <w:tcMar>
              <w:top w:w="40" w:type="dxa"/>
              <w:left w:w="20" w:type="dxa"/>
              <w:bottom w:w="40" w:type="dxa"/>
              <w:right w:w="0" w:type="dxa"/>
            </w:tcMar>
            <w:vAlign w:val="bottom"/>
          </w:tcPr>
          <w:p w14:paraId="36CA4E0B" w14:textId="77777777" w:rsidR="00787570" w:rsidRDefault="000D56E2">
            <w:pPr>
              <w:jc w:val="right"/>
              <w:textAlignment w:val="bottom"/>
            </w:pPr>
            <w:r>
              <w:rPr>
                <w:rFonts w:ascii="Arial" w:eastAsia="宋体" w:hAnsi="Arial" w:cs="Arial"/>
                <w:b/>
                <w:bCs/>
                <w:color w:val="0071C5"/>
                <w:sz w:val="18"/>
                <w:szCs w:val="18"/>
              </w:rPr>
              <w:t>17,590</w:t>
            </w:r>
            <w:r>
              <w:rPr>
                <w:rFonts w:ascii="Arial" w:eastAsia="宋体" w:hAnsi="Arial" w:cs="Arial"/>
                <w:color w:val="0071C5"/>
                <w:sz w:val="18"/>
                <w:szCs w:val="18"/>
              </w:rPr>
              <w:t> </w:t>
            </w:r>
          </w:p>
        </w:tc>
        <w:tc>
          <w:tcPr>
            <w:tcW w:w="0" w:type="auto"/>
            <w:tcBorders>
              <w:top w:val="single" w:sz="8" w:space="0" w:color="333333"/>
            </w:tcBorders>
            <w:shd w:val="clear" w:color="auto" w:fill="auto"/>
            <w:tcMar>
              <w:top w:w="40" w:type="dxa"/>
              <w:bottom w:w="40" w:type="dxa"/>
              <w:right w:w="20" w:type="dxa"/>
            </w:tcMar>
            <w:vAlign w:val="bottom"/>
          </w:tcPr>
          <w:p w14:paraId="36CA4E0C"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4E0D" w14:textId="77777777" w:rsidR="00787570" w:rsidRDefault="00787570">
            <w:pPr>
              <w:rPr>
                <w:rFonts w:ascii="宋体"/>
              </w:rPr>
            </w:pPr>
          </w:p>
        </w:tc>
        <w:tc>
          <w:tcPr>
            <w:tcW w:w="0" w:type="auto"/>
            <w:gridSpan w:val="2"/>
            <w:tcBorders>
              <w:top w:val="single" w:sz="8" w:space="0" w:color="333333"/>
            </w:tcBorders>
            <w:shd w:val="clear" w:color="auto" w:fill="auto"/>
            <w:tcMar>
              <w:top w:w="40" w:type="dxa"/>
              <w:left w:w="20" w:type="dxa"/>
              <w:bottom w:w="40" w:type="dxa"/>
              <w:right w:w="0" w:type="dxa"/>
            </w:tcMar>
            <w:vAlign w:val="bottom"/>
          </w:tcPr>
          <w:p w14:paraId="36CA4E0E" w14:textId="77777777" w:rsidR="00787570" w:rsidRDefault="000D56E2">
            <w:pPr>
              <w:jc w:val="right"/>
              <w:textAlignment w:val="bottom"/>
            </w:pPr>
            <w:r>
              <w:rPr>
                <w:rFonts w:ascii="Arial" w:eastAsia="宋体" w:hAnsi="Arial" w:cs="Arial"/>
                <w:b/>
                <w:bCs/>
                <w:color w:val="0071C5"/>
                <w:sz w:val="18"/>
                <w:szCs w:val="18"/>
              </w:rPr>
              <w:t>30.4</w:t>
            </w:r>
            <w:r>
              <w:rPr>
                <w:rFonts w:ascii="Arial" w:eastAsia="宋体" w:hAnsi="Arial" w:cs="Arial"/>
                <w:color w:val="0071C5"/>
                <w:sz w:val="18"/>
                <w:szCs w:val="18"/>
              </w:rPr>
              <w:t> </w:t>
            </w:r>
          </w:p>
        </w:tc>
        <w:tc>
          <w:tcPr>
            <w:tcW w:w="0" w:type="auto"/>
            <w:tcBorders>
              <w:top w:val="single" w:sz="8" w:space="0" w:color="333333"/>
            </w:tcBorders>
            <w:shd w:val="clear" w:color="auto" w:fill="auto"/>
            <w:tcMar>
              <w:top w:w="40" w:type="dxa"/>
              <w:bottom w:w="40" w:type="dxa"/>
              <w:right w:w="20" w:type="dxa"/>
            </w:tcMar>
            <w:vAlign w:val="bottom"/>
          </w:tcPr>
          <w:p w14:paraId="36CA4E0F" w14:textId="77777777" w:rsidR="00787570" w:rsidRDefault="000D56E2">
            <w:pPr>
              <w:jc w:val="right"/>
              <w:textAlignment w:val="bottom"/>
            </w:pPr>
            <w:r>
              <w:rPr>
                <w:rFonts w:ascii="Arial" w:eastAsia="宋体" w:hAnsi="Arial" w:cs="Arial"/>
                <w:b/>
                <w:bCs/>
                <w:color w:val="0071C5"/>
                <w:sz w:val="18"/>
                <w:szCs w:val="18"/>
              </w:rPr>
              <w:t>%</w:t>
            </w:r>
          </w:p>
        </w:tc>
        <w:tc>
          <w:tcPr>
            <w:tcW w:w="0" w:type="auto"/>
            <w:gridSpan w:val="3"/>
            <w:shd w:val="clear" w:color="auto" w:fill="auto"/>
            <w:tcMar>
              <w:left w:w="20" w:type="dxa"/>
              <w:right w:w="20" w:type="dxa"/>
            </w:tcMar>
            <w:vAlign w:val="bottom"/>
          </w:tcPr>
          <w:p w14:paraId="36CA4E10" w14:textId="77777777" w:rsidR="00787570" w:rsidRDefault="00787570">
            <w:pPr>
              <w:rPr>
                <w:rFonts w:ascii="宋体"/>
              </w:rPr>
            </w:pPr>
          </w:p>
        </w:tc>
        <w:tc>
          <w:tcPr>
            <w:tcW w:w="0" w:type="auto"/>
            <w:gridSpan w:val="2"/>
            <w:tcBorders>
              <w:top w:val="single" w:sz="8" w:space="0" w:color="333333"/>
            </w:tcBorders>
            <w:shd w:val="clear" w:color="auto" w:fill="auto"/>
            <w:tcMar>
              <w:top w:w="40" w:type="dxa"/>
              <w:left w:w="20" w:type="dxa"/>
              <w:bottom w:w="40" w:type="dxa"/>
              <w:right w:w="0" w:type="dxa"/>
            </w:tcMar>
            <w:vAlign w:val="bottom"/>
          </w:tcPr>
          <w:p w14:paraId="36CA4E11" w14:textId="77777777" w:rsidR="00787570" w:rsidRDefault="000D56E2">
            <w:pPr>
              <w:jc w:val="right"/>
              <w:textAlignment w:val="bottom"/>
            </w:pPr>
            <w:r>
              <w:rPr>
                <w:rFonts w:ascii="Arial" w:eastAsia="宋体" w:hAnsi="Arial" w:cs="Arial"/>
                <w:b/>
                <w:bCs/>
                <w:color w:val="333333"/>
                <w:sz w:val="18"/>
                <w:szCs w:val="18"/>
              </w:rPr>
              <w:t>15,990</w:t>
            </w:r>
            <w:r>
              <w:rPr>
                <w:rFonts w:ascii="Arial" w:eastAsia="宋体" w:hAnsi="Arial" w:cs="Arial"/>
                <w:color w:val="333333"/>
                <w:sz w:val="18"/>
                <w:szCs w:val="18"/>
              </w:rPr>
              <w:t> </w:t>
            </w:r>
          </w:p>
        </w:tc>
        <w:tc>
          <w:tcPr>
            <w:tcW w:w="0" w:type="auto"/>
            <w:tcBorders>
              <w:top w:val="single" w:sz="8" w:space="0" w:color="333333"/>
            </w:tcBorders>
            <w:shd w:val="clear" w:color="auto" w:fill="auto"/>
            <w:tcMar>
              <w:top w:w="40" w:type="dxa"/>
              <w:bottom w:w="40" w:type="dxa"/>
              <w:right w:w="20" w:type="dxa"/>
            </w:tcMar>
            <w:vAlign w:val="bottom"/>
          </w:tcPr>
          <w:p w14:paraId="36CA4E12"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4E13" w14:textId="77777777" w:rsidR="00787570" w:rsidRDefault="00787570">
            <w:pPr>
              <w:rPr>
                <w:rFonts w:ascii="宋体"/>
              </w:rPr>
            </w:pPr>
          </w:p>
        </w:tc>
        <w:tc>
          <w:tcPr>
            <w:tcW w:w="0" w:type="auto"/>
            <w:gridSpan w:val="2"/>
            <w:tcBorders>
              <w:top w:val="single" w:sz="8" w:space="0" w:color="333333"/>
            </w:tcBorders>
            <w:shd w:val="clear" w:color="auto" w:fill="auto"/>
            <w:tcMar>
              <w:top w:w="40" w:type="dxa"/>
              <w:left w:w="20" w:type="dxa"/>
              <w:bottom w:w="40" w:type="dxa"/>
              <w:right w:w="0" w:type="dxa"/>
            </w:tcMar>
            <w:vAlign w:val="bottom"/>
          </w:tcPr>
          <w:p w14:paraId="36CA4E14" w14:textId="77777777" w:rsidR="00787570" w:rsidRDefault="000D56E2">
            <w:pPr>
              <w:jc w:val="right"/>
              <w:textAlignment w:val="bottom"/>
            </w:pPr>
            <w:r>
              <w:rPr>
                <w:rFonts w:ascii="Arial" w:eastAsia="宋体" w:hAnsi="Arial" w:cs="Arial"/>
                <w:b/>
                <w:bCs/>
                <w:color w:val="333333"/>
                <w:sz w:val="18"/>
                <w:szCs w:val="18"/>
              </w:rPr>
              <w:t>30.9</w:t>
            </w:r>
            <w:r>
              <w:rPr>
                <w:rFonts w:ascii="Arial" w:eastAsia="宋体" w:hAnsi="Arial" w:cs="Arial"/>
                <w:color w:val="333333"/>
                <w:sz w:val="18"/>
                <w:szCs w:val="18"/>
              </w:rPr>
              <w:t> </w:t>
            </w:r>
          </w:p>
        </w:tc>
        <w:tc>
          <w:tcPr>
            <w:tcW w:w="0" w:type="auto"/>
            <w:tcBorders>
              <w:top w:val="single" w:sz="8" w:space="0" w:color="333333"/>
            </w:tcBorders>
            <w:shd w:val="clear" w:color="auto" w:fill="auto"/>
            <w:tcMar>
              <w:top w:w="40" w:type="dxa"/>
              <w:bottom w:w="40" w:type="dxa"/>
              <w:right w:w="20" w:type="dxa"/>
            </w:tcMar>
            <w:vAlign w:val="bottom"/>
          </w:tcPr>
          <w:p w14:paraId="36CA4E15" w14:textId="77777777" w:rsidR="00787570" w:rsidRDefault="000D56E2">
            <w:pPr>
              <w:jc w:val="right"/>
              <w:textAlignment w:val="bottom"/>
            </w:pPr>
            <w:r>
              <w:rPr>
                <w:rFonts w:ascii="Arial" w:eastAsia="宋体" w:hAnsi="Arial" w:cs="Arial"/>
                <w:b/>
                <w:bCs/>
                <w:color w:val="333333"/>
                <w:sz w:val="18"/>
                <w:szCs w:val="18"/>
              </w:rPr>
              <w:t>%</w:t>
            </w:r>
          </w:p>
        </w:tc>
        <w:tc>
          <w:tcPr>
            <w:tcW w:w="0" w:type="auto"/>
            <w:shd w:val="clear" w:color="auto" w:fill="auto"/>
          </w:tcPr>
          <w:p w14:paraId="36CA4E16" w14:textId="77777777" w:rsidR="00787570" w:rsidRDefault="00787570">
            <w:pPr>
              <w:rPr>
                <w:rFonts w:ascii="宋体"/>
              </w:rPr>
            </w:pPr>
          </w:p>
        </w:tc>
        <w:tc>
          <w:tcPr>
            <w:tcW w:w="0" w:type="auto"/>
            <w:shd w:val="clear" w:color="auto" w:fill="auto"/>
          </w:tcPr>
          <w:p w14:paraId="36CA4E17" w14:textId="77777777" w:rsidR="00787570" w:rsidRDefault="00787570">
            <w:pPr>
              <w:rPr>
                <w:rFonts w:ascii="宋体"/>
              </w:rPr>
            </w:pPr>
          </w:p>
        </w:tc>
        <w:tc>
          <w:tcPr>
            <w:tcW w:w="0" w:type="auto"/>
            <w:shd w:val="clear" w:color="auto" w:fill="auto"/>
          </w:tcPr>
          <w:p w14:paraId="36CA4E18" w14:textId="77777777" w:rsidR="00787570" w:rsidRDefault="00787570">
            <w:pPr>
              <w:rPr>
                <w:rFonts w:ascii="宋体"/>
              </w:rPr>
            </w:pPr>
          </w:p>
        </w:tc>
        <w:tc>
          <w:tcPr>
            <w:tcW w:w="0" w:type="auto"/>
            <w:shd w:val="clear" w:color="auto" w:fill="auto"/>
          </w:tcPr>
          <w:p w14:paraId="36CA4E19" w14:textId="77777777" w:rsidR="00787570" w:rsidRDefault="00787570">
            <w:pPr>
              <w:rPr>
                <w:rFonts w:ascii="宋体"/>
              </w:rPr>
            </w:pPr>
          </w:p>
        </w:tc>
        <w:tc>
          <w:tcPr>
            <w:tcW w:w="0" w:type="auto"/>
            <w:shd w:val="clear" w:color="auto" w:fill="auto"/>
          </w:tcPr>
          <w:p w14:paraId="36CA4E1A" w14:textId="77777777" w:rsidR="00787570" w:rsidRDefault="00787570">
            <w:pPr>
              <w:rPr>
                <w:rFonts w:ascii="宋体"/>
              </w:rPr>
            </w:pPr>
          </w:p>
        </w:tc>
        <w:tc>
          <w:tcPr>
            <w:tcW w:w="0" w:type="auto"/>
            <w:shd w:val="clear" w:color="auto" w:fill="auto"/>
          </w:tcPr>
          <w:p w14:paraId="36CA4E1B" w14:textId="77777777" w:rsidR="00787570" w:rsidRDefault="00787570">
            <w:pPr>
              <w:rPr>
                <w:rFonts w:ascii="宋体"/>
              </w:rPr>
            </w:pPr>
          </w:p>
        </w:tc>
        <w:tc>
          <w:tcPr>
            <w:tcW w:w="0" w:type="auto"/>
            <w:shd w:val="clear" w:color="auto" w:fill="auto"/>
          </w:tcPr>
          <w:p w14:paraId="36CA4E1C" w14:textId="77777777" w:rsidR="00787570" w:rsidRDefault="00787570">
            <w:pPr>
              <w:rPr>
                <w:rFonts w:ascii="宋体"/>
              </w:rPr>
            </w:pPr>
          </w:p>
        </w:tc>
        <w:tc>
          <w:tcPr>
            <w:tcW w:w="0" w:type="auto"/>
            <w:shd w:val="clear" w:color="auto" w:fill="auto"/>
          </w:tcPr>
          <w:p w14:paraId="36CA4E1D" w14:textId="77777777" w:rsidR="00787570" w:rsidRDefault="00787570">
            <w:pPr>
              <w:rPr>
                <w:rFonts w:ascii="宋体"/>
              </w:rPr>
            </w:pPr>
          </w:p>
        </w:tc>
        <w:tc>
          <w:tcPr>
            <w:tcW w:w="0" w:type="auto"/>
            <w:shd w:val="clear" w:color="auto" w:fill="auto"/>
          </w:tcPr>
          <w:p w14:paraId="36CA4E1E" w14:textId="77777777" w:rsidR="00787570" w:rsidRDefault="00787570">
            <w:pPr>
              <w:rPr>
                <w:rFonts w:ascii="宋体"/>
              </w:rPr>
            </w:pPr>
          </w:p>
        </w:tc>
        <w:tc>
          <w:tcPr>
            <w:tcW w:w="0" w:type="auto"/>
            <w:shd w:val="clear" w:color="auto" w:fill="auto"/>
          </w:tcPr>
          <w:p w14:paraId="36CA4E1F" w14:textId="77777777" w:rsidR="00787570" w:rsidRDefault="00787570">
            <w:pPr>
              <w:rPr>
                <w:rFonts w:ascii="宋体"/>
              </w:rPr>
            </w:pPr>
          </w:p>
        </w:tc>
        <w:tc>
          <w:tcPr>
            <w:tcW w:w="0" w:type="auto"/>
            <w:shd w:val="clear" w:color="auto" w:fill="auto"/>
          </w:tcPr>
          <w:p w14:paraId="36CA4E20" w14:textId="77777777" w:rsidR="00787570" w:rsidRDefault="00787570">
            <w:pPr>
              <w:rPr>
                <w:rFonts w:ascii="宋体"/>
              </w:rPr>
            </w:pPr>
          </w:p>
        </w:tc>
        <w:tc>
          <w:tcPr>
            <w:tcW w:w="0" w:type="auto"/>
            <w:shd w:val="clear" w:color="auto" w:fill="auto"/>
          </w:tcPr>
          <w:p w14:paraId="36CA4E21" w14:textId="77777777" w:rsidR="00787570" w:rsidRDefault="00787570">
            <w:pPr>
              <w:rPr>
                <w:rFonts w:ascii="宋体"/>
              </w:rPr>
            </w:pPr>
          </w:p>
        </w:tc>
      </w:tr>
      <w:tr w:rsidR="00787570" w14:paraId="36CA4E48" w14:textId="77777777">
        <w:tc>
          <w:tcPr>
            <w:tcW w:w="0" w:type="auto"/>
            <w:gridSpan w:val="3"/>
            <w:shd w:val="clear" w:color="auto" w:fill="auto"/>
            <w:tcMar>
              <w:top w:w="40" w:type="dxa"/>
              <w:left w:w="20" w:type="dxa"/>
              <w:bottom w:w="40" w:type="dxa"/>
              <w:right w:w="20" w:type="dxa"/>
            </w:tcMar>
          </w:tcPr>
          <w:p w14:paraId="36CA4E23" w14:textId="77777777" w:rsidR="00787570" w:rsidRDefault="000D56E2">
            <w:pPr>
              <w:ind w:hanging="180"/>
              <w:textAlignment w:val="top"/>
            </w:pPr>
            <w:r>
              <w:rPr>
                <w:rFonts w:ascii="Arial" w:eastAsia="宋体" w:hAnsi="Arial" w:cs="Arial"/>
                <w:color w:val="333333"/>
                <w:sz w:val="18"/>
                <w:szCs w:val="18"/>
              </w:rPr>
              <w:t>Provision for taxes</w:t>
            </w:r>
          </w:p>
        </w:tc>
        <w:tc>
          <w:tcPr>
            <w:tcW w:w="0" w:type="auto"/>
            <w:gridSpan w:val="3"/>
            <w:shd w:val="clear" w:color="auto" w:fill="auto"/>
            <w:tcMar>
              <w:left w:w="20" w:type="dxa"/>
              <w:right w:w="20" w:type="dxa"/>
            </w:tcMar>
            <w:vAlign w:val="bottom"/>
          </w:tcPr>
          <w:p w14:paraId="36CA4E24"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4E25" w14:textId="77777777" w:rsidR="00787570" w:rsidRDefault="000D56E2">
            <w:pPr>
              <w:jc w:val="right"/>
              <w:textAlignment w:val="bottom"/>
            </w:pPr>
            <w:r>
              <w:rPr>
                <w:rFonts w:ascii="Arial" w:eastAsia="宋体" w:hAnsi="Arial" w:cs="Arial"/>
                <w:color w:val="0071C5"/>
                <w:sz w:val="18"/>
                <w:szCs w:val="18"/>
              </w:rPr>
              <w:t>765 </w:t>
            </w:r>
          </w:p>
        </w:tc>
        <w:tc>
          <w:tcPr>
            <w:tcW w:w="0" w:type="auto"/>
            <w:shd w:val="clear" w:color="auto" w:fill="auto"/>
            <w:tcMar>
              <w:top w:w="40" w:type="dxa"/>
              <w:bottom w:w="40" w:type="dxa"/>
              <w:right w:w="20" w:type="dxa"/>
            </w:tcMar>
            <w:vAlign w:val="bottom"/>
          </w:tcPr>
          <w:p w14:paraId="36CA4E26"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4E27"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4E28" w14:textId="77777777" w:rsidR="00787570" w:rsidRDefault="000D56E2">
            <w:pPr>
              <w:jc w:val="right"/>
              <w:textAlignment w:val="bottom"/>
            </w:pPr>
            <w:r>
              <w:rPr>
                <w:rFonts w:ascii="Arial" w:eastAsia="宋体" w:hAnsi="Arial" w:cs="Arial"/>
                <w:color w:val="0071C5"/>
                <w:sz w:val="18"/>
                <w:szCs w:val="18"/>
              </w:rPr>
              <w:t>4.2 </w:t>
            </w:r>
          </w:p>
        </w:tc>
        <w:tc>
          <w:tcPr>
            <w:tcW w:w="0" w:type="auto"/>
            <w:shd w:val="clear" w:color="auto" w:fill="auto"/>
            <w:tcMar>
              <w:top w:w="40" w:type="dxa"/>
              <w:bottom w:w="40" w:type="dxa"/>
              <w:right w:w="20" w:type="dxa"/>
            </w:tcMar>
            <w:vAlign w:val="bottom"/>
          </w:tcPr>
          <w:p w14:paraId="36CA4E29" w14:textId="77777777" w:rsidR="00787570" w:rsidRDefault="000D56E2">
            <w:pPr>
              <w:jc w:val="right"/>
              <w:textAlignment w:val="bottom"/>
            </w:pPr>
            <w:r>
              <w:rPr>
                <w:rFonts w:ascii="Arial" w:eastAsia="宋体" w:hAnsi="Arial" w:cs="Arial"/>
                <w:color w:val="0071C5"/>
                <w:sz w:val="18"/>
                <w:szCs w:val="18"/>
              </w:rPr>
              <w:t>%</w:t>
            </w:r>
          </w:p>
        </w:tc>
        <w:tc>
          <w:tcPr>
            <w:tcW w:w="0" w:type="auto"/>
            <w:gridSpan w:val="3"/>
            <w:shd w:val="clear" w:color="auto" w:fill="auto"/>
            <w:tcMar>
              <w:left w:w="20" w:type="dxa"/>
              <w:right w:w="20" w:type="dxa"/>
            </w:tcMar>
            <w:vAlign w:val="bottom"/>
          </w:tcPr>
          <w:p w14:paraId="36CA4E2A"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4E2B" w14:textId="77777777" w:rsidR="00787570" w:rsidRDefault="000D56E2">
            <w:pPr>
              <w:jc w:val="right"/>
              <w:textAlignment w:val="bottom"/>
            </w:pPr>
            <w:r>
              <w:rPr>
                <w:rFonts w:ascii="Arial" w:eastAsia="宋体" w:hAnsi="Arial" w:cs="Arial"/>
                <w:color w:val="333333"/>
                <w:sz w:val="18"/>
                <w:szCs w:val="18"/>
              </w:rPr>
              <w:t>729 </w:t>
            </w:r>
          </w:p>
        </w:tc>
        <w:tc>
          <w:tcPr>
            <w:tcW w:w="0" w:type="auto"/>
            <w:shd w:val="clear" w:color="auto" w:fill="auto"/>
            <w:tcMar>
              <w:top w:w="40" w:type="dxa"/>
              <w:bottom w:w="40" w:type="dxa"/>
              <w:right w:w="20" w:type="dxa"/>
            </w:tcMar>
            <w:vAlign w:val="bottom"/>
          </w:tcPr>
          <w:p w14:paraId="36CA4E2C"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4E2D"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4E2E" w14:textId="77777777" w:rsidR="00787570" w:rsidRDefault="000D56E2">
            <w:pPr>
              <w:jc w:val="right"/>
              <w:textAlignment w:val="bottom"/>
            </w:pPr>
            <w:r>
              <w:rPr>
                <w:rFonts w:ascii="Arial" w:eastAsia="宋体" w:hAnsi="Arial" w:cs="Arial"/>
                <w:color w:val="333333"/>
                <w:sz w:val="18"/>
                <w:szCs w:val="18"/>
              </w:rPr>
              <w:t>3.8 </w:t>
            </w:r>
          </w:p>
        </w:tc>
        <w:tc>
          <w:tcPr>
            <w:tcW w:w="0" w:type="auto"/>
            <w:shd w:val="clear" w:color="auto" w:fill="auto"/>
            <w:tcMar>
              <w:top w:w="40" w:type="dxa"/>
              <w:bottom w:w="40" w:type="dxa"/>
              <w:right w:w="20" w:type="dxa"/>
            </w:tcMar>
            <w:vAlign w:val="bottom"/>
          </w:tcPr>
          <w:p w14:paraId="36CA4E2F" w14:textId="77777777" w:rsidR="00787570" w:rsidRDefault="000D56E2">
            <w:pPr>
              <w:jc w:val="right"/>
              <w:textAlignment w:val="bottom"/>
            </w:pPr>
            <w:r>
              <w:rPr>
                <w:rFonts w:ascii="Arial" w:eastAsia="宋体" w:hAnsi="Arial" w:cs="Arial"/>
                <w:color w:val="333333"/>
                <w:sz w:val="18"/>
                <w:szCs w:val="18"/>
              </w:rPr>
              <w:t>%</w:t>
            </w:r>
          </w:p>
        </w:tc>
        <w:tc>
          <w:tcPr>
            <w:tcW w:w="0" w:type="auto"/>
            <w:gridSpan w:val="3"/>
            <w:shd w:val="clear" w:color="auto" w:fill="auto"/>
            <w:tcMar>
              <w:left w:w="20" w:type="dxa"/>
              <w:right w:w="20" w:type="dxa"/>
            </w:tcMar>
            <w:vAlign w:val="bottom"/>
          </w:tcPr>
          <w:p w14:paraId="36CA4E30"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4E31" w14:textId="77777777" w:rsidR="00787570" w:rsidRDefault="000D56E2">
            <w:pPr>
              <w:jc w:val="right"/>
              <w:textAlignment w:val="bottom"/>
            </w:pPr>
            <w:r>
              <w:rPr>
                <w:rFonts w:ascii="Arial" w:eastAsia="宋体" w:hAnsi="Arial" w:cs="Arial"/>
                <w:color w:val="0071C5"/>
                <w:sz w:val="18"/>
                <w:szCs w:val="18"/>
              </w:rPr>
              <w:t>2,548 </w:t>
            </w:r>
          </w:p>
        </w:tc>
        <w:tc>
          <w:tcPr>
            <w:tcW w:w="0" w:type="auto"/>
            <w:shd w:val="clear" w:color="auto" w:fill="auto"/>
            <w:tcMar>
              <w:top w:w="40" w:type="dxa"/>
              <w:bottom w:w="40" w:type="dxa"/>
              <w:right w:w="20" w:type="dxa"/>
            </w:tcMar>
            <w:vAlign w:val="bottom"/>
          </w:tcPr>
          <w:p w14:paraId="36CA4E32"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4E33"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4E34" w14:textId="77777777" w:rsidR="00787570" w:rsidRDefault="000D56E2">
            <w:pPr>
              <w:jc w:val="right"/>
              <w:textAlignment w:val="bottom"/>
            </w:pPr>
            <w:r>
              <w:rPr>
                <w:rFonts w:ascii="Arial" w:eastAsia="宋体" w:hAnsi="Arial" w:cs="Arial"/>
                <w:color w:val="0071C5"/>
                <w:sz w:val="18"/>
                <w:szCs w:val="18"/>
              </w:rPr>
              <w:t>4.4 </w:t>
            </w:r>
          </w:p>
        </w:tc>
        <w:tc>
          <w:tcPr>
            <w:tcW w:w="0" w:type="auto"/>
            <w:shd w:val="clear" w:color="auto" w:fill="auto"/>
            <w:tcMar>
              <w:top w:w="40" w:type="dxa"/>
              <w:bottom w:w="40" w:type="dxa"/>
              <w:right w:w="20" w:type="dxa"/>
            </w:tcMar>
            <w:vAlign w:val="bottom"/>
          </w:tcPr>
          <w:p w14:paraId="36CA4E35" w14:textId="77777777" w:rsidR="00787570" w:rsidRDefault="000D56E2">
            <w:pPr>
              <w:jc w:val="right"/>
              <w:textAlignment w:val="bottom"/>
            </w:pPr>
            <w:r>
              <w:rPr>
                <w:rFonts w:ascii="Arial" w:eastAsia="宋体" w:hAnsi="Arial" w:cs="Arial"/>
                <w:color w:val="0071C5"/>
                <w:sz w:val="18"/>
                <w:szCs w:val="18"/>
              </w:rPr>
              <w:t>%</w:t>
            </w:r>
          </w:p>
        </w:tc>
        <w:tc>
          <w:tcPr>
            <w:tcW w:w="0" w:type="auto"/>
            <w:gridSpan w:val="3"/>
            <w:shd w:val="clear" w:color="auto" w:fill="auto"/>
            <w:tcMar>
              <w:left w:w="20" w:type="dxa"/>
              <w:right w:w="20" w:type="dxa"/>
            </w:tcMar>
            <w:vAlign w:val="bottom"/>
          </w:tcPr>
          <w:p w14:paraId="36CA4E36"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4E37" w14:textId="77777777" w:rsidR="00787570" w:rsidRDefault="000D56E2">
            <w:pPr>
              <w:jc w:val="right"/>
              <w:textAlignment w:val="bottom"/>
            </w:pPr>
            <w:r>
              <w:rPr>
                <w:rFonts w:ascii="Arial" w:eastAsia="宋体" w:hAnsi="Arial" w:cs="Arial"/>
                <w:color w:val="333333"/>
                <w:sz w:val="18"/>
                <w:szCs w:val="18"/>
              </w:rPr>
              <w:t>1,847 </w:t>
            </w:r>
          </w:p>
        </w:tc>
        <w:tc>
          <w:tcPr>
            <w:tcW w:w="0" w:type="auto"/>
            <w:shd w:val="clear" w:color="auto" w:fill="auto"/>
            <w:tcMar>
              <w:top w:w="40" w:type="dxa"/>
              <w:bottom w:w="40" w:type="dxa"/>
              <w:right w:w="20" w:type="dxa"/>
            </w:tcMar>
            <w:vAlign w:val="bottom"/>
          </w:tcPr>
          <w:p w14:paraId="36CA4E38"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4E39"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4E3A" w14:textId="77777777" w:rsidR="00787570" w:rsidRDefault="000D56E2">
            <w:pPr>
              <w:jc w:val="right"/>
              <w:textAlignment w:val="bottom"/>
            </w:pPr>
            <w:r>
              <w:rPr>
                <w:rFonts w:ascii="Arial" w:eastAsia="宋体" w:hAnsi="Arial" w:cs="Arial"/>
                <w:color w:val="333333"/>
                <w:sz w:val="18"/>
                <w:szCs w:val="18"/>
              </w:rPr>
              <w:t>3.6 </w:t>
            </w:r>
          </w:p>
        </w:tc>
        <w:tc>
          <w:tcPr>
            <w:tcW w:w="0" w:type="auto"/>
            <w:shd w:val="clear" w:color="auto" w:fill="auto"/>
            <w:tcMar>
              <w:top w:w="40" w:type="dxa"/>
              <w:bottom w:w="40" w:type="dxa"/>
              <w:right w:w="20" w:type="dxa"/>
            </w:tcMar>
            <w:vAlign w:val="bottom"/>
          </w:tcPr>
          <w:p w14:paraId="36CA4E3B" w14:textId="77777777" w:rsidR="00787570" w:rsidRDefault="000D56E2">
            <w:pPr>
              <w:jc w:val="right"/>
              <w:textAlignment w:val="bottom"/>
            </w:pPr>
            <w:r>
              <w:rPr>
                <w:rFonts w:ascii="Arial" w:eastAsia="宋体" w:hAnsi="Arial" w:cs="Arial"/>
                <w:color w:val="333333"/>
                <w:sz w:val="18"/>
                <w:szCs w:val="18"/>
              </w:rPr>
              <w:t>%</w:t>
            </w:r>
          </w:p>
        </w:tc>
        <w:tc>
          <w:tcPr>
            <w:tcW w:w="0" w:type="auto"/>
            <w:shd w:val="clear" w:color="auto" w:fill="auto"/>
          </w:tcPr>
          <w:p w14:paraId="36CA4E3C" w14:textId="77777777" w:rsidR="00787570" w:rsidRDefault="00787570">
            <w:pPr>
              <w:rPr>
                <w:rFonts w:ascii="宋体"/>
              </w:rPr>
            </w:pPr>
          </w:p>
        </w:tc>
        <w:tc>
          <w:tcPr>
            <w:tcW w:w="0" w:type="auto"/>
            <w:shd w:val="clear" w:color="auto" w:fill="auto"/>
          </w:tcPr>
          <w:p w14:paraId="36CA4E3D" w14:textId="77777777" w:rsidR="00787570" w:rsidRDefault="00787570">
            <w:pPr>
              <w:rPr>
                <w:rFonts w:ascii="宋体"/>
              </w:rPr>
            </w:pPr>
          </w:p>
        </w:tc>
        <w:tc>
          <w:tcPr>
            <w:tcW w:w="0" w:type="auto"/>
            <w:shd w:val="clear" w:color="auto" w:fill="auto"/>
          </w:tcPr>
          <w:p w14:paraId="36CA4E3E" w14:textId="77777777" w:rsidR="00787570" w:rsidRDefault="00787570">
            <w:pPr>
              <w:rPr>
                <w:rFonts w:ascii="宋体"/>
              </w:rPr>
            </w:pPr>
          </w:p>
        </w:tc>
        <w:tc>
          <w:tcPr>
            <w:tcW w:w="0" w:type="auto"/>
            <w:shd w:val="clear" w:color="auto" w:fill="auto"/>
          </w:tcPr>
          <w:p w14:paraId="36CA4E3F" w14:textId="77777777" w:rsidR="00787570" w:rsidRDefault="00787570">
            <w:pPr>
              <w:rPr>
                <w:rFonts w:ascii="宋体"/>
              </w:rPr>
            </w:pPr>
          </w:p>
        </w:tc>
        <w:tc>
          <w:tcPr>
            <w:tcW w:w="0" w:type="auto"/>
            <w:shd w:val="clear" w:color="auto" w:fill="auto"/>
          </w:tcPr>
          <w:p w14:paraId="36CA4E40" w14:textId="77777777" w:rsidR="00787570" w:rsidRDefault="00787570">
            <w:pPr>
              <w:rPr>
                <w:rFonts w:ascii="宋体"/>
              </w:rPr>
            </w:pPr>
          </w:p>
        </w:tc>
        <w:tc>
          <w:tcPr>
            <w:tcW w:w="0" w:type="auto"/>
            <w:shd w:val="clear" w:color="auto" w:fill="auto"/>
          </w:tcPr>
          <w:p w14:paraId="36CA4E41" w14:textId="77777777" w:rsidR="00787570" w:rsidRDefault="00787570">
            <w:pPr>
              <w:rPr>
                <w:rFonts w:ascii="宋体"/>
              </w:rPr>
            </w:pPr>
          </w:p>
        </w:tc>
        <w:tc>
          <w:tcPr>
            <w:tcW w:w="0" w:type="auto"/>
            <w:shd w:val="clear" w:color="auto" w:fill="auto"/>
          </w:tcPr>
          <w:p w14:paraId="36CA4E42" w14:textId="77777777" w:rsidR="00787570" w:rsidRDefault="00787570">
            <w:pPr>
              <w:rPr>
                <w:rFonts w:ascii="宋体"/>
              </w:rPr>
            </w:pPr>
          </w:p>
        </w:tc>
        <w:tc>
          <w:tcPr>
            <w:tcW w:w="0" w:type="auto"/>
            <w:shd w:val="clear" w:color="auto" w:fill="auto"/>
          </w:tcPr>
          <w:p w14:paraId="36CA4E43" w14:textId="77777777" w:rsidR="00787570" w:rsidRDefault="00787570">
            <w:pPr>
              <w:rPr>
                <w:rFonts w:ascii="宋体"/>
              </w:rPr>
            </w:pPr>
          </w:p>
        </w:tc>
        <w:tc>
          <w:tcPr>
            <w:tcW w:w="0" w:type="auto"/>
            <w:shd w:val="clear" w:color="auto" w:fill="auto"/>
          </w:tcPr>
          <w:p w14:paraId="36CA4E44" w14:textId="77777777" w:rsidR="00787570" w:rsidRDefault="00787570">
            <w:pPr>
              <w:rPr>
                <w:rFonts w:ascii="宋体"/>
              </w:rPr>
            </w:pPr>
          </w:p>
        </w:tc>
        <w:tc>
          <w:tcPr>
            <w:tcW w:w="0" w:type="auto"/>
            <w:shd w:val="clear" w:color="auto" w:fill="auto"/>
          </w:tcPr>
          <w:p w14:paraId="36CA4E45" w14:textId="77777777" w:rsidR="00787570" w:rsidRDefault="00787570">
            <w:pPr>
              <w:rPr>
                <w:rFonts w:ascii="宋体"/>
              </w:rPr>
            </w:pPr>
          </w:p>
        </w:tc>
        <w:tc>
          <w:tcPr>
            <w:tcW w:w="0" w:type="auto"/>
            <w:shd w:val="clear" w:color="auto" w:fill="auto"/>
          </w:tcPr>
          <w:p w14:paraId="36CA4E46" w14:textId="77777777" w:rsidR="00787570" w:rsidRDefault="00787570">
            <w:pPr>
              <w:rPr>
                <w:rFonts w:ascii="宋体"/>
              </w:rPr>
            </w:pPr>
          </w:p>
        </w:tc>
        <w:tc>
          <w:tcPr>
            <w:tcW w:w="0" w:type="auto"/>
            <w:shd w:val="clear" w:color="auto" w:fill="auto"/>
          </w:tcPr>
          <w:p w14:paraId="36CA4E47" w14:textId="77777777" w:rsidR="00787570" w:rsidRDefault="00787570">
            <w:pPr>
              <w:rPr>
                <w:rFonts w:ascii="宋体"/>
              </w:rPr>
            </w:pPr>
          </w:p>
        </w:tc>
      </w:tr>
      <w:tr w:rsidR="00787570" w14:paraId="36CA4E72" w14:textId="77777777">
        <w:tc>
          <w:tcPr>
            <w:tcW w:w="0" w:type="auto"/>
            <w:gridSpan w:val="3"/>
            <w:shd w:val="clear" w:color="auto" w:fill="auto"/>
            <w:tcMar>
              <w:top w:w="40" w:type="dxa"/>
              <w:left w:w="20" w:type="dxa"/>
              <w:bottom w:w="40" w:type="dxa"/>
              <w:right w:w="20" w:type="dxa"/>
            </w:tcMar>
          </w:tcPr>
          <w:p w14:paraId="36CA4E49" w14:textId="77777777" w:rsidR="00787570" w:rsidRDefault="000D56E2">
            <w:pPr>
              <w:ind w:hanging="180"/>
              <w:textAlignment w:val="top"/>
            </w:pPr>
            <w:r>
              <w:rPr>
                <w:rFonts w:ascii="Arial" w:eastAsia="宋体" w:hAnsi="Arial" w:cs="Arial"/>
                <w:b/>
                <w:bCs/>
                <w:color w:val="333333"/>
                <w:sz w:val="18"/>
                <w:szCs w:val="18"/>
              </w:rPr>
              <w:t>Net income</w:t>
            </w:r>
          </w:p>
        </w:tc>
        <w:tc>
          <w:tcPr>
            <w:tcW w:w="0" w:type="auto"/>
            <w:gridSpan w:val="3"/>
            <w:shd w:val="clear" w:color="auto" w:fill="auto"/>
            <w:tcMar>
              <w:left w:w="20" w:type="dxa"/>
              <w:right w:w="20" w:type="dxa"/>
            </w:tcMar>
            <w:vAlign w:val="bottom"/>
          </w:tcPr>
          <w:p w14:paraId="36CA4E4A" w14:textId="77777777" w:rsidR="00787570" w:rsidRDefault="00787570">
            <w:pPr>
              <w:rPr>
                <w:rFonts w:ascii="宋体"/>
              </w:rPr>
            </w:pPr>
          </w:p>
        </w:tc>
        <w:tc>
          <w:tcPr>
            <w:tcW w:w="0" w:type="auto"/>
            <w:tcBorders>
              <w:top w:val="single" w:sz="8" w:space="0" w:color="333333"/>
            </w:tcBorders>
            <w:shd w:val="clear" w:color="auto" w:fill="auto"/>
            <w:tcMar>
              <w:top w:w="40" w:type="dxa"/>
              <w:left w:w="20" w:type="dxa"/>
              <w:bottom w:w="40" w:type="dxa"/>
            </w:tcMar>
            <w:vAlign w:val="bottom"/>
          </w:tcPr>
          <w:p w14:paraId="36CA4E4B" w14:textId="77777777" w:rsidR="00787570" w:rsidRDefault="000D56E2">
            <w:pPr>
              <w:textAlignment w:val="bottom"/>
            </w:pPr>
            <w:r>
              <w:rPr>
                <w:rFonts w:ascii="Arial" w:eastAsia="宋体" w:hAnsi="Arial" w:cs="Arial"/>
                <w:b/>
                <w:bCs/>
                <w:color w:val="0071C5"/>
                <w:sz w:val="18"/>
                <w:szCs w:val="18"/>
              </w:rPr>
              <w:t>$</w:t>
            </w:r>
          </w:p>
        </w:tc>
        <w:tc>
          <w:tcPr>
            <w:tcW w:w="0" w:type="auto"/>
            <w:tcBorders>
              <w:top w:val="single" w:sz="8" w:space="0" w:color="333333"/>
            </w:tcBorders>
            <w:shd w:val="clear" w:color="auto" w:fill="auto"/>
            <w:tcMar>
              <w:top w:w="40" w:type="dxa"/>
              <w:bottom w:w="40" w:type="dxa"/>
              <w:right w:w="0" w:type="dxa"/>
            </w:tcMar>
            <w:vAlign w:val="bottom"/>
          </w:tcPr>
          <w:p w14:paraId="36CA4E4C" w14:textId="77777777" w:rsidR="00787570" w:rsidRDefault="000D56E2">
            <w:pPr>
              <w:jc w:val="right"/>
              <w:textAlignment w:val="bottom"/>
            </w:pPr>
            <w:r>
              <w:rPr>
                <w:rFonts w:ascii="Arial" w:eastAsia="宋体" w:hAnsi="Arial" w:cs="Arial"/>
                <w:b/>
                <w:bCs/>
                <w:color w:val="0071C5"/>
                <w:sz w:val="18"/>
                <w:szCs w:val="18"/>
              </w:rPr>
              <w:t>4,276</w:t>
            </w:r>
            <w:r>
              <w:rPr>
                <w:rFonts w:ascii="Arial" w:eastAsia="宋体" w:hAnsi="Arial" w:cs="Arial"/>
                <w:color w:val="0071C5"/>
                <w:sz w:val="18"/>
                <w:szCs w:val="18"/>
              </w:rPr>
              <w:t> </w:t>
            </w:r>
          </w:p>
        </w:tc>
        <w:tc>
          <w:tcPr>
            <w:tcW w:w="0" w:type="auto"/>
            <w:tcBorders>
              <w:top w:val="single" w:sz="8" w:space="0" w:color="333333"/>
            </w:tcBorders>
            <w:shd w:val="clear" w:color="auto" w:fill="auto"/>
            <w:tcMar>
              <w:top w:w="40" w:type="dxa"/>
              <w:bottom w:w="40" w:type="dxa"/>
              <w:right w:w="20" w:type="dxa"/>
            </w:tcMar>
            <w:vAlign w:val="bottom"/>
          </w:tcPr>
          <w:p w14:paraId="36CA4E4D"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4E4E" w14:textId="77777777" w:rsidR="00787570" w:rsidRDefault="00787570">
            <w:pPr>
              <w:rPr>
                <w:rFonts w:ascii="宋体"/>
              </w:rPr>
            </w:pPr>
          </w:p>
        </w:tc>
        <w:tc>
          <w:tcPr>
            <w:tcW w:w="0" w:type="auto"/>
            <w:gridSpan w:val="2"/>
            <w:tcBorders>
              <w:top w:val="single" w:sz="8" w:space="0" w:color="333333"/>
            </w:tcBorders>
            <w:shd w:val="clear" w:color="auto" w:fill="auto"/>
            <w:tcMar>
              <w:top w:w="40" w:type="dxa"/>
              <w:left w:w="20" w:type="dxa"/>
              <w:bottom w:w="40" w:type="dxa"/>
              <w:right w:w="0" w:type="dxa"/>
            </w:tcMar>
            <w:vAlign w:val="bottom"/>
          </w:tcPr>
          <w:p w14:paraId="36CA4E4F" w14:textId="77777777" w:rsidR="00787570" w:rsidRDefault="000D56E2">
            <w:pPr>
              <w:jc w:val="right"/>
              <w:textAlignment w:val="bottom"/>
            </w:pPr>
            <w:r>
              <w:rPr>
                <w:rFonts w:ascii="Arial" w:eastAsia="宋体" w:hAnsi="Arial" w:cs="Arial"/>
                <w:b/>
                <w:bCs/>
                <w:color w:val="0071C5"/>
                <w:sz w:val="18"/>
                <w:szCs w:val="18"/>
              </w:rPr>
              <w:t>23.3</w:t>
            </w:r>
            <w:r>
              <w:rPr>
                <w:rFonts w:ascii="Arial" w:eastAsia="宋体" w:hAnsi="Arial" w:cs="Arial"/>
                <w:color w:val="0071C5"/>
                <w:sz w:val="18"/>
                <w:szCs w:val="18"/>
              </w:rPr>
              <w:t> </w:t>
            </w:r>
          </w:p>
        </w:tc>
        <w:tc>
          <w:tcPr>
            <w:tcW w:w="0" w:type="auto"/>
            <w:tcBorders>
              <w:top w:val="single" w:sz="8" w:space="0" w:color="333333"/>
            </w:tcBorders>
            <w:shd w:val="clear" w:color="auto" w:fill="auto"/>
            <w:tcMar>
              <w:top w:w="40" w:type="dxa"/>
              <w:bottom w:w="40" w:type="dxa"/>
              <w:right w:w="20" w:type="dxa"/>
            </w:tcMar>
            <w:vAlign w:val="bottom"/>
          </w:tcPr>
          <w:p w14:paraId="36CA4E50" w14:textId="77777777" w:rsidR="00787570" w:rsidRDefault="000D56E2">
            <w:pPr>
              <w:jc w:val="right"/>
              <w:textAlignment w:val="bottom"/>
            </w:pPr>
            <w:r>
              <w:rPr>
                <w:rFonts w:ascii="Arial" w:eastAsia="宋体" w:hAnsi="Arial" w:cs="Arial"/>
                <w:b/>
                <w:bCs/>
                <w:color w:val="0071C5"/>
                <w:sz w:val="18"/>
                <w:szCs w:val="18"/>
              </w:rPr>
              <w:t>%</w:t>
            </w:r>
          </w:p>
        </w:tc>
        <w:tc>
          <w:tcPr>
            <w:tcW w:w="0" w:type="auto"/>
            <w:gridSpan w:val="3"/>
            <w:shd w:val="clear" w:color="auto" w:fill="auto"/>
            <w:tcMar>
              <w:left w:w="20" w:type="dxa"/>
              <w:right w:w="20" w:type="dxa"/>
            </w:tcMar>
            <w:vAlign w:val="bottom"/>
          </w:tcPr>
          <w:p w14:paraId="36CA4E51" w14:textId="77777777" w:rsidR="00787570" w:rsidRDefault="00787570">
            <w:pPr>
              <w:rPr>
                <w:rFonts w:ascii="宋体"/>
              </w:rPr>
            </w:pPr>
          </w:p>
        </w:tc>
        <w:tc>
          <w:tcPr>
            <w:tcW w:w="0" w:type="auto"/>
            <w:tcBorders>
              <w:top w:val="single" w:sz="8" w:space="0" w:color="333333"/>
            </w:tcBorders>
            <w:shd w:val="clear" w:color="auto" w:fill="auto"/>
            <w:tcMar>
              <w:top w:w="40" w:type="dxa"/>
              <w:left w:w="20" w:type="dxa"/>
              <w:bottom w:w="40" w:type="dxa"/>
            </w:tcMar>
            <w:vAlign w:val="bottom"/>
          </w:tcPr>
          <w:p w14:paraId="36CA4E52" w14:textId="77777777" w:rsidR="00787570" w:rsidRDefault="000D56E2">
            <w:pPr>
              <w:textAlignment w:val="bottom"/>
            </w:pPr>
            <w:r>
              <w:rPr>
                <w:rFonts w:ascii="Arial" w:eastAsia="宋体" w:hAnsi="Arial" w:cs="Arial"/>
                <w:b/>
                <w:bCs/>
                <w:color w:val="333333"/>
                <w:sz w:val="18"/>
                <w:szCs w:val="18"/>
              </w:rPr>
              <w:t>$</w:t>
            </w:r>
          </w:p>
        </w:tc>
        <w:tc>
          <w:tcPr>
            <w:tcW w:w="0" w:type="auto"/>
            <w:tcBorders>
              <w:top w:val="single" w:sz="8" w:space="0" w:color="333333"/>
            </w:tcBorders>
            <w:shd w:val="clear" w:color="auto" w:fill="auto"/>
            <w:tcMar>
              <w:top w:w="40" w:type="dxa"/>
              <w:bottom w:w="40" w:type="dxa"/>
              <w:right w:w="0" w:type="dxa"/>
            </w:tcMar>
            <w:vAlign w:val="bottom"/>
          </w:tcPr>
          <w:p w14:paraId="36CA4E53" w14:textId="77777777" w:rsidR="00787570" w:rsidRDefault="000D56E2">
            <w:pPr>
              <w:jc w:val="right"/>
              <w:textAlignment w:val="bottom"/>
            </w:pPr>
            <w:r>
              <w:rPr>
                <w:rFonts w:ascii="Arial" w:eastAsia="宋体" w:hAnsi="Arial" w:cs="Arial"/>
                <w:b/>
                <w:bCs/>
                <w:color w:val="333333"/>
                <w:sz w:val="18"/>
                <w:szCs w:val="18"/>
              </w:rPr>
              <w:t>5,990</w:t>
            </w:r>
            <w:r>
              <w:rPr>
                <w:rFonts w:ascii="Arial" w:eastAsia="宋体" w:hAnsi="Arial" w:cs="Arial"/>
                <w:color w:val="333333"/>
                <w:sz w:val="18"/>
                <w:szCs w:val="18"/>
              </w:rPr>
              <w:t> </w:t>
            </w:r>
          </w:p>
        </w:tc>
        <w:tc>
          <w:tcPr>
            <w:tcW w:w="0" w:type="auto"/>
            <w:tcBorders>
              <w:top w:val="single" w:sz="8" w:space="0" w:color="333333"/>
            </w:tcBorders>
            <w:shd w:val="clear" w:color="auto" w:fill="auto"/>
            <w:tcMar>
              <w:top w:w="40" w:type="dxa"/>
              <w:bottom w:w="40" w:type="dxa"/>
              <w:right w:w="20" w:type="dxa"/>
            </w:tcMar>
            <w:vAlign w:val="bottom"/>
          </w:tcPr>
          <w:p w14:paraId="36CA4E54"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4E55" w14:textId="77777777" w:rsidR="00787570" w:rsidRDefault="00787570">
            <w:pPr>
              <w:rPr>
                <w:rFonts w:ascii="宋体"/>
              </w:rPr>
            </w:pPr>
          </w:p>
        </w:tc>
        <w:tc>
          <w:tcPr>
            <w:tcW w:w="0" w:type="auto"/>
            <w:gridSpan w:val="2"/>
            <w:tcBorders>
              <w:top w:val="single" w:sz="8" w:space="0" w:color="333333"/>
            </w:tcBorders>
            <w:shd w:val="clear" w:color="auto" w:fill="auto"/>
            <w:tcMar>
              <w:top w:w="40" w:type="dxa"/>
              <w:left w:w="20" w:type="dxa"/>
              <w:bottom w:w="40" w:type="dxa"/>
              <w:right w:w="0" w:type="dxa"/>
            </w:tcMar>
            <w:vAlign w:val="bottom"/>
          </w:tcPr>
          <w:p w14:paraId="36CA4E56" w14:textId="77777777" w:rsidR="00787570" w:rsidRDefault="000D56E2">
            <w:pPr>
              <w:jc w:val="right"/>
              <w:textAlignment w:val="bottom"/>
            </w:pPr>
            <w:r>
              <w:rPr>
                <w:rFonts w:ascii="Arial" w:eastAsia="宋体" w:hAnsi="Arial" w:cs="Arial"/>
                <w:b/>
                <w:bCs/>
                <w:color w:val="333333"/>
                <w:sz w:val="18"/>
                <w:szCs w:val="18"/>
              </w:rPr>
              <w:t>31.2</w:t>
            </w:r>
            <w:r>
              <w:rPr>
                <w:rFonts w:ascii="Arial" w:eastAsia="宋体" w:hAnsi="Arial" w:cs="Arial"/>
                <w:color w:val="333333"/>
                <w:sz w:val="18"/>
                <w:szCs w:val="18"/>
              </w:rPr>
              <w:t> </w:t>
            </w:r>
          </w:p>
        </w:tc>
        <w:tc>
          <w:tcPr>
            <w:tcW w:w="0" w:type="auto"/>
            <w:tcBorders>
              <w:top w:val="single" w:sz="8" w:space="0" w:color="333333"/>
            </w:tcBorders>
            <w:shd w:val="clear" w:color="auto" w:fill="auto"/>
            <w:tcMar>
              <w:top w:w="40" w:type="dxa"/>
              <w:bottom w:w="40" w:type="dxa"/>
              <w:right w:w="20" w:type="dxa"/>
            </w:tcMar>
            <w:vAlign w:val="bottom"/>
          </w:tcPr>
          <w:p w14:paraId="36CA4E57" w14:textId="77777777" w:rsidR="00787570" w:rsidRDefault="000D56E2">
            <w:pPr>
              <w:jc w:val="right"/>
              <w:textAlignment w:val="bottom"/>
            </w:pPr>
            <w:r>
              <w:rPr>
                <w:rFonts w:ascii="Arial" w:eastAsia="宋体" w:hAnsi="Arial" w:cs="Arial"/>
                <w:b/>
                <w:bCs/>
                <w:color w:val="333333"/>
                <w:sz w:val="18"/>
                <w:szCs w:val="18"/>
              </w:rPr>
              <w:t>%</w:t>
            </w:r>
          </w:p>
        </w:tc>
        <w:tc>
          <w:tcPr>
            <w:tcW w:w="0" w:type="auto"/>
            <w:gridSpan w:val="3"/>
            <w:shd w:val="clear" w:color="auto" w:fill="auto"/>
            <w:tcMar>
              <w:left w:w="20" w:type="dxa"/>
              <w:right w:w="20" w:type="dxa"/>
            </w:tcMar>
            <w:vAlign w:val="bottom"/>
          </w:tcPr>
          <w:p w14:paraId="36CA4E58" w14:textId="77777777" w:rsidR="00787570" w:rsidRDefault="00787570">
            <w:pPr>
              <w:rPr>
                <w:rFonts w:ascii="宋体"/>
              </w:rPr>
            </w:pPr>
          </w:p>
        </w:tc>
        <w:tc>
          <w:tcPr>
            <w:tcW w:w="0" w:type="auto"/>
            <w:tcBorders>
              <w:top w:val="single" w:sz="8" w:space="0" w:color="333333"/>
            </w:tcBorders>
            <w:shd w:val="clear" w:color="auto" w:fill="auto"/>
            <w:tcMar>
              <w:top w:w="40" w:type="dxa"/>
              <w:left w:w="20" w:type="dxa"/>
              <w:bottom w:w="40" w:type="dxa"/>
            </w:tcMar>
            <w:vAlign w:val="bottom"/>
          </w:tcPr>
          <w:p w14:paraId="36CA4E59" w14:textId="77777777" w:rsidR="00787570" w:rsidRDefault="000D56E2">
            <w:pPr>
              <w:textAlignment w:val="bottom"/>
            </w:pPr>
            <w:r>
              <w:rPr>
                <w:rFonts w:ascii="Arial" w:eastAsia="宋体" w:hAnsi="Arial" w:cs="Arial"/>
                <w:b/>
                <w:bCs/>
                <w:color w:val="0071C5"/>
                <w:sz w:val="18"/>
                <w:szCs w:val="18"/>
              </w:rPr>
              <w:t>$</w:t>
            </w:r>
          </w:p>
        </w:tc>
        <w:tc>
          <w:tcPr>
            <w:tcW w:w="0" w:type="auto"/>
            <w:tcBorders>
              <w:top w:val="single" w:sz="8" w:space="0" w:color="333333"/>
            </w:tcBorders>
            <w:shd w:val="clear" w:color="auto" w:fill="auto"/>
            <w:tcMar>
              <w:top w:w="40" w:type="dxa"/>
              <w:bottom w:w="40" w:type="dxa"/>
              <w:right w:w="0" w:type="dxa"/>
            </w:tcMar>
            <w:vAlign w:val="bottom"/>
          </w:tcPr>
          <w:p w14:paraId="36CA4E5A" w14:textId="77777777" w:rsidR="00787570" w:rsidRDefault="000D56E2">
            <w:pPr>
              <w:jc w:val="right"/>
              <w:textAlignment w:val="bottom"/>
            </w:pPr>
            <w:r>
              <w:rPr>
                <w:rFonts w:ascii="Arial" w:eastAsia="宋体" w:hAnsi="Arial" w:cs="Arial"/>
                <w:b/>
                <w:bCs/>
                <w:color w:val="0071C5"/>
                <w:sz w:val="18"/>
                <w:szCs w:val="18"/>
              </w:rPr>
              <w:t>15,042</w:t>
            </w:r>
            <w:r>
              <w:rPr>
                <w:rFonts w:ascii="Arial" w:eastAsia="宋体" w:hAnsi="Arial" w:cs="Arial"/>
                <w:color w:val="0071C5"/>
                <w:sz w:val="18"/>
                <w:szCs w:val="18"/>
              </w:rPr>
              <w:t> </w:t>
            </w:r>
          </w:p>
        </w:tc>
        <w:tc>
          <w:tcPr>
            <w:tcW w:w="0" w:type="auto"/>
            <w:tcBorders>
              <w:top w:val="single" w:sz="8" w:space="0" w:color="333333"/>
            </w:tcBorders>
            <w:shd w:val="clear" w:color="auto" w:fill="auto"/>
            <w:tcMar>
              <w:top w:w="40" w:type="dxa"/>
              <w:bottom w:w="40" w:type="dxa"/>
              <w:right w:w="20" w:type="dxa"/>
            </w:tcMar>
            <w:vAlign w:val="bottom"/>
          </w:tcPr>
          <w:p w14:paraId="36CA4E5B"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4E5C" w14:textId="77777777" w:rsidR="00787570" w:rsidRDefault="00787570">
            <w:pPr>
              <w:rPr>
                <w:rFonts w:ascii="宋体"/>
              </w:rPr>
            </w:pPr>
          </w:p>
        </w:tc>
        <w:tc>
          <w:tcPr>
            <w:tcW w:w="0" w:type="auto"/>
            <w:gridSpan w:val="2"/>
            <w:tcBorders>
              <w:top w:val="single" w:sz="8" w:space="0" w:color="333333"/>
            </w:tcBorders>
            <w:shd w:val="clear" w:color="auto" w:fill="auto"/>
            <w:tcMar>
              <w:top w:w="40" w:type="dxa"/>
              <w:left w:w="20" w:type="dxa"/>
              <w:bottom w:w="40" w:type="dxa"/>
              <w:right w:w="0" w:type="dxa"/>
            </w:tcMar>
            <w:vAlign w:val="bottom"/>
          </w:tcPr>
          <w:p w14:paraId="36CA4E5D" w14:textId="77777777" w:rsidR="00787570" w:rsidRDefault="000D56E2">
            <w:pPr>
              <w:jc w:val="right"/>
              <w:textAlignment w:val="bottom"/>
            </w:pPr>
            <w:r>
              <w:rPr>
                <w:rFonts w:ascii="Arial" w:eastAsia="宋体" w:hAnsi="Arial" w:cs="Arial"/>
                <w:b/>
                <w:bCs/>
                <w:color w:val="0071C5"/>
                <w:sz w:val="18"/>
                <w:szCs w:val="18"/>
              </w:rPr>
              <w:t>26.0</w:t>
            </w:r>
            <w:r>
              <w:rPr>
                <w:rFonts w:ascii="Arial" w:eastAsia="宋体" w:hAnsi="Arial" w:cs="Arial"/>
                <w:color w:val="0071C5"/>
                <w:sz w:val="18"/>
                <w:szCs w:val="18"/>
              </w:rPr>
              <w:t> </w:t>
            </w:r>
          </w:p>
        </w:tc>
        <w:tc>
          <w:tcPr>
            <w:tcW w:w="0" w:type="auto"/>
            <w:tcBorders>
              <w:top w:val="single" w:sz="8" w:space="0" w:color="333333"/>
            </w:tcBorders>
            <w:shd w:val="clear" w:color="auto" w:fill="auto"/>
            <w:tcMar>
              <w:top w:w="40" w:type="dxa"/>
              <w:bottom w:w="40" w:type="dxa"/>
              <w:right w:w="20" w:type="dxa"/>
            </w:tcMar>
            <w:vAlign w:val="bottom"/>
          </w:tcPr>
          <w:p w14:paraId="36CA4E5E" w14:textId="77777777" w:rsidR="00787570" w:rsidRDefault="000D56E2">
            <w:pPr>
              <w:jc w:val="right"/>
              <w:textAlignment w:val="bottom"/>
            </w:pPr>
            <w:r>
              <w:rPr>
                <w:rFonts w:ascii="Arial" w:eastAsia="宋体" w:hAnsi="Arial" w:cs="Arial"/>
                <w:b/>
                <w:bCs/>
                <w:color w:val="0071C5"/>
                <w:sz w:val="18"/>
                <w:szCs w:val="18"/>
              </w:rPr>
              <w:t>%</w:t>
            </w:r>
          </w:p>
        </w:tc>
        <w:tc>
          <w:tcPr>
            <w:tcW w:w="0" w:type="auto"/>
            <w:gridSpan w:val="3"/>
            <w:shd w:val="clear" w:color="auto" w:fill="auto"/>
            <w:tcMar>
              <w:left w:w="20" w:type="dxa"/>
              <w:right w:w="20" w:type="dxa"/>
            </w:tcMar>
            <w:vAlign w:val="bottom"/>
          </w:tcPr>
          <w:p w14:paraId="36CA4E5F" w14:textId="77777777" w:rsidR="00787570" w:rsidRDefault="00787570">
            <w:pPr>
              <w:rPr>
                <w:rFonts w:ascii="宋体"/>
              </w:rPr>
            </w:pPr>
          </w:p>
        </w:tc>
        <w:tc>
          <w:tcPr>
            <w:tcW w:w="0" w:type="auto"/>
            <w:tcBorders>
              <w:top w:val="single" w:sz="8" w:space="0" w:color="333333"/>
            </w:tcBorders>
            <w:shd w:val="clear" w:color="auto" w:fill="auto"/>
            <w:tcMar>
              <w:top w:w="40" w:type="dxa"/>
              <w:left w:w="20" w:type="dxa"/>
              <w:bottom w:w="40" w:type="dxa"/>
            </w:tcMar>
            <w:vAlign w:val="bottom"/>
          </w:tcPr>
          <w:p w14:paraId="36CA4E60" w14:textId="77777777" w:rsidR="00787570" w:rsidRDefault="000D56E2">
            <w:pPr>
              <w:textAlignment w:val="bottom"/>
            </w:pPr>
            <w:r>
              <w:rPr>
                <w:rFonts w:ascii="Arial" w:eastAsia="宋体" w:hAnsi="Arial" w:cs="Arial"/>
                <w:b/>
                <w:bCs/>
                <w:color w:val="333333"/>
                <w:sz w:val="18"/>
                <w:szCs w:val="18"/>
              </w:rPr>
              <w:t>$</w:t>
            </w:r>
          </w:p>
        </w:tc>
        <w:tc>
          <w:tcPr>
            <w:tcW w:w="0" w:type="auto"/>
            <w:tcBorders>
              <w:top w:val="single" w:sz="8" w:space="0" w:color="333333"/>
            </w:tcBorders>
            <w:shd w:val="clear" w:color="auto" w:fill="auto"/>
            <w:tcMar>
              <w:top w:w="40" w:type="dxa"/>
              <w:bottom w:w="40" w:type="dxa"/>
              <w:right w:w="0" w:type="dxa"/>
            </w:tcMar>
            <w:vAlign w:val="bottom"/>
          </w:tcPr>
          <w:p w14:paraId="36CA4E61" w14:textId="77777777" w:rsidR="00787570" w:rsidRDefault="000D56E2">
            <w:pPr>
              <w:jc w:val="right"/>
              <w:textAlignment w:val="bottom"/>
            </w:pPr>
            <w:r>
              <w:rPr>
                <w:rFonts w:ascii="Arial" w:eastAsia="宋体" w:hAnsi="Arial" w:cs="Arial"/>
                <w:b/>
                <w:bCs/>
                <w:color w:val="333333"/>
                <w:sz w:val="18"/>
                <w:szCs w:val="18"/>
              </w:rPr>
              <w:t>14,143</w:t>
            </w:r>
            <w:r>
              <w:rPr>
                <w:rFonts w:ascii="Arial" w:eastAsia="宋体" w:hAnsi="Arial" w:cs="Arial"/>
                <w:color w:val="333333"/>
                <w:sz w:val="18"/>
                <w:szCs w:val="18"/>
              </w:rPr>
              <w:t> </w:t>
            </w:r>
          </w:p>
        </w:tc>
        <w:tc>
          <w:tcPr>
            <w:tcW w:w="0" w:type="auto"/>
            <w:tcBorders>
              <w:top w:val="single" w:sz="8" w:space="0" w:color="333333"/>
            </w:tcBorders>
            <w:shd w:val="clear" w:color="auto" w:fill="auto"/>
            <w:tcMar>
              <w:top w:w="40" w:type="dxa"/>
              <w:bottom w:w="40" w:type="dxa"/>
              <w:right w:w="20" w:type="dxa"/>
            </w:tcMar>
            <w:vAlign w:val="bottom"/>
          </w:tcPr>
          <w:p w14:paraId="36CA4E62"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4E63" w14:textId="77777777" w:rsidR="00787570" w:rsidRDefault="00787570">
            <w:pPr>
              <w:rPr>
                <w:rFonts w:ascii="宋体"/>
              </w:rPr>
            </w:pPr>
          </w:p>
        </w:tc>
        <w:tc>
          <w:tcPr>
            <w:tcW w:w="0" w:type="auto"/>
            <w:gridSpan w:val="2"/>
            <w:tcBorders>
              <w:top w:val="single" w:sz="8" w:space="0" w:color="333333"/>
            </w:tcBorders>
            <w:shd w:val="clear" w:color="auto" w:fill="auto"/>
            <w:tcMar>
              <w:top w:w="40" w:type="dxa"/>
              <w:left w:w="20" w:type="dxa"/>
              <w:bottom w:w="40" w:type="dxa"/>
              <w:right w:w="0" w:type="dxa"/>
            </w:tcMar>
            <w:vAlign w:val="bottom"/>
          </w:tcPr>
          <w:p w14:paraId="36CA4E64" w14:textId="77777777" w:rsidR="00787570" w:rsidRDefault="000D56E2">
            <w:pPr>
              <w:jc w:val="right"/>
              <w:textAlignment w:val="bottom"/>
            </w:pPr>
            <w:r>
              <w:rPr>
                <w:rFonts w:ascii="Arial" w:eastAsia="宋体" w:hAnsi="Arial" w:cs="Arial"/>
                <w:b/>
                <w:bCs/>
                <w:color w:val="333333"/>
                <w:sz w:val="18"/>
                <w:szCs w:val="18"/>
              </w:rPr>
              <w:t>27.3</w:t>
            </w:r>
            <w:r>
              <w:rPr>
                <w:rFonts w:ascii="Arial" w:eastAsia="宋体" w:hAnsi="Arial" w:cs="Arial"/>
                <w:color w:val="333333"/>
                <w:sz w:val="18"/>
                <w:szCs w:val="18"/>
              </w:rPr>
              <w:t> </w:t>
            </w:r>
          </w:p>
        </w:tc>
        <w:tc>
          <w:tcPr>
            <w:tcW w:w="0" w:type="auto"/>
            <w:tcBorders>
              <w:top w:val="single" w:sz="8" w:space="0" w:color="333333"/>
            </w:tcBorders>
            <w:shd w:val="clear" w:color="auto" w:fill="auto"/>
            <w:tcMar>
              <w:top w:w="40" w:type="dxa"/>
              <w:bottom w:w="40" w:type="dxa"/>
              <w:right w:w="20" w:type="dxa"/>
            </w:tcMar>
            <w:vAlign w:val="bottom"/>
          </w:tcPr>
          <w:p w14:paraId="36CA4E65" w14:textId="77777777" w:rsidR="00787570" w:rsidRDefault="000D56E2">
            <w:pPr>
              <w:jc w:val="right"/>
              <w:textAlignment w:val="bottom"/>
            </w:pPr>
            <w:r>
              <w:rPr>
                <w:rFonts w:ascii="Arial" w:eastAsia="宋体" w:hAnsi="Arial" w:cs="Arial"/>
                <w:b/>
                <w:bCs/>
                <w:color w:val="333333"/>
                <w:sz w:val="18"/>
                <w:szCs w:val="18"/>
              </w:rPr>
              <w:t>%</w:t>
            </w:r>
          </w:p>
        </w:tc>
        <w:tc>
          <w:tcPr>
            <w:tcW w:w="0" w:type="auto"/>
            <w:shd w:val="clear" w:color="auto" w:fill="auto"/>
          </w:tcPr>
          <w:p w14:paraId="36CA4E66" w14:textId="77777777" w:rsidR="00787570" w:rsidRDefault="00787570">
            <w:pPr>
              <w:rPr>
                <w:rFonts w:ascii="宋体"/>
              </w:rPr>
            </w:pPr>
          </w:p>
        </w:tc>
        <w:tc>
          <w:tcPr>
            <w:tcW w:w="0" w:type="auto"/>
            <w:shd w:val="clear" w:color="auto" w:fill="auto"/>
          </w:tcPr>
          <w:p w14:paraId="36CA4E67" w14:textId="77777777" w:rsidR="00787570" w:rsidRDefault="00787570">
            <w:pPr>
              <w:rPr>
                <w:rFonts w:ascii="宋体"/>
              </w:rPr>
            </w:pPr>
          </w:p>
        </w:tc>
        <w:tc>
          <w:tcPr>
            <w:tcW w:w="0" w:type="auto"/>
            <w:shd w:val="clear" w:color="auto" w:fill="auto"/>
          </w:tcPr>
          <w:p w14:paraId="36CA4E68" w14:textId="77777777" w:rsidR="00787570" w:rsidRDefault="00787570">
            <w:pPr>
              <w:rPr>
                <w:rFonts w:ascii="宋体"/>
              </w:rPr>
            </w:pPr>
          </w:p>
        </w:tc>
        <w:tc>
          <w:tcPr>
            <w:tcW w:w="0" w:type="auto"/>
            <w:shd w:val="clear" w:color="auto" w:fill="auto"/>
          </w:tcPr>
          <w:p w14:paraId="36CA4E69" w14:textId="77777777" w:rsidR="00787570" w:rsidRDefault="00787570">
            <w:pPr>
              <w:rPr>
                <w:rFonts w:ascii="宋体"/>
              </w:rPr>
            </w:pPr>
          </w:p>
        </w:tc>
        <w:tc>
          <w:tcPr>
            <w:tcW w:w="0" w:type="auto"/>
            <w:shd w:val="clear" w:color="auto" w:fill="auto"/>
          </w:tcPr>
          <w:p w14:paraId="36CA4E6A" w14:textId="77777777" w:rsidR="00787570" w:rsidRDefault="00787570">
            <w:pPr>
              <w:rPr>
                <w:rFonts w:ascii="宋体"/>
              </w:rPr>
            </w:pPr>
          </w:p>
        </w:tc>
        <w:tc>
          <w:tcPr>
            <w:tcW w:w="0" w:type="auto"/>
            <w:shd w:val="clear" w:color="auto" w:fill="auto"/>
          </w:tcPr>
          <w:p w14:paraId="36CA4E6B" w14:textId="77777777" w:rsidR="00787570" w:rsidRDefault="00787570">
            <w:pPr>
              <w:rPr>
                <w:rFonts w:ascii="宋体"/>
              </w:rPr>
            </w:pPr>
          </w:p>
        </w:tc>
        <w:tc>
          <w:tcPr>
            <w:tcW w:w="0" w:type="auto"/>
            <w:shd w:val="clear" w:color="auto" w:fill="auto"/>
          </w:tcPr>
          <w:p w14:paraId="36CA4E6C" w14:textId="77777777" w:rsidR="00787570" w:rsidRDefault="00787570">
            <w:pPr>
              <w:rPr>
                <w:rFonts w:ascii="宋体"/>
              </w:rPr>
            </w:pPr>
          </w:p>
        </w:tc>
        <w:tc>
          <w:tcPr>
            <w:tcW w:w="0" w:type="auto"/>
            <w:shd w:val="clear" w:color="auto" w:fill="auto"/>
          </w:tcPr>
          <w:p w14:paraId="36CA4E6D" w14:textId="77777777" w:rsidR="00787570" w:rsidRDefault="00787570">
            <w:pPr>
              <w:rPr>
                <w:rFonts w:ascii="宋体"/>
              </w:rPr>
            </w:pPr>
          </w:p>
        </w:tc>
        <w:tc>
          <w:tcPr>
            <w:tcW w:w="0" w:type="auto"/>
            <w:shd w:val="clear" w:color="auto" w:fill="auto"/>
          </w:tcPr>
          <w:p w14:paraId="36CA4E6E" w14:textId="77777777" w:rsidR="00787570" w:rsidRDefault="00787570">
            <w:pPr>
              <w:rPr>
                <w:rFonts w:ascii="宋体"/>
              </w:rPr>
            </w:pPr>
          </w:p>
        </w:tc>
        <w:tc>
          <w:tcPr>
            <w:tcW w:w="0" w:type="auto"/>
            <w:shd w:val="clear" w:color="auto" w:fill="auto"/>
          </w:tcPr>
          <w:p w14:paraId="36CA4E6F" w14:textId="77777777" w:rsidR="00787570" w:rsidRDefault="00787570">
            <w:pPr>
              <w:rPr>
                <w:rFonts w:ascii="宋体"/>
              </w:rPr>
            </w:pPr>
          </w:p>
        </w:tc>
        <w:tc>
          <w:tcPr>
            <w:tcW w:w="0" w:type="auto"/>
            <w:shd w:val="clear" w:color="auto" w:fill="auto"/>
          </w:tcPr>
          <w:p w14:paraId="36CA4E70" w14:textId="77777777" w:rsidR="00787570" w:rsidRDefault="00787570">
            <w:pPr>
              <w:rPr>
                <w:rFonts w:ascii="宋体"/>
              </w:rPr>
            </w:pPr>
          </w:p>
        </w:tc>
        <w:tc>
          <w:tcPr>
            <w:tcW w:w="0" w:type="auto"/>
            <w:shd w:val="clear" w:color="auto" w:fill="auto"/>
          </w:tcPr>
          <w:p w14:paraId="36CA4E71" w14:textId="77777777" w:rsidR="00787570" w:rsidRDefault="00787570">
            <w:pPr>
              <w:rPr>
                <w:rFonts w:ascii="宋体"/>
              </w:rPr>
            </w:pPr>
          </w:p>
        </w:tc>
      </w:tr>
      <w:tr w:rsidR="00787570" w14:paraId="36CA4E90" w14:textId="77777777">
        <w:trPr>
          <w:hidden/>
        </w:trPr>
        <w:tc>
          <w:tcPr>
            <w:tcW w:w="0" w:type="auto"/>
            <w:gridSpan w:val="3"/>
            <w:shd w:val="clear" w:color="auto" w:fill="auto"/>
          </w:tcPr>
          <w:p w14:paraId="36CA4E73" w14:textId="77777777" w:rsidR="00787570" w:rsidRDefault="00787570">
            <w:pPr>
              <w:rPr>
                <w:rFonts w:ascii="宋体"/>
                <w:vanish/>
              </w:rPr>
            </w:pPr>
          </w:p>
        </w:tc>
        <w:tc>
          <w:tcPr>
            <w:tcW w:w="0" w:type="auto"/>
            <w:gridSpan w:val="3"/>
            <w:shd w:val="clear" w:color="auto" w:fill="auto"/>
          </w:tcPr>
          <w:p w14:paraId="36CA4E74" w14:textId="77777777" w:rsidR="00787570" w:rsidRDefault="00787570">
            <w:pPr>
              <w:rPr>
                <w:rFonts w:ascii="宋体"/>
                <w:vanish/>
              </w:rPr>
            </w:pPr>
          </w:p>
        </w:tc>
        <w:tc>
          <w:tcPr>
            <w:tcW w:w="0" w:type="auto"/>
            <w:gridSpan w:val="3"/>
            <w:shd w:val="clear" w:color="auto" w:fill="auto"/>
          </w:tcPr>
          <w:p w14:paraId="36CA4E75" w14:textId="77777777" w:rsidR="00787570" w:rsidRDefault="00787570">
            <w:pPr>
              <w:rPr>
                <w:rFonts w:ascii="宋体"/>
                <w:vanish/>
              </w:rPr>
            </w:pPr>
          </w:p>
        </w:tc>
        <w:tc>
          <w:tcPr>
            <w:tcW w:w="0" w:type="auto"/>
            <w:gridSpan w:val="3"/>
            <w:shd w:val="clear" w:color="auto" w:fill="auto"/>
          </w:tcPr>
          <w:p w14:paraId="36CA4E76" w14:textId="77777777" w:rsidR="00787570" w:rsidRDefault="00787570">
            <w:pPr>
              <w:rPr>
                <w:rFonts w:ascii="宋体"/>
                <w:vanish/>
              </w:rPr>
            </w:pPr>
          </w:p>
        </w:tc>
        <w:tc>
          <w:tcPr>
            <w:tcW w:w="0" w:type="auto"/>
            <w:gridSpan w:val="3"/>
            <w:shd w:val="clear" w:color="auto" w:fill="auto"/>
          </w:tcPr>
          <w:p w14:paraId="36CA4E77" w14:textId="77777777" w:rsidR="00787570" w:rsidRDefault="00787570">
            <w:pPr>
              <w:rPr>
                <w:rFonts w:ascii="宋体"/>
                <w:vanish/>
              </w:rPr>
            </w:pPr>
          </w:p>
        </w:tc>
        <w:tc>
          <w:tcPr>
            <w:tcW w:w="0" w:type="auto"/>
            <w:gridSpan w:val="3"/>
            <w:shd w:val="clear" w:color="auto" w:fill="auto"/>
          </w:tcPr>
          <w:p w14:paraId="36CA4E78" w14:textId="77777777" w:rsidR="00787570" w:rsidRDefault="00787570">
            <w:pPr>
              <w:rPr>
                <w:rFonts w:ascii="宋体"/>
                <w:vanish/>
              </w:rPr>
            </w:pPr>
          </w:p>
        </w:tc>
        <w:tc>
          <w:tcPr>
            <w:tcW w:w="0" w:type="auto"/>
            <w:gridSpan w:val="3"/>
            <w:shd w:val="clear" w:color="auto" w:fill="auto"/>
          </w:tcPr>
          <w:p w14:paraId="36CA4E79" w14:textId="77777777" w:rsidR="00787570" w:rsidRDefault="00787570">
            <w:pPr>
              <w:rPr>
                <w:rFonts w:ascii="宋体"/>
                <w:vanish/>
              </w:rPr>
            </w:pPr>
          </w:p>
        </w:tc>
        <w:tc>
          <w:tcPr>
            <w:tcW w:w="0" w:type="auto"/>
            <w:gridSpan w:val="3"/>
            <w:shd w:val="clear" w:color="auto" w:fill="auto"/>
          </w:tcPr>
          <w:p w14:paraId="36CA4E7A" w14:textId="77777777" w:rsidR="00787570" w:rsidRDefault="00787570">
            <w:pPr>
              <w:rPr>
                <w:rFonts w:ascii="宋体"/>
                <w:vanish/>
              </w:rPr>
            </w:pPr>
          </w:p>
        </w:tc>
        <w:tc>
          <w:tcPr>
            <w:tcW w:w="0" w:type="auto"/>
            <w:gridSpan w:val="3"/>
            <w:shd w:val="clear" w:color="auto" w:fill="auto"/>
          </w:tcPr>
          <w:p w14:paraId="36CA4E7B" w14:textId="77777777" w:rsidR="00787570" w:rsidRDefault="00787570">
            <w:pPr>
              <w:rPr>
                <w:rFonts w:ascii="宋体"/>
                <w:vanish/>
              </w:rPr>
            </w:pPr>
          </w:p>
        </w:tc>
        <w:tc>
          <w:tcPr>
            <w:tcW w:w="0" w:type="auto"/>
            <w:gridSpan w:val="3"/>
            <w:shd w:val="clear" w:color="auto" w:fill="auto"/>
          </w:tcPr>
          <w:p w14:paraId="36CA4E7C" w14:textId="77777777" w:rsidR="00787570" w:rsidRDefault="00787570">
            <w:pPr>
              <w:rPr>
                <w:rFonts w:ascii="宋体"/>
                <w:vanish/>
              </w:rPr>
            </w:pPr>
          </w:p>
        </w:tc>
        <w:tc>
          <w:tcPr>
            <w:tcW w:w="0" w:type="auto"/>
            <w:gridSpan w:val="3"/>
            <w:shd w:val="clear" w:color="auto" w:fill="auto"/>
          </w:tcPr>
          <w:p w14:paraId="36CA4E7D" w14:textId="77777777" w:rsidR="00787570" w:rsidRDefault="00787570">
            <w:pPr>
              <w:rPr>
                <w:rFonts w:ascii="宋体"/>
                <w:vanish/>
              </w:rPr>
            </w:pPr>
          </w:p>
        </w:tc>
        <w:tc>
          <w:tcPr>
            <w:tcW w:w="0" w:type="auto"/>
            <w:gridSpan w:val="3"/>
            <w:shd w:val="clear" w:color="auto" w:fill="auto"/>
          </w:tcPr>
          <w:p w14:paraId="36CA4E7E" w14:textId="77777777" w:rsidR="00787570" w:rsidRDefault="00787570">
            <w:pPr>
              <w:rPr>
                <w:rFonts w:ascii="宋体"/>
                <w:vanish/>
              </w:rPr>
            </w:pPr>
          </w:p>
        </w:tc>
        <w:tc>
          <w:tcPr>
            <w:tcW w:w="0" w:type="auto"/>
            <w:gridSpan w:val="3"/>
            <w:shd w:val="clear" w:color="auto" w:fill="auto"/>
          </w:tcPr>
          <w:p w14:paraId="36CA4E7F" w14:textId="77777777" w:rsidR="00787570" w:rsidRDefault="00787570">
            <w:pPr>
              <w:rPr>
                <w:rFonts w:ascii="宋体"/>
                <w:vanish/>
              </w:rPr>
            </w:pPr>
          </w:p>
        </w:tc>
        <w:tc>
          <w:tcPr>
            <w:tcW w:w="0" w:type="auto"/>
            <w:gridSpan w:val="3"/>
            <w:shd w:val="clear" w:color="auto" w:fill="auto"/>
          </w:tcPr>
          <w:p w14:paraId="36CA4E80" w14:textId="77777777" w:rsidR="00787570" w:rsidRDefault="00787570">
            <w:pPr>
              <w:rPr>
                <w:rFonts w:ascii="宋体"/>
                <w:vanish/>
              </w:rPr>
            </w:pPr>
          </w:p>
        </w:tc>
        <w:tc>
          <w:tcPr>
            <w:tcW w:w="0" w:type="auto"/>
            <w:gridSpan w:val="3"/>
            <w:shd w:val="clear" w:color="auto" w:fill="auto"/>
          </w:tcPr>
          <w:p w14:paraId="36CA4E81" w14:textId="77777777" w:rsidR="00787570" w:rsidRDefault="00787570">
            <w:pPr>
              <w:rPr>
                <w:rFonts w:ascii="宋体"/>
                <w:vanish/>
              </w:rPr>
            </w:pPr>
          </w:p>
        </w:tc>
        <w:tc>
          <w:tcPr>
            <w:tcW w:w="0" w:type="auto"/>
            <w:gridSpan w:val="3"/>
            <w:shd w:val="clear" w:color="auto" w:fill="auto"/>
          </w:tcPr>
          <w:p w14:paraId="36CA4E82" w14:textId="77777777" w:rsidR="00787570" w:rsidRDefault="00787570">
            <w:pPr>
              <w:rPr>
                <w:rFonts w:ascii="宋体"/>
                <w:vanish/>
              </w:rPr>
            </w:pPr>
          </w:p>
        </w:tc>
        <w:tc>
          <w:tcPr>
            <w:tcW w:w="0" w:type="auto"/>
            <w:gridSpan w:val="3"/>
            <w:shd w:val="clear" w:color="auto" w:fill="auto"/>
          </w:tcPr>
          <w:p w14:paraId="36CA4E83" w14:textId="77777777" w:rsidR="00787570" w:rsidRDefault="00787570">
            <w:pPr>
              <w:rPr>
                <w:rFonts w:ascii="宋体"/>
                <w:vanish/>
              </w:rPr>
            </w:pPr>
          </w:p>
        </w:tc>
        <w:tc>
          <w:tcPr>
            <w:tcW w:w="0" w:type="auto"/>
            <w:shd w:val="clear" w:color="auto" w:fill="auto"/>
          </w:tcPr>
          <w:p w14:paraId="36CA4E84" w14:textId="77777777" w:rsidR="00787570" w:rsidRDefault="00787570">
            <w:pPr>
              <w:rPr>
                <w:rFonts w:ascii="宋体"/>
              </w:rPr>
            </w:pPr>
          </w:p>
        </w:tc>
        <w:tc>
          <w:tcPr>
            <w:tcW w:w="0" w:type="auto"/>
            <w:shd w:val="clear" w:color="auto" w:fill="auto"/>
          </w:tcPr>
          <w:p w14:paraId="36CA4E85" w14:textId="77777777" w:rsidR="00787570" w:rsidRDefault="00787570">
            <w:pPr>
              <w:rPr>
                <w:rFonts w:ascii="宋体"/>
              </w:rPr>
            </w:pPr>
          </w:p>
        </w:tc>
        <w:tc>
          <w:tcPr>
            <w:tcW w:w="0" w:type="auto"/>
            <w:shd w:val="clear" w:color="auto" w:fill="auto"/>
          </w:tcPr>
          <w:p w14:paraId="36CA4E86" w14:textId="77777777" w:rsidR="00787570" w:rsidRDefault="00787570">
            <w:pPr>
              <w:rPr>
                <w:rFonts w:ascii="宋体"/>
              </w:rPr>
            </w:pPr>
          </w:p>
        </w:tc>
        <w:tc>
          <w:tcPr>
            <w:tcW w:w="0" w:type="auto"/>
            <w:shd w:val="clear" w:color="auto" w:fill="auto"/>
          </w:tcPr>
          <w:p w14:paraId="36CA4E87" w14:textId="77777777" w:rsidR="00787570" w:rsidRDefault="00787570">
            <w:pPr>
              <w:rPr>
                <w:rFonts w:ascii="宋体"/>
              </w:rPr>
            </w:pPr>
          </w:p>
        </w:tc>
        <w:tc>
          <w:tcPr>
            <w:tcW w:w="0" w:type="auto"/>
            <w:shd w:val="clear" w:color="auto" w:fill="auto"/>
          </w:tcPr>
          <w:p w14:paraId="36CA4E88" w14:textId="77777777" w:rsidR="00787570" w:rsidRDefault="00787570">
            <w:pPr>
              <w:rPr>
                <w:rFonts w:ascii="宋体"/>
              </w:rPr>
            </w:pPr>
          </w:p>
        </w:tc>
        <w:tc>
          <w:tcPr>
            <w:tcW w:w="0" w:type="auto"/>
            <w:shd w:val="clear" w:color="auto" w:fill="auto"/>
          </w:tcPr>
          <w:p w14:paraId="36CA4E89" w14:textId="77777777" w:rsidR="00787570" w:rsidRDefault="00787570">
            <w:pPr>
              <w:rPr>
                <w:rFonts w:ascii="宋体"/>
              </w:rPr>
            </w:pPr>
          </w:p>
        </w:tc>
        <w:tc>
          <w:tcPr>
            <w:tcW w:w="0" w:type="auto"/>
            <w:shd w:val="clear" w:color="auto" w:fill="auto"/>
          </w:tcPr>
          <w:p w14:paraId="36CA4E8A" w14:textId="77777777" w:rsidR="00787570" w:rsidRDefault="00787570">
            <w:pPr>
              <w:rPr>
                <w:rFonts w:ascii="宋体"/>
              </w:rPr>
            </w:pPr>
          </w:p>
        </w:tc>
        <w:tc>
          <w:tcPr>
            <w:tcW w:w="0" w:type="auto"/>
            <w:shd w:val="clear" w:color="auto" w:fill="auto"/>
          </w:tcPr>
          <w:p w14:paraId="36CA4E8B" w14:textId="77777777" w:rsidR="00787570" w:rsidRDefault="00787570">
            <w:pPr>
              <w:rPr>
                <w:rFonts w:ascii="宋体"/>
              </w:rPr>
            </w:pPr>
          </w:p>
        </w:tc>
        <w:tc>
          <w:tcPr>
            <w:tcW w:w="0" w:type="auto"/>
            <w:shd w:val="clear" w:color="auto" w:fill="auto"/>
          </w:tcPr>
          <w:p w14:paraId="36CA4E8C" w14:textId="77777777" w:rsidR="00787570" w:rsidRDefault="00787570">
            <w:pPr>
              <w:rPr>
                <w:rFonts w:ascii="宋体"/>
              </w:rPr>
            </w:pPr>
          </w:p>
        </w:tc>
        <w:tc>
          <w:tcPr>
            <w:tcW w:w="0" w:type="auto"/>
            <w:shd w:val="clear" w:color="auto" w:fill="auto"/>
          </w:tcPr>
          <w:p w14:paraId="36CA4E8D" w14:textId="77777777" w:rsidR="00787570" w:rsidRDefault="00787570">
            <w:pPr>
              <w:rPr>
                <w:rFonts w:ascii="宋体"/>
              </w:rPr>
            </w:pPr>
          </w:p>
        </w:tc>
        <w:tc>
          <w:tcPr>
            <w:tcW w:w="0" w:type="auto"/>
            <w:shd w:val="clear" w:color="auto" w:fill="auto"/>
          </w:tcPr>
          <w:p w14:paraId="36CA4E8E" w14:textId="77777777" w:rsidR="00787570" w:rsidRDefault="00787570">
            <w:pPr>
              <w:rPr>
                <w:rFonts w:ascii="宋体"/>
              </w:rPr>
            </w:pPr>
          </w:p>
        </w:tc>
        <w:tc>
          <w:tcPr>
            <w:tcW w:w="0" w:type="auto"/>
            <w:shd w:val="clear" w:color="auto" w:fill="auto"/>
          </w:tcPr>
          <w:p w14:paraId="36CA4E8F" w14:textId="77777777" w:rsidR="00787570" w:rsidRDefault="00787570">
            <w:pPr>
              <w:rPr>
                <w:rFonts w:ascii="宋体"/>
              </w:rPr>
            </w:pPr>
          </w:p>
        </w:tc>
      </w:tr>
      <w:tr w:rsidR="00787570" w14:paraId="36CA4EB6" w14:textId="77777777">
        <w:tc>
          <w:tcPr>
            <w:tcW w:w="0" w:type="auto"/>
            <w:gridSpan w:val="3"/>
            <w:shd w:val="clear" w:color="auto" w:fill="auto"/>
            <w:tcMar>
              <w:top w:w="40" w:type="dxa"/>
              <w:left w:w="20" w:type="dxa"/>
              <w:bottom w:w="40" w:type="dxa"/>
              <w:right w:w="20" w:type="dxa"/>
            </w:tcMar>
          </w:tcPr>
          <w:p w14:paraId="36CA4E91" w14:textId="77777777" w:rsidR="00787570" w:rsidRDefault="000D56E2">
            <w:pPr>
              <w:ind w:hanging="180"/>
              <w:textAlignment w:val="top"/>
            </w:pPr>
            <w:r>
              <w:rPr>
                <w:rFonts w:ascii="Arial" w:eastAsia="宋体" w:hAnsi="Arial" w:cs="Arial"/>
                <w:b/>
                <w:bCs/>
                <w:color w:val="333333"/>
                <w:sz w:val="18"/>
                <w:szCs w:val="18"/>
              </w:rPr>
              <w:t>Earnings per share—diluted</w:t>
            </w:r>
          </w:p>
        </w:tc>
        <w:tc>
          <w:tcPr>
            <w:tcW w:w="0" w:type="auto"/>
            <w:gridSpan w:val="3"/>
            <w:shd w:val="clear" w:color="auto" w:fill="auto"/>
            <w:tcMar>
              <w:left w:w="20" w:type="dxa"/>
              <w:right w:w="20" w:type="dxa"/>
            </w:tcMar>
            <w:vAlign w:val="bottom"/>
          </w:tcPr>
          <w:p w14:paraId="36CA4E92" w14:textId="77777777" w:rsidR="00787570" w:rsidRDefault="00787570">
            <w:pPr>
              <w:rPr>
                <w:rFonts w:ascii="宋体"/>
              </w:rPr>
            </w:pPr>
          </w:p>
        </w:tc>
        <w:tc>
          <w:tcPr>
            <w:tcW w:w="0" w:type="auto"/>
            <w:tcBorders>
              <w:top w:val="double" w:sz="6" w:space="0" w:color="333333"/>
              <w:bottom w:val="double" w:sz="6" w:space="0" w:color="333333"/>
            </w:tcBorders>
            <w:shd w:val="clear" w:color="auto" w:fill="auto"/>
            <w:tcMar>
              <w:top w:w="40" w:type="dxa"/>
              <w:left w:w="20" w:type="dxa"/>
              <w:bottom w:w="40" w:type="dxa"/>
            </w:tcMar>
            <w:vAlign w:val="bottom"/>
          </w:tcPr>
          <w:p w14:paraId="36CA4E93" w14:textId="77777777" w:rsidR="00787570" w:rsidRDefault="000D56E2">
            <w:pPr>
              <w:textAlignment w:val="bottom"/>
            </w:pPr>
            <w:r>
              <w:rPr>
                <w:rFonts w:ascii="Arial" w:eastAsia="宋体" w:hAnsi="Arial" w:cs="Arial"/>
                <w:b/>
                <w:bCs/>
                <w:color w:val="0071C5"/>
                <w:sz w:val="18"/>
                <w:szCs w:val="18"/>
              </w:rPr>
              <w:t>$</w:t>
            </w:r>
          </w:p>
        </w:tc>
        <w:tc>
          <w:tcPr>
            <w:tcW w:w="0" w:type="auto"/>
            <w:tcBorders>
              <w:top w:val="double" w:sz="6" w:space="0" w:color="333333"/>
              <w:bottom w:val="double" w:sz="6" w:space="0" w:color="333333"/>
            </w:tcBorders>
            <w:shd w:val="clear" w:color="auto" w:fill="auto"/>
            <w:tcMar>
              <w:top w:w="40" w:type="dxa"/>
              <w:bottom w:w="40" w:type="dxa"/>
              <w:right w:w="0" w:type="dxa"/>
            </w:tcMar>
            <w:vAlign w:val="bottom"/>
          </w:tcPr>
          <w:p w14:paraId="36CA4E94" w14:textId="77777777" w:rsidR="00787570" w:rsidRDefault="000D56E2">
            <w:pPr>
              <w:jc w:val="right"/>
              <w:textAlignment w:val="bottom"/>
            </w:pPr>
            <w:r>
              <w:rPr>
                <w:rFonts w:ascii="Arial" w:eastAsia="宋体" w:hAnsi="Arial" w:cs="Arial"/>
                <w:b/>
                <w:bCs/>
                <w:color w:val="0071C5"/>
                <w:sz w:val="18"/>
                <w:szCs w:val="18"/>
              </w:rPr>
              <w:t>1.02</w:t>
            </w:r>
            <w:r>
              <w:rPr>
                <w:rFonts w:ascii="Arial" w:eastAsia="宋体" w:hAnsi="Arial" w:cs="Arial"/>
                <w:color w:val="0071C5"/>
                <w:sz w:val="18"/>
                <w:szCs w:val="18"/>
              </w:rPr>
              <w:t> </w:t>
            </w:r>
          </w:p>
        </w:tc>
        <w:tc>
          <w:tcPr>
            <w:tcW w:w="0" w:type="auto"/>
            <w:tcBorders>
              <w:top w:val="double" w:sz="6" w:space="0" w:color="333333"/>
              <w:bottom w:val="double" w:sz="6" w:space="0" w:color="333333"/>
            </w:tcBorders>
            <w:shd w:val="clear" w:color="auto" w:fill="auto"/>
            <w:tcMar>
              <w:top w:w="40" w:type="dxa"/>
              <w:bottom w:w="40" w:type="dxa"/>
              <w:right w:w="20" w:type="dxa"/>
            </w:tcMar>
            <w:vAlign w:val="bottom"/>
          </w:tcPr>
          <w:p w14:paraId="36CA4E95"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4E96" w14:textId="77777777" w:rsidR="00787570" w:rsidRDefault="00787570">
            <w:pPr>
              <w:rPr>
                <w:rFonts w:ascii="宋体"/>
              </w:rPr>
            </w:pPr>
          </w:p>
        </w:tc>
        <w:tc>
          <w:tcPr>
            <w:tcW w:w="0" w:type="auto"/>
            <w:gridSpan w:val="3"/>
            <w:tcBorders>
              <w:top w:val="double" w:sz="6" w:space="0" w:color="333333"/>
            </w:tcBorders>
            <w:shd w:val="clear" w:color="auto" w:fill="auto"/>
            <w:tcMar>
              <w:left w:w="20" w:type="dxa"/>
              <w:right w:w="20" w:type="dxa"/>
            </w:tcMar>
            <w:vAlign w:val="bottom"/>
          </w:tcPr>
          <w:p w14:paraId="36CA4E97"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4E98" w14:textId="77777777" w:rsidR="00787570" w:rsidRDefault="00787570">
            <w:pPr>
              <w:rPr>
                <w:rFonts w:ascii="宋体"/>
              </w:rPr>
            </w:pPr>
          </w:p>
        </w:tc>
        <w:tc>
          <w:tcPr>
            <w:tcW w:w="0" w:type="auto"/>
            <w:tcBorders>
              <w:top w:val="double" w:sz="6" w:space="0" w:color="333333"/>
              <w:bottom w:val="double" w:sz="6" w:space="0" w:color="333333"/>
            </w:tcBorders>
            <w:shd w:val="clear" w:color="auto" w:fill="auto"/>
            <w:tcMar>
              <w:top w:w="40" w:type="dxa"/>
              <w:left w:w="20" w:type="dxa"/>
              <w:bottom w:w="40" w:type="dxa"/>
            </w:tcMar>
            <w:vAlign w:val="bottom"/>
          </w:tcPr>
          <w:p w14:paraId="36CA4E99" w14:textId="77777777" w:rsidR="00787570" w:rsidRDefault="000D56E2">
            <w:pPr>
              <w:textAlignment w:val="bottom"/>
            </w:pPr>
            <w:r>
              <w:rPr>
                <w:rFonts w:ascii="Arial" w:eastAsia="宋体" w:hAnsi="Arial" w:cs="Arial"/>
                <w:b/>
                <w:bCs/>
                <w:color w:val="333333"/>
                <w:sz w:val="18"/>
                <w:szCs w:val="18"/>
              </w:rPr>
              <w:t>$</w:t>
            </w:r>
          </w:p>
        </w:tc>
        <w:tc>
          <w:tcPr>
            <w:tcW w:w="0" w:type="auto"/>
            <w:tcBorders>
              <w:top w:val="double" w:sz="6" w:space="0" w:color="333333"/>
              <w:bottom w:val="double" w:sz="6" w:space="0" w:color="333333"/>
            </w:tcBorders>
            <w:shd w:val="clear" w:color="auto" w:fill="auto"/>
            <w:tcMar>
              <w:top w:w="40" w:type="dxa"/>
              <w:bottom w:w="40" w:type="dxa"/>
              <w:right w:w="0" w:type="dxa"/>
            </w:tcMar>
            <w:vAlign w:val="bottom"/>
          </w:tcPr>
          <w:p w14:paraId="36CA4E9A" w14:textId="77777777" w:rsidR="00787570" w:rsidRDefault="000D56E2">
            <w:pPr>
              <w:jc w:val="right"/>
              <w:textAlignment w:val="bottom"/>
            </w:pPr>
            <w:r>
              <w:rPr>
                <w:rFonts w:ascii="Arial" w:eastAsia="宋体" w:hAnsi="Arial" w:cs="Arial"/>
                <w:b/>
                <w:bCs/>
                <w:color w:val="333333"/>
                <w:sz w:val="18"/>
                <w:szCs w:val="18"/>
              </w:rPr>
              <w:t>1.35</w:t>
            </w:r>
            <w:r>
              <w:rPr>
                <w:rFonts w:ascii="Arial" w:eastAsia="宋体" w:hAnsi="Arial" w:cs="Arial"/>
                <w:color w:val="333333"/>
                <w:sz w:val="18"/>
                <w:szCs w:val="18"/>
              </w:rPr>
              <w:t> </w:t>
            </w:r>
          </w:p>
        </w:tc>
        <w:tc>
          <w:tcPr>
            <w:tcW w:w="0" w:type="auto"/>
            <w:tcBorders>
              <w:top w:val="double" w:sz="6" w:space="0" w:color="333333"/>
              <w:bottom w:val="double" w:sz="6" w:space="0" w:color="333333"/>
            </w:tcBorders>
            <w:shd w:val="clear" w:color="auto" w:fill="auto"/>
            <w:tcMar>
              <w:top w:w="40" w:type="dxa"/>
              <w:bottom w:w="40" w:type="dxa"/>
              <w:right w:w="20" w:type="dxa"/>
            </w:tcMar>
            <w:vAlign w:val="bottom"/>
          </w:tcPr>
          <w:p w14:paraId="36CA4E9B"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4E9C" w14:textId="77777777" w:rsidR="00787570" w:rsidRDefault="00787570">
            <w:pPr>
              <w:rPr>
                <w:rFonts w:ascii="宋体"/>
              </w:rPr>
            </w:pPr>
          </w:p>
        </w:tc>
        <w:tc>
          <w:tcPr>
            <w:tcW w:w="0" w:type="auto"/>
            <w:gridSpan w:val="3"/>
            <w:tcBorders>
              <w:top w:val="double" w:sz="6" w:space="0" w:color="333333"/>
            </w:tcBorders>
            <w:shd w:val="clear" w:color="auto" w:fill="auto"/>
            <w:tcMar>
              <w:left w:w="20" w:type="dxa"/>
              <w:right w:w="20" w:type="dxa"/>
            </w:tcMar>
            <w:vAlign w:val="bottom"/>
          </w:tcPr>
          <w:p w14:paraId="36CA4E9D"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4E9E" w14:textId="77777777" w:rsidR="00787570" w:rsidRDefault="00787570">
            <w:pPr>
              <w:rPr>
                <w:rFonts w:ascii="宋体"/>
              </w:rPr>
            </w:pPr>
          </w:p>
        </w:tc>
        <w:tc>
          <w:tcPr>
            <w:tcW w:w="0" w:type="auto"/>
            <w:tcBorders>
              <w:top w:val="double" w:sz="6" w:space="0" w:color="333333"/>
              <w:bottom w:val="double" w:sz="6" w:space="0" w:color="333333"/>
            </w:tcBorders>
            <w:shd w:val="clear" w:color="auto" w:fill="auto"/>
            <w:tcMar>
              <w:top w:w="40" w:type="dxa"/>
              <w:left w:w="20" w:type="dxa"/>
              <w:bottom w:w="40" w:type="dxa"/>
            </w:tcMar>
            <w:vAlign w:val="bottom"/>
          </w:tcPr>
          <w:p w14:paraId="36CA4E9F" w14:textId="77777777" w:rsidR="00787570" w:rsidRDefault="000D56E2">
            <w:pPr>
              <w:textAlignment w:val="bottom"/>
            </w:pPr>
            <w:r>
              <w:rPr>
                <w:rFonts w:ascii="Arial" w:eastAsia="宋体" w:hAnsi="Arial" w:cs="Arial"/>
                <w:b/>
                <w:bCs/>
                <w:color w:val="0071C5"/>
                <w:sz w:val="18"/>
                <w:szCs w:val="18"/>
              </w:rPr>
              <w:t>$</w:t>
            </w:r>
          </w:p>
        </w:tc>
        <w:tc>
          <w:tcPr>
            <w:tcW w:w="0" w:type="auto"/>
            <w:tcBorders>
              <w:top w:val="double" w:sz="6" w:space="0" w:color="333333"/>
              <w:bottom w:val="double" w:sz="6" w:space="0" w:color="333333"/>
            </w:tcBorders>
            <w:shd w:val="clear" w:color="auto" w:fill="auto"/>
            <w:tcMar>
              <w:top w:w="40" w:type="dxa"/>
              <w:bottom w:w="40" w:type="dxa"/>
              <w:right w:w="0" w:type="dxa"/>
            </w:tcMar>
            <w:vAlign w:val="bottom"/>
          </w:tcPr>
          <w:p w14:paraId="36CA4EA0" w14:textId="77777777" w:rsidR="00787570" w:rsidRDefault="000D56E2">
            <w:pPr>
              <w:jc w:val="right"/>
              <w:textAlignment w:val="bottom"/>
            </w:pPr>
            <w:r>
              <w:rPr>
                <w:rFonts w:ascii="Arial" w:eastAsia="宋体" w:hAnsi="Arial" w:cs="Arial"/>
                <w:b/>
                <w:bCs/>
                <w:color w:val="0071C5"/>
                <w:sz w:val="18"/>
                <w:szCs w:val="18"/>
              </w:rPr>
              <w:t>3.52</w:t>
            </w:r>
            <w:r>
              <w:rPr>
                <w:rFonts w:ascii="Arial" w:eastAsia="宋体" w:hAnsi="Arial" w:cs="Arial"/>
                <w:color w:val="0071C5"/>
                <w:sz w:val="18"/>
                <w:szCs w:val="18"/>
              </w:rPr>
              <w:t> </w:t>
            </w:r>
          </w:p>
        </w:tc>
        <w:tc>
          <w:tcPr>
            <w:tcW w:w="0" w:type="auto"/>
            <w:tcBorders>
              <w:top w:val="double" w:sz="6" w:space="0" w:color="333333"/>
              <w:bottom w:val="double" w:sz="6" w:space="0" w:color="333333"/>
            </w:tcBorders>
            <w:shd w:val="clear" w:color="auto" w:fill="auto"/>
            <w:tcMar>
              <w:top w:w="40" w:type="dxa"/>
              <w:bottom w:w="40" w:type="dxa"/>
              <w:right w:w="20" w:type="dxa"/>
            </w:tcMar>
            <w:vAlign w:val="bottom"/>
          </w:tcPr>
          <w:p w14:paraId="36CA4EA1"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4EA2" w14:textId="77777777" w:rsidR="00787570" w:rsidRDefault="00787570">
            <w:pPr>
              <w:rPr>
                <w:rFonts w:ascii="宋体"/>
              </w:rPr>
            </w:pPr>
          </w:p>
        </w:tc>
        <w:tc>
          <w:tcPr>
            <w:tcW w:w="0" w:type="auto"/>
            <w:gridSpan w:val="3"/>
            <w:tcBorders>
              <w:top w:val="double" w:sz="6" w:space="0" w:color="333333"/>
            </w:tcBorders>
            <w:shd w:val="clear" w:color="auto" w:fill="auto"/>
            <w:tcMar>
              <w:left w:w="20" w:type="dxa"/>
              <w:right w:w="20" w:type="dxa"/>
            </w:tcMar>
            <w:vAlign w:val="bottom"/>
          </w:tcPr>
          <w:p w14:paraId="36CA4EA3"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4EA4" w14:textId="77777777" w:rsidR="00787570" w:rsidRDefault="00787570">
            <w:pPr>
              <w:rPr>
                <w:rFonts w:ascii="宋体"/>
              </w:rPr>
            </w:pPr>
          </w:p>
        </w:tc>
        <w:tc>
          <w:tcPr>
            <w:tcW w:w="0" w:type="auto"/>
            <w:tcBorders>
              <w:top w:val="double" w:sz="6" w:space="0" w:color="333333"/>
              <w:bottom w:val="double" w:sz="6" w:space="0" w:color="333333"/>
            </w:tcBorders>
            <w:shd w:val="clear" w:color="auto" w:fill="auto"/>
            <w:tcMar>
              <w:top w:w="40" w:type="dxa"/>
              <w:left w:w="20" w:type="dxa"/>
              <w:bottom w:w="40" w:type="dxa"/>
            </w:tcMar>
            <w:vAlign w:val="bottom"/>
          </w:tcPr>
          <w:p w14:paraId="36CA4EA5" w14:textId="77777777" w:rsidR="00787570" w:rsidRDefault="000D56E2">
            <w:pPr>
              <w:textAlignment w:val="bottom"/>
            </w:pPr>
            <w:r>
              <w:rPr>
                <w:rFonts w:ascii="Arial" w:eastAsia="宋体" w:hAnsi="Arial" w:cs="Arial"/>
                <w:b/>
                <w:bCs/>
                <w:color w:val="333333"/>
                <w:sz w:val="18"/>
                <w:szCs w:val="18"/>
              </w:rPr>
              <w:t>$</w:t>
            </w:r>
          </w:p>
        </w:tc>
        <w:tc>
          <w:tcPr>
            <w:tcW w:w="0" w:type="auto"/>
            <w:tcBorders>
              <w:top w:val="double" w:sz="6" w:space="0" w:color="333333"/>
              <w:bottom w:val="double" w:sz="6" w:space="0" w:color="333333"/>
            </w:tcBorders>
            <w:shd w:val="clear" w:color="auto" w:fill="auto"/>
            <w:tcMar>
              <w:top w:w="40" w:type="dxa"/>
              <w:bottom w:w="40" w:type="dxa"/>
              <w:right w:w="0" w:type="dxa"/>
            </w:tcMar>
            <w:vAlign w:val="bottom"/>
          </w:tcPr>
          <w:p w14:paraId="36CA4EA6" w14:textId="77777777" w:rsidR="00787570" w:rsidRDefault="000D56E2">
            <w:pPr>
              <w:jc w:val="right"/>
              <w:textAlignment w:val="bottom"/>
            </w:pPr>
            <w:r>
              <w:rPr>
                <w:rFonts w:ascii="Arial" w:eastAsia="宋体" w:hAnsi="Arial" w:cs="Arial"/>
                <w:b/>
                <w:bCs/>
                <w:color w:val="333333"/>
                <w:sz w:val="18"/>
                <w:szCs w:val="18"/>
              </w:rPr>
              <w:t>3.14</w:t>
            </w:r>
            <w:r>
              <w:rPr>
                <w:rFonts w:ascii="Arial" w:eastAsia="宋体" w:hAnsi="Arial" w:cs="Arial"/>
                <w:color w:val="333333"/>
                <w:sz w:val="18"/>
                <w:szCs w:val="18"/>
              </w:rPr>
              <w:t> </w:t>
            </w:r>
          </w:p>
        </w:tc>
        <w:tc>
          <w:tcPr>
            <w:tcW w:w="0" w:type="auto"/>
            <w:tcBorders>
              <w:top w:val="double" w:sz="6" w:space="0" w:color="333333"/>
              <w:bottom w:val="double" w:sz="6" w:space="0" w:color="333333"/>
            </w:tcBorders>
            <w:shd w:val="clear" w:color="auto" w:fill="auto"/>
            <w:tcMar>
              <w:top w:w="40" w:type="dxa"/>
              <w:bottom w:w="40" w:type="dxa"/>
              <w:right w:w="20" w:type="dxa"/>
            </w:tcMar>
            <w:vAlign w:val="bottom"/>
          </w:tcPr>
          <w:p w14:paraId="36CA4EA7"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4EA8" w14:textId="77777777" w:rsidR="00787570" w:rsidRDefault="00787570">
            <w:pPr>
              <w:rPr>
                <w:rFonts w:ascii="宋体"/>
              </w:rPr>
            </w:pPr>
          </w:p>
        </w:tc>
        <w:tc>
          <w:tcPr>
            <w:tcW w:w="0" w:type="auto"/>
            <w:gridSpan w:val="3"/>
            <w:tcBorders>
              <w:top w:val="double" w:sz="6" w:space="0" w:color="333333"/>
            </w:tcBorders>
            <w:shd w:val="clear" w:color="auto" w:fill="auto"/>
            <w:tcMar>
              <w:left w:w="20" w:type="dxa"/>
              <w:right w:w="20" w:type="dxa"/>
            </w:tcMar>
            <w:vAlign w:val="bottom"/>
          </w:tcPr>
          <w:p w14:paraId="36CA4EA9" w14:textId="77777777" w:rsidR="00787570" w:rsidRDefault="00787570">
            <w:pPr>
              <w:rPr>
                <w:rFonts w:ascii="宋体"/>
              </w:rPr>
            </w:pPr>
          </w:p>
        </w:tc>
        <w:tc>
          <w:tcPr>
            <w:tcW w:w="0" w:type="auto"/>
            <w:shd w:val="clear" w:color="auto" w:fill="auto"/>
          </w:tcPr>
          <w:p w14:paraId="36CA4EAA" w14:textId="77777777" w:rsidR="00787570" w:rsidRDefault="00787570">
            <w:pPr>
              <w:rPr>
                <w:rFonts w:ascii="宋体"/>
              </w:rPr>
            </w:pPr>
          </w:p>
        </w:tc>
        <w:tc>
          <w:tcPr>
            <w:tcW w:w="0" w:type="auto"/>
            <w:shd w:val="clear" w:color="auto" w:fill="auto"/>
          </w:tcPr>
          <w:p w14:paraId="36CA4EAB" w14:textId="77777777" w:rsidR="00787570" w:rsidRDefault="00787570">
            <w:pPr>
              <w:rPr>
                <w:rFonts w:ascii="宋体"/>
              </w:rPr>
            </w:pPr>
          </w:p>
        </w:tc>
        <w:tc>
          <w:tcPr>
            <w:tcW w:w="0" w:type="auto"/>
            <w:shd w:val="clear" w:color="auto" w:fill="auto"/>
          </w:tcPr>
          <w:p w14:paraId="36CA4EAC" w14:textId="77777777" w:rsidR="00787570" w:rsidRDefault="00787570">
            <w:pPr>
              <w:rPr>
                <w:rFonts w:ascii="宋体"/>
              </w:rPr>
            </w:pPr>
          </w:p>
        </w:tc>
        <w:tc>
          <w:tcPr>
            <w:tcW w:w="0" w:type="auto"/>
            <w:shd w:val="clear" w:color="auto" w:fill="auto"/>
          </w:tcPr>
          <w:p w14:paraId="36CA4EAD" w14:textId="77777777" w:rsidR="00787570" w:rsidRDefault="00787570">
            <w:pPr>
              <w:rPr>
                <w:rFonts w:ascii="宋体"/>
              </w:rPr>
            </w:pPr>
          </w:p>
        </w:tc>
        <w:tc>
          <w:tcPr>
            <w:tcW w:w="0" w:type="auto"/>
            <w:shd w:val="clear" w:color="auto" w:fill="auto"/>
          </w:tcPr>
          <w:p w14:paraId="36CA4EAE" w14:textId="77777777" w:rsidR="00787570" w:rsidRDefault="00787570">
            <w:pPr>
              <w:rPr>
                <w:rFonts w:ascii="宋体"/>
              </w:rPr>
            </w:pPr>
          </w:p>
        </w:tc>
        <w:tc>
          <w:tcPr>
            <w:tcW w:w="0" w:type="auto"/>
            <w:shd w:val="clear" w:color="auto" w:fill="auto"/>
          </w:tcPr>
          <w:p w14:paraId="36CA4EAF" w14:textId="77777777" w:rsidR="00787570" w:rsidRDefault="00787570">
            <w:pPr>
              <w:rPr>
                <w:rFonts w:ascii="宋体"/>
              </w:rPr>
            </w:pPr>
          </w:p>
        </w:tc>
        <w:tc>
          <w:tcPr>
            <w:tcW w:w="0" w:type="auto"/>
            <w:shd w:val="clear" w:color="auto" w:fill="auto"/>
          </w:tcPr>
          <w:p w14:paraId="36CA4EB0" w14:textId="77777777" w:rsidR="00787570" w:rsidRDefault="00787570">
            <w:pPr>
              <w:rPr>
                <w:rFonts w:ascii="宋体"/>
              </w:rPr>
            </w:pPr>
          </w:p>
        </w:tc>
        <w:tc>
          <w:tcPr>
            <w:tcW w:w="0" w:type="auto"/>
            <w:shd w:val="clear" w:color="auto" w:fill="auto"/>
          </w:tcPr>
          <w:p w14:paraId="36CA4EB1" w14:textId="77777777" w:rsidR="00787570" w:rsidRDefault="00787570">
            <w:pPr>
              <w:rPr>
                <w:rFonts w:ascii="宋体"/>
              </w:rPr>
            </w:pPr>
          </w:p>
        </w:tc>
        <w:tc>
          <w:tcPr>
            <w:tcW w:w="0" w:type="auto"/>
            <w:shd w:val="clear" w:color="auto" w:fill="auto"/>
          </w:tcPr>
          <w:p w14:paraId="36CA4EB2" w14:textId="77777777" w:rsidR="00787570" w:rsidRDefault="00787570">
            <w:pPr>
              <w:rPr>
                <w:rFonts w:ascii="宋体"/>
              </w:rPr>
            </w:pPr>
          </w:p>
        </w:tc>
        <w:tc>
          <w:tcPr>
            <w:tcW w:w="0" w:type="auto"/>
            <w:shd w:val="clear" w:color="auto" w:fill="auto"/>
          </w:tcPr>
          <w:p w14:paraId="36CA4EB3" w14:textId="77777777" w:rsidR="00787570" w:rsidRDefault="00787570">
            <w:pPr>
              <w:rPr>
                <w:rFonts w:ascii="宋体"/>
              </w:rPr>
            </w:pPr>
          </w:p>
        </w:tc>
        <w:tc>
          <w:tcPr>
            <w:tcW w:w="0" w:type="auto"/>
            <w:shd w:val="clear" w:color="auto" w:fill="auto"/>
          </w:tcPr>
          <w:p w14:paraId="36CA4EB4" w14:textId="77777777" w:rsidR="00787570" w:rsidRDefault="00787570">
            <w:pPr>
              <w:rPr>
                <w:rFonts w:ascii="宋体"/>
              </w:rPr>
            </w:pPr>
          </w:p>
        </w:tc>
        <w:tc>
          <w:tcPr>
            <w:tcW w:w="0" w:type="auto"/>
            <w:shd w:val="clear" w:color="auto" w:fill="auto"/>
          </w:tcPr>
          <w:p w14:paraId="36CA4EB5" w14:textId="77777777" w:rsidR="00787570" w:rsidRDefault="00787570">
            <w:pPr>
              <w:rPr>
                <w:rFonts w:ascii="宋体"/>
              </w:rPr>
            </w:pPr>
          </w:p>
        </w:tc>
      </w:tr>
    </w:tbl>
    <w:p w14:paraId="36CA4EB7" w14:textId="77777777" w:rsidR="00787570" w:rsidRDefault="00787570">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95"/>
        <w:gridCol w:w="416"/>
        <w:gridCol w:w="36"/>
        <w:gridCol w:w="47"/>
        <w:gridCol w:w="4254"/>
        <w:gridCol w:w="36"/>
        <w:gridCol w:w="47"/>
        <w:gridCol w:w="3369"/>
        <w:gridCol w:w="36"/>
      </w:tblGrid>
      <w:tr w:rsidR="00787570" w14:paraId="36CA4EC1" w14:textId="77777777">
        <w:tc>
          <w:tcPr>
            <w:tcW w:w="50" w:type="pct"/>
            <w:shd w:val="clear" w:color="auto" w:fill="auto"/>
            <w:vAlign w:val="bottom"/>
          </w:tcPr>
          <w:p w14:paraId="36CA4EB8" w14:textId="77777777" w:rsidR="00787570" w:rsidRDefault="00787570">
            <w:pPr>
              <w:rPr>
                <w:rFonts w:ascii="宋体"/>
              </w:rPr>
            </w:pPr>
          </w:p>
        </w:tc>
        <w:tc>
          <w:tcPr>
            <w:tcW w:w="220" w:type="pct"/>
            <w:shd w:val="clear" w:color="auto" w:fill="auto"/>
            <w:vAlign w:val="bottom"/>
          </w:tcPr>
          <w:p w14:paraId="36CA4EB9" w14:textId="77777777" w:rsidR="00787570" w:rsidRDefault="00787570">
            <w:pPr>
              <w:rPr>
                <w:rFonts w:ascii="宋体"/>
              </w:rPr>
            </w:pPr>
          </w:p>
        </w:tc>
        <w:tc>
          <w:tcPr>
            <w:tcW w:w="5" w:type="pct"/>
            <w:shd w:val="clear" w:color="auto" w:fill="auto"/>
            <w:vAlign w:val="bottom"/>
          </w:tcPr>
          <w:p w14:paraId="36CA4EBA" w14:textId="77777777" w:rsidR="00787570" w:rsidRDefault="00787570">
            <w:pPr>
              <w:rPr>
                <w:rFonts w:ascii="宋体"/>
              </w:rPr>
            </w:pPr>
          </w:p>
        </w:tc>
        <w:tc>
          <w:tcPr>
            <w:tcW w:w="50" w:type="pct"/>
            <w:shd w:val="clear" w:color="auto" w:fill="auto"/>
            <w:vAlign w:val="bottom"/>
          </w:tcPr>
          <w:p w14:paraId="36CA4EBB" w14:textId="77777777" w:rsidR="00787570" w:rsidRDefault="00787570">
            <w:pPr>
              <w:rPr>
                <w:rFonts w:ascii="宋体"/>
              </w:rPr>
            </w:pPr>
          </w:p>
        </w:tc>
        <w:tc>
          <w:tcPr>
            <w:tcW w:w="2572" w:type="pct"/>
            <w:shd w:val="clear" w:color="auto" w:fill="auto"/>
            <w:vAlign w:val="bottom"/>
          </w:tcPr>
          <w:p w14:paraId="36CA4EBC" w14:textId="77777777" w:rsidR="00787570" w:rsidRDefault="00787570">
            <w:pPr>
              <w:rPr>
                <w:rFonts w:ascii="宋体"/>
              </w:rPr>
            </w:pPr>
          </w:p>
        </w:tc>
        <w:tc>
          <w:tcPr>
            <w:tcW w:w="5" w:type="pct"/>
            <w:shd w:val="clear" w:color="auto" w:fill="auto"/>
            <w:vAlign w:val="bottom"/>
          </w:tcPr>
          <w:p w14:paraId="36CA4EBD" w14:textId="77777777" w:rsidR="00787570" w:rsidRDefault="00787570">
            <w:pPr>
              <w:rPr>
                <w:rFonts w:ascii="宋体"/>
              </w:rPr>
            </w:pPr>
          </w:p>
        </w:tc>
        <w:tc>
          <w:tcPr>
            <w:tcW w:w="50" w:type="pct"/>
            <w:shd w:val="clear" w:color="auto" w:fill="auto"/>
            <w:vAlign w:val="bottom"/>
          </w:tcPr>
          <w:p w14:paraId="36CA4EBE" w14:textId="77777777" w:rsidR="00787570" w:rsidRDefault="00787570">
            <w:pPr>
              <w:rPr>
                <w:rFonts w:ascii="宋体"/>
              </w:rPr>
            </w:pPr>
          </w:p>
        </w:tc>
        <w:tc>
          <w:tcPr>
            <w:tcW w:w="2042" w:type="pct"/>
            <w:shd w:val="clear" w:color="auto" w:fill="auto"/>
            <w:vAlign w:val="bottom"/>
          </w:tcPr>
          <w:p w14:paraId="36CA4EBF" w14:textId="77777777" w:rsidR="00787570" w:rsidRDefault="00787570">
            <w:pPr>
              <w:rPr>
                <w:rFonts w:ascii="宋体"/>
              </w:rPr>
            </w:pPr>
          </w:p>
        </w:tc>
        <w:tc>
          <w:tcPr>
            <w:tcW w:w="5" w:type="pct"/>
            <w:shd w:val="clear" w:color="auto" w:fill="auto"/>
            <w:vAlign w:val="bottom"/>
          </w:tcPr>
          <w:p w14:paraId="36CA4EC0" w14:textId="77777777" w:rsidR="00787570" w:rsidRDefault="00787570">
            <w:pPr>
              <w:rPr>
                <w:rFonts w:ascii="宋体"/>
              </w:rPr>
            </w:pPr>
          </w:p>
        </w:tc>
      </w:tr>
      <w:tr w:rsidR="00787570" w14:paraId="36CA4EC5" w14:textId="77777777">
        <w:tc>
          <w:tcPr>
            <w:tcW w:w="0" w:type="auto"/>
            <w:gridSpan w:val="3"/>
            <w:tcBorders>
              <w:top w:val="single" w:sz="8" w:space="0" w:color="0071C5"/>
            </w:tcBorders>
            <w:shd w:val="clear" w:color="auto" w:fill="auto"/>
            <w:tcMar>
              <w:left w:w="20" w:type="dxa"/>
              <w:right w:w="20" w:type="dxa"/>
            </w:tcMar>
            <w:vAlign w:val="center"/>
          </w:tcPr>
          <w:p w14:paraId="36CA4EC2" w14:textId="77777777" w:rsidR="00787570" w:rsidRDefault="000D56E2">
            <w:pPr>
              <w:textAlignment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Viewer9_files/intc-20200926_g2.jpg"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36CA5C62" wp14:editId="36CA5C63">
                  <wp:extent cx="304800" cy="304800"/>
                  <wp:effectExtent l="0" t="0" r="0" b="0"/>
                  <wp:docPr id="82" name="图片 119" descr="IMG_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119" descr="IMG_329"/>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8" w:space="0" w:color="0071C5"/>
            </w:tcBorders>
            <w:shd w:val="clear" w:color="auto" w:fill="auto"/>
            <w:tcMar>
              <w:top w:w="40" w:type="dxa"/>
              <w:left w:w="20" w:type="dxa"/>
              <w:bottom w:w="40" w:type="dxa"/>
              <w:right w:w="20" w:type="dxa"/>
            </w:tcMar>
            <w:vAlign w:val="center"/>
          </w:tcPr>
          <w:p w14:paraId="36CA4EC3" w14:textId="77777777" w:rsidR="00787570" w:rsidRDefault="000D56E2">
            <w:pPr>
              <w:textAlignment w:val="center"/>
            </w:pPr>
            <w:r>
              <w:rPr>
                <w:rFonts w:ascii="Arial" w:eastAsia="宋体" w:hAnsi="Arial" w:cs="Arial"/>
                <w:color w:val="333333"/>
                <w:sz w:val="16"/>
                <w:szCs w:val="16"/>
              </w:rPr>
              <w:t>MD&amp;A</w:t>
            </w:r>
          </w:p>
        </w:tc>
        <w:tc>
          <w:tcPr>
            <w:tcW w:w="0" w:type="auto"/>
            <w:gridSpan w:val="3"/>
            <w:tcBorders>
              <w:top w:val="single" w:sz="8" w:space="0" w:color="0071C5"/>
            </w:tcBorders>
            <w:shd w:val="clear" w:color="auto" w:fill="auto"/>
            <w:tcMar>
              <w:top w:w="40" w:type="dxa"/>
              <w:left w:w="20" w:type="dxa"/>
              <w:bottom w:w="40" w:type="dxa"/>
              <w:right w:w="20" w:type="dxa"/>
            </w:tcMar>
            <w:vAlign w:val="center"/>
          </w:tcPr>
          <w:p w14:paraId="36CA4EC4" w14:textId="77777777" w:rsidR="00787570" w:rsidRDefault="000D56E2">
            <w:pPr>
              <w:jc w:val="right"/>
              <w:textAlignment w:val="center"/>
            </w:pPr>
            <w:r>
              <w:rPr>
                <w:rFonts w:ascii="Arial" w:eastAsia="宋体" w:hAnsi="Arial" w:cs="Arial"/>
                <w:color w:val="333333"/>
                <w:sz w:val="16"/>
                <w:szCs w:val="16"/>
              </w:rPr>
              <w:t>35</w:t>
            </w:r>
          </w:p>
        </w:tc>
      </w:tr>
    </w:tbl>
    <w:p w14:paraId="36CA4EC6" w14:textId="77777777" w:rsidR="00787570" w:rsidRDefault="000D56E2">
      <w:r>
        <w:pict w14:anchorId="36CA5C64">
          <v:rect id="_x0000_i1061" style="width:415.3pt;height:1.5pt" o:hralign="center" o:hrstd="t" o:hr="t" fillcolor="#a0a0a0" stroked="f"/>
        </w:pict>
      </w:r>
    </w:p>
    <w:p w14:paraId="36CA4EC7" w14:textId="77777777" w:rsidR="00787570" w:rsidRDefault="000D56E2">
      <w:pPr>
        <w:spacing w:after="180"/>
        <w:jc w:val="right"/>
      </w:pPr>
      <w:hyperlink r:id="rId63" w:anchor="i32771df14e9449d2bec5be911426bf04_7" w:history="1">
        <w:r>
          <w:rPr>
            <w:rStyle w:val="a5"/>
            <w:rFonts w:ascii="Arial" w:eastAsia="宋体" w:hAnsi="Arial" w:cs="Arial"/>
            <w:b/>
            <w:bCs/>
            <w:sz w:val="16"/>
            <w:szCs w:val="16"/>
          </w:rPr>
          <w:t>Table of Contents</w:t>
        </w:r>
      </w:hyperlink>
    </w:p>
    <w:p w14:paraId="36CA4EC8" w14:textId="77777777" w:rsidR="00787570" w:rsidRDefault="00787570">
      <w:pPr>
        <w:spacing w:after="180"/>
        <w:jc w:val="right"/>
      </w:pPr>
    </w:p>
    <w:p w14:paraId="36CA4EC9" w14:textId="77777777" w:rsidR="00787570" w:rsidRDefault="000D56E2">
      <w:pPr>
        <w:spacing w:after="180"/>
      </w:pPr>
      <w:r>
        <w:rPr>
          <w:rFonts w:ascii="Arial" w:eastAsia="宋体" w:hAnsi="Arial" w:cs="Arial"/>
          <w:b/>
          <w:bCs/>
          <w:color w:val="0071C5"/>
          <w:sz w:val="28"/>
          <w:szCs w:val="28"/>
        </w:rPr>
        <w:t>REVENUE</w:t>
      </w:r>
    </w:p>
    <w:tbl>
      <w:tblPr>
        <w:tblW w:w="10980" w:type="dxa"/>
        <w:tblCellMar>
          <w:top w:w="15" w:type="dxa"/>
          <w:left w:w="15" w:type="dxa"/>
          <w:bottom w:w="15" w:type="dxa"/>
          <w:right w:w="15" w:type="dxa"/>
        </w:tblCellMar>
        <w:tblLook w:val="04A0" w:firstRow="1" w:lastRow="0" w:firstColumn="1" w:lastColumn="0" w:noHBand="0" w:noVBand="1"/>
      </w:tblPr>
      <w:tblGrid>
        <w:gridCol w:w="36"/>
        <w:gridCol w:w="79"/>
        <w:gridCol w:w="36"/>
        <w:gridCol w:w="36"/>
        <w:gridCol w:w="5255"/>
        <w:gridCol w:w="36"/>
        <w:gridCol w:w="36"/>
        <w:gridCol w:w="5250"/>
        <w:gridCol w:w="36"/>
        <w:gridCol w:w="36"/>
        <w:gridCol w:w="36"/>
        <w:gridCol w:w="36"/>
        <w:gridCol w:w="36"/>
        <w:gridCol w:w="36"/>
      </w:tblGrid>
      <w:tr w:rsidR="00787570" w14:paraId="36CA4ED5" w14:textId="77777777">
        <w:trPr>
          <w:gridAfter w:val="3"/>
        </w:trPr>
        <w:tc>
          <w:tcPr>
            <w:tcW w:w="20" w:type="dxa"/>
            <w:shd w:val="clear" w:color="auto" w:fill="auto"/>
          </w:tcPr>
          <w:p w14:paraId="36CA4ECA" w14:textId="77777777" w:rsidR="00787570" w:rsidRDefault="00787570">
            <w:pPr>
              <w:rPr>
                <w:rFonts w:ascii="宋体"/>
              </w:rPr>
            </w:pPr>
          </w:p>
        </w:tc>
        <w:tc>
          <w:tcPr>
            <w:tcW w:w="80" w:type="dxa"/>
            <w:shd w:val="clear" w:color="auto" w:fill="auto"/>
          </w:tcPr>
          <w:p w14:paraId="36CA4ECB" w14:textId="77777777" w:rsidR="00787570" w:rsidRDefault="00787570">
            <w:pPr>
              <w:rPr>
                <w:rFonts w:ascii="宋体"/>
              </w:rPr>
            </w:pPr>
          </w:p>
        </w:tc>
        <w:tc>
          <w:tcPr>
            <w:tcW w:w="20" w:type="dxa"/>
            <w:shd w:val="clear" w:color="auto" w:fill="auto"/>
          </w:tcPr>
          <w:p w14:paraId="36CA4ECC" w14:textId="77777777" w:rsidR="00787570" w:rsidRDefault="00787570">
            <w:pPr>
              <w:rPr>
                <w:rFonts w:ascii="宋体"/>
              </w:rPr>
            </w:pPr>
          </w:p>
        </w:tc>
        <w:tc>
          <w:tcPr>
            <w:tcW w:w="20" w:type="dxa"/>
            <w:shd w:val="clear" w:color="auto" w:fill="auto"/>
          </w:tcPr>
          <w:p w14:paraId="36CA4ECD" w14:textId="77777777" w:rsidR="00787570" w:rsidRDefault="00787570">
            <w:pPr>
              <w:rPr>
                <w:rFonts w:ascii="宋体"/>
              </w:rPr>
            </w:pPr>
          </w:p>
        </w:tc>
        <w:tc>
          <w:tcPr>
            <w:tcW w:w="5390" w:type="dxa"/>
            <w:shd w:val="clear" w:color="auto" w:fill="auto"/>
          </w:tcPr>
          <w:p w14:paraId="36CA4ECE" w14:textId="77777777" w:rsidR="00787570" w:rsidRDefault="00787570">
            <w:pPr>
              <w:rPr>
                <w:rFonts w:ascii="宋体"/>
              </w:rPr>
            </w:pPr>
          </w:p>
        </w:tc>
        <w:tc>
          <w:tcPr>
            <w:tcW w:w="20" w:type="dxa"/>
            <w:shd w:val="clear" w:color="auto" w:fill="auto"/>
          </w:tcPr>
          <w:p w14:paraId="36CA4ECF" w14:textId="77777777" w:rsidR="00787570" w:rsidRDefault="00787570">
            <w:pPr>
              <w:rPr>
                <w:rFonts w:ascii="宋体"/>
              </w:rPr>
            </w:pPr>
          </w:p>
        </w:tc>
        <w:tc>
          <w:tcPr>
            <w:tcW w:w="20" w:type="dxa"/>
            <w:shd w:val="clear" w:color="auto" w:fill="auto"/>
          </w:tcPr>
          <w:p w14:paraId="36CA4ED0" w14:textId="77777777" w:rsidR="00787570" w:rsidRDefault="00787570">
            <w:pPr>
              <w:rPr>
                <w:rFonts w:ascii="宋体"/>
              </w:rPr>
            </w:pPr>
          </w:p>
        </w:tc>
        <w:tc>
          <w:tcPr>
            <w:tcW w:w="5390" w:type="dxa"/>
            <w:shd w:val="clear" w:color="auto" w:fill="auto"/>
          </w:tcPr>
          <w:p w14:paraId="36CA4ED1" w14:textId="77777777" w:rsidR="00787570" w:rsidRDefault="00787570">
            <w:pPr>
              <w:rPr>
                <w:rFonts w:ascii="宋体"/>
              </w:rPr>
            </w:pPr>
          </w:p>
        </w:tc>
        <w:tc>
          <w:tcPr>
            <w:tcW w:w="20" w:type="dxa"/>
            <w:shd w:val="clear" w:color="auto" w:fill="auto"/>
          </w:tcPr>
          <w:p w14:paraId="36CA4ED2" w14:textId="77777777" w:rsidR="00787570" w:rsidRDefault="00787570">
            <w:pPr>
              <w:rPr>
                <w:rFonts w:ascii="宋体"/>
              </w:rPr>
            </w:pPr>
          </w:p>
        </w:tc>
        <w:tc>
          <w:tcPr>
            <w:tcW w:w="0" w:type="auto"/>
            <w:shd w:val="clear" w:color="auto" w:fill="auto"/>
          </w:tcPr>
          <w:p w14:paraId="36CA4ED3" w14:textId="77777777" w:rsidR="00787570" w:rsidRDefault="00787570">
            <w:pPr>
              <w:rPr>
                <w:rFonts w:ascii="宋体"/>
                <w:vanish/>
              </w:rPr>
            </w:pPr>
          </w:p>
        </w:tc>
        <w:tc>
          <w:tcPr>
            <w:tcW w:w="0" w:type="auto"/>
            <w:shd w:val="clear" w:color="auto" w:fill="auto"/>
          </w:tcPr>
          <w:p w14:paraId="36CA4ED4" w14:textId="77777777" w:rsidR="00787570" w:rsidRDefault="00787570">
            <w:pPr>
              <w:rPr>
                <w:rFonts w:ascii="宋体"/>
                <w:vanish/>
              </w:rPr>
            </w:pPr>
          </w:p>
        </w:tc>
      </w:tr>
      <w:tr w:rsidR="00787570" w14:paraId="36CA4EDB" w14:textId="77777777">
        <w:tc>
          <w:tcPr>
            <w:tcW w:w="0" w:type="auto"/>
            <w:gridSpan w:val="3"/>
            <w:tcBorders>
              <w:bottom w:val="single" w:sz="8" w:space="0" w:color="333333"/>
            </w:tcBorders>
            <w:shd w:val="clear" w:color="auto" w:fill="auto"/>
            <w:tcMar>
              <w:left w:w="20" w:type="dxa"/>
              <w:right w:w="20" w:type="dxa"/>
            </w:tcMar>
            <w:vAlign w:val="bottom"/>
          </w:tcPr>
          <w:p w14:paraId="36CA4ED6" w14:textId="77777777" w:rsidR="00787570" w:rsidRDefault="00787570">
            <w:pPr>
              <w:rPr>
                <w:rFonts w:ascii="宋体"/>
              </w:rPr>
            </w:pPr>
          </w:p>
        </w:tc>
        <w:tc>
          <w:tcPr>
            <w:tcW w:w="0" w:type="auto"/>
            <w:gridSpan w:val="6"/>
            <w:tcBorders>
              <w:bottom w:val="single" w:sz="8" w:space="0" w:color="333333"/>
            </w:tcBorders>
            <w:shd w:val="clear" w:color="auto" w:fill="auto"/>
            <w:tcMar>
              <w:top w:w="40" w:type="dxa"/>
              <w:left w:w="20" w:type="dxa"/>
              <w:bottom w:w="40" w:type="dxa"/>
              <w:right w:w="20" w:type="dxa"/>
            </w:tcMar>
            <w:vAlign w:val="center"/>
          </w:tcPr>
          <w:p w14:paraId="36CA4ED7" w14:textId="77777777" w:rsidR="00787570" w:rsidRDefault="000D56E2">
            <w:pPr>
              <w:jc w:val="center"/>
              <w:textAlignment w:val="center"/>
            </w:pPr>
            <w:r>
              <w:rPr>
                <w:rFonts w:ascii="Arial" w:eastAsia="宋体" w:hAnsi="Arial" w:cs="Arial"/>
                <w:b/>
                <w:bCs/>
                <w:color w:val="0071C5"/>
                <w:sz w:val="20"/>
                <w:szCs w:val="20"/>
              </w:rPr>
              <w:t>SEGMENT REVENUE WALK $B</w:t>
            </w:r>
          </w:p>
        </w:tc>
        <w:tc>
          <w:tcPr>
            <w:tcW w:w="0" w:type="auto"/>
            <w:shd w:val="clear" w:color="auto" w:fill="auto"/>
          </w:tcPr>
          <w:p w14:paraId="36CA4ED8" w14:textId="77777777" w:rsidR="00787570" w:rsidRDefault="00787570">
            <w:pPr>
              <w:rPr>
                <w:rFonts w:ascii="宋体"/>
                <w:vanish/>
              </w:rPr>
            </w:pPr>
          </w:p>
        </w:tc>
        <w:tc>
          <w:tcPr>
            <w:tcW w:w="0" w:type="auto"/>
            <w:shd w:val="clear" w:color="auto" w:fill="auto"/>
          </w:tcPr>
          <w:p w14:paraId="36CA4ED9" w14:textId="77777777" w:rsidR="00787570" w:rsidRDefault="00787570">
            <w:pPr>
              <w:rPr>
                <w:rFonts w:ascii="宋体"/>
                <w:vanish/>
              </w:rPr>
            </w:pPr>
          </w:p>
        </w:tc>
        <w:tc>
          <w:tcPr>
            <w:tcW w:w="0" w:type="auto"/>
            <w:gridSpan w:val="3"/>
            <w:shd w:val="clear" w:color="auto" w:fill="auto"/>
          </w:tcPr>
          <w:p w14:paraId="36CA4EDA" w14:textId="77777777" w:rsidR="00787570" w:rsidRDefault="00787570">
            <w:pPr>
              <w:rPr>
                <w:rFonts w:ascii="宋体"/>
                <w:vanish/>
              </w:rPr>
            </w:pPr>
          </w:p>
        </w:tc>
      </w:tr>
      <w:tr w:rsidR="00787570" w14:paraId="36CA4EE4" w14:textId="77777777">
        <w:trPr>
          <w:hidden/>
        </w:trPr>
        <w:tc>
          <w:tcPr>
            <w:tcW w:w="0" w:type="auto"/>
            <w:gridSpan w:val="3"/>
            <w:shd w:val="clear" w:color="auto" w:fill="auto"/>
          </w:tcPr>
          <w:p w14:paraId="36CA4EDC" w14:textId="77777777" w:rsidR="00787570" w:rsidRDefault="00787570">
            <w:pPr>
              <w:rPr>
                <w:rFonts w:ascii="宋体"/>
                <w:vanish/>
              </w:rPr>
            </w:pPr>
          </w:p>
        </w:tc>
        <w:tc>
          <w:tcPr>
            <w:tcW w:w="0" w:type="auto"/>
            <w:gridSpan w:val="3"/>
            <w:shd w:val="clear" w:color="auto" w:fill="auto"/>
          </w:tcPr>
          <w:p w14:paraId="36CA4EDD" w14:textId="77777777" w:rsidR="00787570" w:rsidRDefault="00787570">
            <w:pPr>
              <w:rPr>
                <w:rFonts w:ascii="宋体"/>
                <w:vanish/>
              </w:rPr>
            </w:pPr>
          </w:p>
        </w:tc>
        <w:tc>
          <w:tcPr>
            <w:tcW w:w="0" w:type="auto"/>
            <w:gridSpan w:val="3"/>
            <w:shd w:val="clear" w:color="auto" w:fill="auto"/>
          </w:tcPr>
          <w:p w14:paraId="36CA4EDE" w14:textId="77777777" w:rsidR="00787570" w:rsidRDefault="00787570">
            <w:pPr>
              <w:rPr>
                <w:rFonts w:ascii="宋体"/>
                <w:vanish/>
              </w:rPr>
            </w:pPr>
          </w:p>
        </w:tc>
        <w:tc>
          <w:tcPr>
            <w:tcW w:w="0" w:type="auto"/>
            <w:shd w:val="clear" w:color="auto" w:fill="auto"/>
          </w:tcPr>
          <w:p w14:paraId="36CA4EDF" w14:textId="77777777" w:rsidR="00787570" w:rsidRDefault="00787570">
            <w:pPr>
              <w:rPr>
                <w:rFonts w:ascii="宋体"/>
                <w:vanish/>
              </w:rPr>
            </w:pPr>
          </w:p>
        </w:tc>
        <w:tc>
          <w:tcPr>
            <w:tcW w:w="0" w:type="auto"/>
            <w:shd w:val="clear" w:color="auto" w:fill="auto"/>
          </w:tcPr>
          <w:p w14:paraId="36CA4EE0" w14:textId="77777777" w:rsidR="00787570" w:rsidRDefault="00787570">
            <w:pPr>
              <w:rPr>
                <w:rFonts w:ascii="宋体"/>
                <w:vanish/>
              </w:rPr>
            </w:pPr>
          </w:p>
        </w:tc>
        <w:tc>
          <w:tcPr>
            <w:tcW w:w="0" w:type="auto"/>
            <w:shd w:val="clear" w:color="auto" w:fill="auto"/>
          </w:tcPr>
          <w:p w14:paraId="36CA4EE1" w14:textId="77777777" w:rsidR="00787570" w:rsidRDefault="00787570">
            <w:pPr>
              <w:rPr>
                <w:rFonts w:ascii="宋体"/>
              </w:rPr>
            </w:pPr>
          </w:p>
        </w:tc>
        <w:tc>
          <w:tcPr>
            <w:tcW w:w="0" w:type="auto"/>
            <w:shd w:val="clear" w:color="auto" w:fill="auto"/>
          </w:tcPr>
          <w:p w14:paraId="36CA4EE2" w14:textId="77777777" w:rsidR="00787570" w:rsidRDefault="00787570">
            <w:pPr>
              <w:rPr>
                <w:rFonts w:ascii="宋体"/>
              </w:rPr>
            </w:pPr>
          </w:p>
        </w:tc>
        <w:tc>
          <w:tcPr>
            <w:tcW w:w="0" w:type="auto"/>
            <w:shd w:val="clear" w:color="auto" w:fill="auto"/>
          </w:tcPr>
          <w:p w14:paraId="36CA4EE3" w14:textId="77777777" w:rsidR="00787570" w:rsidRDefault="00787570">
            <w:pPr>
              <w:rPr>
                <w:rFonts w:ascii="宋体"/>
              </w:rPr>
            </w:pPr>
          </w:p>
        </w:tc>
      </w:tr>
    </w:tbl>
    <w:p w14:paraId="36CA4EE5" w14:textId="77777777" w:rsidR="00787570" w:rsidRDefault="000D56E2">
      <w:pPr>
        <w:spacing w:after="180"/>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Viewer9_files/intc-20200926_g17.jpg"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36CA5C65" wp14:editId="36CA5C66">
            <wp:extent cx="304800" cy="304800"/>
            <wp:effectExtent l="0" t="0" r="0" b="0"/>
            <wp:docPr id="80" name="图片 121" descr="IMG_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121" descr="IMG_306"/>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/INTEL/./Inline XBRL Viewer9_files/intc-20200</w:instrText>
      </w:r>
      <w:r>
        <w:rPr>
          <w:rFonts w:ascii="宋体" w:eastAsia="宋体" w:hAnsi="宋体" w:cs="宋体"/>
        </w:rPr>
        <w:instrText xml:space="preserve">926_g18.jpg"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36CA5C67" wp14:editId="36CA5C68">
            <wp:extent cx="304800" cy="304800"/>
            <wp:effectExtent l="0" t="0" r="0" b="0"/>
            <wp:docPr id="81" name="图片 122" descr="IMG_3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122" descr="IMG_307"/>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p w14:paraId="36CA4EE6" w14:textId="77777777" w:rsidR="00787570" w:rsidRDefault="000D56E2">
      <w:pPr>
        <w:spacing w:after="120"/>
      </w:pPr>
      <w:r>
        <w:rPr>
          <w:rFonts w:ascii="Arial" w:eastAsia="宋体" w:hAnsi="Arial" w:cs="Arial"/>
          <w:b/>
          <w:bCs/>
          <w:color w:val="333333"/>
          <w:sz w:val="20"/>
          <w:szCs w:val="20"/>
        </w:rPr>
        <w:t xml:space="preserve">Q3 2020 vs. Q3 2019 </w:t>
      </w:r>
    </w:p>
    <w:p w14:paraId="36CA4EE7" w14:textId="77777777" w:rsidR="00787570" w:rsidRDefault="000D56E2">
      <w:pPr>
        <w:spacing w:after="180"/>
      </w:pPr>
      <w:r>
        <w:rPr>
          <w:rFonts w:ascii="Arial" w:eastAsia="宋体" w:hAnsi="Arial" w:cs="Arial"/>
          <w:color w:val="333333"/>
          <w:sz w:val="18"/>
          <w:szCs w:val="18"/>
        </w:rPr>
        <w:t xml:space="preserve">Our Q3 2020 revenue was $18.3 billion, down $857 million or 4% from Q3 2019, primarily due to COVID-related demand impacts on the DCG enterprise and government market segment, IOTG, and NSG. Our data-centric businesses were collectively down 10% year over </w:t>
      </w:r>
      <w:r>
        <w:rPr>
          <w:rFonts w:ascii="Arial" w:eastAsia="宋体" w:hAnsi="Arial" w:cs="Arial"/>
          <w:color w:val="333333"/>
          <w:sz w:val="18"/>
          <w:szCs w:val="18"/>
        </w:rPr>
        <w:t>year driven by lower DCG ASPs on higher SoC volume and mix shift from the enterprise and government market segment to cloud service providers, partially offset by higher DCG platform volume overall. Our PC-centric business was up 1% year over year driven b</w:t>
      </w:r>
      <w:r>
        <w:rPr>
          <w:rFonts w:ascii="Arial" w:eastAsia="宋体" w:hAnsi="Arial" w:cs="Arial"/>
          <w:color w:val="333333"/>
          <w:sz w:val="18"/>
          <w:szCs w:val="18"/>
        </w:rPr>
        <w:t xml:space="preserve">y strength in notebook demand, partially offset by lower desktop demand, lower notebook ASPs resulting from higher demand for consumer and education PCs, and LTE modem volume decline. </w:t>
      </w:r>
    </w:p>
    <w:p w14:paraId="36CA4EE8" w14:textId="77777777" w:rsidR="00787570" w:rsidRDefault="000D56E2">
      <w:pPr>
        <w:spacing w:after="120"/>
      </w:pPr>
      <w:r>
        <w:rPr>
          <w:rFonts w:ascii="Arial" w:eastAsia="宋体" w:hAnsi="Arial" w:cs="Arial"/>
          <w:b/>
          <w:bCs/>
          <w:color w:val="333333"/>
          <w:sz w:val="20"/>
          <w:szCs w:val="20"/>
        </w:rPr>
        <w:t>YTD 2020 vs. YTD 2019</w:t>
      </w:r>
    </w:p>
    <w:p w14:paraId="36CA4EE9" w14:textId="77777777" w:rsidR="00787570" w:rsidRDefault="000D56E2">
      <w:pPr>
        <w:spacing w:after="180"/>
      </w:pPr>
      <w:r>
        <w:rPr>
          <w:rFonts w:ascii="Arial" w:eastAsia="宋体" w:hAnsi="Arial" w:cs="Arial"/>
          <w:color w:val="333333"/>
          <w:sz w:val="18"/>
          <w:szCs w:val="18"/>
        </w:rPr>
        <w:t>Our YTD 2020 revenue was $57.9 billion, up $6.1 b</w:t>
      </w:r>
      <w:r>
        <w:rPr>
          <w:rFonts w:ascii="Arial" w:eastAsia="宋体" w:hAnsi="Arial" w:cs="Arial"/>
          <w:color w:val="333333"/>
          <w:sz w:val="18"/>
          <w:szCs w:val="18"/>
        </w:rPr>
        <w:t xml:space="preserve">illion or 12% from YTD 2019. Our data-centric businesses were collectively up 17% due to increased platform volume as cloud service providers increased capacity to serve customer demand, and growth in DCG adjacencies driven by 5G networking deployment. We </w:t>
      </w:r>
      <w:r>
        <w:rPr>
          <w:rFonts w:ascii="Arial" w:eastAsia="宋体" w:hAnsi="Arial" w:cs="Arial"/>
          <w:color w:val="333333"/>
          <w:sz w:val="18"/>
          <w:szCs w:val="18"/>
        </w:rPr>
        <w:t>also saw NSG bit growth and improved NAND pricing, partially offset by weaker demand in IOTG platform products due to COVID-19. Our PC-centric business was up 7% driven by strength in notebook demand and higher LTE modem and Wi-Fi sales, slightly offset by</w:t>
      </w:r>
      <w:r>
        <w:rPr>
          <w:rFonts w:ascii="Arial" w:eastAsia="宋体" w:hAnsi="Arial" w:cs="Arial"/>
          <w:color w:val="333333"/>
          <w:sz w:val="18"/>
          <w:szCs w:val="18"/>
        </w:rPr>
        <w:t xml:space="preserve"> lower desktop demand and lower notebook ASPs resulting from higher demand for consumer and education PCs.</w:t>
      </w:r>
    </w:p>
    <w:p w14:paraId="36CA4EEA" w14:textId="77777777" w:rsidR="00787570" w:rsidRDefault="00787570">
      <w:pPr>
        <w:spacing w:before="300" w:after="180"/>
      </w:pPr>
    </w:p>
    <w:p w14:paraId="36CA4EEB" w14:textId="77777777" w:rsidR="00787570" w:rsidRDefault="00787570">
      <w:pPr>
        <w:spacing w:after="180"/>
      </w:pPr>
    </w:p>
    <w:p w14:paraId="36CA4EEC" w14:textId="77777777" w:rsidR="00787570" w:rsidRDefault="00787570">
      <w:pPr>
        <w:spacing w:after="180"/>
      </w:pPr>
    </w:p>
    <w:p w14:paraId="36CA4EED" w14:textId="77777777" w:rsidR="00787570" w:rsidRDefault="00787570">
      <w:pPr>
        <w:spacing w:after="180"/>
      </w:pPr>
    </w:p>
    <w:p w14:paraId="36CA4EEE" w14:textId="77777777" w:rsidR="00787570" w:rsidRDefault="00787570">
      <w:pPr>
        <w:spacing w:after="180"/>
      </w:pPr>
    </w:p>
    <w:p w14:paraId="36CA4EEF" w14:textId="77777777" w:rsidR="00787570" w:rsidRDefault="00787570">
      <w:pPr>
        <w:spacing w:after="180"/>
      </w:pPr>
    </w:p>
    <w:p w14:paraId="36CA4EF0" w14:textId="77777777" w:rsidR="00787570" w:rsidRDefault="00787570">
      <w:pPr>
        <w:spacing w:after="180"/>
      </w:pPr>
    </w:p>
    <w:p w14:paraId="36CA4EF1" w14:textId="77777777" w:rsidR="00787570" w:rsidRDefault="00787570">
      <w:pPr>
        <w:spacing w:after="180"/>
      </w:pPr>
    </w:p>
    <w:p w14:paraId="36CA4EF2" w14:textId="77777777" w:rsidR="00787570" w:rsidRDefault="00787570">
      <w:pPr>
        <w:spacing w:after="180"/>
      </w:pPr>
    </w:p>
    <w:p w14:paraId="36CA4EF3" w14:textId="77777777" w:rsidR="00787570" w:rsidRDefault="00787570">
      <w:pPr>
        <w:spacing w:after="180"/>
      </w:pPr>
    </w:p>
    <w:p w14:paraId="36CA4EF4" w14:textId="77777777" w:rsidR="00787570" w:rsidRDefault="00787570">
      <w:pPr>
        <w:spacing w:after="180"/>
      </w:pPr>
    </w:p>
    <w:p w14:paraId="36CA4EF5" w14:textId="77777777" w:rsidR="00787570" w:rsidRDefault="00787570">
      <w:pPr>
        <w:spacing w:after="180"/>
      </w:pPr>
    </w:p>
    <w:p w14:paraId="36CA4EF6" w14:textId="77777777" w:rsidR="00787570" w:rsidRDefault="00787570">
      <w:pPr>
        <w:spacing w:after="180"/>
      </w:pPr>
    </w:p>
    <w:p w14:paraId="36CA4EF7" w14:textId="77777777" w:rsidR="00787570" w:rsidRDefault="00787570">
      <w:pPr>
        <w:spacing w:after="180"/>
      </w:pPr>
    </w:p>
    <w:p w14:paraId="36CA4EF8" w14:textId="77777777" w:rsidR="00787570" w:rsidRDefault="00787570">
      <w:pPr>
        <w:spacing w:after="180"/>
      </w:pPr>
    </w:p>
    <w:p w14:paraId="36CA4EF9" w14:textId="77777777" w:rsidR="00787570" w:rsidRDefault="00787570">
      <w:pPr>
        <w:spacing w:after="180"/>
      </w:pPr>
    </w:p>
    <w:p w14:paraId="36CA4EFA" w14:textId="77777777" w:rsidR="00787570" w:rsidRDefault="00787570">
      <w:pPr>
        <w:spacing w:after="180"/>
      </w:pPr>
    </w:p>
    <w:p w14:paraId="36CA4EFB" w14:textId="77777777" w:rsidR="00787570" w:rsidRDefault="00787570">
      <w:pPr>
        <w:spacing w:after="180"/>
      </w:pPr>
    </w:p>
    <w:tbl>
      <w:tblPr>
        <w:tblW w:w="5000" w:type="pct"/>
        <w:tblCellMar>
          <w:top w:w="15" w:type="dxa"/>
          <w:left w:w="15" w:type="dxa"/>
          <w:bottom w:w="15" w:type="dxa"/>
          <w:right w:w="15" w:type="dxa"/>
        </w:tblCellMar>
        <w:tblLook w:val="04A0" w:firstRow="1" w:lastRow="0" w:firstColumn="1" w:lastColumn="0" w:noHBand="0" w:noVBand="1"/>
      </w:tblPr>
      <w:tblGrid>
        <w:gridCol w:w="95"/>
        <w:gridCol w:w="416"/>
        <w:gridCol w:w="36"/>
        <w:gridCol w:w="47"/>
        <w:gridCol w:w="4254"/>
        <w:gridCol w:w="36"/>
        <w:gridCol w:w="47"/>
        <w:gridCol w:w="3369"/>
        <w:gridCol w:w="36"/>
      </w:tblGrid>
      <w:tr w:rsidR="00787570" w14:paraId="36CA4F05" w14:textId="77777777">
        <w:tc>
          <w:tcPr>
            <w:tcW w:w="50" w:type="pct"/>
            <w:shd w:val="clear" w:color="auto" w:fill="auto"/>
            <w:vAlign w:val="bottom"/>
          </w:tcPr>
          <w:p w14:paraId="36CA4EFC" w14:textId="77777777" w:rsidR="00787570" w:rsidRDefault="00787570">
            <w:pPr>
              <w:rPr>
                <w:rFonts w:ascii="宋体"/>
              </w:rPr>
            </w:pPr>
          </w:p>
        </w:tc>
        <w:tc>
          <w:tcPr>
            <w:tcW w:w="220" w:type="pct"/>
            <w:shd w:val="clear" w:color="auto" w:fill="auto"/>
            <w:vAlign w:val="bottom"/>
          </w:tcPr>
          <w:p w14:paraId="36CA4EFD" w14:textId="77777777" w:rsidR="00787570" w:rsidRDefault="00787570">
            <w:pPr>
              <w:rPr>
                <w:rFonts w:ascii="宋体"/>
              </w:rPr>
            </w:pPr>
          </w:p>
        </w:tc>
        <w:tc>
          <w:tcPr>
            <w:tcW w:w="5" w:type="pct"/>
            <w:shd w:val="clear" w:color="auto" w:fill="auto"/>
            <w:vAlign w:val="bottom"/>
          </w:tcPr>
          <w:p w14:paraId="36CA4EFE" w14:textId="77777777" w:rsidR="00787570" w:rsidRDefault="00787570">
            <w:pPr>
              <w:rPr>
                <w:rFonts w:ascii="宋体"/>
              </w:rPr>
            </w:pPr>
          </w:p>
        </w:tc>
        <w:tc>
          <w:tcPr>
            <w:tcW w:w="50" w:type="pct"/>
            <w:shd w:val="clear" w:color="auto" w:fill="auto"/>
            <w:vAlign w:val="bottom"/>
          </w:tcPr>
          <w:p w14:paraId="36CA4EFF" w14:textId="77777777" w:rsidR="00787570" w:rsidRDefault="00787570">
            <w:pPr>
              <w:rPr>
                <w:rFonts w:ascii="宋体"/>
              </w:rPr>
            </w:pPr>
          </w:p>
        </w:tc>
        <w:tc>
          <w:tcPr>
            <w:tcW w:w="2572" w:type="pct"/>
            <w:shd w:val="clear" w:color="auto" w:fill="auto"/>
            <w:vAlign w:val="bottom"/>
          </w:tcPr>
          <w:p w14:paraId="36CA4F00" w14:textId="77777777" w:rsidR="00787570" w:rsidRDefault="00787570">
            <w:pPr>
              <w:rPr>
                <w:rFonts w:ascii="宋体"/>
              </w:rPr>
            </w:pPr>
          </w:p>
        </w:tc>
        <w:tc>
          <w:tcPr>
            <w:tcW w:w="5" w:type="pct"/>
            <w:shd w:val="clear" w:color="auto" w:fill="auto"/>
            <w:vAlign w:val="bottom"/>
          </w:tcPr>
          <w:p w14:paraId="36CA4F01" w14:textId="77777777" w:rsidR="00787570" w:rsidRDefault="00787570">
            <w:pPr>
              <w:rPr>
                <w:rFonts w:ascii="宋体"/>
              </w:rPr>
            </w:pPr>
          </w:p>
        </w:tc>
        <w:tc>
          <w:tcPr>
            <w:tcW w:w="50" w:type="pct"/>
            <w:shd w:val="clear" w:color="auto" w:fill="auto"/>
            <w:vAlign w:val="bottom"/>
          </w:tcPr>
          <w:p w14:paraId="36CA4F02" w14:textId="77777777" w:rsidR="00787570" w:rsidRDefault="00787570">
            <w:pPr>
              <w:rPr>
                <w:rFonts w:ascii="宋体"/>
              </w:rPr>
            </w:pPr>
          </w:p>
        </w:tc>
        <w:tc>
          <w:tcPr>
            <w:tcW w:w="2042" w:type="pct"/>
            <w:shd w:val="clear" w:color="auto" w:fill="auto"/>
            <w:vAlign w:val="bottom"/>
          </w:tcPr>
          <w:p w14:paraId="36CA4F03" w14:textId="77777777" w:rsidR="00787570" w:rsidRDefault="00787570">
            <w:pPr>
              <w:rPr>
                <w:rFonts w:ascii="宋体"/>
              </w:rPr>
            </w:pPr>
          </w:p>
        </w:tc>
        <w:tc>
          <w:tcPr>
            <w:tcW w:w="5" w:type="pct"/>
            <w:shd w:val="clear" w:color="auto" w:fill="auto"/>
            <w:vAlign w:val="bottom"/>
          </w:tcPr>
          <w:p w14:paraId="36CA4F04" w14:textId="77777777" w:rsidR="00787570" w:rsidRDefault="00787570">
            <w:pPr>
              <w:rPr>
                <w:rFonts w:ascii="宋体"/>
              </w:rPr>
            </w:pPr>
          </w:p>
        </w:tc>
      </w:tr>
      <w:tr w:rsidR="00787570" w14:paraId="36CA4F09" w14:textId="77777777">
        <w:tc>
          <w:tcPr>
            <w:tcW w:w="0" w:type="auto"/>
            <w:gridSpan w:val="3"/>
            <w:tcBorders>
              <w:top w:val="single" w:sz="8" w:space="0" w:color="0071C5"/>
            </w:tcBorders>
            <w:shd w:val="clear" w:color="auto" w:fill="auto"/>
            <w:tcMar>
              <w:left w:w="20" w:type="dxa"/>
              <w:right w:w="20" w:type="dxa"/>
            </w:tcMar>
            <w:vAlign w:val="center"/>
          </w:tcPr>
          <w:p w14:paraId="36CA4F06" w14:textId="77777777" w:rsidR="00787570" w:rsidRDefault="000D56E2">
            <w:pPr>
              <w:textAlignment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Viewer9_files/intc-20200926_g2.jpg"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36CA5C69" wp14:editId="36CA5C6A">
                  <wp:extent cx="304800" cy="304800"/>
                  <wp:effectExtent l="0" t="0" r="0" b="0"/>
                  <wp:docPr id="44" name="图片 123" descr="IMG_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123" descr="IMG_329"/>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8" w:space="0" w:color="0071C5"/>
            </w:tcBorders>
            <w:shd w:val="clear" w:color="auto" w:fill="auto"/>
            <w:tcMar>
              <w:top w:w="40" w:type="dxa"/>
              <w:left w:w="20" w:type="dxa"/>
              <w:bottom w:w="40" w:type="dxa"/>
              <w:right w:w="20" w:type="dxa"/>
            </w:tcMar>
            <w:vAlign w:val="center"/>
          </w:tcPr>
          <w:p w14:paraId="36CA4F07" w14:textId="77777777" w:rsidR="00787570" w:rsidRDefault="000D56E2">
            <w:pPr>
              <w:textAlignment w:val="center"/>
            </w:pPr>
            <w:r>
              <w:rPr>
                <w:rFonts w:ascii="Arial" w:eastAsia="宋体" w:hAnsi="Arial" w:cs="Arial"/>
                <w:color w:val="333333"/>
                <w:sz w:val="16"/>
                <w:szCs w:val="16"/>
              </w:rPr>
              <w:t>MD&amp;A</w:t>
            </w:r>
          </w:p>
        </w:tc>
        <w:tc>
          <w:tcPr>
            <w:tcW w:w="0" w:type="auto"/>
            <w:gridSpan w:val="3"/>
            <w:tcBorders>
              <w:top w:val="single" w:sz="8" w:space="0" w:color="0071C5"/>
            </w:tcBorders>
            <w:shd w:val="clear" w:color="auto" w:fill="auto"/>
            <w:tcMar>
              <w:top w:w="40" w:type="dxa"/>
              <w:left w:w="20" w:type="dxa"/>
              <w:bottom w:w="40" w:type="dxa"/>
              <w:right w:w="20" w:type="dxa"/>
            </w:tcMar>
            <w:vAlign w:val="center"/>
          </w:tcPr>
          <w:p w14:paraId="36CA4F08" w14:textId="77777777" w:rsidR="00787570" w:rsidRDefault="000D56E2">
            <w:pPr>
              <w:jc w:val="right"/>
              <w:textAlignment w:val="center"/>
            </w:pPr>
            <w:r>
              <w:rPr>
                <w:rFonts w:ascii="Arial" w:eastAsia="宋体" w:hAnsi="Arial" w:cs="Arial"/>
                <w:color w:val="333333"/>
                <w:sz w:val="16"/>
                <w:szCs w:val="16"/>
              </w:rPr>
              <w:t>36</w:t>
            </w:r>
          </w:p>
        </w:tc>
      </w:tr>
    </w:tbl>
    <w:p w14:paraId="36CA4F0A" w14:textId="77777777" w:rsidR="00787570" w:rsidRDefault="000D56E2">
      <w:r>
        <w:pict w14:anchorId="36CA5C6B">
          <v:rect id="_x0000_i1062" style="width:415.3pt;height:1.5pt" o:hralign="center" o:hrstd="t" o:hr="t" fillcolor="#a0a0a0" stroked="f"/>
        </w:pict>
      </w:r>
    </w:p>
    <w:p w14:paraId="36CA4F0B" w14:textId="77777777" w:rsidR="00787570" w:rsidRDefault="000D56E2">
      <w:pPr>
        <w:spacing w:after="180"/>
        <w:jc w:val="right"/>
      </w:pPr>
      <w:hyperlink r:id="rId64" w:anchor="i32771df14e9449d2bec5be911426bf04_7" w:history="1">
        <w:r>
          <w:rPr>
            <w:rStyle w:val="a5"/>
            <w:rFonts w:ascii="Arial" w:eastAsia="宋体" w:hAnsi="Arial" w:cs="Arial"/>
            <w:b/>
            <w:bCs/>
            <w:sz w:val="16"/>
            <w:szCs w:val="16"/>
          </w:rPr>
          <w:t>Table of Contents</w:t>
        </w:r>
      </w:hyperlink>
    </w:p>
    <w:p w14:paraId="36CA4F0C" w14:textId="77777777" w:rsidR="00787570" w:rsidRDefault="00787570">
      <w:pPr>
        <w:spacing w:after="180"/>
        <w:jc w:val="right"/>
      </w:pPr>
    </w:p>
    <w:p w14:paraId="36CA4F0D" w14:textId="77777777" w:rsidR="00787570" w:rsidRDefault="00787570">
      <w:pPr>
        <w:spacing w:after="180"/>
      </w:pPr>
    </w:p>
    <w:p w14:paraId="36CA4F0E" w14:textId="77777777" w:rsidR="00787570" w:rsidRDefault="000D56E2">
      <w:pPr>
        <w:spacing w:after="180"/>
      </w:pPr>
      <w:r>
        <w:rPr>
          <w:rFonts w:ascii="Arial" w:eastAsia="宋体" w:hAnsi="Arial" w:cs="Arial"/>
          <w:b/>
          <w:bCs/>
          <w:color w:val="0071C5"/>
          <w:sz w:val="28"/>
          <w:szCs w:val="28"/>
        </w:rPr>
        <w:t>GROSS MARGIN</w:t>
      </w:r>
    </w:p>
    <w:p w14:paraId="36CA4F0F" w14:textId="77777777" w:rsidR="00787570" w:rsidRDefault="000D56E2">
      <w:pPr>
        <w:spacing w:after="180"/>
      </w:pPr>
      <w:r>
        <w:rPr>
          <w:rFonts w:ascii="Arial" w:eastAsia="宋体" w:hAnsi="Arial" w:cs="Arial"/>
          <w:color w:val="333333"/>
          <w:sz w:val="18"/>
          <w:szCs w:val="18"/>
        </w:rPr>
        <w:t xml:space="preserve">We derived most of our overall gross margin from the sale of </w:t>
      </w:r>
      <w:r>
        <w:rPr>
          <w:rFonts w:ascii="Arial" w:eastAsia="宋体" w:hAnsi="Arial" w:cs="Arial"/>
          <w:color w:val="333333"/>
          <w:sz w:val="18"/>
          <w:szCs w:val="18"/>
        </w:rPr>
        <w:t>platform products in the DCG and CCG operating segments. Our overall gross margin dollars in Q3 2020 decreased by $1.6 billion, or 14% compared to Q3 2019. Our YTD gross margin percentage was down as the increase in YTD platform revenue was offset by highe</w:t>
      </w:r>
      <w:r>
        <w:rPr>
          <w:rFonts w:ascii="Arial" w:eastAsia="宋体" w:hAnsi="Arial" w:cs="Arial"/>
          <w:color w:val="333333"/>
          <w:sz w:val="18"/>
          <w:szCs w:val="18"/>
        </w:rPr>
        <w:t>r platform unit cost, platform reserves and a higher proportion of our revenue from lower margin adjacent businesses.</w:t>
      </w:r>
    </w:p>
    <w:tbl>
      <w:tblPr>
        <w:tblW w:w="10980" w:type="dxa"/>
        <w:tblCellMar>
          <w:top w:w="15" w:type="dxa"/>
          <w:left w:w="15" w:type="dxa"/>
          <w:bottom w:w="15" w:type="dxa"/>
          <w:right w:w="15" w:type="dxa"/>
        </w:tblCellMar>
        <w:tblLook w:val="04A0" w:firstRow="1" w:lastRow="0" w:firstColumn="1" w:lastColumn="0" w:noHBand="0" w:noVBand="1"/>
      </w:tblPr>
      <w:tblGrid>
        <w:gridCol w:w="36"/>
        <w:gridCol w:w="10908"/>
        <w:gridCol w:w="36"/>
      </w:tblGrid>
      <w:tr w:rsidR="00787570" w14:paraId="36CA4F13" w14:textId="77777777">
        <w:tc>
          <w:tcPr>
            <w:tcW w:w="20" w:type="dxa"/>
            <w:shd w:val="clear" w:color="auto" w:fill="auto"/>
          </w:tcPr>
          <w:p w14:paraId="36CA4F10" w14:textId="77777777" w:rsidR="00787570" w:rsidRDefault="00787570">
            <w:pPr>
              <w:rPr>
                <w:rFonts w:ascii="宋体"/>
              </w:rPr>
            </w:pPr>
          </w:p>
        </w:tc>
        <w:tc>
          <w:tcPr>
            <w:tcW w:w="10940" w:type="dxa"/>
            <w:shd w:val="clear" w:color="auto" w:fill="auto"/>
          </w:tcPr>
          <w:p w14:paraId="36CA4F11" w14:textId="77777777" w:rsidR="00787570" w:rsidRDefault="00787570">
            <w:pPr>
              <w:rPr>
                <w:rFonts w:ascii="宋体"/>
              </w:rPr>
            </w:pPr>
          </w:p>
        </w:tc>
        <w:tc>
          <w:tcPr>
            <w:tcW w:w="20" w:type="dxa"/>
            <w:shd w:val="clear" w:color="auto" w:fill="auto"/>
          </w:tcPr>
          <w:p w14:paraId="36CA4F12" w14:textId="77777777" w:rsidR="00787570" w:rsidRDefault="00787570">
            <w:pPr>
              <w:rPr>
                <w:rFonts w:ascii="宋体"/>
              </w:rPr>
            </w:pPr>
          </w:p>
        </w:tc>
      </w:tr>
      <w:tr w:rsidR="00787570" w14:paraId="36CA4F15" w14:textId="77777777">
        <w:tc>
          <w:tcPr>
            <w:tcW w:w="0" w:type="auto"/>
            <w:gridSpan w:val="3"/>
            <w:tcBorders>
              <w:bottom w:val="single" w:sz="8" w:space="0" w:color="333333"/>
            </w:tcBorders>
            <w:shd w:val="clear" w:color="auto" w:fill="auto"/>
            <w:tcMar>
              <w:top w:w="40" w:type="dxa"/>
              <w:left w:w="20" w:type="dxa"/>
              <w:bottom w:w="40" w:type="dxa"/>
              <w:right w:w="20" w:type="dxa"/>
            </w:tcMar>
            <w:vAlign w:val="bottom"/>
          </w:tcPr>
          <w:p w14:paraId="36CA4F14" w14:textId="77777777" w:rsidR="00787570" w:rsidRDefault="000D56E2">
            <w:pPr>
              <w:jc w:val="center"/>
              <w:textAlignment w:val="bottom"/>
            </w:pPr>
            <w:r>
              <w:rPr>
                <w:rFonts w:ascii="Arial" w:eastAsia="宋体" w:hAnsi="Arial" w:cs="Arial"/>
                <w:b/>
                <w:bCs/>
                <w:color w:val="0071C5"/>
                <w:sz w:val="20"/>
                <w:szCs w:val="20"/>
              </w:rPr>
              <w:t>GROSS MARGIN $B</w:t>
            </w:r>
          </w:p>
        </w:tc>
      </w:tr>
      <w:tr w:rsidR="00787570" w14:paraId="36CA4F17" w14:textId="77777777">
        <w:trPr>
          <w:hidden/>
        </w:trPr>
        <w:tc>
          <w:tcPr>
            <w:tcW w:w="0" w:type="auto"/>
            <w:gridSpan w:val="3"/>
            <w:shd w:val="clear" w:color="auto" w:fill="auto"/>
          </w:tcPr>
          <w:p w14:paraId="36CA4F16" w14:textId="77777777" w:rsidR="00787570" w:rsidRDefault="00787570">
            <w:pPr>
              <w:rPr>
                <w:rFonts w:ascii="宋体"/>
                <w:vanish/>
              </w:rPr>
            </w:pPr>
          </w:p>
        </w:tc>
      </w:tr>
    </w:tbl>
    <w:p w14:paraId="36CA4F18" w14:textId="77777777" w:rsidR="00787570" w:rsidRDefault="000D56E2">
      <w:pPr>
        <w:spacing w:after="60"/>
      </w:pPr>
      <w:r>
        <w:rPr>
          <w:rFonts w:ascii="Arial" w:eastAsia="宋体" w:hAnsi="Arial" w:cs="Arial"/>
          <w:color w:val="333333"/>
          <w:sz w:val="18"/>
          <w:szCs w:val="18"/>
        </w:rPr>
        <w:t>    (Percentages in chart indicate gross margin as a percentage of total revenue)</w:t>
      </w:r>
    </w:p>
    <w:p w14:paraId="36CA4F19" w14:textId="77777777" w:rsidR="00787570" w:rsidRDefault="000D56E2">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Viewer9_files/intc-20200926_g19.jpg"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36CA5C6C" wp14:editId="36CA5C6D">
            <wp:extent cx="304800" cy="304800"/>
            <wp:effectExtent l="0" t="0" r="0" b="0"/>
            <wp:docPr id="45" name="图片 125" descr="IMG_3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125" descr="IMG_309"/>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/INTEL/./Inline XBRL Viewer9_files/intc-20200</w:instrText>
      </w:r>
      <w:r>
        <w:rPr>
          <w:rFonts w:ascii="宋体" w:eastAsia="宋体" w:hAnsi="宋体" w:cs="宋体"/>
        </w:rPr>
        <w:instrText xml:space="preserve">926_g20.jpg"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36CA5C6E" wp14:editId="36CA5C6F">
            <wp:extent cx="304800" cy="304800"/>
            <wp:effectExtent l="0" t="0" r="0" b="0"/>
            <wp:docPr id="46" name="图片 126" descr="IMG_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126" descr="IMG_310"/>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bl>
      <w:tblPr>
        <w:tblW w:w="5000" w:type="pct"/>
        <w:tblCellMar>
          <w:top w:w="15" w:type="dxa"/>
          <w:left w:w="15" w:type="dxa"/>
          <w:bottom w:w="15" w:type="dxa"/>
          <w:right w:w="15" w:type="dxa"/>
        </w:tblCellMar>
        <w:tblLook w:val="04A0" w:firstRow="1" w:lastRow="0" w:firstColumn="1" w:lastColumn="0" w:noHBand="0" w:noVBand="1"/>
      </w:tblPr>
      <w:tblGrid>
        <w:gridCol w:w="136"/>
        <w:gridCol w:w="856"/>
        <w:gridCol w:w="41"/>
        <w:gridCol w:w="36"/>
        <w:gridCol w:w="36"/>
        <w:gridCol w:w="36"/>
        <w:gridCol w:w="39"/>
        <w:gridCol w:w="7118"/>
        <w:gridCol w:w="38"/>
      </w:tblGrid>
      <w:tr w:rsidR="00787570" w14:paraId="36CA4F23" w14:textId="77777777">
        <w:tc>
          <w:tcPr>
            <w:tcW w:w="50" w:type="pct"/>
            <w:shd w:val="clear" w:color="auto" w:fill="auto"/>
          </w:tcPr>
          <w:p w14:paraId="36CA4F1A" w14:textId="77777777" w:rsidR="00787570" w:rsidRDefault="00787570">
            <w:pPr>
              <w:rPr>
                <w:rFonts w:ascii="宋体"/>
              </w:rPr>
            </w:pPr>
          </w:p>
        </w:tc>
        <w:tc>
          <w:tcPr>
            <w:tcW w:w="539" w:type="pct"/>
            <w:shd w:val="clear" w:color="auto" w:fill="auto"/>
          </w:tcPr>
          <w:p w14:paraId="36CA4F1B" w14:textId="77777777" w:rsidR="00787570" w:rsidRDefault="00787570">
            <w:pPr>
              <w:rPr>
                <w:rFonts w:ascii="宋体"/>
              </w:rPr>
            </w:pPr>
          </w:p>
        </w:tc>
        <w:tc>
          <w:tcPr>
            <w:tcW w:w="5" w:type="pct"/>
            <w:shd w:val="clear" w:color="auto" w:fill="auto"/>
          </w:tcPr>
          <w:p w14:paraId="36CA4F1C" w14:textId="77777777" w:rsidR="00787570" w:rsidRDefault="00787570">
            <w:pPr>
              <w:rPr>
                <w:rFonts w:ascii="宋体"/>
              </w:rPr>
            </w:pPr>
          </w:p>
        </w:tc>
        <w:tc>
          <w:tcPr>
            <w:tcW w:w="5" w:type="pct"/>
            <w:shd w:val="clear" w:color="auto" w:fill="auto"/>
          </w:tcPr>
          <w:p w14:paraId="36CA4F1D" w14:textId="77777777" w:rsidR="00787570" w:rsidRDefault="00787570">
            <w:pPr>
              <w:rPr>
                <w:rFonts w:ascii="宋体"/>
              </w:rPr>
            </w:pPr>
          </w:p>
        </w:tc>
        <w:tc>
          <w:tcPr>
            <w:tcW w:w="24" w:type="pct"/>
            <w:shd w:val="clear" w:color="auto" w:fill="auto"/>
          </w:tcPr>
          <w:p w14:paraId="36CA4F1E" w14:textId="77777777" w:rsidR="00787570" w:rsidRDefault="00787570">
            <w:pPr>
              <w:rPr>
                <w:rFonts w:ascii="宋体"/>
              </w:rPr>
            </w:pPr>
          </w:p>
        </w:tc>
        <w:tc>
          <w:tcPr>
            <w:tcW w:w="5" w:type="pct"/>
            <w:shd w:val="clear" w:color="auto" w:fill="auto"/>
          </w:tcPr>
          <w:p w14:paraId="36CA4F1F" w14:textId="77777777" w:rsidR="00787570" w:rsidRDefault="00787570">
            <w:pPr>
              <w:rPr>
                <w:rFonts w:ascii="宋体"/>
              </w:rPr>
            </w:pPr>
          </w:p>
        </w:tc>
        <w:tc>
          <w:tcPr>
            <w:tcW w:w="50" w:type="pct"/>
            <w:shd w:val="clear" w:color="auto" w:fill="auto"/>
          </w:tcPr>
          <w:p w14:paraId="36CA4F20" w14:textId="77777777" w:rsidR="00787570" w:rsidRDefault="00787570">
            <w:pPr>
              <w:rPr>
                <w:rFonts w:ascii="宋体"/>
              </w:rPr>
            </w:pPr>
          </w:p>
        </w:tc>
        <w:tc>
          <w:tcPr>
            <w:tcW w:w="4316" w:type="pct"/>
            <w:shd w:val="clear" w:color="auto" w:fill="auto"/>
          </w:tcPr>
          <w:p w14:paraId="36CA4F21" w14:textId="77777777" w:rsidR="00787570" w:rsidRDefault="00787570">
            <w:pPr>
              <w:rPr>
                <w:rFonts w:ascii="宋体"/>
              </w:rPr>
            </w:pPr>
          </w:p>
        </w:tc>
        <w:tc>
          <w:tcPr>
            <w:tcW w:w="5" w:type="pct"/>
            <w:shd w:val="clear" w:color="auto" w:fill="auto"/>
          </w:tcPr>
          <w:p w14:paraId="36CA4F22" w14:textId="77777777" w:rsidR="00787570" w:rsidRDefault="00787570">
            <w:pPr>
              <w:rPr>
                <w:rFonts w:ascii="宋体"/>
              </w:rPr>
            </w:pPr>
          </w:p>
        </w:tc>
      </w:tr>
      <w:tr w:rsidR="00787570" w14:paraId="36CA4F27" w14:textId="77777777">
        <w:tc>
          <w:tcPr>
            <w:tcW w:w="0" w:type="auto"/>
            <w:gridSpan w:val="3"/>
            <w:shd w:val="clear" w:color="auto" w:fill="auto"/>
            <w:tcMar>
              <w:top w:w="40" w:type="dxa"/>
              <w:left w:w="20" w:type="dxa"/>
              <w:bottom w:w="40" w:type="dxa"/>
              <w:right w:w="20" w:type="dxa"/>
            </w:tcMar>
            <w:vAlign w:val="bottom"/>
          </w:tcPr>
          <w:p w14:paraId="36CA4F24" w14:textId="77777777" w:rsidR="00787570" w:rsidRDefault="000D56E2">
            <w:pPr>
              <w:textAlignment w:val="bottom"/>
            </w:pPr>
            <w:r>
              <w:rPr>
                <w:rFonts w:ascii="Arial" w:eastAsia="宋体" w:hAnsi="Arial" w:cs="Arial"/>
                <w:b/>
                <w:bCs/>
                <w:color w:val="333333"/>
                <w:sz w:val="18"/>
                <w:szCs w:val="18"/>
              </w:rPr>
              <w:t>(In Millions)</w:t>
            </w:r>
          </w:p>
        </w:tc>
        <w:tc>
          <w:tcPr>
            <w:tcW w:w="0" w:type="auto"/>
            <w:gridSpan w:val="3"/>
            <w:shd w:val="clear" w:color="auto" w:fill="auto"/>
            <w:tcMar>
              <w:left w:w="20" w:type="dxa"/>
              <w:right w:w="20" w:type="dxa"/>
            </w:tcMar>
            <w:vAlign w:val="bottom"/>
          </w:tcPr>
          <w:p w14:paraId="36CA4F25"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4F26" w14:textId="77777777" w:rsidR="00787570" w:rsidRDefault="00787570">
            <w:pPr>
              <w:rPr>
                <w:rFonts w:ascii="宋体"/>
              </w:rPr>
            </w:pPr>
          </w:p>
        </w:tc>
      </w:tr>
      <w:tr w:rsidR="00787570" w14:paraId="36CA4F2D" w14:textId="77777777">
        <w:tc>
          <w:tcPr>
            <w:tcW w:w="0" w:type="auto"/>
            <w:tcBorders>
              <w:top w:val="single" w:sz="8" w:space="0" w:color="0071C5"/>
            </w:tcBorders>
            <w:shd w:val="clear" w:color="auto" w:fill="auto"/>
            <w:tcMar>
              <w:top w:w="40" w:type="dxa"/>
              <w:left w:w="20" w:type="dxa"/>
              <w:bottom w:w="40" w:type="dxa"/>
            </w:tcMar>
            <w:vAlign w:val="bottom"/>
          </w:tcPr>
          <w:p w14:paraId="36CA4F28" w14:textId="77777777" w:rsidR="00787570" w:rsidRDefault="000D56E2">
            <w:pPr>
              <w:textAlignment w:val="bottom"/>
            </w:pPr>
            <w:r>
              <w:rPr>
                <w:rFonts w:ascii="Arial" w:eastAsia="宋体" w:hAnsi="Arial" w:cs="Arial"/>
                <w:b/>
                <w:bCs/>
                <w:color w:val="0071C5"/>
                <w:sz w:val="18"/>
                <w:szCs w:val="18"/>
              </w:rPr>
              <w:t>$</w:t>
            </w:r>
          </w:p>
        </w:tc>
        <w:tc>
          <w:tcPr>
            <w:tcW w:w="0" w:type="auto"/>
            <w:tcBorders>
              <w:top w:val="single" w:sz="8" w:space="0" w:color="0071C5"/>
            </w:tcBorders>
            <w:shd w:val="clear" w:color="auto" w:fill="auto"/>
            <w:tcMar>
              <w:top w:w="40" w:type="dxa"/>
              <w:bottom w:w="40" w:type="dxa"/>
              <w:right w:w="0" w:type="dxa"/>
            </w:tcMar>
            <w:vAlign w:val="bottom"/>
          </w:tcPr>
          <w:p w14:paraId="36CA4F29" w14:textId="77777777" w:rsidR="00787570" w:rsidRDefault="000D56E2">
            <w:pPr>
              <w:jc w:val="right"/>
              <w:textAlignment w:val="bottom"/>
            </w:pPr>
            <w:r>
              <w:rPr>
                <w:rFonts w:ascii="Arial" w:eastAsia="宋体" w:hAnsi="Arial" w:cs="Arial"/>
                <w:b/>
                <w:bCs/>
                <w:color w:val="0071C5"/>
                <w:sz w:val="18"/>
                <w:szCs w:val="18"/>
              </w:rPr>
              <w:t>9,741</w:t>
            </w:r>
            <w:r>
              <w:rPr>
                <w:rFonts w:ascii="Arial" w:eastAsia="宋体" w:hAnsi="Arial" w:cs="Arial"/>
                <w:color w:val="0071C5"/>
                <w:sz w:val="18"/>
                <w:szCs w:val="18"/>
              </w:rPr>
              <w:t> </w:t>
            </w:r>
          </w:p>
        </w:tc>
        <w:tc>
          <w:tcPr>
            <w:tcW w:w="0" w:type="auto"/>
            <w:tcBorders>
              <w:top w:val="single" w:sz="8" w:space="0" w:color="0071C5"/>
            </w:tcBorders>
            <w:shd w:val="clear" w:color="auto" w:fill="auto"/>
            <w:tcMar>
              <w:top w:w="40" w:type="dxa"/>
              <w:bottom w:w="40" w:type="dxa"/>
              <w:right w:w="20" w:type="dxa"/>
            </w:tcMar>
            <w:vAlign w:val="bottom"/>
          </w:tcPr>
          <w:p w14:paraId="36CA4F2A"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4F2B" w14:textId="77777777" w:rsidR="00787570" w:rsidRDefault="00787570">
            <w:pPr>
              <w:rPr>
                <w:rFonts w:ascii="宋体"/>
              </w:rPr>
            </w:pPr>
          </w:p>
        </w:tc>
        <w:tc>
          <w:tcPr>
            <w:tcW w:w="0" w:type="auto"/>
            <w:gridSpan w:val="3"/>
            <w:tcBorders>
              <w:top w:val="single" w:sz="8" w:space="0" w:color="0071C5"/>
            </w:tcBorders>
            <w:shd w:val="clear" w:color="auto" w:fill="auto"/>
            <w:tcMar>
              <w:top w:w="40" w:type="dxa"/>
              <w:left w:w="20" w:type="dxa"/>
              <w:bottom w:w="40" w:type="dxa"/>
              <w:right w:w="20" w:type="dxa"/>
            </w:tcMar>
            <w:vAlign w:val="bottom"/>
          </w:tcPr>
          <w:p w14:paraId="36CA4F2C" w14:textId="77777777" w:rsidR="00787570" w:rsidRDefault="000D56E2">
            <w:pPr>
              <w:textAlignment w:val="bottom"/>
            </w:pPr>
            <w:r>
              <w:rPr>
                <w:rFonts w:ascii="Arial" w:eastAsia="宋体" w:hAnsi="Arial" w:cs="Arial"/>
                <w:b/>
                <w:bCs/>
                <w:color w:val="333333"/>
                <w:sz w:val="18"/>
                <w:szCs w:val="18"/>
              </w:rPr>
              <w:t>Q3 2020 Gross Margin</w:t>
            </w:r>
          </w:p>
        </w:tc>
      </w:tr>
      <w:tr w:rsidR="00787570" w14:paraId="36CA4F32" w14:textId="77777777">
        <w:tc>
          <w:tcPr>
            <w:tcW w:w="0" w:type="auto"/>
            <w:gridSpan w:val="2"/>
            <w:tcBorders>
              <w:top w:val="single" w:sz="8" w:space="0" w:color="333333"/>
            </w:tcBorders>
            <w:shd w:val="clear" w:color="auto" w:fill="auto"/>
            <w:tcMar>
              <w:top w:w="40" w:type="dxa"/>
              <w:left w:w="20" w:type="dxa"/>
              <w:bottom w:w="40" w:type="dxa"/>
              <w:right w:w="0" w:type="dxa"/>
            </w:tcMar>
            <w:vAlign w:val="center"/>
          </w:tcPr>
          <w:p w14:paraId="36CA4F2E" w14:textId="77777777" w:rsidR="00787570" w:rsidRDefault="000D56E2">
            <w:pPr>
              <w:jc w:val="right"/>
              <w:textAlignment w:val="center"/>
            </w:pPr>
            <w:r>
              <w:rPr>
                <w:rFonts w:ascii="Arial" w:eastAsia="宋体" w:hAnsi="Arial" w:cs="Arial"/>
                <w:color w:val="0071C5"/>
                <w:sz w:val="18"/>
                <w:szCs w:val="18"/>
              </w:rPr>
              <w:t>(965)</w:t>
            </w:r>
          </w:p>
        </w:tc>
        <w:tc>
          <w:tcPr>
            <w:tcW w:w="0" w:type="auto"/>
            <w:tcBorders>
              <w:top w:val="single" w:sz="8" w:space="0" w:color="333333"/>
            </w:tcBorders>
            <w:shd w:val="clear" w:color="auto" w:fill="auto"/>
            <w:tcMar>
              <w:top w:w="40" w:type="dxa"/>
              <w:bottom w:w="40" w:type="dxa"/>
              <w:right w:w="20" w:type="dxa"/>
            </w:tcMar>
            <w:vAlign w:val="center"/>
          </w:tcPr>
          <w:p w14:paraId="36CA4F2F"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4F30" w14:textId="77777777" w:rsidR="00787570" w:rsidRDefault="00787570">
            <w:pPr>
              <w:rPr>
                <w:rFonts w:ascii="宋体"/>
              </w:rPr>
            </w:pPr>
          </w:p>
        </w:tc>
        <w:tc>
          <w:tcPr>
            <w:tcW w:w="0" w:type="auto"/>
            <w:gridSpan w:val="3"/>
            <w:tcBorders>
              <w:top w:val="single" w:sz="8" w:space="0" w:color="333333"/>
            </w:tcBorders>
            <w:shd w:val="clear" w:color="auto" w:fill="auto"/>
            <w:tcMar>
              <w:top w:w="40" w:type="dxa"/>
              <w:left w:w="20" w:type="dxa"/>
              <w:bottom w:w="40" w:type="dxa"/>
              <w:right w:w="20" w:type="dxa"/>
            </w:tcMar>
          </w:tcPr>
          <w:p w14:paraId="36CA4F31" w14:textId="77777777" w:rsidR="00787570" w:rsidRDefault="000D56E2">
            <w:pPr>
              <w:textAlignment w:val="top"/>
            </w:pPr>
            <w:r>
              <w:rPr>
                <w:rFonts w:ascii="Arial" w:eastAsia="宋体" w:hAnsi="Arial" w:cs="Arial"/>
                <w:color w:val="0071C5"/>
                <w:sz w:val="18"/>
                <w:szCs w:val="18"/>
              </w:rPr>
              <w:t>Lower gross margin from platform revenue</w:t>
            </w:r>
          </w:p>
        </w:tc>
      </w:tr>
      <w:tr w:rsidR="00787570" w14:paraId="36CA4F37" w14:textId="77777777">
        <w:tc>
          <w:tcPr>
            <w:tcW w:w="0" w:type="auto"/>
            <w:gridSpan w:val="2"/>
            <w:shd w:val="clear" w:color="auto" w:fill="auto"/>
            <w:tcMar>
              <w:top w:w="40" w:type="dxa"/>
              <w:left w:w="20" w:type="dxa"/>
              <w:bottom w:w="40" w:type="dxa"/>
              <w:right w:w="0" w:type="dxa"/>
            </w:tcMar>
          </w:tcPr>
          <w:p w14:paraId="36CA4F33" w14:textId="77777777" w:rsidR="00787570" w:rsidRDefault="000D56E2">
            <w:pPr>
              <w:jc w:val="right"/>
              <w:textAlignment w:val="top"/>
            </w:pPr>
            <w:r>
              <w:rPr>
                <w:rFonts w:ascii="Arial" w:eastAsia="宋体" w:hAnsi="Arial" w:cs="Arial"/>
                <w:color w:val="0071C5"/>
                <w:sz w:val="18"/>
                <w:szCs w:val="18"/>
              </w:rPr>
              <w:t>(885)</w:t>
            </w:r>
          </w:p>
        </w:tc>
        <w:tc>
          <w:tcPr>
            <w:tcW w:w="0" w:type="auto"/>
            <w:shd w:val="clear" w:color="auto" w:fill="auto"/>
            <w:tcMar>
              <w:top w:w="40" w:type="dxa"/>
              <w:bottom w:w="40" w:type="dxa"/>
              <w:right w:w="20" w:type="dxa"/>
            </w:tcMar>
          </w:tcPr>
          <w:p w14:paraId="36CA4F34"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4F35" w14:textId="77777777" w:rsidR="00787570" w:rsidRDefault="00787570">
            <w:pPr>
              <w:rPr>
                <w:rFonts w:ascii="宋体"/>
              </w:rPr>
            </w:pPr>
          </w:p>
        </w:tc>
        <w:tc>
          <w:tcPr>
            <w:tcW w:w="0" w:type="auto"/>
            <w:gridSpan w:val="3"/>
            <w:shd w:val="clear" w:color="auto" w:fill="auto"/>
            <w:tcMar>
              <w:top w:w="40" w:type="dxa"/>
              <w:left w:w="20" w:type="dxa"/>
              <w:bottom w:w="40" w:type="dxa"/>
              <w:right w:w="20" w:type="dxa"/>
            </w:tcMar>
          </w:tcPr>
          <w:p w14:paraId="36CA4F36" w14:textId="77777777" w:rsidR="00787570" w:rsidRDefault="000D56E2">
            <w:pPr>
              <w:textAlignment w:val="top"/>
            </w:pPr>
            <w:r>
              <w:rPr>
                <w:rFonts w:ascii="Arial" w:eastAsia="宋体" w:hAnsi="Arial" w:cs="Arial"/>
                <w:color w:val="0071C5"/>
                <w:sz w:val="18"/>
                <w:szCs w:val="18"/>
              </w:rPr>
              <w:t>Higher platform unit cost primarily from increased mix of 10nm products</w:t>
            </w:r>
          </w:p>
        </w:tc>
      </w:tr>
      <w:tr w:rsidR="00787570" w14:paraId="36CA4F3C" w14:textId="77777777">
        <w:tc>
          <w:tcPr>
            <w:tcW w:w="0" w:type="auto"/>
            <w:gridSpan w:val="2"/>
            <w:shd w:val="clear" w:color="auto" w:fill="auto"/>
            <w:tcMar>
              <w:top w:w="40" w:type="dxa"/>
              <w:left w:w="20" w:type="dxa"/>
              <w:bottom w:w="40" w:type="dxa"/>
              <w:right w:w="0" w:type="dxa"/>
            </w:tcMar>
          </w:tcPr>
          <w:p w14:paraId="36CA4F38" w14:textId="77777777" w:rsidR="00787570" w:rsidRDefault="000D56E2">
            <w:pPr>
              <w:jc w:val="right"/>
              <w:textAlignment w:val="top"/>
            </w:pPr>
            <w:r>
              <w:rPr>
                <w:rFonts w:ascii="Arial" w:eastAsia="宋体" w:hAnsi="Arial" w:cs="Arial"/>
                <w:color w:val="0071C5"/>
                <w:sz w:val="18"/>
                <w:szCs w:val="18"/>
              </w:rPr>
              <w:t>(295)</w:t>
            </w:r>
          </w:p>
        </w:tc>
        <w:tc>
          <w:tcPr>
            <w:tcW w:w="0" w:type="auto"/>
            <w:shd w:val="clear" w:color="auto" w:fill="auto"/>
            <w:tcMar>
              <w:top w:w="40" w:type="dxa"/>
              <w:bottom w:w="40" w:type="dxa"/>
              <w:right w:w="20" w:type="dxa"/>
            </w:tcMar>
          </w:tcPr>
          <w:p w14:paraId="36CA4F39"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4F3A" w14:textId="77777777" w:rsidR="00787570" w:rsidRDefault="00787570">
            <w:pPr>
              <w:rPr>
                <w:rFonts w:ascii="宋体"/>
              </w:rPr>
            </w:pPr>
          </w:p>
        </w:tc>
        <w:tc>
          <w:tcPr>
            <w:tcW w:w="0" w:type="auto"/>
            <w:gridSpan w:val="3"/>
            <w:shd w:val="clear" w:color="auto" w:fill="auto"/>
            <w:tcMar>
              <w:top w:w="40" w:type="dxa"/>
              <w:left w:w="20" w:type="dxa"/>
              <w:bottom w:w="40" w:type="dxa"/>
              <w:right w:w="20" w:type="dxa"/>
            </w:tcMar>
          </w:tcPr>
          <w:p w14:paraId="36CA4F3B" w14:textId="77777777" w:rsidR="00787570" w:rsidRDefault="000D56E2">
            <w:pPr>
              <w:textAlignment w:val="top"/>
            </w:pPr>
            <w:r>
              <w:rPr>
                <w:rFonts w:ascii="Arial" w:eastAsia="宋体" w:hAnsi="Arial" w:cs="Arial"/>
                <w:color w:val="0071C5"/>
                <w:sz w:val="18"/>
                <w:szCs w:val="18"/>
              </w:rPr>
              <w:t xml:space="preserve">Higher period </w:t>
            </w:r>
            <w:r>
              <w:rPr>
                <w:rFonts w:ascii="Arial" w:eastAsia="宋体" w:hAnsi="Arial" w:cs="Arial"/>
                <w:color w:val="0071C5"/>
                <w:sz w:val="18"/>
                <w:szCs w:val="18"/>
              </w:rPr>
              <w:t>charges due to reserved non-qualified platform product and lower sell-through of previously reserved non-qualified platform product related to our 10nm process technology</w:t>
            </w:r>
          </w:p>
        </w:tc>
      </w:tr>
      <w:tr w:rsidR="00787570" w14:paraId="36CA4F41" w14:textId="77777777">
        <w:tc>
          <w:tcPr>
            <w:tcW w:w="0" w:type="auto"/>
            <w:gridSpan w:val="2"/>
            <w:shd w:val="clear" w:color="auto" w:fill="auto"/>
            <w:tcMar>
              <w:top w:w="40" w:type="dxa"/>
              <w:left w:w="20" w:type="dxa"/>
              <w:bottom w:w="40" w:type="dxa"/>
              <w:right w:w="0" w:type="dxa"/>
            </w:tcMar>
          </w:tcPr>
          <w:p w14:paraId="36CA4F3D" w14:textId="77777777" w:rsidR="00787570" w:rsidRDefault="000D56E2">
            <w:pPr>
              <w:jc w:val="right"/>
              <w:textAlignment w:val="top"/>
            </w:pPr>
            <w:r>
              <w:rPr>
                <w:rFonts w:ascii="Arial" w:eastAsia="宋体" w:hAnsi="Arial" w:cs="Arial"/>
                <w:color w:val="0071C5"/>
                <w:sz w:val="18"/>
                <w:szCs w:val="18"/>
              </w:rPr>
              <w:t>430 </w:t>
            </w:r>
          </w:p>
        </w:tc>
        <w:tc>
          <w:tcPr>
            <w:tcW w:w="0" w:type="auto"/>
            <w:shd w:val="clear" w:color="auto" w:fill="auto"/>
            <w:tcMar>
              <w:top w:w="40" w:type="dxa"/>
              <w:bottom w:w="40" w:type="dxa"/>
              <w:right w:w="20" w:type="dxa"/>
            </w:tcMar>
          </w:tcPr>
          <w:p w14:paraId="36CA4F3E"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4F3F" w14:textId="77777777" w:rsidR="00787570" w:rsidRDefault="00787570">
            <w:pPr>
              <w:rPr>
                <w:rFonts w:ascii="宋体"/>
              </w:rPr>
            </w:pPr>
          </w:p>
        </w:tc>
        <w:tc>
          <w:tcPr>
            <w:tcW w:w="0" w:type="auto"/>
            <w:gridSpan w:val="3"/>
            <w:shd w:val="clear" w:color="auto" w:fill="auto"/>
            <w:tcMar>
              <w:top w:w="40" w:type="dxa"/>
              <w:left w:w="20" w:type="dxa"/>
              <w:bottom w:w="40" w:type="dxa"/>
              <w:right w:w="20" w:type="dxa"/>
            </w:tcMar>
          </w:tcPr>
          <w:p w14:paraId="36CA4F40" w14:textId="77777777" w:rsidR="00787570" w:rsidRDefault="000D56E2">
            <w:pPr>
              <w:textAlignment w:val="top"/>
            </w:pPr>
            <w:r>
              <w:rPr>
                <w:rFonts w:ascii="Arial" w:eastAsia="宋体" w:hAnsi="Arial" w:cs="Arial"/>
                <w:color w:val="0071C5"/>
                <w:sz w:val="18"/>
                <w:szCs w:val="18"/>
              </w:rPr>
              <w:t xml:space="preserve">Higher gross margin from adjacent businesses primarily due to higher margins </w:t>
            </w:r>
            <w:r>
              <w:rPr>
                <w:rFonts w:ascii="Arial" w:eastAsia="宋体" w:hAnsi="Arial" w:cs="Arial"/>
                <w:color w:val="0071C5"/>
                <w:sz w:val="18"/>
                <w:szCs w:val="18"/>
              </w:rPr>
              <w:t>on NAND and modem, partially offset by lower margins on DCG adjacencies</w:t>
            </w:r>
          </w:p>
        </w:tc>
      </w:tr>
      <w:tr w:rsidR="00787570" w14:paraId="36CA4F46" w14:textId="77777777">
        <w:tc>
          <w:tcPr>
            <w:tcW w:w="0" w:type="auto"/>
            <w:gridSpan w:val="2"/>
            <w:shd w:val="clear" w:color="auto" w:fill="auto"/>
            <w:tcMar>
              <w:top w:w="40" w:type="dxa"/>
              <w:left w:w="20" w:type="dxa"/>
              <w:bottom w:w="40" w:type="dxa"/>
              <w:right w:w="0" w:type="dxa"/>
            </w:tcMar>
          </w:tcPr>
          <w:p w14:paraId="36CA4F42" w14:textId="77777777" w:rsidR="00787570" w:rsidRDefault="000D56E2">
            <w:pPr>
              <w:jc w:val="right"/>
              <w:textAlignment w:val="top"/>
            </w:pPr>
            <w:r>
              <w:rPr>
                <w:rFonts w:ascii="Arial" w:eastAsia="宋体" w:hAnsi="Arial" w:cs="Arial"/>
                <w:color w:val="0071C5"/>
                <w:sz w:val="18"/>
                <w:szCs w:val="18"/>
              </w:rPr>
              <w:t>165 </w:t>
            </w:r>
          </w:p>
        </w:tc>
        <w:tc>
          <w:tcPr>
            <w:tcW w:w="0" w:type="auto"/>
            <w:shd w:val="clear" w:color="auto" w:fill="auto"/>
            <w:tcMar>
              <w:top w:w="40" w:type="dxa"/>
              <w:bottom w:w="40" w:type="dxa"/>
              <w:right w:w="20" w:type="dxa"/>
            </w:tcMar>
          </w:tcPr>
          <w:p w14:paraId="36CA4F43"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4F44" w14:textId="77777777" w:rsidR="00787570" w:rsidRDefault="00787570">
            <w:pPr>
              <w:rPr>
                <w:rFonts w:ascii="宋体"/>
              </w:rPr>
            </w:pPr>
          </w:p>
        </w:tc>
        <w:tc>
          <w:tcPr>
            <w:tcW w:w="0" w:type="auto"/>
            <w:gridSpan w:val="3"/>
            <w:shd w:val="clear" w:color="auto" w:fill="auto"/>
            <w:tcMar>
              <w:top w:w="40" w:type="dxa"/>
              <w:left w:w="20" w:type="dxa"/>
              <w:bottom w:w="40" w:type="dxa"/>
              <w:right w:w="20" w:type="dxa"/>
            </w:tcMar>
          </w:tcPr>
          <w:p w14:paraId="36CA4F45" w14:textId="77777777" w:rsidR="00787570" w:rsidRDefault="000D56E2">
            <w:pPr>
              <w:textAlignment w:val="top"/>
            </w:pPr>
            <w:r>
              <w:rPr>
                <w:rFonts w:ascii="Arial" w:eastAsia="宋体" w:hAnsi="Arial" w:cs="Arial"/>
                <w:color w:val="0071C5"/>
                <w:sz w:val="18"/>
                <w:szCs w:val="18"/>
              </w:rPr>
              <w:t>Lower period charges due to lower factory start-up costs associated with our 10nm products</w:t>
            </w:r>
          </w:p>
        </w:tc>
      </w:tr>
      <w:tr w:rsidR="00787570" w14:paraId="36CA4F4A" w14:textId="77777777">
        <w:trPr>
          <w:hidden/>
        </w:trPr>
        <w:tc>
          <w:tcPr>
            <w:tcW w:w="0" w:type="auto"/>
            <w:gridSpan w:val="3"/>
            <w:shd w:val="clear" w:color="auto" w:fill="auto"/>
          </w:tcPr>
          <w:p w14:paraId="36CA4F47" w14:textId="77777777" w:rsidR="00787570" w:rsidRDefault="00787570">
            <w:pPr>
              <w:rPr>
                <w:rFonts w:ascii="宋体"/>
                <w:vanish/>
              </w:rPr>
            </w:pPr>
          </w:p>
        </w:tc>
        <w:tc>
          <w:tcPr>
            <w:tcW w:w="0" w:type="auto"/>
            <w:gridSpan w:val="3"/>
            <w:shd w:val="clear" w:color="auto" w:fill="auto"/>
          </w:tcPr>
          <w:p w14:paraId="36CA4F48" w14:textId="77777777" w:rsidR="00787570" w:rsidRDefault="00787570">
            <w:pPr>
              <w:rPr>
                <w:rFonts w:ascii="宋体"/>
                <w:vanish/>
              </w:rPr>
            </w:pPr>
          </w:p>
        </w:tc>
        <w:tc>
          <w:tcPr>
            <w:tcW w:w="0" w:type="auto"/>
            <w:gridSpan w:val="3"/>
            <w:shd w:val="clear" w:color="auto" w:fill="auto"/>
          </w:tcPr>
          <w:p w14:paraId="36CA4F49" w14:textId="77777777" w:rsidR="00787570" w:rsidRDefault="00787570">
            <w:pPr>
              <w:rPr>
                <w:rFonts w:ascii="宋体"/>
                <w:vanish/>
              </w:rPr>
            </w:pPr>
          </w:p>
        </w:tc>
      </w:tr>
      <w:tr w:rsidR="00787570" w14:paraId="36CA4F4E" w14:textId="77777777">
        <w:trPr>
          <w:hidden/>
        </w:trPr>
        <w:tc>
          <w:tcPr>
            <w:tcW w:w="0" w:type="auto"/>
            <w:gridSpan w:val="3"/>
            <w:shd w:val="clear" w:color="auto" w:fill="auto"/>
          </w:tcPr>
          <w:p w14:paraId="36CA4F4B" w14:textId="77777777" w:rsidR="00787570" w:rsidRDefault="00787570">
            <w:pPr>
              <w:rPr>
                <w:rFonts w:ascii="宋体"/>
                <w:vanish/>
              </w:rPr>
            </w:pPr>
          </w:p>
        </w:tc>
        <w:tc>
          <w:tcPr>
            <w:tcW w:w="0" w:type="auto"/>
            <w:gridSpan w:val="3"/>
            <w:shd w:val="clear" w:color="auto" w:fill="auto"/>
          </w:tcPr>
          <w:p w14:paraId="36CA4F4C" w14:textId="77777777" w:rsidR="00787570" w:rsidRDefault="00787570">
            <w:pPr>
              <w:rPr>
                <w:rFonts w:ascii="宋体"/>
                <w:vanish/>
              </w:rPr>
            </w:pPr>
          </w:p>
        </w:tc>
        <w:tc>
          <w:tcPr>
            <w:tcW w:w="0" w:type="auto"/>
            <w:gridSpan w:val="3"/>
            <w:shd w:val="clear" w:color="auto" w:fill="auto"/>
          </w:tcPr>
          <w:p w14:paraId="36CA4F4D" w14:textId="77777777" w:rsidR="00787570" w:rsidRDefault="00787570">
            <w:pPr>
              <w:rPr>
                <w:rFonts w:ascii="宋体"/>
                <w:vanish/>
              </w:rPr>
            </w:pPr>
          </w:p>
        </w:tc>
      </w:tr>
      <w:tr w:rsidR="00787570" w14:paraId="36CA4F52" w14:textId="77777777">
        <w:trPr>
          <w:hidden/>
        </w:trPr>
        <w:tc>
          <w:tcPr>
            <w:tcW w:w="0" w:type="auto"/>
            <w:gridSpan w:val="3"/>
            <w:shd w:val="clear" w:color="auto" w:fill="auto"/>
          </w:tcPr>
          <w:p w14:paraId="36CA4F4F" w14:textId="77777777" w:rsidR="00787570" w:rsidRDefault="00787570">
            <w:pPr>
              <w:rPr>
                <w:rFonts w:ascii="宋体"/>
                <w:vanish/>
              </w:rPr>
            </w:pPr>
          </w:p>
        </w:tc>
        <w:tc>
          <w:tcPr>
            <w:tcW w:w="0" w:type="auto"/>
            <w:gridSpan w:val="3"/>
            <w:shd w:val="clear" w:color="auto" w:fill="auto"/>
          </w:tcPr>
          <w:p w14:paraId="36CA4F50" w14:textId="77777777" w:rsidR="00787570" w:rsidRDefault="00787570">
            <w:pPr>
              <w:rPr>
                <w:rFonts w:ascii="宋体"/>
                <w:vanish/>
              </w:rPr>
            </w:pPr>
          </w:p>
        </w:tc>
        <w:tc>
          <w:tcPr>
            <w:tcW w:w="0" w:type="auto"/>
            <w:gridSpan w:val="3"/>
            <w:shd w:val="clear" w:color="auto" w:fill="auto"/>
          </w:tcPr>
          <w:p w14:paraId="36CA4F51" w14:textId="77777777" w:rsidR="00787570" w:rsidRDefault="00787570">
            <w:pPr>
              <w:rPr>
                <w:rFonts w:ascii="宋体"/>
                <w:vanish/>
              </w:rPr>
            </w:pPr>
          </w:p>
        </w:tc>
      </w:tr>
      <w:tr w:rsidR="00787570" w14:paraId="36CA4F56" w14:textId="77777777">
        <w:trPr>
          <w:hidden/>
        </w:trPr>
        <w:tc>
          <w:tcPr>
            <w:tcW w:w="0" w:type="auto"/>
            <w:gridSpan w:val="3"/>
            <w:shd w:val="clear" w:color="auto" w:fill="auto"/>
          </w:tcPr>
          <w:p w14:paraId="36CA4F53" w14:textId="77777777" w:rsidR="00787570" w:rsidRDefault="00787570">
            <w:pPr>
              <w:rPr>
                <w:rFonts w:ascii="宋体"/>
                <w:vanish/>
              </w:rPr>
            </w:pPr>
          </w:p>
        </w:tc>
        <w:tc>
          <w:tcPr>
            <w:tcW w:w="0" w:type="auto"/>
            <w:gridSpan w:val="3"/>
            <w:shd w:val="clear" w:color="auto" w:fill="auto"/>
          </w:tcPr>
          <w:p w14:paraId="36CA4F54" w14:textId="77777777" w:rsidR="00787570" w:rsidRDefault="00787570">
            <w:pPr>
              <w:rPr>
                <w:rFonts w:ascii="宋体"/>
                <w:vanish/>
              </w:rPr>
            </w:pPr>
          </w:p>
        </w:tc>
        <w:tc>
          <w:tcPr>
            <w:tcW w:w="0" w:type="auto"/>
            <w:gridSpan w:val="3"/>
            <w:shd w:val="clear" w:color="auto" w:fill="auto"/>
          </w:tcPr>
          <w:p w14:paraId="36CA4F55" w14:textId="77777777" w:rsidR="00787570" w:rsidRDefault="00787570">
            <w:pPr>
              <w:rPr>
                <w:rFonts w:ascii="宋体"/>
                <w:vanish/>
              </w:rPr>
            </w:pPr>
          </w:p>
        </w:tc>
      </w:tr>
      <w:tr w:rsidR="00787570" w14:paraId="36CA4F5A" w14:textId="77777777">
        <w:trPr>
          <w:hidden/>
        </w:trPr>
        <w:tc>
          <w:tcPr>
            <w:tcW w:w="0" w:type="auto"/>
            <w:gridSpan w:val="3"/>
            <w:shd w:val="clear" w:color="auto" w:fill="auto"/>
          </w:tcPr>
          <w:p w14:paraId="36CA4F57" w14:textId="77777777" w:rsidR="00787570" w:rsidRDefault="00787570">
            <w:pPr>
              <w:rPr>
                <w:rFonts w:ascii="宋体"/>
                <w:vanish/>
              </w:rPr>
            </w:pPr>
          </w:p>
        </w:tc>
        <w:tc>
          <w:tcPr>
            <w:tcW w:w="0" w:type="auto"/>
            <w:gridSpan w:val="3"/>
            <w:shd w:val="clear" w:color="auto" w:fill="auto"/>
          </w:tcPr>
          <w:p w14:paraId="36CA4F58" w14:textId="77777777" w:rsidR="00787570" w:rsidRDefault="00787570">
            <w:pPr>
              <w:rPr>
                <w:rFonts w:ascii="宋体"/>
                <w:vanish/>
              </w:rPr>
            </w:pPr>
          </w:p>
        </w:tc>
        <w:tc>
          <w:tcPr>
            <w:tcW w:w="0" w:type="auto"/>
            <w:gridSpan w:val="3"/>
            <w:shd w:val="clear" w:color="auto" w:fill="auto"/>
          </w:tcPr>
          <w:p w14:paraId="36CA4F59" w14:textId="77777777" w:rsidR="00787570" w:rsidRDefault="00787570">
            <w:pPr>
              <w:rPr>
                <w:rFonts w:ascii="宋体"/>
                <w:vanish/>
              </w:rPr>
            </w:pPr>
          </w:p>
        </w:tc>
      </w:tr>
      <w:tr w:rsidR="00787570" w14:paraId="36CA4F5E" w14:textId="77777777">
        <w:trPr>
          <w:hidden/>
        </w:trPr>
        <w:tc>
          <w:tcPr>
            <w:tcW w:w="0" w:type="auto"/>
            <w:gridSpan w:val="3"/>
            <w:shd w:val="clear" w:color="auto" w:fill="auto"/>
          </w:tcPr>
          <w:p w14:paraId="36CA4F5B" w14:textId="77777777" w:rsidR="00787570" w:rsidRDefault="00787570">
            <w:pPr>
              <w:rPr>
                <w:rFonts w:ascii="宋体"/>
                <w:vanish/>
              </w:rPr>
            </w:pPr>
          </w:p>
        </w:tc>
        <w:tc>
          <w:tcPr>
            <w:tcW w:w="0" w:type="auto"/>
            <w:gridSpan w:val="3"/>
            <w:shd w:val="clear" w:color="auto" w:fill="auto"/>
          </w:tcPr>
          <w:p w14:paraId="36CA4F5C" w14:textId="77777777" w:rsidR="00787570" w:rsidRDefault="00787570">
            <w:pPr>
              <w:rPr>
                <w:rFonts w:ascii="宋体"/>
                <w:vanish/>
              </w:rPr>
            </w:pPr>
          </w:p>
        </w:tc>
        <w:tc>
          <w:tcPr>
            <w:tcW w:w="0" w:type="auto"/>
            <w:gridSpan w:val="3"/>
            <w:shd w:val="clear" w:color="auto" w:fill="auto"/>
          </w:tcPr>
          <w:p w14:paraId="36CA4F5D" w14:textId="77777777" w:rsidR="00787570" w:rsidRDefault="00787570">
            <w:pPr>
              <w:rPr>
                <w:rFonts w:ascii="宋体"/>
                <w:vanish/>
              </w:rPr>
            </w:pPr>
          </w:p>
        </w:tc>
      </w:tr>
      <w:tr w:rsidR="00787570" w14:paraId="36CA4F63" w14:textId="77777777">
        <w:tc>
          <w:tcPr>
            <w:tcW w:w="0" w:type="auto"/>
            <w:gridSpan w:val="2"/>
            <w:shd w:val="clear" w:color="auto" w:fill="auto"/>
            <w:tcMar>
              <w:top w:w="40" w:type="dxa"/>
              <w:left w:w="20" w:type="dxa"/>
              <w:bottom w:w="40" w:type="dxa"/>
              <w:right w:w="0" w:type="dxa"/>
            </w:tcMar>
          </w:tcPr>
          <w:p w14:paraId="36CA4F5F" w14:textId="77777777" w:rsidR="00787570" w:rsidRDefault="000D56E2">
            <w:pPr>
              <w:jc w:val="right"/>
              <w:textAlignment w:val="top"/>
            </w:pPr>
            <w:r>
              <w:rPr>
                <w:rFonts w:ascii="Arial" w:eastAsia="宋体" w:hAnsi="Arial" w:cs="Arial"/>
                <w:color w:val="0071C5"/>
                <w:sz w:val="18"/>
                <w:szCs w:val="18"/>
              </w:rPr>
              <w:t>(4)</w:t>
            </w:r>
          </w:p>
        </w:tc>
        <w:tc>
          <w:tcPr>
            <w:tcW w:w="0" w:type="auto"/>
            <w:shd w:val="clear" w:color="auto" w:fill="auto"/>
            <w:tcMar>
              <w:top w:w="40" w:type="dxa"/>
              <w:bottom w:w="40" w:type="dxa"/>
              <w:right w:w="20" w:type="dxa"/>
            </w:tcMar>
          </w:tcPr>
          <w:p w14:paraId="36CA4F60"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4F61" w14:textId="77777777" w:rsidR="00787570" w:rsidRDefault="00787570">
            <w:pPr>
              <w:rPr>
                <w:rFonts w:ascii="宋体"/>
              </w:rPr>
            </w:pPr>
          </w:p>
        </w:tc>
        <w:tc>
          <w:tcPr>
            <w:tcW w:w="0" w:type="auto"/>
            <w:gridSpan w:val="3"/>
            <w:shd w:val="clear" w:color="auto" w:fill="auto"/>
            <w:tcMar>
              <w:top w:w="40" w:type="dxa"/>
              <w:left w:w="20" w:type="dxa"/>
              <w:bottom w:w="40" w:type="dxa"/>
              <w:right w:w="20" w:type="dxa"/>
            </w:tcMar>
          </w:tcPr>
          <w:p w14:paraId="36CA4F62" w14:textId="77777777" w:rsidR="00787570" w:rsidRDefault="000D56E2">
            <w:pPr>
              <w:textAlignment w:val="top"/>
            </w:pPr>
            <w:r>
              <w:rPr>
                <w:rFonts w:ascii="Arial" w:eastAsia="宋体" w:hAnsi="Arial" w:cs="Arial"/>
                <w:color w:val="0071C5"/>
                <w:sz w:val="18"/>
                <w:szCs w:val="18"/>
              </w:rPr>
              <w:t>Other</w:t>
            </w:r>
          </w:p>
        </w:tc>
      </w:tr>
      <w:tr w:rsidR="00787570" w14:paraId="36CA4F69" w14:textId="77777777">
        <w:tc>
          <w:tcPr>
            <w:tcW w:w="0" w:type="auto"/>
            <w:tcBorders>
              <w:top w:val="single" w:sz="8" w:space="0" w:color="333333"/>
            </w:tcBorders>
            <w:shd w:val="clear" w:color="auto" w:fill="auto"/>
            <w:tcMar>
              <w:top w:w="40" w:type="dxa"/>
              <w:left w:w="20" w:type="dxa"/>
              <w:bottom w:w="40" w:type="dxa"/>
            </w:tcMar>
            <w:vAlign w:val="bottom"/>
          </w:tcPr>
          <w:p w14:paraId="36CA4F64" w14:textId="77777777" w:rsidR="00787570" w:rsidRDefault="000D56E2">
            <w:pPr>
              <w:textAlignment w:val="bottom"/>
            </w:pPr>
            <w:r>
              <w:rPr>
                <w:rFonts w:ascii="Arial" w:eastAsia="宋体" w:hAnsi="Arial" w:cs="Arial"/>
                <w:b/>
                <w:bCs/>
                <w:color w:val="333333"/>
                <w:sz w:val="18"/>
                <w:szCs w:val="18"/>
              </w:rPr>
              <w:t>$</w:t>
            </w:r>
          </w:p>
        </w:tc>
        <w:tc>
          <w:tcPr>
            <w:tcW w:w="0" w:type="auto"/>
            <w:tcBorders>
              <w:top w:val="single" w:sz="8" w:space="0" w:color="333333"/>
            </w:tcBorders>
            <w:shd w:val="clear" w:color="auto" w:fill="auto"/>
            <w:tcMar>
              <w:top w:w="40" w:type="dxa"/>
              <w:bottom w:w="40" w:type="dxa"/>
              <w:right w:w="0" w:type="dxa"/>
            </w:tcMar>
            <w:vAlign w:val="bottom"/>
          </w:tcPr>
          <w:p w14:paraId="36CA4F65" w14:textId="77777777" w:rsidR="00787570" w:rsidRDefault="000D56E2">
            <w:pPr>
              <w:jc w:val="right"/>
              <w:textAlignment w:val="bottom"/>
            </w:pPr>
            <w:r>
              <w:rPr>
                <w:rFonts w:ascii="Arial" w:eastAsia="宋体" w:hAnsi="Arial" w:cs="Arial"/>
                <w:b/>
                <w:bCs/>
                <w:color w:val="333333"/>
                <w:sz w:val="18"/>
                <w:szCs w:val="18"/>
              </w:rPr>
              <w:t>11,295</w:t>
            </w:r>
            <w:r>
              <w:rPr>
                <w:rFonts w:ascii="Arial" w:eastAsia="宋体" w:hAnsi="Arial" w:cs="Arial"/>
                <w:color w:val="333333"/>
                <w:sz w:val="18"/>
                <w:szCs w:val="18"/>
              </w:rPr>
              <w:t> </w:t>
            </w:r>
          </w:p>
        </w:tc>
        <w:tc>
          <w:tcPr>
            <w:tcW w:w="0" w:type="auto"/>
            <w:tcBorders>
              <w:top w:val="single" w:sz="8" w:space="0" w:color="333333"/>
            </w:tcBorders>
            <w:shd w:val="clear" w:color="auto" w:fill="auto"/>
            <w:tcMar>
              <w:top w:w="40" w:type="dxa"/>
              <w:bottom w:w="40" w:type="dxa"/>
              <w:right w:w="20" w:type="dxa"/>
            </w:tcMar>
            <w:vAlign w:val="bottom"/>
          </w:tcPr>
          <w:p w14:paraId="36CA4F66"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4F67" w14:textId="77777777" w:rsidR="00787570" w:rsidRDefault="00787570">
            <w:pPr>
              <w:rPr>
                <w:rFonts w:ascii="宋体"/>
              </w:rPr>
            </w:pPr>
          </w:p>
        </w:tc>
        <w:tc>
          <w:tcPr>
            <w:tcW w:w="0" w:type="auto"/>
            <w:gridSpan w:val="3"/>
            <w:tcBorders>
              <w:top w:val="single" w:sz="8" w:space="0" w:color="333333"/>
            </w:tcBorders>
            <w:shd w:val="clear" w:color="auto" w:fill="auto"/>
            <w:tcMar>
              <w:top w:w="40" w:type="dxa"/>
              <w:left w:w="20" w:type="dxa"/>
              <w:bottom w:w="40" w:type="dxa"/>
              <w:right w:w="20" w:type="dxa"/>
            </w:tcMar>
            <w:vAlign w:val="bottom"/>
          </w:tcPr>
          <w:p w14:paraId="36CA4F68" w14:textId="77777777" w:rsidR="00787570" w:rsidRDefault="000D56E2">
            <w:pPr>
              <w:textAlignment w:val="bottom"/>
            </w:pPr>
            <w:r>
              <w:rPr>
                <w:rFonts w:ascii="Arial" w:eastAsia="宋体" w:hAnsi="Arial" w:cs="Arial"/>
                <w:b/>
                <w:bCs/>
                <w:color w:val="333333"/>
                <w:sz w:val="18"/>
                <w:szCs w:val="18"/>
              </w:rPr>
              <w:t>Q3 2019 Gross Margin</w:t>
            </w:r>
          </w:p>
        </w:tc>
      </w:tr>
      <w:tr w:rsidR="00787570" w14:paraId="36CA4F6D" w14:textId="77777777">
        <w:trPr>
          <w:trHeight w:val="160"/>
        </w:trPr>
        <w:tc>
          <w:tcPr>
            <w:tcW w:w="0" w:type="auto"/>
            <w:gridSpan w:val="3"/>
            <w:tcBorders>
              <w:top w:val="single" w:sz="8" w:space="0" w:color="333333"/>
            </w:tcBorders>
            <w:shd w:val="clear" w:color="auto" w:fill="auto"/>
            <w:tcMar>
              <w:left w:w="20" w:type="dxa"/>
              <w:right w:w="20" w:type="dxa"/>
            </w:tcMar>
            <w:vAlign w:val="bottom"/>
          </w:tcPr>
          <w:p w14:paraId="36CA4F6A"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4F6B" w14:textId="77777777" w:rsidR="00787570" w:rsidRDefault="00787570">
            <w:pPr>
              <w:rPr>
                <w:rFonts w:ascii="宋体"/>
              </w:rPr>
            </w:pPr>
          </w:p>
        </w:tc>
        <w:tc>
          <w:tcPr>
            <w:tcW w:w="0" w:type="auto"/>
            <w:gridSpan w:val="3"/>
            <w:tcBorders>
              <w:top w:val="single" w:sz="8" w:space="0" w:color="333333"/>
            </w:tcBorders>
            <w:shd w:val="clear" w:color="auto" w:fill="auto"/>
            <w:tcMar>
              <w:left w:w="20" w:type="dxa"/>
              <w:right w:w="20" w:type="dxa"/>
            </w:tcMar>
            <w:vAlign w:val="bottom"/>
          </w:tcPr>
          <w:p w14:paraId="36CA4F6C" w14:textId="77777777" w:rsidR="00787570" w:rsidRDefault="00787570">
            <w:pPr>
              <w:rPr>
                <w:rFonts w:ascii="宋体"/>
              </w:rPr>
            </w:pPr>
          </w:p>
        </w:tc>
      </w:tr>
      <w:tr w:rsidR="00787570" w14:paraId="36CA4F73" w14:textId="77777777">
        <w:tc>
          <w:tcPr>
            <w:tcW w:w="0" w:type="auto"/>
            <w:tcBorders>
              <w:top w:val="single" w:sz="8" w:space="0" w:color="333333"/>
            </w:tcBorders>
            <w:shd w:val="clear" w:color="auto" w:fill="auto"/>
            <w:tcMar>
              <w:top w:w="40" w:type="dxa"/>
              <w:left w:w="20" w:type="dxa"/>
              <w:bottom w:w="40" w:type="dxa"/>
            </w:tcMar>
            <w:vAlign w:val="bottom"/>
          </w:tcPr>
          <w:p w14:paraId="36CA4F6E" w14:textId="77777777" w:rsidR="00787570" w:rsidRDefault="000D56E2">
            <w:pPr>
              <w:textAlignment w:val="bottom"/>
            </w:pPr>
            <w:r>
              <w:rPr>
                <w:rFonts w:ascii="Arial" w:eastAsia="宋体" w:hAnsi="Arial" w:cs="Arial"/>
                <w:b/>
                <w:bCs/>
                <w:color w:val="0071C5"/>
                <w:sz w:val="18"/>
                <w:szCs w:val="18"/>
              </w:rPr>
              <w:t>$</w:t>
            </w:r>
          </w:p>
        </w:tc>
        <w:tc>
          <w:tcPr>
            <w:tcW w:w="0" w:type="auto"/>
            <w:tcBorders>
              <w:top w:val="single" w:sz="8" w:space="0" w:color="333333"/>
            </w:tcBorders>
            <w:shd w:val="clear" w:color="auto" w:fill="auto"/>
            <w:tcMar>
              <w:top w:w="40" w:type="dxa"/>
              <w:bottom w:w="40" w:type="dxa"/>
              <w:right w:w="0" w:type="dxa"/>
            </w:tcMar>
            <w:vAlign w:val="bottom"/>
          </w:tcPr>
          <w:p w14:paraId="36CA4F6F" w14:textId="77777777" w:rsidR="00787570" w:rsidRDefault="000D56E2">
            <w:pPr>
              <w:jc w:val="right"/>
              <w:textAlignment w:val="bottom"/>
            </w:pPr>
            <w:r>
              <w:rPr>
                <w:rFonts w:ascii="Arial" w:eastAsia="宋体" w:hAnsi="Arial" w:cs="Arial"/>
                <w:b/>
                <w:bCs/>
                <w:color w:val="0071C5"/>
                <w:sz w:val="18"/>
                <w:szCs w:val="18"/>
              </w:rPr>
              <w:t>32,264</w:t>
            </w:r>
            <w:r>
              <w:rPr>
                <w:rFonts w:ascii="Arial" w:eastAsia="宋体" w:hAnsi="Arial" w:cs="Arial"/>
                <w:color w:val="0071C5"/>
                <w:sz w:val="18"/>
                <w:szCs w:val="18"/>
              </w:rPr>
              <w:t> </w:t>
            </w:r>
          </w:p>
        </w:tc>
        <w:tc>
          <w:tcPr>
            <w:tcW w:w="0" w:type="auto"/>
            <w:tcBorders>
              <w:top w:val="single" w:sz="8" w:space="0" w:color="333333"/>
            </w:tcBorders>
            <w:shd w:val="clear" w:color="auto" w:fill="auto"/>
            <w:tcMar>
              <w:top w:w="40" w:type="dxa"/>
              <w:bottom w:w="40" w:type="dxa"/>
              <w:right w:w="20" w:type="dxa"/>
            </w:tcMar>
            <w:vAlign w:val="bottom"/>
          </w:tcPr>
          <w:p w14:paraId="36CA4F70"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4F71" w14:textId="77777777" w:rsidR="00787570" w:rsidRDefault="00787570">
            <w:pPr>
              <w:rPr>
                <w:rFonts w:ascii="宋体"/>
              </w:rPr>
            </w:pPr>
          </w:p>
        </w:tc>
        <w:tc>
          <w:tcPr>
            <w:tcW w:w="0" w:type="auto"/>
            <w:gridSpan w:val="3"/>
            <w:tcBorders>
              <w:top w:val="single" w:sz="8" w:space="0" w:color="333333"/>
            </w:tcBorders>
            <w:shd w:val="clear" w:color="auto" w:fill="auto"/>
            <w:tcMar>
              <w:top w:w="40" w:type="dxa"/>
              <w:left w:w="20" w:type="dxa"/>
              <w:bottom w:w="40" w:type="dxa"/>
              <w:right w:w="20" w:type="dxa"/>
            </w:tcMar>
            <w:vAlign w:val="bottom"/>
          </w:tcPr>
          <w:p w14:paraId="36CA4F72" w14:textId="77777777" w:rsidR="00787570" w:rsidRDefault="000D56E2">
            <w:pPr>
              <w:textAlignment w:val="bottom"/>
            </w:pPr>
            <w:r>
              <w:rPr>
                <w:rFonts w:ascii="Arial" w:eastAsia="宋体" w:hAnsi="Arial" w:cs="Arial"/>
                <w:b/>
                <w:bCs/>
                <w:color w:val="333333"/>
                <w:sz w:val="18"/>
                <w:szCs w:val="18"/>
              </w:rPr>
              <w:t>YTD 2020 Gross Margin</w:t>
            </w:r>
          </w:p>
        </w:tc>
      </w:tr>
      <w:tr w:rsidR="00787570" w14:paraId="36CA4F78" w14:textId="77777777">
        <w:tc>
          <w:tcPr>
            <w:tcW w:w="0" w:type="auto"/>
            <w:gridSpan w:val="2"/>
            <w:tcBorders>
              <w:top w:val="single" w:sz="8" w:space="0" w:color="333333"/>
            </w:tcBorders>
            <w:shd w:val="clear" w:color="auto" w:fill="auto"/>
            <w:tcMar>
              <w:top w:w="40" w:type="dxa"/>
              <w:left w:w="20" w:type="dxa"/>
              <w:bottom w:w="40" w:type="dxa"/>
              <w:right w:w="0" w:type="dxa"/>
            </w:tcMar>
          </w:tcPr>
          <w:p w14:paraId="36CA4F74" w14:textId="77777777" w:rsidR="00787570" w:rsidRDefault="000D56E2">
            <w:pPr>
              <w:jc w:val="right"/>
              <w:textAlignment w:val="top"/>
            </w:pPr>
            <w:r>
              <w:rPr>
                <w:rFonts w:ascii="Arial" w:eastAsia="宋体" w:hAnsi="Arial" w:cs="Arial"/>
                <w:color w:val="0071C5"/>
                <w:sz w:val="18"/>
                <w:szCs w:val="18"/>
              </w:rPr>
              <w:t>3,105 </w:t>
            </w:r>
          </w:p>
        </w:tc>
        <w:tc>
          <w:tcPr>
            <w:tcW w:w="0" w:type="auto"/>
            <w:tcBorders>
              <w:top w:val="single" w:sz="8" w:space="0" w:color="333333"/>
            </w:tcBorders>
            <w:shd w:val="clear" w:color="auto" w:fill="auto"/>
            <w:tcMar>
              <w:top w:w="40" w:type="dxa"/>
              <w:bottom w:w="40" w:type="dxa"/>
              <w:right w:w="20" w:type="dxa"/>
            </w:tcMar>
          </w:tcPr>
          <w:p w14:paraId="36CA4F75"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4F76" w14:textId="77777777" w:rsidR="00787570" w:rsidRDefault="00787570">
            <w:pPr>
              <w:rPr>
                <w:rFonts w:ascii="宋体"/>
              </w:rPr>
            </w:pPr>
          </w:p>
        </w:tc>
        <w:tc>
          <w:tcPr>
            <w:tcW w:w="0" w:type="auto"/>
            <w:gridSpan w:val="3"/>
            <w:tcBorders>
              <w:top w:val="single" w:sz="8" w:space="0" w:color="333333"/>
            </w:tcBorders>
            <w:shd w:val="clear" w:color="auto" w:fill="auto"/>
            <w:tcMar>
              <w:top w:w="40" w:type="dxa"/>
              <w:left w:w="20" w:type="dxa"/>
              <w:bottom w:w="40" w:type="dxa"/>
              <w:right w:w="20" w:type="dxa"/>
            </w:tcMar>
          </w:tcPr>
          <w:p w14:paraId="36CA4F77" w14:textId="77777777" w:rsidR="00787570" w:rsidRDefault="000D56E2">
            <w:pPr>
              <w:textAlignment w:val="top"/>
            </w:pPr>
            <w:r>
              <w:rPr>
                <w:rFonts w:ascii="Arial" w:eastAsia="宋体" w:hAnsi="Arial" w:cs="Arial"/>
                <w:color w:val="0071C5"/>
                <w:sz w:val="18"/>
                <w:szCs w:val="18"/>
              </w:rPr>
              <w:t>Higher gross margin from platform revenue</w:t>
            </w:r>
          </w:p>
        </w:tc>
      </w:tr>
      <w:tr w:rsidR="00787570" w14:paraId="36CA4F7D" w14:textId="77777777">
        <w:tc>
          <w:tcPr>
            <w:tcW w:w="0" w:type="auto"/>
            <w:gridSpan w:val="2"/>
            <w:shd w:val="clear" w:color="auto" w:fill="auto"/>
            <w:tcMar>
              <w:top w:w="40" w:type="dxa"/>
              <w:left w:w="20" w:type="dxa"/>
              <w:bottom w:w="40" w:type="dxa"/>
              <w:right w:w="0" w:type="dxa"/>
            </w:tcMar>
          </w:tcPr>
          <w:p w14:paraId="36CA4F79" w14:textId="77777777" w:rsidR="00787570" w:rsidRDefault="000D56E2">
            <w:pPr>
              <w:jc w:val="right"/>
              <w:textAlignment w:val="top"/>
            </w:pPr>
            <w:r>
              <w:rPr>
                <w:rFonts w:ascii="Arial" w:eastAsia="宋体" w:hAnsi="Arial" w:cs="Arial"/>
                <w:color w:val="0071C5"/>
                <w:sz w:val="18"/>
                <w:szCs w:val="18"/>
              </w:rPr>
              <w:t>1,580 </w:t>
            </w:r>
          </w:p>
        </w:tc>
        <w:tc>
          <w:tcPr>
            <w:tcW w:w="0" w:type="auto"/>
            <w:shd w:val="clear" w:color="auto" w:fill="auto"/>
            <w:tcMar>
              <w:top w:w="40" w:type="dxa"/>
              <w:bottom w:w="40" w:type="dxa"/>
              <w:right w:w="20" w:type="dxa"/>
            </w:tcMar>
          </w:tcPr>
          <w:p w14:paraId="36CA4F7A"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4F7B" w14:textId="77777777" w:rsidR="00787570" w:rsidRDefault="00787570">
            <w:pPr>
              <w:rPr>
                <w:rFonts w:ascii="宋体"/>
              </w:rPr>
            </w:pPr>
          </w:p>
        </w:tc>
        <w:tc>
          <w:tcPr>
            <w:tcW w:w="0" w:type="auto"/>
            <w:gridSpan w:val="3"/>
            <w:shd w:val="clear" w:color="auto" w:fill="auto"/>
            <w:tcMar>
              <w:top w:w="40" w:type="dxa"/>
              <w:left w:w="20" w:type="dxa"/>
              <w:bottom w:w="40" w:type="dxa"/>
              <w:right w:w="20" w:type="dxa"/>
            </w:tcMar>
          </w:tcPr>
          <w:p w14:paraId="36CA4F7C" w14:textId="77777777" w:rsidR="00787570" w:rsidRDefault="000D56E2">
            <w:pPr>
              <w:textAlignment w:val="top"/>
            </w:pPr>
            <w:r>
              <w:rPr>
                <w:rFonts w:ascii="Arial" w:eastAsia="宋体" w:hAnsi="Arial" w:cs="Arial"/>
                <w:color w:val="0071C5"/>
                <w:sz w:val="18"/>
                <w:szCs w:val="18"/>
              </w:rPr>
              <w:t xml:space="preserve">Higher gross margin from adjacent businesses primarily due to higher margins on NAND, modem, and Wi-Fi, partially offset by lower margins on DCG </w:t>
            </w:r>
            <w:r>
              <w:rPr>
                <w:rFonts w:ascii="Arial" w:eastAsia="宋体" w:hAnsi="Arial" w:cs="Arial"/>
                <w:color w:val="0071C5"/>
                <w:sz w:val="18"/>
                <w:szCs w:val="18"/>
              </w:rPr>
              <w:t>adjacencies</w:t>
            </w:r>
          </w:p>
        </w:tc>
      </w:tr>
      <w:tr w:rsidR="00787570" w14:paraId="36CA4F82" w14:textId="77777777">
        <w:tc>
          <w:tcPr>
            <w:tcW w:w="0" w:type="auto"/>
            <w:gridSpan w:val="2"/>
            <w:shd w:val="clear" w:color="auto" w:fill="auto"/>
            <w:tcMar>
              <w:top w:w="40" w:type="dxa"/>
              <w:left w:w="20" w:type="dxa"/>
              <w:bottom w:w="40" w:type="dxa"/>
              <w:right w:w="0" w:type="dxa"/>
            </w:tcMar>
          </w:tcPr>
          <w:p w14:paraId="36CA4F7E" w14:textId="77777777" w:rsidR="00787570" w:rsidRDefault="000D56E2">
            <w:pPr>
              <w:jc w:val="right"/>
              <w:textAlignment w:val="top"/>
            </w:pPr>
            <w:r>
              <w:rPr>
                <w:rFonts w:ascii="Arial" w:eastAsia="宋体" w:hAnsi="Arial" w:cs="Arial"/>
                <w:color w:val="0071C5"/>
                <w:sz w:val="18"/>
                <w:szCs w:val="18"/>
              </w:rPr>
              <w:t>450 </w:t>
            </w:r>
          </w:p>
        </w:tc>
        <w:tc>
          <w:tcPr>
            <w:tcW w:w="0" w:type="auto"/>
            <w:shd w:val="clear" w:color="auto" w:fill="auto"/>
            <w:tcMar>
              <w:top w:w="40" w:type="dxa"/>
              <w:bottom w:w="40" w:type="dxa"/>
              <w:right w:w="20" w:type="dxa"/>
            </w:tcMar>
          </w:tcPr>
          <w:p w14:paraId="36CA4F7F"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4F80" w14:textId="77777777" w:rsidR="00787570" w:rsidRDefault="00787570">
            <w:pPr>
              <w:rPr>
                <w:rFonts w:ascii="宋体"/>
              </w:rPr>
            </w:pPr>
          </w:p>
        </w:tc>
        <w:tc>
          <w:tcPr>
            <w:tcW w:w="0" w:type="auto"/>
            <w:gridSpan w:val="3"/>
            <w:shd w:val="clear" w:color="auto" w:fill="auto"/>
            <w:tcMar>
              <w:top w:w="40" w:type="dxa"/>
              <w:left w:w="20" w:type="dxa"/>
              <w:bottom w:w="40" w:type="dxa"/>
              <w:right w:w="20" w:type="dxa"/>
            </w:tcMar>
          </w:tcPr>
          <w:p w14:paraId="36CA4F81" w14:textId="77777777" w:rsidR="00787570" w:rsidRDefault="000D56E2">
            <w:pPr>
              <w:textAlignment w:val="top"/>
            </w:pPr>
            <w:r>
              <w:rPr>
                <w:rFonts w:ascii="Arial" w:eastAsia="宋体" w:hAnsi="Arial" w:cs="Arial"/>
                <w:color w:val="0071C5"/>
                <w:sz w:val="18"/>
                <w:szCs w:val="18"/>
              </w:rPr>
              <w:t>Lower period charges due to lower factory startup costs associated with our 10nm products</w:t>
            </w:r>
          </w:p>
        </w:tc>
      </w:tr>
      <w:tr w:rsidR="00787570" w14:paraId="36CA4F87" w14:textId="77777777">
        <w:tc>
          <w:tcPr>
            <w:tcW w:w="0" w:type="auto"/>
            <w:gridSpan w:val="2"/>
            <w:shd w:val="clear" w:color="auto" w:fill="auto"/>
            <w:tcMar>
              <w:top w:w="40" w:type="dxa"/>
              <w:left w:w="20" w:type="dxa"/>
              <w:bottom w:w="40" w:type="dxa"/>
              <w:right w:w="0" w:type="dxa"/>
            </w:tcMar>
          </w:tcPr>
          <w:p w14:paraId="36CA4F83" w14:textId="77777777" w:rsidR="00787570" w:rsidRDefault="000D56E2">
            <w:pPr>
              <w:jc w:val="right"/>
              <w:textAlignment w:val="top"/>
            </w:pPr>
            <w:r>
              <w:rPr>
                <w:rFonts w:ascii="Arial" w:eastAsia="宋体" w:hAnsi="Arial" w:cs="Arial"/>
                <w:color w:val="0071C5"/>
                <w:sz w:val="18"/>
                <w:szCs w:val="18"/>
              </w:rPr>
              <w:t>(2,730)</w:t>
            </w:r>
          </w:p>
        </w:tc>
        <w:tc>
          <w:tcPr>
            <w:tcW w:w="0" w:type="auto"/>
            <w:shd w:val="clear" w:color="auto" w:fill="auto"/>
            <w:tcMar>
              <w:top w:w="40" w:type="dxa"/>
              <w:bottom w:w="40" w:type="dxa"/>
              <w:right w:w="20" w:type="dxa"/>
            </w:tcMar>
          </w:tcPr>
          <w:p w14:paraId="36CA4F84"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4F85" w14:textId="77777777" w:rsidR="00787570" w:rsidRDefault="00787570">
            <w:pPr>
              <w:rPr>
                <w:rFonts w:ascii="宋体"/>
              </w:rPr>
            </w:pPr>
          </w:p>
        </w:tc>
        <w:tc>
          <w:tcPr>
            <w:tcW w:w="0" w:type="auto"/>
            <w:gridSpan w:val="3"/>
            <w:shd w:val="clear" w:color="auto" w:fill="auto"/>
            <w:tcMar>
              <w:top w:w="40" w:type="dxa"/>
              <w:left w:w="20" w:type="dxa"/>
              <w:bottom w:w="40" w:type="dxa"/>
              <w:right w:w="20" w:type="dxa"/>
            </w:tcMar>
          </w:tcPr>
          <w:p w14:paraId="36CA4F86" w14:textId="77777777" w:rsidR="00787570" w:rsidRDefault="000D56E2">
            <w:pPr>
              <w:textAlignment w:val="top"/>
            </w:pPr>
            <w:r>
              <w:rPr>
                <w:rFonts w:ascii="Arial" w:eastAsia="宋体" w:hAnsi="Arial" w:cs="Arial"/>
                <w:color w:val="0071C5"/>
                <w:sz w:val="18"/>
                <w:szCs w:val="18"/>
              </w:rPr>
              <w:t>Higher platform unit cost primarily from increased mix of 10nm products</w:t>
            </w:r>
          </w:p>
        </w:tc>
      </w:tr>
      <w:tr w:rsidR="00787570" w14:paraId="36CA4F8C" w14:textId="77777777">
        <w:tc>
          <w:tcPr>
            <w:tcW w:w="0" w:type="auto"/>
            <w:gridSpan w:val="2"/>
            <w:shd w:val="clear" w:color="auto" w:fill="auto"/>
            <w:tcMar>
              <w:top w:w="40" w:type="dxa"/>
              <w:left w:w="20" w:type="dxa"/>
              <w:bottom w:w="40" w:type="dxa"/>
              <w:right w:w="0" w:type="dxa"/>
            </w:tcMar>
          </w:tcPr>
          <w:p w14:paraId="36CA4F88" w14:textId="77777777" w:rsidR="00787570" w:rsidRDefault="000D56E2">
            <w:pPr>
              <w:jc w:val="right"/>
              <w:textAlignment w:val="top"/>
            </w:pPr>
            <w:r>
              <w:rPr>
                <w:rFonts w:ascii="Arial" w:eastAsia="宋体" w:hAnsi="Arial" w:cs="Arial"/>
                <w:color w:val="0071C5"/>
                <w:sz w:val="18"/>
                <w:szCs w:val="18"/>
              </w:rPr>
              <w:t>(255)</w:t>
            </w:r>
          </w:p>
        </w:tc>
        <w:tc>
          <w:tcPr>
            <w:tcW w:w="0" w:type="auto"/>
            <w:shd w:val="clear" w:color="auto" w:fill="auto"/>
            <w:tcMar>
              <w:top w:w="40" w:type="dxa"/>
              <w:bottom w:w="40" w:type="dxa"/>
              <w:right w:w="20" w:type="dxa"/>
            </w:tcMar>
          </w:tcPr>
          <w:p w14:paraId="36CA4F89"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4F8A" w14:textId="77777777" w:rsidR="00787570" w:rsidRDefault="00787570">
            <w:pPr>
              <w:rPr>
                <w:rFonts w:ascii="宋体"/>
              </w:rPr>
            </w:pPr>
          </w:p>
        </w:tc>
        <w:tc>
          <w:tcPr>
            <w:tcW w:w="0" w:type="auto"/>
            <w:gridSpan w:val="3"/>
            <w:shd w:val="clear" w:color="auto" w:fill="auto"/>
            <w:tcMar>
              <w:top w:w="40" w:type="dxa"/>
              <w:left w:w="20" w:type="dxa"/>
              <w:bottom w:w="40" w:type="dxa"/>
              <w:right w:w="20" w:type="dxa"/>
            </w:tcMar>
          </w:tcPr>
          <w:p w14:paraId="36CA4F8B" w14:textId="77777777" w:rsidR="00787570" w:rsidRDefault="000D56E2">
            <w:pPr>
              <w:textAlignment w:val="top"/>
            </w:pPr>
            <w:r>
              <w:rPr>
                <w:rFonts w:ascii="Arial" w:eastAsia="宋体" w:hAnsi="Arial" w:cs="Arial"/>
                <w:color w:val="0071C5"/>
                <w:sz w:val="18"/>
                <w:szCs w:val="18"/>
              </w:rPr>
              <w:t xml:space="preserve">Higher period charges due to reserved </w:t>
            </w:r>
            <w:r>
              <w:rPr>
                <w:rFonts w:ascii="Arial" w:eastAsia="宋体" w:hAnsi="Arial" w:cs="Arial"/>
                <w:color w:val="0071C5"/>
                <w:sz w:val="18"/>
                <w:szCs w:val="18"/>
              </w:rPr>
              <w:t>non-qualified platform product and lower sell-through of previously reserved non-qualified platform product associated with 10nm</w:t>
            </w:r>
          </w:p>
        </w:tc>
      </w:tr>
      <w:tr w:rsidR="00787570" w14:paraId="36CA4F90" w14:textId="77777777">
        <w:trPr>
          <w:hidden/>
        </w:trPr>
        <w:tc>
          <w:tcPr>
            <w:tcW w:w="0" w:type="auto"/>
            <w:gridSpan w:val="3"/>
            <w:shd w:val="clear" w:color="auto" w:fill="auto"/>
          </w:tcPr>
          <w:p w14:paraId="36CA4F8D" w14:textId="77777777" w:rsidR="00787570" w:rsidRDefault="00787570">
            <w:pPr>
              <w:rPr>
                <w:rFonts w:ascii="宋体"/>
                <w:vanish/>
              </w:rPr>
            </w:pPr>
          </w:p>
        </w:tc>
        <w:tc>
          <w:tcPr>
            <w:tcW w:w="0" w:type="auto"/>
            <w:gridSpan w:val="3"/>
            <w:shd w:val="clear" w:color="auto" w:fill="auto"/>
          </w:tcPr>
          <w:p w14:paraId="36CA4F8E" w14:textId="77777777" w:rsidR="00787570" w:rsidRDefault="00787570">
            <w:pPr>
              <w:rPr>
                <w:rFonts w:ascii="宋体"/>
                <w:vanish/>
              </w:rPr>
            </w:pPr>
          </w:p>
        </w:tc>
        <w:tc>
          <w:tcPr>
            <w:tcW w:w="0" w:type="auto"/>
            <w:gridSpan w:val="3"/>
            <w:shd w:val="clear" w:color="auto" w:fill="auto"/>
          </w:tcPr>
          <w:p w14:paraId="36CA4F8F" w14:textId="77777777" w:rsidR="00787570" w:rsidRDefault="00787570">
            <w:pPr>
              <w:rPr>
                <w:rFonts w:ascii="宋体"/>
                <w:vanish/>
              </w:rPr>
            </w:pPr>
          </w:p>
        </w:tc>
      </w:tr>
      <w:tr w:rsidR="00787570" w14:paraId="36CA4F94" w14:textId="77777777">
        <w:trPr>
          <w:hidden/>
        </w:trPr>
        <w:tc>
          <w:tcPr>
            <w:tcW w:w="0" w:type="auto"/>
            <w:gridSpan w:val="3"/>
            <w:shd w:val="clear" w:color="auto" w:fill="auto"/>
          </w:tcPr>
          <w:p w14:paraId="36CA4F91" w14:textId="77777777" w:rsidR="00787570" w:rsidRDefault="00787570">
            <w:pPr>
              <w:rPr>
                <w:rFonts w:ascii="宋体"/>
                <w:vanish/>
              </w:rPr>
            </w:pPr>
          </w:p>
        </w:tc>
        <w:tc>
          <w:tcPr>
            <w:tcW w:w="0" w:type="auto"/>
            <w:gridSpan w:val="3"/>
            <w:shd w:val="clear" w:color="auto" w:fill="auto"/>
          </w:tcPr>
          <w:p w14:paraId="36CA4F92" w14:textId="77777777" w:rsidR="00787570" w:rsidRDefault="00787570">
            <w:pPr>
              <w:rPr>
                <w:rFonts w:ascii="宋体"/>
                <w:vanish/>
              </w:rPr>
            </w:pPr>
          </w:p>
        </w:tc>
        <w:tc>
          <w:tcPr>
            <w:tcW w:w="0" w:type="auto"/>
            <w:gridSpan w:val="3"/>
            <w:shd w:val="clear" w:color="auto" w:fill="auto"/>
          </w:tcPr>
          <w:p w14:paraId="36CA4F93" w14:textId="77777777" w:rsidR="00787570" w:rsidRDefault="00787570">
            <w:pPr>
              <w:rPr>
                <w:rFonts w:ascii="宋体"/>
                <w:vanish/>
              </w:rPr>
            </w:pPr>
          </w:p>
        </w:tc>
      </w:tr>
      <w:tr w:rsidR="00787570" w14:paraId="36CA4F98" w14:textId="77777777">
        <w:trPr>
          <w:hidden/>
        </w:trPr>
        <w:tc>
          <w:tcPr>
            <w:tcW w:w="0" w:type="auto"/>
            <w:gridSpan w:val="3"/>
            <w:shd w:val="clear" w:color="auto" w:fill="auto"/>
          </w:tcPr>
          <w:p w14:paraId="36CA4F95" w14:textId="77777777" w:rsidR="00787570" w:rsidRDefault="00787570">
            <w:pPr>
              <w:rPr>
                <w:rFonts w:ascii="宋体"/>
                <w:vanish/>
              </w:rPr>
            </w:pPr>
          </w:p>
        </w:tc>
        <w:tc>
          <w:tcPr>
            <w:tcW w:w="0" w:type="auto"/>
            <w:gridSpan w:val="3"/>
            <w:shd w:val="clear" w:color="auto" w:fill="auto"/>
          </w:tcPr>
          <w:p w14:paraId="36CA4F96" w14:textId="77777777" w:rsidR="00787570" w:rsidRDefault="00787570">
            <w:pPr>
              <w:rPr>
                <w:rFonts w:ascii="宋体"/>
                <w:vanish/>
              </w:rPr>
            </w:pPr>
          </w:p>
        </w:tc>
        <w:tc>
          <w:tcPr>
            <w:tcW w:w="0" w:type="auto"/>
            <w:gridSpan w:val="3"/>
            <w:shd w:val="clear" w:color="auto" w:fill="auto"/>
          </w:tcPr>
          <w:p w14:paraId="36CA4F97" w14:textId="77777777" w:rsidR="00787570" w:rsidRDefault="00787570">
            <w:pPr>
              <w:rPr>
                <w:rFonts w:ascii="宋体"/>
                <w:vanish/>
              </w:rPr>
            </w:pPr>
          </w:p>
        </w:tc>
      </w:tr>
      <w:tr w:rsidR="00787570" w14:paraId="36CA4F9C" w14:textId="77777777">
        <w:trPr>
          <w:hidden/>
        </w:trPr>
        <w:tc>
          <w:tcPr>
            <w:tcW w:w="0" w:type="auto"/>
            <w:gridSpan w:val="3"/>
            <w:shd w:val="clear" w:color="auto" w:fill="auto"/>
          </w:tcPr>
          <w:p w14:paraId="36CA4F99" w14:textId="77777777" w:rsidR="00787570" w:rsidRDefault="00787570">
            <w:pPr>
              <w:rPr>
                <w:rFonts w:ascii="宋体"/>
                <w:vanish/>
              </w:rPr>
            </w:pPr>
          </w:p>
        </w:tc>
        <w:tc>
          <w:tcPr>
            <w:tcW w:w="0" w:type="auto"/>
            <w:gridSpan w:val="3"/>
            <w:shd w:val="clear" w:color="auto" w:fill="auto"/>
          </w:tcPr>
          <w:p w14:paraId="36CA4F9A" w14:textId="77777777" w:rsidR="00787570" w:rsidRDefault="00787570">
            <w:pPr>
              <w:rPr>
                <w:rFonts w:ascii="宋体"/>
                <w:vanish/>
              </w:rPr>
            </w:pPr>
          </w:p>
        </w:tc>
        <w:tc>
          <w:tcPr>
            <w:tcW w:w="0" w:type="auto"/>
            <w:gridSpan w:val="3"/>
            <w:shd w:val="clear" w:color="auto" w:fill="auto"/>
          </w:tcPr>
          <w:p w14:paraId="36CA4F9B" w14:textId="77777777" w:rsidR="00787570" w:rsidRDefault="00787570">
            <w:pPr>
              <w:rPr>
                <w:rFonts w:ascii="宋体"/>
                <w:vanish/>
              </w:rPr>
            </w:pPr>
          </w:p>
        </w:tc>
      </w:tr>
      <w:tr w:rsidR="00787570" w14:paraId="36CA4FA0" w14:textId="77777777">
        <w:trPr>
          <w:hidden/>
        </w:trPr>
        <w:tc>
          <w:tcPr>
            <w:tcW w:w="0" w:type="auto"/>
            <w:gridSpan w:val="3"/>
            <w:shd w:val="clear" w:color="auto" w:fill="auto"/>
          </w:tcPr>
          <w:p w14:paraId="36CA4F9D" w14:textId="77777777" w:rsidR="00787570" w:rsidRDefault="00787570">
            <w:pPr>
              <w:rPr>
                <w:rFonts w:ascii="宋体"/>
                <w:vanish/>
              </w:rPr>
            </w:pPr>
          </w:p>
        </w:tc>
        <w:tc>
          <w:tcPr>
            <w:tcW w:w="0" w:type="auto"/>
            <w:gridSpan w:val="3"/>
            <w:shd w:val="clear" w:color="auto" w:fill="auto"/>
          </w:tcPr>
          <w:p w14:paraId="36CA4F9E" w14:textId="77777777" w:rsidR="00787570" w:rsidRDefault="00787570">
            <w:pPr>
              <w:rPr>
                <w:rFonts w:ascii="宋体"/>
                <w:vanish/>
              </w:rPr>
            </w:pPr>
          </w:p>
        </w:tc>
        <w:tc>
          <w:tcPr>
            <w:tcW w:w="0" w:type="auto"/>
            <w:gridSpan w:val="3"/>
            <w:shd w:val="clear" w:color="auto" w:fill="auto"/>
          </w:tcPr>
          <w:p w14:paraId="36CA4F9F" w14:textId="77777777" w:rsidR="00787570" w:rsidRDefault="00787570">
            <w:pPr>
              <w:rPr>
                <w:rFonts w:ascii="宋体"/>
                <w:vanish/>
              </w:rPr>
            </w:pPr>
          </w:p>
        </w:tc>
      </w:tr>
      <w:tr w:rsidR="00787570" w14:paraId="36CA4FA4" w14:textId="77777777">
        <w:trPr>
          <w:hidden/>
        </w:trPr>
        <w:tc>
          <w:tcPr>
            <w:tcW w:w="0" w:type="auto"/>
            <w:gridSpan w:val="3"/>
            <w:shd w:val="clear" w:color="auto" w:fill="auto"/>
          </w:tcPr>
          <w:p w14:paraId="36CA4FA1" w14:textId="77777777" w:rsidR="00787570" w:rsidRDefault="00787570">
            <w:pPr>
              <w:rPr>
                <w:rFonts w:ascii="宋体"/>
                <w:vanish/>
              </w:rPr>
            </w:pPr>
          </w:p>
        </w:tc>
        <w:tc>
          <w:tcPr>
            <w:tcW w:w="0" w:type="auto"/>
            <w:gridSpan w:val="3"/>
            <w:shd w:val="clear" w:color="auto" w:fill="auto"/>
          </w:tcPr>
          <w:p w14:paraId="36CA4FA2" w14:textId="77777777" w:rsidR="00787570" w:rsidRDefault="00787570">
            <w:pPr>
              <w:rPr>
                <w:rFonts w:ascii="宋体"/>
                <w:vanish/>
              </w:rPr>
            </w:pPr>
          </w:p>
        </w:tc>
        <w:tc>
          <w:tcPr>
            <w:tcW w:w="0" w:type="auto"/>
            <w:gridSpan w:val="3"/>
            <w:shd w:val="clear" w:color="auto" w:fill="auto"/>
          </w:tcPr>
          <w:p w14:paraId="36CA4FA3" w14:textId="77777777" w:rsidR="00787570" w:rsidRDefault="00787570">
            <w:pPr>
              <w:rPr>
                <w:rFonts w:ascii="宋体"/>
                <w:vanish/>
              </w:rPr>
            </w:pPr>
          </w:p>
        </w:tc>
      </w:tr>
      <w:tr w:rsidR="00787570" w14:paraId="36CA4FA9" w14:textId="77777777">
        <w:tc>
          <w:tcPr>
            <w:tcW w:w="0" w:type="auto"/>
            <w:gridSpan w:val="2"/>
            <w:shd w:val="clear" w:color="auto" w:fill="auto"/>
            <w:tcMar>
              <w:top w:w="40" w:type="dxa"/>
              <w:left w:w="20" w:type="dxa"/>
              <w:bottom w:w="40" w:type="dxa"/>
              <w:right w:w="0" w:type="dxa"/>
            </w:tcMar>
          </w:tcPr>
          <w:p w14:paraId="36CA4FA5" w14:textId="77777777" w:rsidR="00787570" w:rsidRDefault="000D56E2">
            <w:pPr>
              <w:jc w:val="right"/>
              <w:textAlignment w:val="top"/>
            </w:pPr>
            <w:r>
              <w:rPr>
                <w:rFonts w:ascii="Arial" w:eastAsia="宋体" w:hAnsi="Arial" w:cs="Arial"/>
                <w:color w:val="0071C5"/>
                <w:sz w:val="18"/>
                <w:szCs w:val="18"/>
              </w:rPr>
              <w:t>(148)</w:t>
            </w:r>
          </w:p>
        </w:tc>
        <w:tc>
          <w:tcPr>
            <w:tcW w:w="0" w:type="auto"/>
            <w:shd w:val="clear" w:color="auto" w:fill="auto"/>
            <w:tcMar>
              <w:top w:w="40" w:type="dxa"/>
              <w:bottom w:w="40" w:type="dxa"/>
              <w:right w:w="20" w:type="dxa"/>
            </w:tcMar>
          </w:tcPr>
          <w:p w14:paraId="36CA4FA6"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4FA7" w14:textId="77777777" w:rsidR="00787570" w:rsidRDefault="00787570">
            <w:pPr>
              <w:rPr>
                <w:rFonts w:ascii="宋体"/>
              </w:rPr>
            </w:pPr>
          </w:p>
        </w:tc>
        <w:tc>
          <w:tcPr>
            <w:tcW w:w="0" w:type="auto"/>
            <w:gridSpan w:val="3"/>
            <w:shd w:val="clear" w:color="auto" w:fill="auto"/>
            <w:tcMar>
              <w:top w:w="40" w:type="dxa"/>
              <w:left w:w="20" w:type="dxa"/>
              <w:bottom w:w="40" w:type="dxa"/>
              <w:right w:w="20" w:type="dxa"/>
            </w:tcMar>
          </w:tcPr>
          <w:p w14:paraId="36CA4FA8" w14:textId="77777777" w:rsidR="00787570" w:rsidRDefault="000D56E2">
            <w:pPr>
              <w:textAlignment w:val="top"/>
            </w:pPr>
            <w:r>
              <w:rPr>
                <w:rFonts w:ascii="Arial" w:eastAsia="宋体" w:hAnsi="Arial" w:cs="Arial"/>
                <w:color w:val="0071C5"/>
                <w:sz w:val="18"/>
                <w:szCs w:val="18"/>
              </w:rPr>
              <w:t>Other</w:t>
            </w:r>
          </w:p>
        </w:tc>
      </w:tr>
      <w:tr w:rsidR="00787570" w14:paraId="36CA4FAF" w14:textId="77777777">
        <w:tc>
          <w:tcPr>
            <w:tcW w:w="0" w:type="auto"/>
            <w:tcBorders>
              <w:top w:val="single" w:sz="8" w:space="0" w:color="333333"/>
              <w:bottom w:val="single" w:sz="8" w:space="0" w:color="333333"/>
            </w:tcBorders>
            <w:shd w:val="clear" w:color="auto" w:fill="auto"/>
            <w:tcMar>
              <w:top w:w="40" w:type="dxa"/>
              <w:left w:w="20" w:type="dxa"/>
              <w:bottom w:w="40" w:type="dxa"/>
            </w:tcMar>
            <w:vAlign w:val="bottom"/>
          </w:tcPr>
          <w:p w14:paraId="36CA4FAA" w14:textId="77777777" w:rsidR="00787570" w:rsidRDefault="000D56E2">
            <w:pPr>
              <w:textAlignment w:val="bottom"/>
            </w:pPr>
            <w:r>
              <w:rPr>
                <w:rFonts w:ascii="Arial" w:eastAsia="宋体" w:hAnsi="Arial" w:cs="Arial"/>
                <w:b/>
                <w:bCs/>
                <w:color w:val="333333"/>
                <w:sz w:val="18"/>
                <w:szCs w:val="18"/>
              </w:rPr>
              <w:t>$</w:t>
            </w:r>
          </w:p>
        </w:tc>
        <w:tc>
          <w:tcPr>
            <w:tcW w:w="0" w:type="auto"/>
            <w:tcBorders>
              <w:top w:val="single" w:sz="8" w:space="0" w:color="333333"/>
              <w:bottom w:val="single" w:sz="8" w:space="0" w:color="333333"/>
            </w:tcBorders>
            <w:shd w:val="clear" w:color="auto" w:fill="auto"/>
            <w:tcMar>
              <w:top w:w="40" w:type="dxa"/>
              <w:bottom w:w="40" w:type="dxa"/>
              <w:right w:w="0" w:type="dxa"/>
            </w:tcMar>
            <w:vAlign w:val="bottom"/>
          </w:tcPr>
          <w:p w14:paraId="36CA4FAB" w14:textId="77777777" w:rsidR="00787570" w:rsidRDefault="000D56E2">
            <w:pPr>
              <w:jc w:val="right"/>
              <w:textAlignment w:val="bottom"/>
            </w:pPr>
            <w:r>
              <w:rPr>
                <w:rFonts w:ascii="Arial" w:eastAsia="宋体" w:hAnsi="Arial" w:cs="Arial"/>
                <w:b/>
                <w:bCs/>
                <w:color w:val="333333"/>
                <w:sz w:val="18"/>
                <w:szCs w:val="18"/>
              </w:rPr>
              <w:t>30,262</w:t>
            </w:r>
            <w:r>
              <w:rPr>
                <w:rFonts w:ascii="Arial" w:eastAsia="宋体" w:hAnsi="Arial" w:cs="Arial"/>
                <w:color w:val="333333"/>
                <w:sz w:val="18"/>
                <w:szCs w:val="18"/>
              </w:rPr>
              <w:t> </w:t>
            </w:r>
          </w:p>
        </w:tc>
        <w:tc>
          <w:tcPr>
            <w:tcW w:w="0" w:type="auto"/>
            <w:tcBorders>
              <w:top w:val="single" w:sz="8" w:space="0" w:color="333333"/>
              <w:bottom w:val="single" w:sz="8" w:space="0" w:color="333333"/>
            </w:tcBorders>
            <w:shd w:val="clear" w:color="auto" w:fill="auto"/>
            <w:tcMar>
              <w:top w:w="40" w:type="dxa"/>
              <w:bottom w:w="40" w:type="dxa"/>
              <w:right w:w="20" w:type="dxa"/>
            </w:tcMar>
            <w:vAlign w:val="bottom"/>
          </w:tcPr>
          <w:p w14:paraId="36CA4FAC"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4FAD" w14:textId="77777777" w:rsidR="00787570" w:rsidRDefault="00787570">
            <w:pPr>
              <w:rPr>
                <w:rFonts w:ascii="宋体"/>
              </w:rPr>
            </w:pPr>
          </w:p>
        </w:tc>
        <w:tc>
          <w:tcPr>
            <w:tcW w:w="0" w:type="auto"/>
            <w:gridSpan w:val="3"/>
            <w:tcBorders>
              <w:top w:val="single" w:sz="8" w:space="0" w:color="333333"/>
              <w:bottom w:val="single" w:sz="8" w:space="0" w:color="333333"/>
            </w:tcBorders>
            <w:shd w:val="clear" w:color="auto" w:fill="auto"/>
            <w:tcMar>
              <w:top w:w="40" w:type="dxa"/>
              <w:left w:w="20" w:type="dxa"/>
              <w:bottom w:w="40" w:type="dxa"/>
              <w:right w:w="20" w:type="dxa"/>
            </w:tcMar>
            <w:vAlign w:val="bottom"/>
          </w:tcPr>
          <w:p w14:paraId="36CA4FAE" w14:textId="77777777" w:rsidR="00787570" w:rsidRDefault="000D56E2">
            <w:pPr>
              <w:textAlignment w:val="bottom"/>
            </w:pPr>
            <w:r>
              <w:rPr>
                <w:rFonts w:ascii="Arial" w:eastAsia="宋体" w:hAnsi="Arial" w:cs="Arial"/>
                <w:b/>
                <w:bCs/>
                <w:color w:val="333333"/>
                <w:sz w:val="18"/>
                <w:szCs w:val="18"/>
              </w:rPr>
              <w:t>YTD 2019 Gross Margin</w:t>
            </w:r>
          </w:p>
        </w:tc>
      </w:tr>
    </w:tbl>
    <w:p w14:paraId="36CA4FB0" w14:textId="77777777" w:rsidR="00787570" w:rsidRDefault="00787570">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95"/>
        <w:gridCol w:w="416"/>
        <w:gridCol w:w="36"/>
        <w:gridCol w:w="47"/>
        <w:gridCol w:w="4254"/>
        <w:gridCol w:w="36"/>
        <w:gridCol w:w="47"/>
        <w:gridCol w:w="3369"/>
        <w:gridCol w:w="36"/>
      </w:tblGrid>
      <w:tr w:rsidR="00787570" w14:paraId="36CA4FBA" w14:textId="77777777">
        <w:tc>
          <w:tcPr>
            <w:tcW w:w="50" w:type="pct"/>
            <w:shd w:val="clear" w:color="auto" w:fill="auto"/>
            <w:vAlign w:val="bottom"/>
          </w:tcPr>
          <w:p w14:paraId="36CA4FB1" w14:textId="77777777" w:rsidR="00787570" w:rsidRDefault="00787570">
            <w:pPr>
              <w:rPr>
                <w:rFonts w:ascii="宋体"/>
              </w:rPr>
            </w:pPr>
          </w:p>
        </w:tc>
        <w:tc>
          <w:tcPr>
            <w:tcW w:w="220" w:type="pct"/>
            <w:shd w:val="clear" w:color="auto" w:fill="auto"/>
            <w:vAlign w:val="bottom"/>
          </w:tcPr>
          <w:p w14:paraId="36CA4FB2" w14:textId="77777777" w:rsidR="00787570" w:rsidRDefault="00787570">
            <w:pPr>
              <w:rPr>
                <w:rFonts w:ascii="宋体"/>
              </w:rPr>
            </w:pPr>
          </w:p>
        </w:tc>
        <w:tc>
          <w:tcPr>
            <w:tcW w:w="5" w:type="pct"/>
            <w:shd w:val="clear" w:color="auto" w:fill="auto"/>
            <w:vAlign w:val="bottom"/>
          </w:tcPr>
          <w:p w14:paraId="36CA4FB3" w14:textId="77777777" w:rsidR="00787570" w:rsidRDefault="00787570">
            <w:pPr>
              <w:rPr>
                <w:rFonts w:ascii="宋体"/>
              </w:rPr>
            </w:pPr>
          </w:p>
        </w:tc>
        <w:tc>
          <w:tcPr>
            <w:tcW w:w="50" w:type="pct"/>
            <w:shd w:val="clear" w:color="auto" w:fill="auto"/>
            <w:vAlign w:val="bottom"/>
          </w:tcPr>
          <w:p w14:paraId="36CA4FB4" w14:textId="77777777" w:rsidR="00787570" w:rsidRDefault="00787570">
            <w:pPr>
              <w:rPr>
                <w:rFonts w:ascii="宋体"/>
              </w:rPr>
            </w:pPr>
          </w:p>
        </w:tc>
        <w:tc>
          <w:tcPr>
            <w:tcW w:w="2572" w:type="pct"/>
            <w:shd w:val="clear" w:color="auto" w:fill="auto"/>
            <w:vAlign w:val="bottom"/>
          </w:tcPr>
          <w:p w14:paraId="36CA4FB5" w14:textId="77777777" w:rsidR="00787570" w:rsidRDefault="00787570">
            <w:pPr>
              <w:rPr>
                <w:rFonts w:ascii="宋体"/>
              </w:rPr>
            </w:pPr>
          </w:p>
        </w:tc>
        <w:tc>
          <w:tcPr>
            <w:tcW w:w="5" w:type="pct"/>
            <w:shd w:val="clear" w:color="auto" w:fill="auto"/>
            <w:vAlign w:val="bottom"/>
          </w:tcPr>
          <w:p w14:paraId="36CA4FB6" w14:textId="77777777" w:rsidR="00787570" w:rsidRDefault="00787570">
            <w:pPr>
              <w:rPr>
                <w:rFonts w:ascii="宋体"/>
              </w:rPr>
            </w:pPr>
          </w:p>
        </w:tc>
        <w:tc>
          <w:tcPr>
            <w:tcW w:w="50" w:type="pct"/>
            <w:shd w:val="clear" w:color="auto" w:fill="auto"/>
            <w:vAlign w:val="bottom"/>
          </w:tcPr>
          <w:p w14:paraId="36CA4FB7" w14:textId="77777777" w:rsidR="00787570" w:rsidRDefault="00787570">
            <w:pPr>
              <w:rPr>
                <w:rFonts w:ascii="宋体"/>
              </w:rPr>
            </w:pPr>
          </w:p>
        </w:tc>
        <w:tc>
          <w:tcPr>
            <w:tcW w:w="2042" w:type="pct"/>
            <w:shd w:val="clear" w:color="auto" w:fill="auto"/>
            <w:vAlign w:val="bottom"/>
          </w:tcPr>
          <w:p w14:paraId="36CA4FB8" w14:textId="77777777" w:rsidR="00787570" w:rsidRDefault="00787570">
            <w:pPr>
              <w:rPr>
                <w:rFonts w:ascii="宋体"/>
              </w:rPr>
            </w:pPr>
          </w:p>
        </w:tc>
        <w:tc>
          <w:tcPr>
            <w:tcW w:w="5" w:type="pct"/>
            <w:shd w:val="clear" w:color="auto" w:fill="auto"/>
            <w:vAlign w:val="bottom"/>
          </w:tcPr>
          <w:p w14:paraId="36CA4FB9" w14:textId="77777777" w:rsidR="00787570" w:rsidRDefault="00787570">
            <w:pPr>
              <w:rPr>
                <w:rFonts w:ascii="宋体"/>
              </w:rPr>
            </w:pPr>
          </w:p>
        </w:tc>
      </w:tr>
      <w:tr w:rsidR="00787570" w14:paraId="36CA4FBE" w14:textId="77777777">
        <w:tc>
          <w:tcPr>
            <w:tcW w:w="0" w:type="auto"/>
            <w:gridSpan w:val="3"/>
            <w:tcBorders>
              <w:top w:val="single" w:sz="8" w:space="0" w:color="0071C5"/>
            </w:tcBorders>
            <w:shd w:val="clear" w:color="auto" w:fill="auto"/>
            <w:tcMar>
              <w:left w:w="20" w:type="dxa"/>
              <w:right w:w="20" w:type="dxa"/>
            </w:tcMar>
            <w:vAlign w:val="center"/>
          </w:tcPr>
          <w:p w14:paraId="36CA4FBB" w14:textId="77777777" w:rsidR="00787570" w:rsidRDefault="000D56E2">
            <w:pPr>
              <w:textAlignment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Viewer9_files/intc-20200926_g2.jpg"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36CA5C70" wp14:editId="36CA5C71">
                  <wp:extent cx="304800" cy="304800"/>
                  <wp:effectExtent l="0" t="0" r="0" b="0"/>
                  <wp:docPr id="48" name="图片 127" descr="IMG_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127" descr="IMG_329"/>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8" w:space="0" w:color="0071C5"/>
            </w:tcBorders>
            <w:shd w:val="clear" w:color="auto" w:fill="auto"/>
            <w:tcMar>
              <w:top w:w="40" w:type="dxa"/>
              <w:left w:w="20" w:type="dxa"/>
              <w:bottom w:w="40" w:type="dxa"/>
              <w:right w:w="20" w:type="dxa"/>
            </w:tcMar>
            <w:vAlign w:val="center"/>
          </w:tcPr>
          <w:p w14:paraId="36CA4FBC" w14:textId="77777777" w:rsidR="00787570" w:rsidRDefault="000D56E2">
            <w:pPr>
              <w:textAlignment w:val="center"/>
            </w:pPr>
            <w:r>
              <w:rPr>
                <w:rFonts w:ascii="Arial" w:eastAsia="宋体" w:hAnsi="Arial" w:cs="Arial"/>
                <w:color w:val="333333"/>
                <w:sz w:val="16"/>
                <w:szCs w:val="16"/>
              </w:rPr>
              <w:t>MD&amp;A</w:t>
            </w:r>
          </w:p>
        </w:tc>
        <w:tc>
          <w:tcPr>
            <w:tcW w:w="0" w:type="auto"/>
            <w:gridSpan w:val="3"/>
            <w:tcBorders>
              <w:top w:val="single" w:sz="8" w:space="0" w:color="0071C5"/>
            </w:tcBorders>
            <w:shd w:val="clear" w:color="auto" w:fill="auto"/>
            <w:tcMar>
              <w:top w:w="40" w:type="dxa"/>
              <w:left w:w="20" w:type="dxa"/>
              <w:bottom w:w="40" w:type="dxa"/>
              <w:right w:w="20" w:type="dxa"/>
            </w:tcMar>
            <w:vAlign w:val="center"/>
          </w:tcPr>
          <w:p w14:paraId="36CA4FBD" w14:textId="77777777" w:rsidR="00787570" w:rsidRDefault="000D56E2">
            <w:pPr>
              <w:jc w:val="right"/>
              <w:textAlignment w:val="center"/>
            </w:pPr>
            <w:r>
              <w:rPr>
                <w:rFonts w:ascii="Arial" w:eastAsia="宋体" w:hAnsi="Arial" w:cs="Arial"/>
                <w:color w:val="333333"/>
                <w:sz w:val="16"/>
                <w:szCs w:val="16"/>
              </w:rPr>
              <w:t>37</w:t>
            </w:r>
          </w:p>
        </w:tc>
      </w:tr>
    </w:tbl>
    <w:p w14:paraId="36CA4FBF" w14:textId="77777777" w:rsidR="00787570" w:rsidRDefault="000D56E2">
      <w:r>
        <w:pict w14:anchorId="36CA5C72">
          <v:rect id="_x0000_i1063" style="width:415.3pt;height:1.5pt" o:hralign="center" o:hrstd="t" o:hr="t" fillcolor="#a0a0a0" stroked="f"/>
        </w:pict>
      </w:r>
    </w:p>
    <w:p w14:paraId="36CA4FC0" w14:textId="77777777" w:rsidR="00787570" w:rsidRDefault="000D56E2">
      <w:pPr>
        <w:spacing w:after="180"/>
        <w:jc w:val="right"/>
      </w:pPr>
      <w:hyperlink r:id="rId65" w:anchor="i32771df14e9449d2bec5be911426bf04_7" w:history="1">
        <w:r>
          <w:rPr>
            <w:rStyle w:val="a5"/>
            <w:rFonts w:ascii="Arial" w:eastAsia="宋体" w:hAnsi="Arial" w:cs="Arial"/>
            <w:b/>
            <w:bCs/>
            <w:sz w:val="16"/>
            <w:szCs w:val="16"/>
          </w:rPr>
          <w:t>Table of Contents</w:t>
        </w:r>
      </w:hyperlink>
    </w:p>
    <w:p w14:paraId="36CA4FC1" w14:textId="77777777" w:rsidR="00787570" w:rsidRDefault="00787570">
      <w:pPr>
        <w:spacing w:after="180"/>
        <w:jc w:val="right"/>
      </w:pPr>
    </w:p>
    <w:p w14:paraId="36CA4FC2" w14:textId="77777777" w:rsidR="00787570" w:rsidRDefault="000D56E2">
      <w:pPr>
        <w:spacing w:after="180"/>
      </w:pPr>
      <w:r>
        <w:rPr>
          <w:rFonts w:ascii="Arial" w:eastAsia="宋体" w:hAnsi="Arial" w:cs="Arial"/>
          <w:b/>
          <w:bCs/>
          <w:color w:val="0071C5"/>
          <w:sz w:val="28"/>
          <w:szCs w:val="28"/>
        </w:rPr>
        <w:t>OPERATING EXPENSES</w:t>
      </w:r>
    </w:p>
    <w:p w14:paraId="36CA4FC3" w14:textId="77777777" w:rsidR="00787570" w:rsidRDefault="000D56E2">
      <w:pPr>
        <w:spacing w:after="180"/>
      </w:pPr>
      <w:r>
        <w:rPr>
          <w:rFonts w:ascii="Arial" w:eastAsia="宋体" w:hAnsi="Arial" w:cs="Arial"/>
          <w:color w:val="333333"/>
          <w:sz w:val="18"/>
          <w:szCs w:val="18"/>
        </w:rPr>
        <w:t xml:space="preserve">Total R&amp;D and MG&amp;A expenses for Q3 2020 were $4.7 </w:t>
      </w:r>
      <w:r>
        <w:rPr>
          <w:rFonts w:ascii="Arial" w:eastAsia="宋体" w:hAnsi="Arial" w:cs="Arial"/>
          <w:color w:val="333333"/>
          <w:sz w:val="18"/>
          <w:szCs w:val="18"/>
        </w:rPr>
        <w:t xml:space="preserve">billion, down 1% from Q3 2019, and $14.3 billion for YTD 2020, down 3% from YTD 2019. These expenses represent 25.7% of revenue for Q3 2020 and 24.7% of revenue for Q3 2019, and 24.7% of revenue in the first nine months of 2020 and 28.5% of revenue in the </w:t>
      </w:r>
      <w:r>
        <w:rPr>
          <w:rFonts w:ascii="Arial" w:eastAsia="宋体" w:hAnsi="Arial" w:cs="Arial"/>
          <w:color w:val="333333"/>
          <w:sz w:val="18"/>
          <w:szCs w:val="18"/>
        </w:rPr>
        <w:t>first nine months of 2019.</w:t>
      </w:r>
    </w:p>
    <w:tbl>
      <w:tblPr>
        <w:tblW w:w="10680" w:type="dxa"/>
        <w:tblCellMar>
          <w:top w:w="15" w:type="dxa"/>
          <w:left w:w="15" w:type="dxa"/>
          <w:bottom w:w="15" w:type="dxa"/>
          <w:right w:w="15" w:type="dxa"/>
        </w:tblCellMar>
        <w:tblLook w:val="04A0" w:firstRow="1" w:lastRow="0" w:firstColumn="1" w:lastColumn="0" w:noHBand="0" w:noVBand="1"/>
      </w:tblPr>
      <w:tblGrid>
        <w:gridCol w:w="36"/>
        <w:gridCol w:w="300"/>
        <w:gridCol w:w="36"/>
        <w:gridCol w:w="36"/>
        <w:gridCol w:w="4983"/>
        <w:gridCol w:w="36"/>
        <w:gridCol w:w="36"/>
        <w:gridCol w:w="182"/>
        <w:gridCol w:w="36"/>
        <w:gridCol w:w="36"/>
        <w:gridCol w:w="4927"/>
        <w:gridCol w:w="36"/>
      </w:tblGrid>
      <w:tr w:rsidR="00787570" w14:paraId="36CA4FD0" w14:textId="77777777">
        <w:tc>
          <w:tcPr>
            <w:tcW w:w="20" w:type="dxa"/>
            <w:shd w:val="clear" w:color="auto" w:fill="auto"/>
          </w:tcPr>
          <w:p w14:paraId="36CA4FC4" w14:textId="77777777" w:rsidR="00787570" w:rsidRDefault="00787570">
            <w:pPr>
              <w:rPr>
                <w:rFonts w:ascii="宋体"/>
              </w:rPr>
            </w:pPr>
          </w:p>
        </w:tc>
        <w:tc>
          <w:tcPr>
            <w:tcW w:w="305" w:type="dxa"/>
            <w:shd w:val="clear" w:color="auto" w:fill="auto"/>
          </w:tcPr>
          <w:p w14:paraId="36CA4FC5" w14:textId="77777777" w:rsidR="00787570" w:rsidRDefault="00787570">
            <w:pPr>
              <w:rPr>
                <w:rFonts w:ascii="宋体"/>
              </w:rPr>
            </w:pPr>
          </w:p>
        </w:tc>
        <w:tc>
          <w:tcPr>
            <w:tcW w:w="20" w:type="dxa"/>
            <w:shd w:val="clear" w:color="auto" w:fill="auto"/>
          </w:tcPr>
          <w:p w14:paraId="36CA4FC6" w14:textId="77777777" w:rsidR="00787570" w:rsidRDefault="00787570">
            <w:pPr>
              <w:rPr>
                <w:rFonts w:ascii="宋体"/>
              </w:rPr>
            </w:pPr>
          </w:p>
        </w:tc>
        <w:tc>
          <w:tcPr>
            <w:tcW w:w="20" w:type="dxa"/>
            <w:shd w:val="clear" w:color="auto" w:fill="auto"/>
          </w:tcPr>
          <w:p w14:paraId="36CA4FC7" w14:textId="77777777" w:rsidR="00787570" w:rsidRDefault="00787570">
            <w:pPr>
              <w:rPr>
                <w:rFonts w:ascii="宋体"/>
              </w:rPr>
            </w:pPr>
          </w:p>
        </w:tc>
        <w:tc>
          <w:tcPr>
            <w:tcW w:w="5045" w:type="dxa"/>
            <w:shd w:val="clear" w:color="auto" w:fill="auto"/>
          </w:tcPr>
          <w:p w14:paraId="36CA4FC8" w14:textId="77777777" w:rsidR="00787570" w:rsidRDefault="00787570">
            <w:pPr>
              <w:rPr>
                <w:rFonts w:ascii="宋体"/>
              </w:rPr>
            </w:pPr>
          </w:p>
        </w:tc>
        <w:tc>
          <w:tcPr>
            <w:tcW w:w="20" w:type="dxa"/>
            <w:shd w:val="clear" w:color="auto" w:fill="auto"/>
          </w:tcPr>
          <w:p w14:paraId="36CA4FC9" w14:textId="77777777" w:rsidR="00787570" w:rsidRDefault="00787570">
            <w:pPr>
              <w:rPr>
                <w:rFonts w:ascii="宋体"/>
              </w:rPr>
            </w:pPr>
          </w:p>
        </w:tc>
        <w:tc>
          <w:tcPr>
            <w:tcW w:w="20" w:type="dxa"/>
            <w:shd w:val="clear" w:color="auto" w:fill="auto"/>
          </w:tcPr>
          <w:p w14:paraId="36CA4FCA" w14:textId="77777777" w:rsidR="00787570" w:rsidRDefault="00787570">
            <w:pPr>
              <w:rPr>
                <w:rFonts w:ascii="宋体"/>
              </w:rPr>
            </w:pPr>
          </w:p>
        </w:tc>
        <w:tc>
          <w:tcPr>
            <w:tcW w:w="185" w:type="dxa"/>
            <w:shd w:val="clear" w:color="auto" w:fill="auto"/>
          </w:tcPr>
          <w:p w14:paraId="36CA4FCB" w14:textId="77777777" w:rsidR="00787570" w:rsidRDefault="00787570">
            <w:pPr>
              <w:rPr>
                <w:rFonts w:ascii="宋体"/>
              </w:rPr>
            </w:pPr>
          </w:p>
        </w:tc>
        <w:tc>
          <w:tcPr>
            <w:tcW w:w="20" w:type="dxa"/>
            <w:shd w:val="clear" w:color="auto" w:fill="auto"/>
          </w:tcPr>
          <w:p w14:paraId="36CA4FCC" w14:textId="77777777" w:rsidR="00787570" w:rsidRDefault="00787570">
            <w:pPr>
              <w:rPr>
                <w:rFonts w:ascii="宋体"/>
              </w:rPr>
            </w:pPr>
          </w:p>
        </w:tc>
        <w:tc>
          <w:tcPr>
            <w:tcW w:w="20" w:type="dxa"/>
            <w:shd w:val="clear" w:color="auto" w:fill="auto"/>
          </w:tcPr>
          <w:p w14:paraId="36CA4FCD" w14:textId="77777777" w:rsidR="00787570" w:rsidRDefault="00787570">
            <w:pPr>
              <w:rPr>
                <w:rFonts w:ascii="宋体"/>
              </w:rPr>
            </w:pPr>
          </w:p>
        </w:tc>
        <w:tc>
          <w:tcPr>
            <w:tcW w:w="4985" w:type="dxa"/>
            <w:shd w:val="clear" w:color="auto" w:fill="auto"/>
          </w:tcPr>
          <w:p w14:paraId="36CA4FCE" w14:textId="77777777" w:rsidR="00787570" w:rsidRDefault="00787570">
            <w:pPr>
              <w:rPr>
                <w:rFonts w:ascii="宋体"/>
              </w:rPr>
            </w:pPr>
          </w:p>
        </w:tc>
        <w:tc>
          <w:tcPr>
            <w:tcW w:w="20" w:type="dxa"/>
            <w:shd w:val="clear" w:color="auto" w:fill="auto"/>
          </w:tcPr>
          <w:p w14:paraId="36CA4FCF" w14:textId="77777777" w:rsidR="00787570" w:rsidRDefault="00787570">
            <w:pPr>
              <w:rPr>
                <w:rFonts w:ascii="宋体"/>
              </w:rPr>
            </w:pPr>
          </w:p>
        </w:tc>
      </w:tr>
      <w:tr w:rsidR="00787570" w14:paraId="36CA4FD5" w14:textId="77777777">
        <w:tc>
          <w:tcPr>
            <w:tcW w:w="0" w:type="auto"/>
            <w:gridSpan w:val="3"/>
            <w:shd w:val="clear" w:color="auto" w:fill="auto"/>
            <w:tcMar>
              <w:left w:w="20" w:type="dxa"/>
              <w:right w:w="20" w:type="dxa"/>
            </w:tcMar>
            <w:vAlign w:val="bottom"/>
          </w:tcPr>
          <w:p w14:paraId="36CA4FD1" w14:textId="77777777" w:rsidR="00787570" w:rsidRDefault="00787570">
            <w:pPr>
              <w:rPr>
                <w:rFonts w:ascii="宋体"/>
              </w:rPr>
            </w:pPr>
          </w:p>
        </w:tc>
        <w:tc>
          <w:tcPr>
            <w:tcW w:w="0" w:type="auto"/>
            <w:gridSpan w:val="3"/>
            <w:tcBorders>
              <w:bottom w:val="single" w:sz="8" w:space="0" w:color="333333"/>
            </w:tcBorders>
            <w:shd w:val="clear" w:color="auto" w:fill="auto"/>
            <w:tcMar>
              <w:top w:w="40" w:type="dxa"/>
              <w:left w:w="20" w:type="dxa"/>
              <w:bottom w:w="40" w:type="dxa"/>
              <w:right w:w="20" w:type="dxa"/>
            </w:tcMar>
            <w:vAlign w:val="bottom"/>
          </w:tcPr>
          <w:p w14:paraId="36CA4FD2" w14:textId="77777777" w:rsidR="00787570" w:rsidRDefault="000D56E2">
            <w:pPr>
              <w:jc w:val="center"/>
              <w:textAlignment w:val="bottom"/>
            </w:pPr>
            <w:r>
              <w:rPr>
                <w:rFonts w:ascii="Arial" w:eastAsia="宋体" w:hAnsi="Arial" w:cs="Arial"/>
                <w:b/>
                <w:bCs/>
                <w:color w:val="0071C5"/>
                <w:sz w:val="20"/>
                <w:szCs w:val="20"/>
              </w:rPr>
              <w:t>RESEARCH AND DEVELOPMENT $B</w:t>
            </w:r>
          </w:p>
        </w:tc>
        <w:tc>
          <w:tcPr>
            <w:tcW w:w="0" w:type="auto"/>
            <w:gridSpan w:val="3"/>
            <w:shd w:val="clear" w:color="auto" w:fill="auto"/>
            <w:tcMar>
              <w:left w:w="20" w:type="dxa"/>
              <w:right w:w="20" w:type="dxa"/>
            </w:tcMar>
            <w:vAlign w:val="bottom"/>
          </w:tcPr>
          <w:p w14:paraId="36CA4FD3" w14:textId="77777777" w:rsidR="00787570" w:rsidRDefault="00787570">
            <w:pPr>
              <w:rPr>
                <w:rFonts w:ascii="宋体"/>
              </w:rPr>
            </w:pPr>
          </w:p>
        </w:tc>
        <w:tc>
          <w:tcPr>
            <w:tcW w:w="0" w:type="auto"/>
            <w:gridSpan w:val="3"/>
            <w:tcBorders>
              <w:bottom w:val="single" w:sz="8" w:space="0" w:color="333333"/>
            </w:tcBorders>
            <w:shd w:val="clear" w:color="auto" w:fill="auto"/>
            <w:tcMar>
              <w:top w:w="40" w:type="dxa"/>
              <w:left w:w="20" w:type="dxa"/>
              <w:bottom w:w="40" w:type="dxa"/>
              <w:right w:w="20" w:type="dxa"/>
            </w:tcMar>
            <w:vAlign w:val="bottom"/>
          </w:tcPr>
          <w:p w14:paraId="36CA4FD4" w14:textId="77777777" w:rsidR="00787570" w:rsidRDefault="000D56E2">
            <w:pPr>
              <w:jc w:val="center"/>
              <w:textAlignment w:val="bottom"/>
            </w:pPr>
            <w:r>
              <w:rPr>
                <w:rFonts w:ascii="Arial" w:eastAsia="宋体" w:hAnsi="Arial" w:cs="Arial"/>
                <w:b/>
                <w:bCs/>
                <w:color w:val="0071C5"/>
                <w:sz w:val="20"/>
                <w:szCs w:val="20"/>
              </w:rPr>
              <w:t>MARKETING, GENERAL AND ADMINISTRATIVE $B</w:t>
            </w:r>
          </w:p>
        </w:tc>
      </w:tr>
      <w:tr w:rsidR="00787570" w14:paraId="36CA4FDA" w14:textId="77777777">
        <w:trPr>
          <w:hidden/>
        </w:trPr>
        <w:tc>
          <w:tcPr>
            <w:tcW w:w="0" w:type="auto"/>
            <w:gridSpan w:val="3"/>
            <w:shd w:val="clear" w:color="auto" w:fill="auto"/>
          </w:tcPr>
          <w:p w14:paraId="36CA4FD6" w14:textId="77777777" w:rsidR="00787570" w:rsidRDefault="00787570">
            <w:pPr>
              <w:rPr>
                <w:rFonts w:ascii="宋体"/>
                <w:vanish/>
              </w:rPr>
            </w:pPr>
          </w:p>
        </w:tc>
        <w:tc>
          <w:tcPr>
            <w:tcW w:w="0" w:type="auto"/>
            <w:gridSpan w:val="3"/>
            <w:shd w:val="clear" w:color="auto" w:fill="auto"/>
          </w:tcPr>
          <w:p w14:paraId="36CA4FD7" w14:textId="77777777" w:rsidR="00787570" w:rsidRDefault="00787570">
            <w:pPr>
              <w:rPr>
                <w:rFonts w:ascii="宋体"/>
                <w:vanish/>
              </w:rPr>
            </w:pPr>
          </w:p>
        </w:tc>
        <w:tc>
          <w:tcPr>
            <w:tcW w:w="0" w:type="auto"/>
            <w:gridSpan w:val="3"/>
            <w:shd w:val="clear" w:color="auto" w:fill="auto"/>
          </w:tcPr>
          <w:p w14:paraId="36CA4FD8" w14:textId="77777777" w:rsidR="00787570" w:rsidRDefault="00787570">
            <w:pPr>
              <w:rPr>
                <w:rFonts w:ascii="宋体"/>
                <w:vanish/>
              </w:rPr>
            </w:pPr>
          </w:p>
        </w:tc>
        <w:tc>
          <w:tcPr>
            <w:tcW w:w="0" w:type="auto"/>
            <w:gridSpan w:val="3"/>
            <w:shd w:val="clear" w:color="auto" w:fill="auto"/>
          </w:tcPr>
          <w:p w14:paraId="36CA4FD9" w14:textId="77777777" w:rsidR="00787570" w:rsidRDefault="00787570">
            <w:pPr>
              <w:rPr>
                <w:rFonts w:ascii="宋体"/>
                <w:vanish/>
              </w:rPr>
            </w:pPr>
          </w:p>
        </w:tc>
      </w:tr>
    </w:tbl>
    <w:p w14:paraId="36CA4FDB" w14:textId="77777777" w:rsidR="00787570" w:rsidRDefault="000D56E2">
      <w:pPr>
        <w:spacing w:after="300"/>
      </w:pPr>
      <w:r>
        <w:rPr>
          <w:rFonts w:ascii="Arial" w:eastAsia="宋体" w:hAnsi="Arial" w:cs="Arial"/>
          <w:color w:val="333333"/>
          <w:sz w:val="18"/>
          <w:szCs w:val="18"/>
        </w:rPr>
        <w:t>(Percentages indicate expenses as a percentage of total revenue)</w:t>
      </w:r>
    </w:p>
    <w:p w14:paraId="36CA4FDC" w14:textId="77777777" w:rsidR="00787570" w:rsidRDefault="000D56E2">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Viewer9_files/intc-20200926_g21.jpg"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36CA5C73" wp14:editId="36CA5C74">
            <wp:extent cx="304800" cy="304800"/>
            <wp:effectExtent l="0" t="0" r="0" b="0"/>
            <wp:docPr id="50" name="图片 129" descr="IMG_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129" descr="IMG_312"/>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/INTEL/./Inline XBRL Viewer9_files/intc-20200</w:instrText>
      </w:r>
      <w:r>
        <w:rPr>
          <w:rFonts w:ascii="宋体" w:eastAsia="宋体" w:hAnsi="宋体" w:cs="宋体"/>
        </w:rPr>
        <w:instrText xml:space="preserve">926_g22.jpg"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36CA5C75" wp14:editId="36CA5C76">
            <wp:extent cx="304800" cy="304800"/>
            <wp:effectExtent l="0" t="0" r="0" b="0"/>
            <wp:docPr id="51" name="图片 130" descr="IMG_3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130" descr="IMG_313"/>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Viewer9_files/intc-20200926_g23.jpg"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36CA5C77" wp14:editId="36CA5C78">
            <wp:extent cx="304800" cy="304800"/>
            <wp:effectExtent l="0" t="0" r="0" b="0"/>
            <wp:docPr id="52" name="图片 131" descr="IMG_3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131" descr="IMG_314"/>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/INTEL/./</w:instrText>
      </w:r>
      <w:r>
        <w:rPr>
          <w:rFonts w:ascii="宋体" w:eastAsia="宋体" w:hAnsi="宋体" w:cs="宋体"/>
        </w:rPr>
        <w:instrText xml:space="preserve">Inline XBRL Viewer9_files/intc-20200926_g24.jpg"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36CA5C79" wp14:editId="36CA5C7A">
            <wp:extent cx="304800" cy="304800"/>
            <wp:effectExtent l="0" t="0" r="0" b="0"/>
            <wp:docPr id="55" name="图片 132" descr="IMG_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132" descr="IMG_315"/>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bl>
      <w:tblPr>
        <w:tblW w:w="5000" w:type="pct"/>
        <w:tblCellMar>
          <w:top w:w="15" w:type="dxa"/>
          <w:left w:w="15" w:type="dxa"/>
          <w:bottom w:w="15" w:type="dxa"/>
          <w:right w:w="15" w:type="dxa"/>
        </w:tblCellMar>
        <w:tblLook w:val="04A0" w:firstRow="1" w:lastRow="0" w:firstColumn="1" w:lastColumn="0" w:noHBand="0" w:noVBand="1"/>
      </w:tblPr>
      <w:tblGrid>
        <w:gridCol w:w="69"/>
        <w:gridCol w:w="8231"/>
        <w:gridCol w:w="36"/>
      </w:tblGrid>
      <w:tr w:rsidR="00787570" w14:paraId="36CA4FE0" w14:textId="77777777">
        <w:tc>
          <w:tcPr>
            <w:tcW w:w="50" w:type="pct"/>
            <w:shd w:val="clear" w:color="auto" w:fill="auto"/>
          </w:tcPr>
          <w:p w14:paraId="36CA4FDD" w14:textId="77777777" w:rsidR="00787570" w:rsidRDefault="00787570">
            <w:pPr>
              <w:rPr>
                <w:rFonts w:ascii="宋体"/>
              </w:rPr>
            </w:pPr>
          </w:p>
        </w:tc>
        <w:tc>
          <w:tcPr>
            <w:tcW w:w="4945" w:type="pct"/>
            <w:shd w:val="clear" w:color="auto" w:fill="auto"/>
          </w:tcPr>
          <w:p w14:paraId="36CA4FDE" w14:textId="77777777" w:rsidR="00787570" w:rsidRDefault="00787570">
            <w:pPr>
              <w:rPr>
                <w:rFonts w:ascii="宋体"/>
              </w:rPr>
            </w:pPr>
          </w:p>
        </w:tc>
        <w:tc>
          <w:tcPr>
            <w:tcW w:w="5" w:type="pct"/>
            <w:shd w:val="clear" w:color="auto" w:fill="auto"/>
          </w:tcPr>
          <w:p w14:paraId="36CA4FDF" w14:textId="77777777" w:rsidR="00787570" w:rsidRDefault="00787570">
            <w:pPr>
              <w:rPr>
                <w:rFonts w:ascii="宋体"/>
              </w:rPr>
            </w:pPr>
          </w:p>
        </w:tc>
      </w:tr>
      <w:tr w:rsidR="00787570" w14:paraId="36CA4FE2" w14:textId="77777777">
        <w:tc>
          <w:tcPr>
            <w:tcW w:w="0" w:type="auto"/>
            <w:gridSpan w:val="3"/>
            <w:tcBorders>
              <w:bottom w:val="single" w:sz="8" w:space="0" w:color="333333"/>
            </w:tcBorders>
            <w:shd w:val="clear" w:color="auto" w:fill="auto"/>
            <w:tcMar>
              <w:top w:w="40" w:type="dxa"/>
              <w:left w:w="20" w:type="dxa"/>
              <w:bottom w:w="40" w:type="dxa"/>
              <w:right w:w="20" w:type="dxa"/>
            </w:tcMar>
            <w:vAlign w:val="bottom"/>
          </w:tcPr>
          <w:p w14:paraId="36CA4FE1" w14:textId="77777777" w:rsidR="00787570" w:rsidRDefault="000D56E2">
            <w:pPr>
              <w:textAlignment w:val="bottom"/>
            </w:pPr>
            <w:r>
              <w:rPr>
                <w:rFonts w:ascii="Arial" w:eastAsia="宋体" w:hAnsi="Arial" w:cs="Arial"/>
                <w:b/>
                <w:bCs/>
                <w:color w:val="0071C5"/>
                <w:sz w:val="20"/>
                <w:szCs w:val="20"/>
              </w:rPr>
              <w:t>RESEARCH AND DEVELOPMENT</w:t>
            </w:r>
          </w:p>
        </w:tc>
      </w:tr>
    </w:tbl>
    <w:p w14:paraId="36CA4FE3" w14:textId="77777777" w:rsidR="00787570" w:rsidRDefault="000D56E2">
      <w:pPr>
        <w:spacing w:before="180" w:after="120"/>
      </w:pPr>
      <w:r>
        <w:rPr>
          <w:rFonts w:ascii="Arial" w:eastAsia="宋体" w:hAnsi="Arial" w:cs="Arial"/>
          <w:b/>
          <w:bCs/>
          <w:color w:val="333333"/>
          <w:sz w:val="20"/>
          <w:szCs w:val="20"/>
        </w:rPr>
        <w:t>Q3 2020 vs. Q3 2019</w:t>
      </w:r>
      <w:r>
        <w:rPr>
          <w:rFonts w:ascii="Arial" w:eastAsia="宋体" w:hAnsi="Arial" w:cs="Arial"/>
          <w:color w:val="333333"/>
          <w:sz w:val="18"/>
          <w:szCs w:val="18"/>
        </w:rPr>
        <w:t xml:space="preserve"> </w:t>
      </w:r>
    </w:p>
    <w:tbl>
      <w:tblPr>
        <w:tblW w:w="2548" w:type="pct"/>
        <w:tblCellMar>
          <w:top w:w="15" w:type="dxa"/>
          <w:left w:w="15" w:type="dxa"/>
          <w:bottom w:w="15" w:type="dxa"/>
          <w:right w:w="15" w:type="dxa"/>
        </w:tblCellMar>
        <w:tblLook w:val="04A0" w:firstRow="1" w:lastRow="0" w:firstColumn="1" w:lastColumn="0" w:noHBand="0" w:noVBand="1"/>
      </w:tblPr>
      <w:tblGrid>
        <w:gridCol w:w="38"/>
        <w:gridCol w:w="109"/>
        <w:gridCol w:w="38"/>
        <w:gridCol w:w="38"/>
        <w:gridCol w:w="3879"/>
        <w:gridCol w:w="38"/>
        <w:gridCol w:w="36"/>
        <w:gridCol w:w="36"/>
        <w:gridCol w:w="36"/>
      </w:tblGrid>
      <w:tr w:rsidR="00787570" w14:paraId="36CA4FEA" w14:textId="77777777">
        <w:trPr>
          <w:gridAfter w:val="3"/>
        </w:trPr>
        <w:tc>
          <w:tcPr>
            <w:tcW w:w="50" w:type="pct"/>
            <w:shd w:val="clear" w:color="auto" w:fill="auto"/>
          </w:tcPr>
          <w:p w14:paraId="36CA4FE4" w14:textId="77777777" w:rsidR="00787570" w:rsidRDefault="00787570">
            <w:pPr>
              <w:rPr>
                <w:rFonts w:ascii="宋体"/>
              </w:rPr>
            </w:pPr>
          </w:p>
        </w:tc>
        <w:tc>
          <w:tcPr>
            <w:tcW w:w="159" w:type="pct"/>
            <w:shd w:val="clear" w:color="auto" w:fill="auto"/>
          </w:tcPr>
          <w:p w14:paraId="36CA4FE5" w14:textId="77777777" w:rsidR="00787570" w:rsidRDefault="00787570">
            <w:pPr>
              <w:rPr>
                <w:rFonts w:ascii="宋体"/>
              </w:rPr>
            </w:pPr>
          </w:p>
        </w:tc>
        <w:tc>
          <w:tcPr>
            <w:tcW w:w="5" w:type="pct"/>
            <w:shd w:val="clear" w:color="auto" w:fill="auto"/>
          </w:tcPr>
          <w:p w14:paraId="36CA4FE6" w14:textId="77777777" w:rsidR="00787570" w:rsidRDefault="00787570">
            <w:pPr>
              <w:rPr>
                <w:rFonts w:ascii="宋体"/>
              </w:rPr>
            </w:pPr>
          </w:p>
        </w:tc>
        <w:tc>
          <w:tcPr>
            <w:tcW w:w="50" w:type="pct"/>
            <w:shd w:val="clear" w:color="auto" w:fill="auto"/>
          </w:tcPr>
          <w:p w14:paraId="36CA4FE7" w14:textId="77777777" w:rsidR="00787570" w:rsidRDefault="00787570">
            <w:pPr>
              <w:rPr>
                <w:rFonts w:ascii="宋体"/>
              </w:rPr>
            </w:pPr>
          </w:p>
        </w:tc>
        <w:tc>
          <w:tcPr>
            <w:tcW w:w="4730" w:type="pct"/>
            <w:shd w:val="clear" w:color="auto" w:fill="auto"/>
          </w:tcPr>
          <w:p w14:paraId="36CA4FE8" w14:textId="77777777" w:rsidR="00787570" w:rsidRDefault="00787570">
            <w:pPr>
              <w:rPr>
                <w:rFonts w:ascii="宋体"/>
              </w:rPr>
            </w:pPr>
          </w:p>
        </w:tc>
        <w:tc>
          <w:tcPr>
            <w:tcW w:w="5" w:type="pct"/>
            <w:shd w:val="clear" w:color="auto" w:fill="auto"/>
          </w:tcPr>
          <w:p w14:paraId="36CA4FE9" w14:textId="77777777" w:rsidR="00787570" w:rsidRDefault="00787570">
            <w:pPr>
              <w:rPr>
                <w:rFonts w:ascii="宋体"/>
              </w:rPr>
            </w:pPr>
          </w:p>
        </w:tc>
      </w:tr>
      <w:tr w:rsidR="00787570" w14:paraId="36CA4FED" w14:textId="77777777">
        <w:tc>
          <w:tcPr>
            <w:tcW w:w="0" w:type="auto"/>
            <w:gridSpan w:val="6"/>
            <w:shd w:val="clear" w:color="auto" w:fill="auto"/>
            <w:tcMar>
              <w:top w:w="40" w:type="dxa"/>
              <w:left w:w="20" w:type="dxa"/>
              <w:bottom w:w="40" w:type="dxa"/>
              <w:right w:w="20" w:type="dxa"/>
            </w:tcMar>
            <w:vAlign w:val="bottom"/>
          </w:tcPr>
          <w:p w14:paraId="36CA4FEB" w14:textId="77777777" w:rsidR="00787570" w:rsidRDefault="000D56E2">
            <w:pPr>
              <w:textAlignment w:val="bottom"/>
            </w:pPr>
            <w:r>
              <w:rPr>
                <w:rFonts w:ascii="Arial" w:eastAsia="宋体" w:hAnsi="Arial" w:cs="Arial"/>
                <w:color w:val="333333"/>
                <w:sz w:val="18"/>
                <w:szCs w:val="18"/>
              </w:rPr>
              <w:t>R&amp;D increased by $64 million, or 2%, driven by the following:</w:t>
            </w:r>
          </w:p>
        </w:tc>
        <w:tc>
          <w:tcPr>
            <w:tcW w:w="0" w:type="auto"/>
            <w:gridSpan w:val="3"/>
            <w:shd w:val="clear" w:color="auto" w:fill="auto"/>
          </w:tcPr>
          <w:p w14:paraId="36CA4FEC" w14:textId="77777777" w:rsidR="00787570" w:rsidRDefault="00787570">
            <w:pPr>
              <w:rPr>
                <w:rFonts w:ascii="宋体"/>
                <w:vanish/>
              </w:rPr>
            </w:pPr>
          </w:p>
        </w:tc>
      </w:tr>
      <w:tr w:rsidR="00787570" w14:paraId="36CA4FF3" w14:textId="77777777">
        <w:trPr>
          <w:trHeight w:val="60"/>
        </w:trPr>
        <w:tc>
          <w:tcPr>
            <w:tcW w:w="0" w:type="auto"/>
            <w:gridSpan w:val="3"/>
            <w:shd w:val="clear" w:color="auto" w:fill="auto"/>
            <w:tcMar>
              <w:left w:w="20" w:type="dxa"/>
              <w:right w:w="20" w:type="dxa"/>
            </w:tcMar>
            <w:vAlign w:val="bottom"/>
          </w:tcPr>
          <w:p w14:paraId="36CA4FEE"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4FEF" w14:textId="77777777" w:rsidR="00787570" w:rsidRDefault="00787570">
            <w:pPr>
              <w:rPr>
                <w:rFonts w:ascii="宋体"/>
              </w:rPr>
            </w:pPr>
          </w:p>
        </w:tc>
        <w:tc>
          <w:tcPr>
            <w:tcW w:w="0" w:type="auto"/>
            <w:shd w:val="clear" w:color="auto" w:fill="auto"/>
          </w:tcPr>
          <w:p w14:paraId="36CA4FF0" w14:textId="77777777" w:rsidR="00787570" w:rsidRDefault="00787570">
            <w:pPr>
              <w:rPr>
                <w:rFonts w:ascii="宋体"/>
              </w:rPr>
            </w:pPr>
          </w:p>
        </w:tc>
        <w:tc>
          <w:tcPr>
            <w:tcW w:w="0" w:type="auto"/>
            <w:shd w:val="clear" w:color="auto" w:fill="auto"/>
          </w:tcPr>
          <w:p w14:paraId="36CA4FF1" w14:textId="77777777" w:rsidR="00787570" w:rsidRDefault="00787570">
            <w:pPr>
              <w:rPr>
                <w:rFonts w:ascii="宋体"/>
              </w:rPr>
            </w:pPr>
          </w:p>
        </w:tc>
        <w:tc>
          <w:tcPr>
            <w:tcW w:w="0" w:type="auto"/>
            <w:shd w:val="clear" w:color="auto" w:fill="auto"/>
          </w:tcPr>
          <w:p w14:paraId="36CA4FF2" w14:textId="77777777" w:rsidR="00787570" w:rsidRDefault="00787570">
            <w:pPr>
              <w:rPr>
                <w:rFonts w:ascii="宋体"/>
              </w:rPr>
            </w:pPr>
          </w:p>
        </w:tc>
      </w:tr>
      <w:tr w:rsidR="00787570" w14:paraId="36CA4FF9" w14:textId="77777777">
        <w:tc>
          <w:tcPr>
            <w:tcW w:w="0" w:type="auto"/>
            <w:gridSpan w:val="3"/>
            <w:shd w:val="clear" w:color="auto" w:fill="FFFFFF"/>
            <w:tcMar>
              <w:top w:w="40" w:type="dxa"/>
              <w:left w:w="20" w:type="dxa"/>
              <w:bottom w:w="40" w:type="dxa"/>
              <w:right w:w="20" w:type="dxa"/>
            </w:tcMar>
            <w:vAlign w:val="bottom"/>
          </w:tcPr>
          <w:p w14:paraId="36CA4FF4" w14:textId="77777777" w:rsidR="00787570" w:rsidRDefault="000D56E2">
            <w:pPr>
              <w:jc w:val="center"/>
              <w:textAlignment w:val="bottom"/>
            </w:pPr>
            <w:r>
              <w:rPr>
                <w:rFonts w:ascii="Arial" w:eastAsia="宋体" w:hAnsi="Arial" w:cs="Arial"/>
                <w:b/>
                <w:bCs/>
                <w:color w:val="00AEEF"/>
                <w:sz w:val="18"/>
                <w:szCs w:val="18"/>
              </w:rPr>
              <w:t>+</w:t>
            </w:r>
          </w:p>
        </w:tc>
        <w:tc>
          <w:tcPr>
            <w:tcW w:w="0" w:type="auto"/>
            <w:gridSpan w:val="3"/>
            <w:shd w:val="clear" w:color="auto" w:fill="auto"/>
            <w:tcMar>
              <w:top w:w="40" w:type="dxa"/>
              <w:left w:w="20" w:type="dxa"/>
              <w:bottom w:w="40" w:type="dxa"/>
              <w:right w:w="20" w:type="dxa"/>
            </w:tcMar>
            <w:vAlign w:val="bottom"/>
          </w:tcPr>
          <w:p w14:paraId="36CA4FF5" w14:textId="77777777" w:rsidR="00787570" w:rsidRDefault="000D56E2">
            <w:pPr>
              <w:textAlignment w:val="bottom"/>
            </w:pPr>
            <w:r>
              <w:rPr>
                <w:rFonts w:ascii="Arial" w:eastAsia="宋体" w:hAnsi="Arial" w:cs="Arial"/>
                <w:color w:val="333333"/>
                <w:sz w:val="18"/>
                <w:szCs w:val="18"/>
              </w:rPr>
              <w:t xml:space="preserve">Investments in our PC and data-centric </w:t>
            </w:r>
            <w:r>
              <w:rPr>
                <w:rFonts w:ascii="Arial" w:eastAsia="宋体" w:hAnsi="Arial" w:cs="Arial"/>
                <w:color w:val="333333"/>
                <w:sz w:val="18"/>
                <w:szCs w:val="18"/>
              </w:rPr>
              <w:t>businesses</w:t>
            </w:r>
          </w:p>
        </w:tc>
        <w:tc>
          <w:tcPr>
            <w:tcW w:w="0" w:type="auto"/>
            <w:shd w:val="clear" w:color="auto" w:fill="auto"/>
          </w:tcPr>
          <w:p w14:paraId="36CA4FF6" w14:textId="77777777" w:rsidR="00787570" w:rsidRDefault="00787570">
            <w:pPr>
              <w:rPr>
                <w:rFonts w:ascii="宋体"/>
              </w:rPr>
            </w:pPr>
          </w:p>
        </w:tc>
        <w:tc>
          <w:tcPr>
            <w:tcW w:w="0" w:type="auto"/>
            <w:shd w:val="clear" w:color="auto" w:fill="auto"/>
          </w:tcPr>
          <w:p w14:paraId="36CA4FF7" w14:textId="77777777" w:rsidR="00787570" w:rsidRDefault="00787570">
            <w:pPr>
              <w:rPr>
                <w:rFonts w:ascii="宋体"/>
              </w:rPr>
            </w:pPr>
          </w:p>
        </w:tc>
        <w:tc>
          <w:tcPr>
            <w:tcW w:w="0" w:type="auto"/>
            <w:shd w:val="clear" w:color="auto" w:fill="auto"/>
          </w:tcPr>
          <w:p w14:paraId="36CA4FF8" w14:textId="77777777" w:rsidR="00787570" w:rsidRDefault="00787570">
            <w:pPr>
              <w:rPr>
                <w:rFonts w:ascii="宋体"/>
              </w:rPr>
            </w:pPr>
          </w:p>
        </w:tc>
      </w:tr>
      <w:tr w:rsidR="00787570" w14:paraId="36CA4FFF" w14:textId="77777777">
        <w:tc>
          <w:tcPr>
            <w:tcW w:w="0" w:type="auto"/>
            <w:gridSpan w:val="3"/>
            <w:shd w:val="clear" w:color="auto" w:fill="FFFFFF"/>
            <w:tcMar>
              <w:top w:w="40" w:type="dxa"/>
              <w:left w:w="20" w:type="dxa"/>
              <w:bottom w:w="40" w:type="dxa"/>
              <w:right w:w="20" w:type="dxa"/>
            </w:tcMar>
            <w:vAlign w:val="bottom"/>
          </w:tcPr>
          <w:p w14:paraId="36CA4FFA" w14:textId="77777777" w:rsidR="00787570" w:rsidRDefault="000D56E2">
            <w:pPr>
              <w:jc w:val="center"/>
              <w:textAlignment w:val="bottom"/>
            </w:pPr>
            <w:r>
              <w:rPr>
                <w:rFonts w:ascii="Arial" w:eastAsia="宋体" w:hAnsi="Arial" w:cs="Arial"/>
                <w:b/>
                <w:bCs/>
                <w:color w:val="00AEEF"/>
                <w:sz w:val="18"/>
                <w:szCs w:val="18"/>
              </w:rPr>
              <w:t>+</w:t>
            </w:r>
          </w:p>
        </w:tc>
        <w:tc>
          <w:tcPr>
            <w:tcW w:w="0" w:type="auto"/>
            <w:gridSpan w:val="3"/>
            <w:shd w:val="clear" w:color="auto" w:fill="auto"/>
            <w:tcMar>
              <w:top w:w="40" w:type="dxa"/>
              <w:left w:w="20" w:type="dxa"/>
              <w:bottom w:w="40" w:type="dxa"/>
              <w:right w:w="20" w:type="dxa"/>
            </w:tcMar>
            <w:vAlign w:val="bottom"/>
          </w:tcPr>
          <w:p w14:paraId="36CA4FFB" w14:textId="77777777" w:rsidR="00787570" w:rsidRDefault="000D56E2">
            <w:pPr>
              <w:textAlignment w:val="bottom"/>
            </w:pPr>
            <w:r>
              <w:rPr>
                <w:rFonts w:ascii="Arial" w:eastAsia="宋体" w:hAnsi="Arial" w:cs="Arial"/>
                <w:color w:val="333333"/>
                <w:sz w:val="18"/>
                <w:szCs w:val="18"/>
              </w:rPr>
              <w:t>Investments in our process technology</w:t>
            </w:r>
          </w:p>
        </w:tc>
        <w:tc>
          <w:tcPr>
            <w:tcW w:w="0" w:type="auto"/>
            <w:shd w:val="clear" w:color="auto" w:fill="auto"/>
          </w:tcPr>
          <w:p w14:paraId="36CA4FFC" w14:textId="77777777" w:rsidR="00787570" w:rsidRDefault="00787570">
            <w:pPr>
              <w:rPr>
                <w:rFonts w:ascii="宋体"/>
              </w:rPr>
            </w:pPr>
          </w:p>
        </w:tc>
        <w:tc>
          <w:tcPr>
            <w:tcW w:w="0" w:type="auto"/>
            <w:shd w:val="clear" w:color="auto" w:fill="auto"/>
          </w:tcPr>
          <w:p w14:paraId="36CA4FFD" w14:textId="77777777" w:rsidR="00787570" w:rsidRDefault="00787570">
            <w:pPr>
              <w:rPr>
                <w:rFonts w:ascii="宋体"/>
              </w:rPr>
            </w:pPr>
          </w:p>
        </w:tc>
        <w:tc>
          <w:tcPr>
            <w:tcW w:w="0" w:type="auto"/>
            <w:shd w:val="clear" w:color="auto" w:fill="auto"/>
          </w:tcPr>
          <w:p w14:paraId="36CA4FFE" w14:textId="77777777" w:rsidR="00787570" w:rsidRDefault="00787570">
            <w:pPr>
              <w:rPr>
                <w:rFonts w:ascii="宋体"/>
              </w:rPr>
            </w:pPr>
          </w:p>
        </w:tc>
      </w:tr>
      <w:tr w:rsidR="00787570" w14:paraId="36CA5005" w14:textId="77777777">
        <w:tc>
          <w:tcPr>
            <w:tcW w:w="0" w:type="auto"/>
            <w:gridSpan w:val="3"/>
            <w:shd w:val="clear" w:color="auto" w:fill="FFFFFF"/>
            <w:tcMar>
              <w:top w:w="40" w:type="dxa"/>
              <w:left w:w="20" w:type="dxa"/>
              <w:bottom w:w="40" w:type="dxa"/>
              <w:right w:w="20" w:type="dxa"/>
            </w:tcMar>
            <w:vAlign w:val="bottom"/>
          </w:tcPr>
          <w:p w14:paraId="36CA5000" w14:textId="77777777" w:rsidR="00787570" w:rsidRDefault="000D56E2">
            <w:pPr>
              <w:jc w:val="center"/>
              <w:textAlignment w:val="bottom"/>
            </w:pPr>
            <w:r>
              <w:rPr>
                <w:rFonts w:ascii="Arial" w:eastAsia="宋体" w:hAnsi="Arial" w:cs="Arial"/>
                <w:b/>
                <w:bCs/>
                <w:color w:val="FAAC16"/>
                <w:sz w:val="18"/>
                <w:szCs w:val="18"/>
              </w:rPr>
              <w:t>-</w:t>
            </w:r>
          </w:p>
        </w:tc>
        <w:tc>
          <w:tcPr>
            <w:tcW w:w="0" w:type="auto"/>
            <w:gridSpan w:val="3"/>
            <w:shd w:val="clear" w:color="auto" w:fill="auto"/>
            <w:tcMar>
              <w:top w:w="40" w:type="dxa"/>
              <w:left w:w="20" w:type="dxa"/>
              <w:bottom w:w="40" w:type="dxa"/>
              <w:right w:w="20" w:type="dxa"/>
            </w:tcMar>
            <w:vAlign w:val="bottom"/>
          </w:tcPr>
          <w:p w14:paraId="36CA5001" w14:textId="77777777" w:rsidR="00787570" w:rsidRDefault="000D56E2">
            <w:pPr>
              <w:textAlignment w:val="bottom"/>
            </w:pPr>
            <w:r>
              <w:rPr>
                <w:rFonts w:ascii="Arial" w:eastAsia="宋体" w:hAnsi="Arial" w:cs="Arial"/>
                <w:color w:val="333333"/>
                <w:sz w:val="18"/>
                <w:szCs w:val="18"/>
              </w:rPr>
              <w:t>Profit dependent compensation</w:t>
            </w:r>
          </w:p>
        </w:tc>
        <w:tc>
          <w:tcPr>
            <w:tcW w:w="0" w:type="auto"/>
            <w:shd w:val="clear" w:color="auto" w:fill="auto"/>
          </w:tcPr>
          <w:p w14:paraId="36CA5002" w14:textId="77777777" w:rsidR="00787570" w:rsidRDefault="00787570">
            <w:pPr>
              <w:rPr>
                <w:rFonts w:ascii="宋体"/>
              </w:rPr>
            </w:pPr>
          </w:p>
        </w:tc>
        <w:tc>
          <w:tcPr>
            <w:tcW w:w="0" w:type="auto"/>
            <w:shd w:val="clear" w:color="auto" w:fill="auto"/>
          </w:tcPr>
          <w:p w14:paraId="36CA5003" w14:textId="77777777" w:rsidR="00787570" w:rsidRDefault="00787570">
            <w:pPr>
              <w:rPr>
                <w:rFonts w:ascii="宋体"/>
              </w:rPr>
            </w:pPr>
          </w:p>
        </w:tc>
        <w:tc>
          <w:tcPr>
            <w:tcW w:w="0" w:type="auto"/>
            <w:shd w:val="clear" w:color="auto" w:fill="auto"/>
          </w:tcPr>
          <w:p w14:paraId="36CA5004" w14:textId="77777777" w:rsidR="00787570" w:rsidRDefault="00787570">
            <w:pPr>
              <w:rPr>
                <w:rFonts w:ascii="宋体"/>
              </w:rPr>
            </w:pPr>
          </w:p>
        </w:tc>
      </w:tr>
      <w:tr w:rsidR="00787570" w14:paraId="36CA500B" w14:textId="77777777">
        <w:tc>
          <w:tcPr>
            <w:tcW w:w="0" w:type="auto"/>
            <w:gridSpan w:val="3"/>
            <w:shd w:val="clear" w:color="auto" w:fill="FFFFFF"/>
            <w:tcMar>
              <w:top w:w="40" w:type="dxa"/>
              <w:left w:w="20" w:type="dxa"/>
              <w:bottom w:w="40" w:type="dxa"/>
              <w:right w:w="20" w:type="dxa"/>
            </w:tcMar>
            <w:vAlign w:val="bottom"/>
          </w:tcPr>
          <w:p w14:paraId="36CA5006" w14:textId="77777777" w:rsidR="00787570" w:rsidRDefault="000D56E2">
            <w:pPr>
              <w:jc w:val="center"/>
              <w:textAlignment w:val="bottom"/>
            </w:pPr>
            <w:r>
              <w:rPr>
                <w:rFonts w:ascii="Arial" w:eastAsia="宋体" w:hAnsi="Arial" w:cs="Arial"/>
                <w:b/>
                <w:bCs/>
                <w:color w:val="FAAC16"/>
                <w:sz w:val="18"/>
                <w:szCs w:val="18"/>
              </w:rPr>
              <w:t>-</w:t>
            </w:r>
          </w:p>
        </w:tc>
        <w:tc>
          <w:tcPr>
            <w:tcW w:w="0" w:type="auto"/>
            <w:gridSpan w:val="3"/>
            <w:shd w:val="clear" w:color="auto" w:fill="auto"/>
            <w:tcMar>
              <w:top w:w="40" w:type="dxa"/>
              <w:left w:w="20" w:type="dxa"/>
              <w:bottom w:w="40" w:type="dxa"/>
              <w:right w:w="20" w:type="dxa"/>
            </w:tcMar>
            <w:vAlign w:val="bottom"/>
          </w:tcPr>
          <w:p w14:paraId="36CA5007" w14:textId="77777777" w:rsidR="00787570" w:rsidRDefault="000D56E2">
            <w:pPr>
              <w:textAlignment w:val="bottom"/>
            </w:pPr>
            <w:r>
              <w:rPr>
                <w:rFonts w:ascii="Arial" w:eastAsia="宋体" w:hAnsi="Arial" w:cs="Arial"/>
                <w:color w:val="333333"/>
                <w:sz w:val="18"/>
                <w:szCs w:val="18"/>
              </w:rPr>
              <w:t>Ramp down of 5G smartphone modem business</w:t>
            </w:r>
          </w:p>
        </w:tc>
        <w:tc>
          <w:tcPr>
            <w:tcW w:w="0" w:type="auto"/>
            <w:shd w:val="clear" w:color="auto" w:fill="auto"/>
          </w:tcPr>
          <w:p w14:paraId="36CA5008" w14:textId="77777777" w:rsidR="00787570" w:rsidRDefault="00787570">
            <w:pPr>
              <w:rPr>
                <w:rFonts w:ascii="宋体"/>
              </w:rPr>
            </w:pPr>
          </w:p>
        </w:tc>
        <w:tc>
          <w:tcPr>
            <w:tcW w:w="0" w:type="auto"/>
            <w:shd w:val="clear" w:color="auto" w:fill="auto"/>
          </w:tcPr>
          <w:p w14:paraId="36CA5009" w14:textId="77777777" w:rsidR="00787570" w:rsidRDefault="00787570">
            <w:pPr>
              <w:rPr>
                <w:rFonts w:ascii="宋体"/>
              </w:rPr>
            </w:pPr>
          </w:p>
        </w:tc>
        <w:tc>
          <w:tcPr>
            <w:tcW w:w="0" w:type="auto"/>
            <w:shd w:val="clear" w:color="auto" w:fill="auto"/>
          </w:tcPr>
          <w:p w14:paraId="36CA500A" w14:textId="77777777" w:rsidR="00787570" w:rsidRDefault="00787570">
            <w:pPr>
              <w:rPr>
                <w:rFonts w:ascii="宋体"/>
              </w:rPr>
            </w:pPr>
          </w:p>
        </w:tc>
      </w:tr>
      <w:tr w:rsidR="00787570" w14:paraId="36CA5011" w14:textId="77777777">
        <w:trPr>
          <w:hidden/>
        </w:trPr>
        <w:tc>
          <w:tcPr>
            <w:tcW w:w="0" w:type="auto"/>
            <w:gridSpan w:val="3"/>
            <w:shd w:val="clear" w:color="auto" w:fill="auto"/>
          </w:tcPr>
          <w:p w14:paraId="36CA500C" w14:textId="77777777" w:rsidR="00787570" w:rsidRDefault="00787570">
            <w:pPr>
              <w:rPr>
                <w:rFonts w:ascii="宋体"/>
                <w:vanish/>
              </w:rPr>
            </w:pPr>
          </w:p>
        </w:tc>
        <w:tc>
          <w:tcPr>
            <w:tcW w:w="0" w:type="auto"/>
            <w:gridSpan w:val="3"/>
            <w:shd w:val="clear" w:color="auto" w:fill="auto"/>
          </w:tcPr>
          <w:p w14:paraId="36CA500D" w14:textId="77777777" w:rsidR="00787570" w:rsidRDefault="00787570">
            <w:pPr>
              <w:rPr>
                <w:rFonts w:ascii="宋体"/>
                <w:vanish/>
              </w:rPr>
            </w:pPr>
          </w:p>
        </w:tc>
        <w:tc>
          <w:tcPr>
            <w:tcW w:w="0" w:type="auto"/>
            <w:shd w:val="clear" w:color="auto" w:fill="auto"/>
          </w:tcPr>
          <w:p w14:paraId="36CA500E" w14:textId="77777777" w:rsidR="00787570" w:rsidRDefault="00787570">
            <w:pPr>
              <w:rPr>
                <w:rFonts w:ascii="宋体"/>
              </w:rPr>
            </w:pPr>
          </w:p>
        </w:tc>
        <w:tc>
          <w:tcPr>
            <w:tcW w:w="0" w:type="auto"/>
            <w:shd w:val="clear" w:color="auto" w:fill="auto"/>
          </w:tcPr>
          <w:p w14:paraId="36CA500F" w14:textId="77777777" w:rsidR="00787570" w:rsidRDefault="00787570">
            <w:pPr>
              <w:rPr>
                <w:rFonts w:ascii="宋体"/>
              </w:rPr>
            </w:pPr>
          </w:p>
        </w:tc>
        <w:tc>
          <w:tcPr>
            <w:tcW w:w="0" w:type="auto"/>
            <w:shd w:val="clear" w:color="auto" w:fill="auto"/>
          </w:tcPr>
          <w:p w14:paraId="36CA5010" w14:textId="77777777" w:rsidR="00787570" w:rsidRDefault="00787570">
            <w:pPr>
              <w:rPr>
                <w:rFonts w:ascii="宋体"/>
              </w:rPr>
            </w:pPr>
          </w:p>
        </w:tc>
      </w:tr>
    </w:tbl>
    <w:p w14:paraId="36CA5012" w14:textId="77777777" w:rsidR="00787570" w:rsidRDefault="000D56E2">
      <w:pPr>
        <w:spacing w:before="240" w:after="120"/>
      </w:pPr>
      <w:r>
        <w:rPr>
          <w:rFonts w:ascii="Arial" w:eastAsia="宋体" w:hAnsi="Arial" w:cs="Arial"/>
          <w:b/>
          <w:bCs/>
          <w:color w:val="333333"/>
          <w:sz w:val="20"/>
          <w:szCs w:val="20"/>
        </w:rPr>
        <w:t>YTD 2020 vs. YTD 2019</w:t>
      </w:r>
    </w:p>
    <w:tbl>
      <w:tblPr>
        <w:tblW w:w="3914" w:type="pct"/>
        <w:tblCellMar>
          <w:top w:w="15" w:type="dxa"/>
          <w:left w:w="15" w:type="dxa"/>
          <w:bottom w:w="15" w:type="dxa"/>
          <w:right w:w="15" w:type="dxa"/>
        </w:tblCellMar>
        <w:tblLook w:val="04A0" w:firstRow="1" w:lastRow="0" w:firstColumn="1" w:lastColumn="0" w:noHBand="0" w:noVBand="1"/>
      </w:tblPr>
      <w:tblGrid>
        <w:gridCol w:w="38"/>
        <w:gridCol w:w="141"/>
        <w:gridCol w:w="38"/>
        <w:gridCol w:w="41"/>
        <w:gridCol w:w="3841"/>
        <w:gridCol w:w="38"/>
        <w:gridCol w:w="41"/>
        <w:gridCol w:w="1009"/>
        <w:gridCol w:w="36"/>
        <w:gridCol w:w="41"/>
        <w:gridCol w:w="1009"/>
        <w:gridCol w:w="36"/>
        <w:gridCol w:w="36"/>
        <w:gridCol w:w="36"/>
        <w:gridCol w:w="36"/>
        <w:gridCol w:w="36"/>
        <w:gridCol w:w="36"/>
        <w:gridCol w:w="36"/>
      </w:tblGrid>
      <w:tr w:rsidR="00787570" w14:paraId="36CA501F" w14:textId="77777777">
        <w:trPr>
          <w:gridAfter w:val="6"/>
        </w:trPr>
        <w:tc>
          <w:tcPr>
            <w:tcW w:w="5" w:type="pct"/>
            <w:shd w:val="clear" w:color="auto" w:fill="auto"/>
          </w:tcPr>
          <w:p w14:paraId="36CA5013" w14:textId="77777777" w:rsidR="00787570" w:rsidRDefault="00787570">
            <w:pPr>
              <w:rPr>
                <w:rFonts w:ascii="宋体"/>
              </w:rPr>
            </w:pPr>
          </w:p>
        </w:tc>
        <w:tc>
          <w:tcPr>
            <w:tcW w:w="129" w:type="pct"/>
            <w:shd w:val="clear" w:color="auto" w:fill="auto"/>
          </w:tcPr>
          <w:p w14:paraId="36CA5014" w14:textId="77777777" w:rsidR="00787570" w:rsidRDefault="00787570">
            <w:pPr>
              <w:rPr>
                <w:rFonts w:ascii="宋体"/>
              </w:rPr>
            </w:pPr>
          </w:p>
        </w:tc>
        <w:tc>
          <w:tcPr>
            <w:tcW w:w="5" w:type="pct"/>
            <w:shd w:val="clear" w:color="auto" w:fill="auto"/>
          </w:tcPr>
          <w:p w14:paraId="36CA5015" w14:textId="77777777" w:rsidR="00787570" w:rsidRDefault="00787570">
            <w:pPr>
              <w:rPr>
                <w:rFonts w:ascii="宋体"/>
              </w:rPr>
            </w:pPr>
          </w:p>
        </w:tc>
        <w:tc>
          <w:tcPr>
            <w:tcW w:w="50" w:type="pct"/>
            <w:shd w:val="clear" w:color="auto" w:fill="auto"/>
          </w:tcPr>
          <w:p w14:paraId="36CA5016" w14:textId="77777777" w:rsidR="00787570" w:rsidRDefault="00787570">
            <w:pPr>
              <w:rPr>
                <w:rFonts w:ascii="宋体"/>
              </w:rPr>
            </w:pPr>
          </w:p>
        </w:tc>
        <w:tc>
          <w:tcPr>
            <w:tcW w:w="3060" w:type="pct"/>
            <w:shd w:val="clear" w:color="auto" w:fill="auto"/>
          </w:tcPr>
          <w:p w14:paraId="36CA5017" w14:textId="77777777" w:rsidR="00787570" w:rsidRDefault="00787570">
            <w:pPr>
              <w:rPr>
                <w:rFonts w:ascii="宋体"/>
              </w:rPr>
            </w:pPr>
          </w:p>
        </w:tc>
        <w:tc>
          <w:tcPr>
            <w:tcW w:w="5" w:type="pct"/>
            <w:shd w:val="clear" w:color="auto" w:fill="auto"/>
          </w:tcPr>
          <w:p w14:paraId="36CA5018" w14:textId="77777777" w:rsidR="00787570" w:rsidRDefault="00787570">
            <w:pPr>
              <w:rPr>
                <w:rFonts w:ascii="宋体"/>
              </w:rPr>
            </w:pPr>
          </w:p>
        </w:tc>
        <w:tc>
          <w:tcPr>
            <w:tcW w:w="50" w:type="pct"/>
            <w:shd w:val="clear" w:color="auto" w:fill="auto"/>
          </w:tcPr>
          <w:p w14:paraId="36CA5019" w14:textId="77777777" w:rsidR="00787570" w:rsidRDefault="00787570">
            <w:pPr>
              <w:rPr>
                <w:rFonts w:ascii="宋体"/>
              </w:rPr>
            </w:pPr>
          </w:p>
        </w:tc>
        <w:tc>
          <w:tcPr>
            <w:tcW w:w="817" w:type="pct"/>
            <w:shd w:val="clear" w:color="auto" w:fill="auto"/>
          </w:tcPr>
          <w:p w14:paraId="36CA501A" w14:textId="77777777" w:rsidR="00787570" w:rsidRDefault="00787570">
            <w:pPr>
              <w:rPr>
                <w:rFonts w:ascii="宋体"/>
              </w:rPr>
            </w:pPr>
          </w:p>
        </w:tc>
        <w:tc>
          <w:tcPr>
            <w:tcW w:w="5" w:type="pct"/>
            <w:shd w:val="clear" w:color="auto" w:fill="auto"/>
          </w:tcPr>
          <w:p w14:paraId="36CA501B" w14:textId="77777777" w:rsidR="00787570" w:rsidRDefault="00787570">
            <w:pPr>
              <w:rPr>
                <w:rFonts w:ascii="宋体"/>
              </w:rPr>
            </w:pPr>
          </w:p>
        </w:tc>
        <w:tc>
          <w:tcPr>
            <w:tcW w:w="50" w:type="pct"/>
            <w:shd w:val="clear" w:color="auto" w:fill="auto"/>
          </w:tcPr>
          <w:p w14:paraId="36CA501C" w14:textId="77777777" w:rsidR="00787570" w:rsidRDefault="00787570">
            <w:pPr>
              <w:rPr>
                <w:rFonts w:ascii="宋体"/>
              </w:rPr>
            </w:pPr>
          </w:p>
        </w:tc>
        <w:tc>
          <w:tcPr>
            <w:tcW w:w="817" w:type="pct"/>
            <w:shd w:val="clear" w:color="auto" w:fill="auto"/>
          </w:tcPr>
          <w:p w14:paraId="36CA501D" w14:textId="77777777" w:rsidR="00787570" w:rsidRDefault="00787570">
            <w:pPr>
              <w:rPr>
                <w:rFonts w:ascii="宋体"/>
              </w:rPr>
            </w:pPr>
          </w:p>
        </w:tc>
        <w:tc>
          <w:tcPr>
            <w:tcW w:w="5" w:type="pct"/>
            <w:shd w:val="clear" w:color="auto" w:fill="auto"/>
          </w:tcPr>
          <w:p w14:paraId="36CA501E" w14:textId="77777777" w:rsidR="00787570" w:rsidRDefault="00787570">
            <w:pPr>
              <w:rPr>
                <w:rFonts w:ascii="宋体"/>
              </w:rPr>
            </w:pPr>
          </w:p>
        </w:tc>
      </w:tr>
      <w:tr w:rsidR="00787570" w14:paraId="36CA5024" w14:textId="77777777">
        <w:tc>
          <w:tcPr>
            <w:tcW w:w="0" w:type="auto"/>
            <w:gridSpan w:val="6"/>
            <w:shd w:val="clear" w:color="auto" w:fill="auto"/>
            <w:tcMar>
              <w:top w:w="40" w:type="dxa"/>
              <w:left w:w="20" w:type="dxa"/>
              <w:bottom w:w="40" w:type="dxa"/>
              <w:right w:w="20" w:type="dxa"/>
            </w:tcMar>
            <w:vAlign w:val="bottom"/>
          </w:tcPr>
          <w:p w14:paraId="36CA5020" w14:textId="77777777" w:rsidR="00787570" w:rsidRDefault="000D56E2">
            <w:pPr>
              <w:textAlignment w:val="bottom"/>
            </w:pPr>
            <w:r>
              <w:rPr>
                <w:rFonts w:ascii="Arial" w:eastAsia="宋体" w:hAnsi="Arial" w:cs="Arial"/>
                <w:color w:val="333333"/>
                <w:sz w:val="18"/>
                <w:szCs w:val="18"/>
              </w:rPr>
              <w:t>R&amp;D decreased by $77 million, or 1%, driven by the following:</w:t>
            </w:r>
          </w:p>
        </w:tc>
        <w:tc>
          <w:tcPr>
            <w:tcW w:w="0" w:type="auto"/>
            <w:gridSpan w:val="3"/>
            <w:shd w:val="clear" w:color="auto" w:fill="auto"/>
          </w:tcPr>
          <w:p w14:paraId="36CA5021" w14:textId="77777777" w:rsidR="00787570" w:rsidRDefault="00787570">
            <w:pPr>
              <w:rPr>
                <w:rFonts w:ascii="宋体"/>
                <w:vanish/>
              </w:rPr>
            </w:pPr>
          </w:p>
        </w:tc>
        <w:tc>
          <w:tcPr>
            <w:tcW w:w="0" w:type="auto"/>
            <w:gridSpan w:val="6"/>
            <w:shd w:val="clear" w:color="auto" w:fill="auto"/>
            <w:tcMar>
              <w:left w:w="20" w:type="dxa"/>
              <w:right w:w="20" w:type="dxa"/>
            </w:tcMar>
            <w:vAlign w:val="bottom"/>
          </w:tcPr>
          <w:p w14:paraId="36CA5022" w14:textId="77777777" w:rsidR="00787570" w:rsidRDefault="00787570">
            <w:pPr>
              <w:rPr>
                <w:rFonts w:ascii="宋体"/>
              </w:rPr>
            </w:pPr>
          </w:p>
        </w:tc>
        <w:tc>
          <w:tcPr>
            <w:tcW w:w="0" w:type="auto"/>
            <w:gridSpan w:val="3"/>
            <w:shd w:val="clear" w:color="auto" w:fill="auto"/>
          </w:tcPr>
          <w:p w14:paraId="36CA5023" w14:textId="77777777" w:rsidR="00787570" w:rsidRDefault="00787570">
            <w:pPr>
              <w:rPr>
                <w:rFonts w:ascii="宋体"/>
                <w:vanish/>
              </w:rPr>
            </w:pPr>
          </w:p>
        </w:tc>
      </w:tr>
      <w:tr w:rsidR="00787570" w14:paraId="36CA502F" w14:textId="77777777">
        <w:trPr>
          <w:trHeight w:val="60"/>
        </w:trPr>
        <w:tc>
          <w:tcPr>
            <w:tcW w:w="0" w:type="auto"/>
            <w:gridSpan w:val="3"/>
            <w:shd w:val="clear" w:color="auto" w:fill="auto"/>
            <w:tcMar>
              <w:left w:w="20" w:type="dxa"/>
              <w:right w:w="20" w:type="dxa"/>
            </w:tcMar>
            <w:vAlign w:val="bottom"/>
          </w:tcPr>
          <w:p w14:paraId="36CA5025"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5026"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5027"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5028" w14:textId="77777777" w:rsidR="00787570" w:rsidRDefault="00787570">
            <w:pPr>
              <w:rPr>
                <w:rFonts w:ascii="宋体"/>
              </w:rPr>
            </w:pPr>
          </w:p>
        </w:tc>
        <w:tc>
          <w:tcPr>
            <w:tcW w:w="0" w:type="auto"/>
            <w:shd w:val="clear" w:color="auto" w:fill="auto"/>
          </w:tcPr>
          <w:p w14:paraId="36CA5029" w14:textId="77777777" w:rsidR="00787570" w:rsidRDefault="00787570">
            <w:pPr>
              <w:rPr>
                <w:rFonts w:ascii="宋体"/>
              </w:rPr>
            </w:pPr>
          </w:p>
        </w:tc>
        <w:tc>
          <w:tcPr>
            <w:tcW w:w="0" w:type="auto"/>
            <w:shd w:val="clear" w:color="auto" w:fill="auto"/>
          </w:tcPr>
          <w:p w14:paraId="36CA502A" w14:textId="77777777" w:rsidR="00787570" w:rsidRDefault="00787570">
            <w:pPr>
              <w:rPr>
                <w:rFonts w:ascii="宋体"/>
              </w:rPr>
            </w:pPr>
          </w:p>
        </w:tc>
        <w:tc>
          <w:tcPr>
            <w:tcW w:w="0" w:type="auto"/>
            <w:shd w:val="clear" w:color="auto" w:fill="auto"/>
          </w:tcPr>
          <w:p w14:paraId="36CA502B" w14:textId="77777777" w:rsidR="00787570" w:rsidRDefault="00787570">
            <w:pPr>
              <w:rPr>
                <w:rFonts w:ascii="宋体"/>
              </w:rPr>
            </w:pPr>
          </w:p>
        </w:tc>
        <w:tc>
          <w:tcPr>
            <w:tcW w:w="0" w:type="auto"/>
            <w:shd w:val="clear" w:color="auto" w:fill="auto"/>
          </w:tcPr>
          <w:p w14:paraId="36CA502C" w14:textId="77777777" w:rsidR="00787570" w:rsidRDefault="00787570">
            <w:pPr>
              <w:rPr>
                <w:rFonts w:ascii="宋体"/>
              </w:rPr>
            </w:pPr>
          </w:p>
        </w:tc>
        <w:tc>
          <w:tcPr>
            <w:tcW w:w="0" w:type="auto"/>
            <w:shd w:val="clear" w:color="auto" w:fill="auto"/>
          </w:tcPr>
          <w:p w14:paraId="36CA502D" w14:textId="77777777" w:rsidR="00787570" w:rsidRDefault="00787570">
            <w:pPr>
              <w:rPr>
                <w:rFonts w:ascii="宋体"/>
              </w:rPr>
            </w:pPr>
          </w:p>
        </w:tc>
        <w:tc>
          <w:tcPr>
            <w:tcW w:w="0" w:type="auto"/>
            <w:shd w:val="clear" w:color="auto" w:fill="auto"/>
          </w:tcPr>
          <w:p w14:paraId="36CA502E" w14:textId="77777777" w:rsidR="00787570" w:rsidRDefault="00787570">
            <w:pPr>
              <w:rPr>
                <w:rFonts w:ascii="宋体"/>
              </w:rPr>
            </w:pPr>
          </w:p>
        </w:tc>
      </w:tr>
      <w:tr w:rsidR="00787570" w14:paraId="36CA503A" w14:textId="77777777">
        <w:tc>
          <w:tcPr>
            <w:tcW w:w="0" w:type="auto"/>
            <w:gridSpan w:val="3"/>
            <w:shd w:val="clear" w:color="auto" w:fill="auto"/>
            <w:tcMar>
              <w:top w:w="40" w:type="dxa"/>
              <w:left w:w="20" w:type="dxa"/>
              <w:bottom w:w="40" w:type="dxa"/>
              <w:right w:w="20" w:type="dxa"/>
            </w:tcMar>
            <w:vAlign w:val="bottom"/>
          </w:tcPr>
          <w:p w14:paraId="36CA5030" w14:textId="77777777" w:rsidR="00787570" w:rsidRDefault="000D56E2">
            <w:pPr>
              <w:jc w:val="center"/>
              <w:textAlignment w:val="bottom"/>
            </w:pPr>
            <w:r>
              <w:rPr>
                <w:rFonts w:ascii="Arial" w:eastAsia="宋体" w:hAnsi="Arial" w:cs="Arial"/>
                <w:b/>
                <w:bCs/>
                <w:color w:val="FAAC16"/>
                <w:sz w:val="18"/>
                <w:szCs w:val="18"/>
              </w:rPr>
              <w:t>-</w:t>
            </w:r>
          </w:p>
        </w:tc>
        <w:tc>
          <w:tcPr>
            <w:tcW w:w="0" w:type="auto"/>
            <w:gridSpan w:val="3"/>
            <w:shd w:val="clear" w:color="auto" w:fill="auto"/>
            <w:tcMar>
              <w:top w:w="40" w:type="dxa"/>
              <w:left w:w="20" w:type="dxa"/>
              <w:bottom w:w="40" w:type="dxa"/>
              <w:right w:w="20" w:type="dxa"/>
            </w:tcMar>
            <w:vAlign w:val="bottom"/>
          </w:tcPr>
          <w:p w14:paraId="36CA5031" w14:textId="77777777" w:rsidR="00787570" w:rsidRDefault="000D56E2">
            <w:pPr>
              <w:textAlignment w:val="bottom"/>
            </w:pPr>
            <w:r>
              <w:rPr>
                <w:rFonts w:ascii="Arial" w:eastAsia="宋体" w:hAnsi="Arial" w:cs="Arial"/>
                <w:color w:val="333333"/>
                <w:sz w:val="18"/>
                <w:szCs w:val="18"/>
              </w:rPr>
              <w:t>Ramp down of 5G smartphone modem business</w:t>
            </w:r>
          </w:p>
        </w:tc>
        <w:tc>
          <w:tcPr>
            <w:tcW w:w="0" w:type="auto"/>
            <w:gridSpan w:val="3"/>
            <w:shd w:val="clear" w:color="auto" w:fill="auto"/>
            <w:tcMar>
              <w:left w:w="20" w:type="dxa"/>
              <w:right w:w="20" w:type="dxa"/>
            </w:tcMar>
            <w:vAlign w:val="bottom"/>
          </w:tcPr>
          <w:p w14:paraId="36CA5032"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5033" w14:textId="77777777" w:rsidR="00787570" w:rsidRDefault="00787570">
            <w:pPr>
              <w:rPr>
                <w:rFonts w:ascii="宋体"/>
              </w:rPr>
            </w:pPr>
          </w:p>
        </w:tc>
        <w:tc>
          <w:tcPr>
            <w:tcW w:w="0" w:type="auto"/>
            <w:shd w:val="clear" w:color="auto" w:fill="auto"/>
          </w:tcPr>
          <w:p w14:paraId="36CA5034" w14:textId="77777777" w:rsidR="00787570" w:rsidRDefault="00787570">
            <w:pPr>
              <w:rPr>
                <w:rFonts w:ascii="宋体"/>
              </w:rPr>
            </w:pPr>
          </w:p>
        </w:tc>
        <w:tc>
          <w:tcPr>
            <w:tcW w:w="0" w:type="auto"/>
            <w:shd w:val="clear" w:color="auto" w:fill="auto"/>
          </w:tcPr>
          <w:p w14:paraId="36CA5035" w14:textId="77777777" w:rsidR="00787570" w:rsidRDefault="00787570">
            <w:pPr>
              <w:rPr>
                <w:rFonts w:ascii="宋体"/>
              </w:rPr>
            </w:pPr>
          </w:p>
        </w:tc>
        <w:tc>
          <w:tcPr>
            <w:tcW w:w="0" w:type="auto"/>
            <w:shd w:val="clear" w:color="auto" w:fill="auto"/>
          </w:tcPr>
          <w:p w14:paraId="36CA5036" w14:textId="77777777" w:rsidR="00787570" w:rsidRDefault="00787570">
            <w:pPr>
              <w:rPr>
                <w:rFonts w:ascii="宋体"/>
              </w:rPr>
            </w:pPr>
          </w:p>
        </w:tc>
        <w:tc>
          <w:tcPr>
            <w:tcW w:w="0" w:type="auto"/>
            <w:shd w:val="clear" w:color="auto" w:fill="auto"/>
          </w:tcPr>
          <w:p w14:paraId="36CA5037" w14:textId="77777777" w:rsidR="00787570" w:rsidRDefault="00787570">
            <w:pPr>
              <w:rPr>
                <w:rFonts w:ascii="宋体"/>
              </w:rPr>
            </w:pPr>
          </w:p>
        </w:tc>
        <w:tc>
          <w:tcPr>
            <w:tcW w:w="0" w:type="auto"/>
            <w:shd w:val="clear" w:color="auto" w:fill="auto"/>
          </w:tcPr>
          <w:p w14:paraId="36CA5038" w14:textId="77777777" w:rsidR="00787570" w:rsidRDefault="00787570">
            <w:pPr>
              <w:rPr>
                <w:rFonts w:ascii="宋体"/>
              </w:rPr>
            </w:pPr>
          </w:p>
        </w:tc>
        <w:tc>
          <w:tcPr>
            <w:tcW w:w="0" w:type="auto"/>
            <w:shd w:val="clear" w:color="auto" w:fill="auto"/>
          </w:tcPr>
          <w:p w14:paraId="36CA5039" w14:textId="77777777" w:rsidR="00787570" w:rsidRDefault="00787570">
            <w:pPr>
              <w:rPr>
                <w:rFonts w:ascii="宋体"/>
              </w:rPr>
            </w:pPr>
          </w:p>
        </w:tc>
      </w:tr>
      <w:tr w:rsidR="00787570" w14:paraId="36CA5045" w14:textId="77777777">
        <w:tc>
          <w:tcPr>
            <w:tcW w:w="0" w:type="auto"/>
            <w:gridSpan w:val="3"/>
            <w:shd w:val="clear" w:color="auto" w:fill="auto"/>
            <w:tcMar>
              <w:top w:w="40" w:type="dxa"/>
              <w:left w:w="20" w:type="dxa"/>
              <w:bottom w:w="40" w:type="dxa"/>
              <w:right w:w="20" w:type="dxa"/>
            </w:tcMar>
            <w:vAlign w:val="bottom"/>
          </w:tcPr>
          <w:p w14:paraId="36CA503B" w14:textId="77777777" w:rsidR="00787570" w:rsidRDefault="000D56E2">
            <w:pPr>
              <w:jc w:val="center"/>
              <w:textAlignment w:val="bottom"/>
            </w:pPr>
            <w:r>
              <w:rPr>
                <w:rFonts w:ascii="Arial" w:eastAsia="宋体" w:hAnsi="Arial" w:cs="Arial"/>
                <w:b/>
                <w:bCs/>
                <w:color w:val="FAAC16"/>
                <w:sz w:val="18"/>
                <w:szCs w:val="18"/>
              </w:rPr>
              <w:t>-</w:t>
            </w:r>
          </w:p>
        </w:tc>
        <w:tc>
          <w:tcPr>
            <w:tcW w:w="0" w:type="auto"/>
            <w:gridSpan w:val="3"/>
            <w:shd w:val="clear" w:color="auto" w:fill="auto"/>
            <w:tcMar>
              <w:top w:w="40" w:type="dxa"/>
              <w:left w:w="20" w:type="dxa"/>
              <w:bottom w:w="40" w:type="dxa"/>
              <w:right w:w="20" w:type="dxa"/>
            </w:tcMar>
            <w:vAlign w:val="bottom"/>
          </w:tcPr>
          <w:p w14:paraId="36CA503C" w14:textId="77777777" w:rsidR="00787570" w:rsidRDefault="000D56E2">
            <w:pPr>
              <w:textAlignment w:val="bottom"/>
            </w:pPr>
            <w:r>
              <w:rPr>
                <w:rFonts w:ascii="Arial" w:eastAsia="宋体" w:hAnsi="Arial" w:cs="Arial"/>
                <w:color w:val="333333"/>
                <w:sz w:val="18"/>
                <w:szCs w:val="18"/>
              </w:rPr>
              <w:t>Profit dependent compensation</w:t>
            </w:r>
          </w:p>
        </w:tc>
        <w:tc>
          <w:tcPr>
            <w:tcW w:w="0" w:type="auto"/>
            <w:gridSpan w:val="3"/>
            <w:shd w:val="clear" w:color="auto" w:fill="auto"/>
            <w:tcMar>
              <w:left w:w="20" w:type="dxa"/>
              <w:right w:w="20" w:type="dxa"/>
            </w:tcMar>
            <w:vAlign w:val="bottom"/>
          </w:tcPr>
          <w:p w14:paraId="36CA503D"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503E" w14:textId="77777777" w:rsidR="00787570" w:rsidRDefault="00787570">
            <w:pPr>
              <w:rPr>
                <w:rFonts w:ascii="宋体"/>
              </w:rPr>
            </w:pPr>
          </w:p>
        </w:tc>
        <w:tc>
          <w:tcPr>
            <w:tcW w:w="0" w:type="auto"/>
            <w:shd w:val="clear" w:color="auto" w:fill="auto"/>
          </w:tcPr>
          <w:p w14:paraId="36CA503F" w14:textId="77777777" w:rsidR="00787570" w:rsidRDefault="00787570">
            <w:pPr>
              <w:rPr>
                <w:rFonts w:ascii="宋体"/>
              </w:rPr>
            </w:pPr>
          </w:p>
        </w:tc>
        <w:tc>
          <w:tcPr>
            <w:tcW w:w="0" w:type="auto"/>
            <w:shd w:val="clear" w:color="auto" w:fill="auto"/>
          </w:tcPr>
          <w:p w14:paraId="36CA5040" w14:textId="77777777" w:rsidR="00787570" w:rsidRDefault="00787570">
            <w:pPr>
              <w:rPr>
                <w:rFonts w:ascii="宋体"/>
              </w:rPr>
            </w:pPr>
          </w:p>
        </w:tc>
        <w:tc>
          <w:tcPr>
            <w:tcW w:w="0" w:type="auto"/>
            <w:shd w:val="clear" w:color="auto" w:fill="auto"/>
          </w:tcPr>
          <w:p w14:paraId="36CA5041" w14:textId="77777777" w:rsidR="00787570" w:rsidRDefault="00787570">
            <w:pPr>
              <w:rPr>
                <w:rFonts w:ascii="宋体"/>
              </w:rPr>
            </w:pPr>
          </w:p>
        </w:tc>
        <w:tc>
          <w:tcPr>
            <w:tcW w:w="0" w:type="auto"/>
            <w:shd w:val="clear" w:color="auto" w:fill="auto"/>
          </w:tcPr>
          <w:p w14:paraId="36CA5042" w14:textId="77777777" w:rsidR="00787570" w:rsidRDefault="00787570">
            <w:pPr>
              <w:rPr>
                <w:rFonts w:ascii="宋体"/>
              </w:rPr>
            </w:pPr>
          </w:p>
        </w:tc>
        <w:tc>
          <w:tcPr>
            <w:tcW w:w="0" w:type="auto"/>
            <w:shd w:val="clear" w:color="auto" w:fill="auto"/>
          </w:tcPr>
          <w:p w14:paraId="36CA5043" w14:textId="77777777" w:rsidR="00787570" w:rsidRDefault="00787570">
            <w:pPr>
              <w:rPr>
                <w:rFonts w:ascii="宋体"/>
              </w:rPr>
            </w:pPr>
          </w:p>
        </w:tc>
        <w:tc>
          <w:tcPr>
            <w:tcW w:w="0" w:type="auto"/>
            <w:shd w:val="clear" w:color="auto" w:fill="auto"/>
          </w:tcPr>
          <w:p w14:paraId="36CA5044" w14:textId="77777777" w:rsidR="00787570" w:rsidRDefault="00787570">
            <w:pPr>
              <w:rPr>
                <w:rFonts w:ascii="宋体"/>
              </w:rPr>
            </w:pPr>
          </w:p>
        </w:tc>
      </w:tr>
      <w:tr w:rsidR="00787570" w14:paraId="36CA5050" w14:textId="77777777">
        <w:tc>
          <w:tcPr>
            <w:tcW w:w="0" w:type="auto"/>
            <w:gridSpan w:val="3"/>
            <w:shd w:val="clear" w:color="auto" w:fill="auto"/>
            <w:tcMar>
              <w:top w:w="40" w:type="dxa"/>
              <w:left w:w="20" w:type="dxa"/>
              <w:bottom w:w="40" w:type="dxa"/>
              <w:right w:w="20" w:type="dxa"/>
            </w:tcMar>
            <w:vAlign w:val="bottom"/>
          </w:tcPr>
          <w:p w14:paraId="36CA5046" w14:textId="77777777" w:rsidR="00787570" w:rsidRDefault="000D56E2">
            <w:pPr>
              <w:jc w:val="center"/>
              <w:textAlignment w:val="bottom"/>
            </w:pPr>
            <w:r>
              <w:rPr>
                <w:rFonts w:ascii="Arial" w:eastAsia="宋体" w:hAnsi="Arial" w:cs="Arial"/>
                <w:b/>
                <w:bCs/>
                <w:color w:val="00AEEF"/>
                <w:sz w:val="18"/>
                <w:szCs w:val="18"/>
              </w:rPr>
              <w:t>+</w:t>
            </w:r>
          </w:p>
        </w:tc>
        <w:tc>
          <w:tcPr>
            <w:tcW w:w="0" w:type="auto"/>
            <w:gridSpan w:val="3"/>
            <w:shd w:val="clear" w:color="auto" w:fill="auto"/>
            <w:tcMar>
              <w:top w:w="40" w:type="dxa"/>
              <w:left w:w="20" w:type="dxa"/>
              <w:bottom w:w="40" w:type="dxa"/>
              <w:right w:w="20" w:type="dxa"/>
            </w:tcMar>
            <w:vAlign w:val="bottom"/>
          </w:tcPr>
          <w:p w14:paraId="36CA5047" w14:textId="77777777" w:rsidR="00787570" w:rsidRDefault="000D56E2">
            <w:pPr>
              <w:textAlignment w:val="bottom"/>
            </w:pPr>
            <w:r>
              <w:rPr>
                <w:rFonts w:ascii="Arial" w:eastAsia="宋体" w:hAnsi="Arial" w:cs="Arial"/>
                <w:color w:val="333333"/>
                <w:sz w:val="18"/>
                <w:szCs w:val="18"/>
              </w:rPr>
              <w:t>Investments in our PC and data-centric businesses</w:t>
            </w:r>
          </w:p>
        </w:tc>
        <w:tc>
          <w:tcPr>
            <w:tcW w:w="0" w:type="auto"/>
            <w:gridSpan w:val="3"/>
            <w:shd w:val="clear" w:color="auto" w:fill="auto"/>
            <w:tcMar>
              <w:left w:w="20" w:type="dxa"/>
              <w:right w:w="20" w:type="dxa"/>
            </w:tcMar>
            <w:vAlign w:val="bottom"/>
          </w:tcPr>
          <w:p w14:paraId="36CA5048"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5049" w14:textId="77777777" w:rsidR="00787570" w:rsidRDefault="00787570">
            <w:pPr>
              <w:rPr>
                <w:rFonts w:ascii="宋体"/>
              </w:rPr>
            </w:pPr>
          </w:p>
        </w:tc>
        <w:tc>
          <w:tcPr>
            <w:tcW w:w="0" w:type="auto"/>
            <w:shd w:val="clear" w:color="auto" w:fill="auto"/>
          </w:tcPr>
          <w:p w14:paraId="36CA504A" w14:textId="77777777" w:rsidR="00787570" w:rsidRDefault="00787570">
            <w:pPr>
              <w:rPr>
                <w:rFonts w:ascii="宋体"/>
              </w:rPr>
            </w:pPr>
          </w:p>
        </w:tc>
        <w:tc>
          <w:tcPr>
            <w:tcW w:w="0" w:type="auto"/>
            <w:shd w:val="clear" w:color="auto" w:fill="auto"/>
          </w:tcPr>
          <w:p w14:paraId="36CA504B" w14:textId="77777777" w:rsidR="00787570" w:rsidRDefault="00787570">
            <w:pPr>
              <w:rPr>
                <w:rFonts w:ascii="宋体"/>
              </w:rPr>
            </w:pPr>
          </w:p>
        </w:tc>
        <w:tc>
          <w:tcPr>
            <w:tcW w:w="0" w:type="auto"/>
            <w:shd w:val="clear" w:color="auto" w:fill="auto"/>
          </w:tcPr>
          <w:p w14:paraId="36CA504C" w14:textId="77777777" w:rsidR="00787570" w:rsidRDefault="00787570">
            <w:pPr>
              <w:rPr>
                <w:rFonts w:ascii="宋体"/>
              </w:rPr>
            </w:pPr>
          </w:p>
        </w:tc>
        <w:tc>
          <w:tcPr>
            <w:tcW w:w="0" w:type="auto"/>
            <w:shd w:val="clear" w:color="auto" w:fill="auto"/>
          </w:tcPr>
          <w:p w14:paraId="36CA504D" w14:textId="77777777" w:rsidR="00787570" w:rsidRDefault="00787570">
            <w:pPr>
              <w:rPr>
                <w:rFonts w:ascii="宋体"/>
              </w:rPr>
            </w:pPr>
          </w:p>
        </w:tc>
        <w:tc>
          <w:tcPr>
            <w:tcW w:w="0" w:type="auto"/>
            <w:shd w:val="clear" w:color="auto" w:fill="auto"/>
          </w:tcPr>
          <w:p w14:paraId="36CA504E" w14:textId="77777777" w:rsidR="00787570" w:rsidRDefault="00787570">
            <w:pPr>
              <w:rPr>
                <w:rFonts w:ascii="宋体"/>
              </w:rPr>
            </w:pPr>
          </w:p>
        </w:tc>
        <w:tc>
          <w:tcPr>
            <w:tcW w:w="0" w:type="auto"/>
            <w:shd w:val="clear" w:color="auto" w:fill="auto"/>
          </w:tcPr>
          <w:p w14:paraId="36CA504F" w14:textId="77777777" w:rsidR="00787570" w:rsidRDefault="00787570">
            <w:pPr>
              <w:rPr>
                <w:rFonts w:ascii="宋体"/>
              </w:rPr>
            </w:pPr>
          </w:p>
        </w:tc>
      </w:tr>
      <w:tr w:rsidR="00787570" w14:paraId="36CA505B" w14:textId="77777777">
        <w:tc>
          <w:tcPr>
            <w:tcW w:w="0" w:type="auto"/>
            <w:gridSpan w:val="3"/>
            <w:shd w:val="clear" w:color="auto" w:fill="auto"/>
            <w:tcMar>
              <w:top w:w="40" w:type="dxa"/>
              <w:left w:w="20" w:type="dxa"/>
              <w:bottom w:w="40" w:type="dxa"/>
              <w:right w:w="20" w:type="dxa"/>
            </w:tcMar>
            <w:vAlign w:val="bottom"/>
          </w:tcPr>
          <w:p w14:paraId="36CA5051" w14:textId="77777777" w:rsidR="00787570" w:rsidRDefault="000D56E2">
            <w:pPr>
              <w:jc w:val="center"/>
              <w:textAlignment w:val="bottom"/>
            </w:pPr>
            <w:r>
              <w:rPr>
                <w:rFonts w:ascii="Arial" w:eastAsia="宋体" w:hAnsi="Arial" w:cs="Arial"/>
                <w:b/>
                <w:bCs/>
                <w:color w:val="00AEEF"/>
                <w:sz w:val="18"/>
                <w:szCs w:val="18"/>
              </w:rPr>
              <w:t>+</w:t>
            </w:r>
          </w:p>
        </w:tc>
        <w:tc>
          <w:tcPr>
            <w:tcW w:w="0" w:type="auto"/>
            <w:gridSpan w:val="3"/>
            <w:shd w:val="clear" w:color="auto" w:fill="auto"/>
            <w:tcMar>
              <w:top w:w="40" w:type="dxa"/>
              <w:left w:w="20" w:type="dxa"/>
              <w:bottom w:w="40" w:type="dxa"/>
              <w:right w:w="20" w:type="dxa"/>
            </w:tcMar>
            <w:vAlign w:val="bottom"/>
          </w:tcPr>
          <w:p w14:paraId="36CA5052" w14:textId="77777777" w:rsidR="00787570" w:rsidRDefault="000D56E2">
            <w:pPr>
              <w:textAlignment w:val="bottom"/>
            </w:pPr>
            <w:r>
              <w:rPr>
                <w:rFonts w:ascii="Arial" w:eastAsia="宋体" w:hAnsi="Arial" w:cs="Arial"/>
                <w:color w:val="333333"/>
                <w:sz w:val="18"/>
                <w:szCs w:val="18"/>
              </w:rPr>
              <w:t>Investments in our process technology</w:t>
            </w:r>
          </w:p>
        </w:tc>
        <w:tc>
          <w:tcPr>
            <w:tcW w:w="0" w:type="auto"/>
            <w:gridSpan w:val="3"/>
            <w:shd w:val="clear" w:color="auto" w:fill="auto"/>
            <w:tcMar>
              <w:left w:w="20" w:type="dxa"/>
              <w:right w:w="20" w:type="dxa"/>
            </w:tcMar>
            <w:vAlign w:val="bottom"/>
          </w:tcPr>
          <w:p w14:paraId="36CA5053"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5054" w14:textId="77777777" w:rsidR="00787570" w:rsidRDefault="00787570">
            <w:pPr>
              <w:rPr>
                <w:rFonts w:ascii="宋体"/>
              </w:rPr>
            </w:pPr>
          </w:p>
        </w:tc>
        <w:tc>
          <w:tcPr>
            <w:tcW w:w="0" w:type="auto"/>
            <w:shd w:val="clear" w:color="auto" w:fill="auto"/>
          </w:tcPr>
          <w:p w14:paraId="36CA5055" w14:textId="77777777" w:rsidR="00787570" w:rsidRDefault="00787570">
            <w:pPr>
              <w:rPr>
                <w:rFonts w:ascii="宋体"/>
              </w:rPr>
            </w:pPr>
          </w:p>
        </w:tc>
        <w:tc>
          <w:tcPr>
            <w:tcW w:w="0" w:type="auto"/>
            <w:shd w:val="clear" w:color="auto" w:fill="auto"/>
          </w:tcPr>
          <w:p w14:paraId="36CA5056" w14:textId="77777777" w:rsidR="00787570" w:rsidRDefault="00787570">
            <w:pPr>
              <w:rPr>
                <w:rFonts w:ascii="宋体"/>
              </w:rPr>
            </w:pPr>
          </w:p>
        </w:tc>
        <w:tc>
          <w:tcPr>
            <w:tcW w:w="0" w:type="auto"/>
            <w:shd w:val="clear" w:color="auto" w:fill="auto"/>
          </w:tcPr>
          <w:p w14:paraId="36CA5057" w14:textId="77777777" w:rsidR="00787570" w:rsidRDefault="00787570">
            <w:pPr>
              <w:rPr>
                <w:rFonts w:ascii="宋体"/>
              </w:rPr>
            </w:pPr>
          </w:p>
        </w:tc>
        <w:tc>
          <w:tcPr>
            <w:tcW w:w="0" w:type="auto"/>
            <w:shd w:val="clear" w:color="auto" w:fill="auto"/>
          </w:tcPr>
          <w:p w14:paraId="36CA5058" w14:textId="77777777" w:rsidR="00787570" w:rsidRDefault="00787570">
            <w:pPr>
              <w:rPr>
                <w:rFonts w:ascii="宋体"/>
              </w:rPr>
            </w:pPr>
          </w:p>
        </w:tc>
        <w:tc>
          <w:tcPr>
            <w:tcW w:w="0" w:type="auto"/>
            <w:shd w:val="clear" w:color="auto" w:fill="auto"/>
          </w:tcPr>
          <w:p w14:paraId="36CA5059" w14:textId="77777777" w:rsidR="00787570" w:rsidRDefault="00787570">
            <w:pPr>
              <w:rPr>
                <w:rFonts w:ascii="宋体"/>
              </w:rPr>
            </w:pPr>
          </w:p>
        </w:tc>
        <w:tc>
          <w:tcPr>
            <w:tcW w:w="0" w:type="auto"/>
            <w:shd w:val="clear" w:color="auto" w:fill="auto"/>
          </w:tcPr>
          <w:p w14:paraId="36CA505A" w14:textId="77777777" w:rsidR="00787570" w:rsidRDefault="00787570">
            <w:pPr>
              <w:rPr>
                <w:rFonts w:ascii="宋体"/>
              </w:rPr>
            </w:pPr>
          </w:p>
        </w:tc>
      </w:tr>
      <w:tr w:rsidR="00787570" w14:paraId="36CA5066" w14:textId="77777777">
        <w:trPr>
          <w:hidden/>
        </w:trPr>
        <w:tc>
          <w:tcPr>
            <w:tcW w:w="0" w:type="auto"/>
            <w:gridSpan w:val="3"/>
            <w:shd w:val="clear" w:color="auto" w:fill="auto"/>
          </w:tcPr>
          <w:p w14:paraId="36CA505C" w14:textId="77777777" w:rsidR="00787570" w:rsidRDefault="00787570">
            <w:pPr>
              <w:rPr>
                <w:rFonts w:ascii="宋体"/>
                <w:vanish/>
              </w:rPr>
            </w:pPr>
          </w:p>
        </w:tc>
        <w:tc>
          <w:tcPr>
            <w:tcW w:w="0" w:type="auto"/>
            <w:gridSpan w:val="3"/>
            <w:shd w:val="clear" w:color="auto" w:fill="auto"/>
          </w:tcPr>
          <w:p w14:paraId="36CA505D" w14:textId="77777777" w:rsidR="00787570" w:rsidRDefault="00787570">
            <w:pPr>
              <w:rPr>
                <w:rFonts w:ascii="宋体"/>
                <w:vanish/>
              </w:rPr>
            </w:pPr>
          </w:p>
        </w:tc>
        <w:tc>
          <w:tcPr>
            <w:tcW w:w="0" w:type="auto"/>
            <w:gridSpan w:val="3"/>
            <w:shd w:val="clear" w:color="auto" w:fill="auto"/>
          </w:tcPr>
          <w:p w14:paraId="36CA505E" w14:textId="77777777" w:rsidR="00787570" w:rsidRDefault="00787570">
            <w:pPr>
              <w:rPr>
                <w:rFonts w:ascii="宋体"/>
                <w:vanish/>
              </w:rPr>
            </w:pPr>
          </w:p>
        </w:tc>
        <w:tc>
          <w:tcPr>
            <w:tcW w:w="0" w:type="auto"/>
            <w:gridSpan w:val="3"/>
            <w:shd w:val="clear" w:color="auto" w:fill="auto"/>
          </w:tcPr>
          <w:p w14:paraId="36CA505F" w14:textId="77777777" w:rsidR="00787570" w:rsidRDefault="00787570">
            <w:pPr>
              <w:rPr>
                <w:rFonts w:ascii="宋体"/>
                <w:vanish/>
              </w:rPr>
            </w:pPr>
          </w:p>
        </w:tc>
        <w:tc>
          <w:tcPr>
            <w:tcW w:w="0" w:type="auto"/>
            <w:shd w:val="clear" w:color="auto" w:fill="auto"/>
          </w:tcPr>
          <w:p w14:paraId="36CA5060" w14:textId="77777777" w:rsidR="00787570" w:rsidRDefault="00787570">
            <w:pPr>
              <w:rPr>
                <w:rFonts w:ascii="宋体"/>
              </w:rPr>
            </w:pPr>
          </w:p>
        </w:tc>
        <w:tc>
          <w:tcPr>
            <w:tcW w:w="0" w:type="auto"/>
            <w:shd w:val="clear" w:color="auto" w:fill="auto"/>
          </w:tcPr>
          <w:p w14:paraId="36CA5061" w14:textId="77777777" w:rsidR="00787570" w:rsidRDefault="00787570">
            <w:pPr>
              <w:rPr>
                <w:rFonts w:ascii="宋体"/>
              </w:rPr>
            </w:pPr>
          </w:p>
        </w:tc>
        <w:tc>
          <w:tcPr>
            <w:tcW w:w="0" w:type="auto"/>
            <w:shd w:val="clear" w:color="auto" w:fill="auto"/>
          </w:tcPr>
          <w:p w14:paraId="36CA5062" w14:textId="77777777" w:rsidR="00787570" w:rsidRDefault="00787570">
            <w:pPr>
              <w:rPr>
                <w:rFonts w:ascii="宋体"/>
              </w:rPr>
            </w:pPr>
          </w:p>
        </w:tc>
        <w:tc>
          <w:tcPr>
            <w:tcW w:w="0" w:type="auto"/>
            <w:shd w:val="clear" w:color="auto" w:fill="auto"/>
          </w:tcPr>
          <w:p w14:paraId="36CA5063" w14:textId="77777777" w:rsidR="00787570" w:rsidRDefault="00787570">
            <w:pPr>
              <w:rPr>
                <w:rFonts w:ascii="宋体"/>
              </w:rPr>
            </w:pPr>
          </w:p>
        </w:tc>
        <w:tc>
          <w:tcPr>
            <w:tcW w:w="0" w:type="auto"/>
            <w:shd w:val="clear" w:color="auto" w:fill="auto"/>
          </w:tcPr>
          <w:p w14:paraId="36CA5064" w14:textId="77777777" w:rsidR="00787570" w:rsidRDefault="00787570">
            <w:pPr>
              <w:rPr>
                <w:rFonts w:ascii="宋体"/>
              </w:rPr>
            </w:pPr>
          </w:p>
        </w:tc>
        <w:tc>
          <w:tcPr>
            <w:tcW w:w="0" w:type="auto"/>
            <w:shd w:val="clear" w:color="auto" w:fill="auto"/>
          </w:tcPr>
          <w:p w14:paraId="36CA5065" w14:textId="77777777" w:rsidR="00787570" w:rsidRDefault="00787570">
            <w:pPr>
              <w:rPr>
                <w:rFonts w:ascii="宋体"/>
              </w:rPr>
            </w:pPr>
          </w:p>
        </w:tc>
      </w:tr>
    </w:tbl>
    <w:p w14:paraId="36CA5067" w14:textId="77777777" w:rsidR="00787570" w:rsidRDefault="00787570">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8231"/>
        <w:gridCol w:w="36"/>
      </w:tblGrid>
      <w:tr w:rsidR="00787570" w14:paraId="36CA506B" w14:textId="77777777">
        <w:tc>
          <w:tcPr>
            <w:tcW w:w="50" w:type="pct"/>
            <w:shd w:val="clear" w:color="auto" w:fill="auto"/>
          </w:tcPr>
          <w:p w14:paraId="36CA5068" w14:textId="77777777" w:rsidR="00787570" w:rsidRDefault="00787570">
            <w:pPr>
              <w:rPr>
                <w:rFonts w:ascii="宋体"/>
              </w:rPr>
            </w:pPr>
          </w:p>
        </w:tc>
        <w:tc>
          <w:tcPr>
            <w:tcW w:w="4945" w:type="pct"/>
            <w:shd w:val="clear" w:color="auto" w:fill="auto"/>
          </w:tcPr>
          <w:p w14:paraId="36CA5069" w14:textId="77777777" w:rsidR="00787570" w:rsidRDefault="00787570">
            <w:pPr>
              <w:rPr>
                <w:rFonts w:ascii="宋体"/>
              </w:rPr>
            </w:pPr>
          </w:p>
        </w:tc>
        <w:tc>
          <w:tcPr>
            <w:tcW w:w="5" w:type="pct"/>
            <w:shd w:val="clear" w:color="auto" w:fill="auto"/>
          </w:tcPr>
          <w:p w14:paraId="36CA506A" w14:textId="77777777" w:rsidR="00787570" w:rsidRDefault="00787570">
            <w:pPr>
              <w:rPr>
                <w:rFonts w:ascii="宋体"/>
              </w:rPr>
            </w:pPr>
          </w:p>
        </w:tc>
      </w:tr>
      <w:tr w:rsidR="00787570" w14:paraId="36CA506D" w14:textId="77777777">
        <w:tc>
          <w:tcPr>
            <w:tcW w:w="0" w:type="auto"/>
            <w:gridSpan w:val="3"/>
            <w:tcBorders>
              <w:bottom w:val="single" w:sz="8" w:space="0" w:color="333333"/>
            </w:tcBorders>
            <w:shd w:val="clear" w:color="auto" w:fill="auto"/>
            <w:tcMar>
              <w:top w:w="40" w:type="dxa"/>
              <w:left w:w="20" w:type="dxa"/>
              <w:bottom w:w="40" w:type="dxa"/>
              <w:right w:w="20" w:type="dxa"/>
            </w:tcMar>
            <w:vAlign w:val="bottom"/>
          </w:tcPr>
          <w:p w14:paraId="36CA506C" w14:textId="77777777" w:rsidR="00787570" w:rsidRDefault="000D56E2">
            <w:pPr>
              <w:textAlignment w:val="bottom"/>
            </w:pPr>
            <w:r>
              <w:rPr>
                <w:rFonts w:ascii="Arial" w:eastAsia="宋体" w:hAnsi="Arial" w:cs="Arial"/>
                <w:b/>
                <w:bCs/>
                <w:color w:val="0071C5"/>
                <w:sz w:val="20"/>
                <w:szCs w:val="20"/>
              </w:rPr>
              <w:t xml:space="preserve">MARKETING, GENERAL AND </w:t>
            </w:r>
            <w:r>
              <w:rPr>
                <w:rFonts w:ascii="Arial" w:eastAsia="宋体" w:hAnsi="Arial" w:cs="Arial"/>
                <w:b/>
                <w:bCs/>
                <w:color w:val="0071C5"/>
                <w:sz w:val="20"/>
                <w:szCs w:val="20"/>
              </w:rPr>
              <w:t>ADMINISTRATIVE</w:t>
            </w:r>
          </w:p>
        </w:tc>
      </w:tr>
    </w:tbl>
    <w:p w14:paraId="36CA506E" w14:textId="77777777" w:rsidR="00787570" w:rsidRDefault="000D56E2">
      <w:pPr>
        <w:spacing w:before="180" w:after="120"/>
      </w:pPr>
      <w:r>
        <w:rPr>
          <w:rFonts w:ascii="Arial" w:eastAsia="宋体" w:hAnsi="Arial" w:cs="Arial"/>
          <w:b/>
          <w:bCs/>
          <w:color w:val="333333"/>
          <w:sz w:val="20"/>
          <w:szCs w:val="20"/>
        </w:rPr>
        <w:t>Q3 2020 vs. Q3 2019</w:t>
      </w:r>
      <w:r>
        <w:rPr>
          <w:rFonts w:ascii="Arial" w:eastAsia="宋体" w:hAnsi="Arial" w:cs="Arial"/>
          <w:color w:val="333333"/>
          <w:sz w:val="18"/>
          <w:szCs w:val="18"/>
        </w:rPr>
        <w:t xml:space="preserve"> </w:t>
      </w:r>
    </w:p>
    <w:tbl>
      <w:tblPr>
        <w:tblW w:w="2548" w:type="pct"/>
        <w:tblCellMar>
          <w:top w:w="15" w:type="dxa"/>
          <w:left w:w="15" w:type="dxa"/>
          <w:bottom w:w="15" w:type="dxa"/>
          <w:right w:w="15" w:type="dxa"/>
        </w:tblCellMar>
        <w:tblLook w:val="04A0" w:firstRow="1" w:lastRow="0" w:firstColumn="1" w:lastColumn="0" w:noHBand="0" w:noVBand="1"/>
      </w:tblPr>
      <w:tblGrid>
        <w:gridCol w:w="37"/>
        <w:gridCol w:w="102"/>
        <w:gridCol w:w="37"/>
        <w:gridCol w:w="39"/>
        <w:gridCol w:w="3887"/>
        <w:gridCol w:w="38"/>
        <w:gridCol w:w="36"/>
        <w:gridCol w:w="36"/>
        <w:gridCol w:w="36"/>
      </w:tblGrid>
      <w:tr w:rsidR="00787570" w14:paraId="36CA5075" w14:textId="77777777">
        <w:trPr>
          <w:gridAfter w:val="3"/>
        </w:trPr>
        <w:tc>
          <w:tcPr>
            <w:tcW w:w="50" w:type="pct"/>
            <w:shd w:val="clear" w:color="auto" w:fill="auto"/>
          </w:tcPr>
          <w:p w14:paraId="36CA506F" w14:textId="77777777" w:rsidR="00787570" w:rsidRDefault="00787570">
            <w:pPr>
              <w:rPr>
                <w:rFonts w:ascii="宋体"/>
              </w:rPr>
            </w:pPr>
          </w:p>
        </w:tc>
        <w:tc>
          <w:tcPr>
            <w:tcW w:w="159" w:type="pct"/>
            <w:shd w:val="clear" w:color="auto" w:fill="auto"/>
          </w:tcPr>
          <w:p w14:paraId="36CA5070" w14:textId="77777777" w:rsidR="00787570" w:rsidRDefault="00787570">
            <w:pPr>
              <w:rPr>
                <w:rFonts w:ascii="宋体"/>
              </w:rPr>
            </w:pPr>
          </w:p>
        </w:tc>
        <w:tc>
          <w:tcPr>
            <w:tcW w:w="5" w:type="pct"/>
            <w:shd w:val="clear" w:color="auto" w:fill="auto"/>
          </w:tcPr>
          <w:p w14:paraId="36CA5071" w14:textId="77777777" w:rsidR="00787570" w:rsidRDefault="00787570">
            <w:pPr>
              <w:rPr>
                <w:rFonts w:ascii="宋体"/>
              </w:rPr>
            </w:pPr>
          </w:p>
        </w:tc>
        <w:tc>
          <w:tcPr>
            <w:tcW w:w="50" w:type="pct"/>
            <w:shd w:val="clear" w:color="auto" w:fill="auto"/>
          </w:tcPr>
          <w:p w14:paraId="36CA5072" w14:textId="77777777" w:rsidR="00787570" w:rsidRDefault="00787570">
            <w:pPr>
              <w:rPr>
                <w:rFonts w:ascii="宋体"/>
              </w:rPr>
            </w:pPr>
          </w:p>
        </w:tc>
        <w:tc>
          <w:tcPr>
            <w:tcW w:w="4730" w:type="pct"/>
            <w:shd w:val="clear" w:color="auto" w:fill="auto"/>
          </w:tcPr>
          <w:p w14:paraId="36CA5073" w14:textId="77777777" w:rsidR="00787570" w:rsidRDefault="00787570">
            <w:pPr>
              <w:rPr>
                <w:rFonts w:ascii="宋体"/>
              </w:rPr>
            </w:pPr>
          </w:p>
        </w:tc>
        <w:tc>
          <w:tcPr>
            <w:tcW w:w="5" w:type="pct"/>
            <w:shd w:val="clear" w:color="auto" w:fill="auto"/>
          </w:tcPr>
          <w:p w14:paraId="36CA5074" w14:textId="77777777" w:rsidR="00787570" w:rsidRDefault="00787570">
            <w:pPr>
              <w:rPr>
                <w:rFonts w:ascii="宋体"/>
              </w:rPr>
            </w:pPr>
          </w:p>
        </w:tc>
      </w:tr>
      <w:tr w:rsidR="00787570" w14:paraId="36CA5078" w14:textId="77777777">
        <w:tc>
          <w:tcPr>
            <w:tcW w:w="0" w:type="auto"/>
            <w:gridSpan w:val="6"/>
            <w:shd w:val="clear" w:color="auto" w:fill="auto"/>
            <w:tcMar>
              <w:top w:w="40" w:type="dxa"/>
              <w:left w:w="20" w:type="dxa"/>
              <w:bottom w:w="40" w:type="dxa"/>
              <w:right w:w="20" w:type="dxa"/>
            </w:tcMar>
            <w:vAlign w:val="bottom"/>
          </w:tcPr>
          <w:p w14:paraId="36CA5076" w14:textId="77777777" w:rsidR="00787570" w:rsidRDefault="000D56E2">
            <w:pPr>
              <w:textAlignment w:val="bottom"/>
            </w:pPr>
            <w:r>
              <w:rPr>
                <w:rFonts w:ascii="Arial" w:eastAsia="宋体" w:hAnsi="Arial" w:cs="Arial"/>
                <w:color w:val="333333"/>
                <w:sz w:val="18"/>
                <w:szCs w:val="18"/>
              </w:rPr>
              <w:t>MG&amp;A decreased by $101 million, or 7%, driven by the following:</w:t>
            </w:r>
          </w:p>
        </w:tc>
        <w:tc>
          <w:tcPr>
            <w:tcW w:w="0" w:type="auto"/>
            <w:gridSpan w:val="3"/>
            <w:shd w:val="clear" w:color="auto" w:fill="auto"/>
          </w:tcPr>
          <w:p w14:paraId="36CA5077" w14:textId="77777777" w:rsidR="00787570" w:rsidRDefault="00787570">
            <w:pPr>
              <w:rPr>
                <w:rFonts w:ascii="宋体"/>
                <w:vanish/>
              </w:rPr>
            </w:pPr>
          </w:p>
        </w:tc>
      </w:tr>
      <w:tr w:rsidR="00787570" w14:paraId="36CA507E" w14:textId="77777777">
        <w:trPr>
          <w:trHeight w:val="60"/>
        </w:trPr>
        <w:tc>
          <w:tcPr>
            <w:tcW w:w="0" w:type="auto"/>
            <w:gridSpan w:val="3"/>
            <w:shd w:val="clear" w:color="auto" w:fill="auto"/>
            <w:tcMar>
              <w:left w:w="20" w:type="dxa"/>
              <w:right w:w="20" w:type="dxa"/>
            </w:tcMar>
            <w:vAlign w:val="bottom"/>
          </w:tcPr>
          <w:p w14:paraId="36CA5079"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507A" w14:textId="77777777" w:rsidR="00787570" w:rsidRDefault="00787570">
            <w:pPr>
              <w:rPr>
                <w:rFonts w:ascii="宋体"/>
              </w:rPr>
            </w:pPr>
          </w:p>
        </w:tc>
        <w:tc>
          <w:tcPr>
            <w:tcW w:w="0" w:type="auto"/>
            <w:shd w:val="clear" w:color="auto" w:fill="auto"/>
          </w:tcPr>
          <w:p w14:paraId="36CA507B" w14:textId="77777777" w:rsidR="00787570" w:rsidRDefault="00787570">
            <w:pPr>
              <w:rPr>
                <w:rFonts w:ascii="宋体"/>
              </w:rPr>
            </w:pPr>
          </w:p>
        </w:tc>
        <w:tc>
          <w:tcPr>
            <w:tcW w:w="0" w:type="auto"/>
            <w:shd w:val="clear" w:color="auto" w:fill="auto"/>
          </w:tcPr>
          <w:p w14:paraId="36CA507C" w14:textId="77777777" w:rsidR="00787570" w:rsidRDefault="00787570">
            <w:pPr>
              <w:rPr>
                <w:rFonts w:ascii="宋体"/>
              </w:rPr>
            </w:pPr>
          </w:p>
        </w:tc>
        <w:tc>
          <w:tcPr>
            <w:tcW w:w="0" w:type="auto"/>
            <w:shd w:val="clear" w:color="auto" w:fill="auto"/>
          </w:tcPr>
          <w:p w14:paraId="36CA507D" w14:textId="77777777" w:rsidR="00787570" w:rsidRDefault="00787570">
            <w:pPr>
              <w:rPr>
                <w:rFonts w:ascii="宋体"/>
              </w:rPr>
            </w:pPr>
          </w:p>
        </w:tc>
      </w:tr>
      <w:tr w:rsidR="00787570" w14:paraId="36CA5084" w14:textId="77777777">
        <w:tc>
          <w:tcPr>
            <w:tcW w:w="0" w:type="auto"/>
            <w:gridSpan w:val="3"/>
            <w:shd w:val="clear" w:color="auto" w:fill="auto"/>
            <w:tcMar>
              <w:top w:w="40" w:type="dxa"/>
              <w:left w:w="20" w:type="dxa"/>
              <w:bottom w:w="40" w:type="dxa"/>
              <w:right w:w="20" w:type="dxa"/>
            </w:tcMar>
            <w:vAlign w:val="bottom"/>
          </w:tcPr>
          <w:p w14:paraId="36CA507F" w14:textId="77777777" w:rsidR="00787570" w:rsidRDefault="000D56E2">
            <w:pPr>
              <w:jc w:val="center"/>
              <w:textAlignment w:val="bottom"/>
            </w:pPr>
            <w:r>
              <w:rPr>
                <w:rFonts w:ascii="Arial" w:eastAsia="宋体" w:hAnsi="Arial" w:cs="Arial"/>
                <w:b/>
                <w:bCs/>
                <w:color w:val="FAAC16"/>
                <w:sz w:val="18"/>
                <w:szCs w:val="18"/>
              </w:rPr>
              <w:t>-</w:t>
            </w:r>
          </w:p>
        </w:tc>
        <w:tc>
          <w:tcPr>
            <w:tcW w:w="0" w:type="auto"/>
            <w:gridSpan w:val="3"/>
            <w:shd w:val="clear" w:color="auto" w:fill="auto"/>
            <w:tcMar>
              <w:top w:w="40" w:type="dxa"/>
              <w:left w:w="20" w:type="dxa"/>
              <w:bottom w:w="40" w:type="dxa"/>
              <w:right w:w="20" w:type="dxa"/>
            </w:tcMar>
            <w:vAlign w:val="bottom"/>
          </w:tcPr>
          <w:p w14:paraId="36CA5080" w14:textId="77777777" w:rsidR="00787570" w:rsidRDefault="000D56E2">
            <w:pPr>
              <w:textAlignment w:val="bottom"/>
            </w:pPr>
            <w:r>
              <w:rPr>
                <w:rFonts w:ascii="Arial" w:eastAsia="宋体" w:hAnsi="Arial" w:cs="Arial"/>
                <w:color w:val="333333"/>
                <w:sz w:val="18"/>
                <w:szCs w:val="18"/>
              </w:rPr>
              <w:t>Corporate spending efficiencies</w:t>
            </w:r>
          </w:p>
        </w:tc>
        <w:tc>
          <w:tcPr>
            <w:tcW w:w="0" w:type="auto"/>
            <w:shd w:val="clear" w:color="auto" w:fill="auto"/>
          </w:tcPr>
          <w:p w14:paraId="36CA5081" w14:textId="77777777" w:rsidR="00787570" w:rsidRDefault="00787570">
            <w:pPr>
              <w:rPr>
                <w:rFonts w:ascii="宋体"/>
              </w:rPr>
            </w:pPr>
          </w:p>
        </w:tc>
        <w:tc>
          <w:tcPr>
            <w:tcW w:w="0" w:type="auto"/>
            <w:shd w:val="clear" w:color="auto" w:fill="auto"/>
          </w:tcPr>
          <w:p w14:paraId="36CA5082" w14:textId="77777777" w:rsidR="00787570" w:rsidRDefault="00787570">
            <w:pPr>
              <w:rPr>
                <w:rFonts w:ascii="宋体"/>
              </w:rPr>
            </w:pPr>
          </w:p>
        </w:tc>
        <w:tc>
          <w:tcPr>
            <w:tcW w:w="0" w:type="auto"/>
            <w:shd w:val="clear" w:color="auto" w:fill="auto"/>
          </w:tcPr>
          <w:p w14:paraId="36CA5083" w14:textId="77777777" w:rsidR="00787570" w:rsidRDefault="00787570">
            <w:pPr>
              <w:rPr>
                <w:rFonts w:ascii="宋体"/>
              </w:rPr>
            </w:pPr>
          </w:p>
        </w:tc>
      </w:tr>
      <w:tr w:rsidR="00787570" w14:paraId="36CA508A" w14:textId="77777777">
        <w:tc>
          <w:tcPr>
            <w:tcW w:w="0" w:type="auto"/>
            <w:gridSpan w:val="3"/>
            <w:shd w:val="clear" w:color="auto" w:fill="auto"/>
            <w:tcMar>
              <w:top w:w="40" w:type="dxa"/>
              <w:left w:w="20" w:type="dxa"/>
              <w:bottom w:w="40" w:type="dxa"/>
              <w:right w:w="20" w:type="dxa"/>
            </w:tcMar>
            <w:vAlign w:val="bottom"/>
          </w:tcPr>
          <w:p w14:paraId="36CA5085" w14:textId="77777777" w:rsidR="00787570" w:rsidRDefault="000D56E2">
            <w:pPr>
              <w:jc w:val="center"/>
              <w:textAlignment w:val="bottom"/>
            </w:pPr>
            <w:r>
              <w:rPr>
                <w:rFonts w:ascii="Arial" w:eastAsia="宋体" w:hAnsi="Arial" w:cs="Arial"/>
                <w:b/>
                <w:bCs/>
                <w:color w:val="FAAC16"/>
                <w:sz w:val="18"/>
                <w:szCs w:val="18"/>
              </w:rPr>
              <w:t>-</w:t>
            </w:r>
          </w:p>
        </w:tc>
        <w:tc>
          <w:tcPr>
            <w:tcW w:w="0" w:type="auto"/>
            <w:gridSpan w:val="3"/>
            <w:shd w:val="clear" w:color="auto" w:fill="auto"/>
            <w:tcMar>
              <w:top w:w="40" w:type="dxa"/>
              <w:left w:w="20" w:type="dxa"/>
              <w:bottom w:w="40" w:type="dxa"/>
              <w:right w:w="20" w:type="dxa"/>
            </w:tcMar>
            <w:vAlign w:val="bottom"/>
          </w:tcPr>
          <w:p w14:paraId="36CA5086" w14:textId="77777777" w:rsidR="00787570" w:rsidRDefault="000D56E2">
            <w:pPr>
              <w:textAlignment w:val="bottom"/>
            </w:pPr>
            <w:r>
              <w:rPr>
                <w:rFonts w:ascii="Arial" w:eastAsia="宋体" w:hAnsi="Arial" w:cs="Arial"/>
                <w:color w:val="333333"/>
                <w:sz w:val="18"/>
                <w:szCs w:val="18"/>
              </w:rPr>
              <w:t>Profit dependent compensation</w:t>
            </w:r>
          </w:p>
        </w:tc>
        <w:tc>
          <w:tcPr>
            <w:tcW w:w="0" w:type="auto"/>
            <w:shd w:val="clear" w:color="auto" w:fill="auto"/>
          </w:tcPr>
          <w:p w14:paraId="36CA5087" w14:textId="77777777" w:rsidR="00787570" w:rsidRDefault="00787570">
            <w:pPr>
              <w:rPr>
                <w:rFonts w:ascii="宋体"/>
              </w:rPr>
            </w:pPr>
          </w:p>
        </w:tc>
        <w:tc>
          <w:tcPr>
            <w:tcW w:w="0" w:type="auto"/>
            <w:shd w:val="clear" w:color="auto" w:fill="auto"/>
          </w:tcPr>
          <w:p w14:paraId="36CA5088" w14:textId="77777777" w:rsidR="00787570" w:rsidRDefault="00787570">
            <w:pPr>
              <w:rPr>
                <w:rFonts w:ascii="宋体"/>
              </w:rPr>
            </w:pPr>
          </w:p>
        </w:tc>
        <w:tc>
          <w:tcPr>
            <w:tcW w:w="0" w:type="auto"/>
            <w:shd w:val="clear" w:color="auto" w:fill="auto"/>
          </w:tcPr>
          <w:p w14:paraId="36CA5089" w14:textId="77777777" w:rsidR="00787570" w:rsidRDefault="00787570">
            <w:pPr>
              <w:rPr>
                <w:rFonts w:ascii="宋体"/>
              </w:rPr>
            </w:pPr>
          </w:p>
        </w:tc>
      </w:tr>
      <w:tr w:rsidR="00787570" w14:paraId="36CA5090" w14:textId="77777777">
        <w:trPr>
          <w:hidden/>
        </w:trPr>
        <w:tc>
          <w:tcPr>
            <w:tcW w:w="0" w:type="auto"/>
            <w:gridSpan w:val="3"/>
            <w:shd w:val="clear" w:color="auto" w:fill="auto"/>
          </w:tcPr>
          <w:p w14:paraId="36CA508B" w14:textId="77777777" w:rsidR="00787570" w:rsidRDefault="00787570">
            <w:pPr>
              <w:rPr>
                <w:rFonts w:ascii="宋体"/>
                <w:vanish/>
              </w:rPr>
            </w:pPr>
          </w:p>
        </w:tc>
        <w:tc>
          <w:tcPr>
            <w:tcW w:w="0" w:type="auto"/>
            <w:gridSpan w:val="3"/>
            <w:shd w:val="clear" w:color="auto" w:fill="auto"/>
          </w:tcPr>
          <w:p w14:paraId="36CA508C" w14:textId="77777777" w:rsidR="00787570" w:rsidRDefault="00787570">
            <w:pPr>
              <w:rPr>
                <w:rFonts w:ascii="宋体"/>
                <w:vanish/>
              </w:rPr>
            </w:pPr>
          </w:p>
        </w:tc>
        <w:tc>
          <w:tcPr>
            <w:tcW w:w="0" w:type="auto"/>
            <w:shd w:val="clear" w:color="auto" w:fill="auto"/>
          </w:tcPr>
          <w:p w14:paraId="36CA508D" w14:textId="77777777" w:rsidR="00787570" w:rsidRDefault="00787570">
            <w:pPr>
              <w:rPr>
                <w:rFonts w:ascii="宋体"/>
              </w:rPr>
            </w:pPr>
          </w:p>
        </w:tc>
        <w:tc>
          <w:tcPr>
            <w:tcW w:w="0" w:type="auto"/>
            <w:shd w:val="clear" w:color="auto" w:fill="auto"/>
          </w:tcPr>
          <w:p w14:paraId="36CA508E" w14:textId="77777777" w:rsidR="00787570" w:rsidRDefault="00787570">
            <w:pPr>
              <w:rPr>
                <w:rFonts w:ascii="宋体"/>
              </w:rPr>
            </w:pPr>
          </w:p>
        </w:tc>
        <w:tc>
          <w:tcPr>
            <w:tcW w:w="0" w:type="auto"/>
            <w:shd w:val="clear" w:color="auto" w:fill="auto"/>
          </w:tcPr>
          <w:p w14:paraId="36CA508F" w14:textId="77777777" w:rsidR="00787570" w:rsidRDefault="00787570">
            <w:pPr>
              <w:rPr>
                <w:rFonts w:ascii="宋体"/>
              </w:rPr>
            </w:pPr>
          </w:p>
        </w:tc>
      </w:tr>
      <w:tr w:rsidR="00787570" w14:paraId="36CA5096" w14:textId="77777777">
        <w:trPr>
          <w:hidden/>
        </w:trPr>
        <w:tc>
          <w:tcPr>
            <w:tcW w:w="0" w:type="auto"/>
            <w:gridSpan w:val="3"/>
            <w:shd w:val="clear" w:color="auto" w:fill="auto"/>
          </w:tcPr>
          <w:p w14:paraId="36CA5091" w14:textId="77777777" w:rsidR="00787570" w:rsidRDefault="00787570">
            <w:pPr>
              <w:rPr>
                <w:rFonts w:ascii="宋体"/>
                <w:vanish/>
              </w:rPr>
            </w:pPr>
          </w:p>
        </w:tc>
        <w:tc>
          <w:tcPr>
            <w:tcW w:w="0" w:type="auto"/>
            <w:gridSpan w:val="3"/>
            <w:shd w:val="clear" w:color="auto" w:fill="auto"/>
          </w:tcPr>
          <w:p w14:paraId="36CA5092" w14:textId="77777777" w:rsidR="00787570" w:rsidRDefault="00787570">
            <w:pPr>
              <w:rPr>
                <w:rFonts w:ascii="宋体"/>
                <w:vanish/>
              </w:rPr>
            </w:pPr>
          </w:p>
        </w:tc>
        <w:tc>
          <w:tcPr>
            <w:tcW w:w="0" w:type="auto"/>
            <w:shd w:val="clear" w:color="auto" w:fill="auto"/>
          </w:tcPr>
          <w:p w14:paraId="36CA5093" w14:textId="77777777" w:rsidR="00787570" w:rsidRDefault="00787570">
            <w:pPr>
              <w:rPr>
                <w:rFonts w:ascii="宋体"/>
              </w:rPr>
            </w:pPr>
          </w:p>
        </w:tc>
        <w:tc>
          <w:tcPr>
            <w:tcW w:w="0" w:type="auto"/>
            <w:shd w:val="clear" w:color="auto" w:fill="auto"/>
          </w:tcPr>
          <w:p w14:paraId="36CA5094" w14:textId="77777777" w:rsidR="00787570" w:rsidRDefault="00787570">
            <w:pPr>
              <w:rPr>
                <w:rFonts w:ascii="宋体"/>
              </w:rPr>
            </w:pPr>
          </w:p>
        </w:tc>
        <w:tc>
          <w:tcPr>
            <w:tcW w:w="0" w:type="auto"/>
            <w:shd w:val="clear" w:color="auto" w:fill="auto"/>
          </w:tcPr>
          <w:p w14:paraId="36CA5095" w14:textId="77777777" w:rsidR="00787570" w:rsidRDefault="00787570">
            <w:pPr>
              <w:rPr>
                <w:rFonts w:ascii="宋体"/>
              </w:rPr>
            </w:pPr>
          </w:p>
        </w:tc>
      </w:tr>
      <w:tr w:rsidR="00787570" w14:paraId="36CA509C" w14:textId="77777777">
        <w:trPr>
          <w:hidden/>
        </w:trPr>
        <w:tc>
          <w:tcPr>
            <w:tcW w:w="0" w:type="auto"/>
            <w:gridSpan w:val="3"/>
            <w:shd w:val="clear" w:color="auto" w:fill="auto"/>
          </w:tcPr>
          <w:p w14:paraId="36CA5097" w14:textId="77777777" w:rsidR="00787570" w:rsidRDefault="00787570">
            <w:pPr>
              <w:rPr>
                <w:rFonts w:ascii="宋体"/>
                <w:vanish/>
              </w:rPr>
            </w:pPr>
          </w:p>
        </w:tc>
        <w:tc>
          <w:tcPr>
            <w:tcW w:w="0" w:type="auto"/>
            <w:gridSpan w:val="3"/>
            <w:shd w:val="clear" w:color="auto" w:fill="auto"/>
          </w:tcPr>
          <w:p w14:paraId="36CA5098" w14:textId="77777777" w:rsidR="00787570" w:rsidRDefault="00787570">
            <w:pPr>
              <w:rPr>
                <w:rFonts w:ascii="宋体"/>
                <w:vanish/>
              </w:rPr>
            </w:pPr>
          </w:p>
        </w:tc>
        <w:tc>
          <w:tcPr>
            <w:tcW w:w="0" w:type="auto"/>
            <w:shd w:val="clear" w:color="auto" w:fill="auto"/>
          </w:tcPr>
          <w:p w14:paraId="36CA5099" w14:textId="77777777" w:rsidR="00787570" w:rsidRDefault="00787570">
            <w:pPr>
              <w:rPr>
                <w:rFonts w:ascii="宋体"/>
              </w:rPr>
            </w:pPr>
          </w:p>
        </w:tc>
        <w:tc>
          <w:tcPr>
            <w:tcW w:w="0" w:type="auto"/>
            <w:shd w:val="clear" w:color="auto" w:fill="auto"/>
          </w:tcPr>
          <w:p w14:paraId="36CA509A" w14:textId="77777777" w:rsidR="00787570" w:rsidRDefault="00787570">
            <w:pPr>
              <w:rPr>
                <w:rFonts w:ascii="宋体"/>
              </w:rPr>
            </w:pPr>
          </w:p>
        </w:tc>
        <w:tc>
          <w:tcPr>
            <w:tcW w:w="0" w:type="auto"/>
            <w:shd w:val="clear" w:color="auto" w:fill="auto"/>
          </w:tcPr>
          <w:p w14:paraId="36CA509B" w14:textId="77777777" w:rsidR="00787570" w:rsidRDefault="00787570">
            <w:pPr>
              <w:rPr>
                <w:rFonts w:ascii="宋体"/>
              </w:rPr>
            </w:pPr>
          </w:p>
        </w:tc>
      </w:tr>
    </w:tbl>
    <w:p w14:paraId="36CA509D" w14:textId="77777777" w:rsidR="00787570" w:rsidRDefault="000D56E2">
      <w:pPr>
        <w:spacing w:before="240" w:after="120"/>
      </w:pPr>
      <w:r>
        <w:rPr>
          <w:rFonts w:ascii="Arial" w:eastAsia="宋体" w:hAnsi="Arial" w:cs="Arial"/>
          <w:b/>
          <w:bCs/>
          <w:color w:val="333333"/>
          <w:sz w:val="20"/>
          <w:szCs w:val="20"/>
        </w:rPr>
        <w:t>YTD 2020 vs. YTD 2019</w:t>
      </w:r>
    </w:p>
    <w:tbl>
      <w:tblPr>
        <w:tblW w:w="3914" w:type="pct"/>
        <w:tblCellMar>
          <w:top w:w="15" w:type="dxa"/>
          <w:left w:w="15" w:type="dxa"/>
          <w:bottom w:w="15" w:type="dxa"/>
          <w:right w:w="15" w:type="dxa"/>
        </w:tblCellMar>
        <w:tblLook w:val="04A0" w:firstRow="1" w:lastRow="0" w:firstColumn="1" w:lastColumn="0" w:noHBand="0" w:noVBand="1"/>
      </w:tblPr>
      <w:tblGrid>
        <w:gridCol w:w="37"/>
        <w:gridCol w:w="138"/>
        <w:gridCol w:w="37"/>
        <w:gridCol w:w="40"/>
        <w:gridCol w:w="3773"/>
        <w:gridCol w:w="39"/>
        <w:gridCol w:w="40"/>
        <w:gridCol w:w="992"/>
        <w:gridCol w:w="36"/>
        <w:gridCol w:w="41"/>
        <w:gridCol w:w="992"/>
        <w:gridCol w:w="36"/>
        <w:gridCol w:w="36"/>
        <w:gridCol w:w="36"/>
        <w:gridCol w:w="36"/>
        <w:gridCol w:w="36"/>
        <w:gridCol w:w="36"/>
        <w:gridCol w:w="36"/>
        <w:gridCol w:w="36"/>
        <w:gridCol w:w="36"/>
        <w:gridCol w:w="36"/>
      </w:tblGrid>
      <w:tr w:rsidR="00787570" w14:paraId="36CA50AA" w14:textId="77777777">
        <w:trPr>
          <w:gridAfter w:val="9"/>
        </w:trPr>
        <w:tc>
          <w:tcPr>
            <w:tcW w:w="5" w:type="pct"/>
            <w:shd w:val="clear" w:color="auto" w:fill="auto"/>
          </w:tcPr>
          <w:p w14:paraId="36CA509E" w14:textId="77777777" w:rsidR="00787570" w:rsidRDefault="00787570">
            <w:pPr>
              <w:rPr>
                <w:rFonts w:ascii="宋体"/>
              </w:rPr>
            </w:pPr>
          </w:p>
        </w:tc>
        <w:tc>
          <w:tcPr>
            <w:tcW w:w="129" w:type="pct"/>
            <w:shd w:val="clear" w:color="auto" w:fill="auto"/>
          </w:tcPr>
          <w:p w14:paraId="36CA509F" w14:textId="77777777" w:rsidR="00787570" w:rsidRDefault="00787570">
            <w:pPr>
              <w:rPr>
                <w:rFonts w:ascii="宋体"/>
              </w:rPr>
            </w:pPr>
          </w:p>
        </w:tc>
        <w:tc>
          <w:tcPr>
            <w:tcW w:w="5" w:type="pct"/>
            <w:shd w:val="clear" w:color="auto" w:fill="auto"/>
          </w:tcPr>
          <w:p w14:paraId="36CA50A0" w14:textId="77777777" w:rsidR="00787570" w:rsidRDefault="00787570">
            <w:pPr>
              <w:rPr>
                <w:rFonts w:ascii="宋体"/>
              </w:rPr>
            </w:pPr>
          </w:p>
        </w:tc>
        <w:tc>
          <w:tcPr>
            <w:tcW w:w="50" w:type="pct"/>
            <w:shd w:val="clear" w:color="auto" w:fill="auto"/>
          </w:tcPr>
          <w:p w14:paraId="36CA50A1" w14:textId="77777777" w:rsidR="00787570" w:rsidRDefault="00787570">
            <w:pPr>
              <w:rPr>
                <w:rFonts w:ascii="宋体"/>
              </w:rPr>
            </w:pPr>
          </w:p>
        </w:tc>
        <w:tc>
          <w:tcPr>
            <w:tcW w:w="3060" w:type="pct"/>
            <w:shd w:val="clear" w:color="auto" w:fill="auto"/>
          </w:tcPr>
          <w:p w14:paraId="36CA50A2" w14:textId="77777777" w:rsidR="00787570" w:rsidRDefault="00787570">
            <w:pPr>
              <w:rPr>
                <w:rFonts w:ascii="宋体"/>
              </w:rPr>
            </w:pPr>
          </w:p>
        </w:tc>
        <w:tc>
          <w:tcPr>
            <w:tcW w:w="5" w:type="pct"/>
            <w:shd w:val="clear" w:color="auto" w:fill="auto"/>
          </w:tcPr>
          <w:p w14:paraId="36CA50A3" w14:textId="77777777" w:rsidR="00787570" w:rsidRDefault="00787570">
            <w:pPr>
              <w:rPr>
                <w:rFonts w:ascii="宋体"/>
              </w:rPr>
            </w:pPr>
          </w:p>
        </w:tc>
        <w:tc>
          <w:tcPr>
            <w:tcW w:w="50" w:type="pct"/>
            <w:shd w:val="clear" w:color="auto" w:fill="auto"/>
          </w:tcPr>
          <w:p w14:paraId="36CA50A4" w14:textId="77777777" w:rsidR="00787570" w:rsidRDefault="00787570">
            <w:pPr>
              <w:rPr>
                <w:rFonts w:ascii="宋体"/>
              </w:rPr>
            </w:pPr>
          </w:p>
        </w:tc>
        <w:tc>
          <w:tcPr>
            <w:tcW w:w="817" w:type="pct"/>
            <w:shd w:val="clear" w:color="auto" w:fill="auto"/>
          </w:tcPr>
          <w:p w14:paraId="36CA50A5" w14:textId="77777777" w:rsidR="00787570" w:rsidRDefault="00787570">
            <w:pPr>
              <w:rPr>
                <w:rFonts w:ascii="宋体"/>
              </w:rPr>
            </w:pPr>
          </w:p>
        </w:tc>
        <w:tc>
          <w:tcPr>
            <w:tcW w:w="5" w:type="pct"/>
            <w:shd w:val="clear" w:color="auto" w:fill="auto"/>
          </w:tcPr>
          <w:p w14:paraId="36CA50A6" w14:textId="77777777" w:rsidR="00787570" w:rsidRDefault="00787570">
            <w:pPr>
              <w:rPr>
                <w:rFonts w:ascii="宋体"/>
              </w:rPr>
            </w:pPr>
          </w:p>
        </w:tc>
        <w:tc>
          <w:tcPr>
            <w:tcW w:w="50" w:type="pct"/>
            <w:shd w:val="clear" w:color="auto" w:fill="auto"/>
          </w:tcPr>
          <w:p w14:paraId="36CA50A7" w14:textId="77777777" w:rsidR="00787570" w:rsidRDefault="00787570">
            <w:pPr>
              <w:rPr>
                <w:rFonts w:ascii="宋体"/>
              </w:rPr>
            </w:pPr>
          </w:p>
        </w:tc>
        <w:tc>
          <w:tcPr>
            <w:tcW w:w="817" w:type="pct"/>
            <w:shd w:val="clear" w:color="auto" w:fill="auto"/>
          </w:tcPr>
          <w:p w14:paraId="36CA50A8" w14:textId="77777777" w:rsidR="00787570" w:rsidRDefault="00787570">
            <w:pPr>
              <w:rPr>
                <w:rFonts w:ascii="宋体"/>
              </w:rPr>
            </w:pPr>
          </w:p>
        </w:tc>
        <w:tc>
          <w:tcPr>
            <w:tcW w:w="5" w:type="pct"/>
            <w:shd w:val="clear" w:color="auto" w:fill="auto"/>
          </w:tcPr>
          <w:p w14:paraId="36CA50A9" w14:textId="77777777" w:rsidR="00787570" w:rsidRDefault="00787570">
            <w:pPr>
              <w:rPr>
                <w:rFonts w:ascii="宋体"/>
              </w:rPr>
            </w:pPr>
          </w:p>
        </w:tc>
      </w:tr>
      <w:tr w:rsidR="00787570" w14:paraId="36CA50AF" w14:textId="77777777">
        <w:tc>
          <w:tcPr>
            <w:tcW w:w="0" w:type="auto"/>
            <w:gridSpan w:val="12"/>
            <w:shd w:val="clear" w:color="auto" w:fill="auto"/>
            <w:tcMar>
              <w:top w:w="40" w:type="dxa"/>
              <w:left w:w="20" w:type="dxa"/>
              <w:bottom w:w="40" w:type="dxa"/>
              <w:right w:w="20" w:type="dxa"/>
            </w:tcMar>
            <w:vAlign w:val="bottom"/>
          </w:tcPr>
          <w:p w14:paraId="36CA50AB" w14:textId="77777777" w:rsidR="00787570" w:rsidRDefault="000D56E2">
            <w:pPr>
              <w:textAlignment w:val="bottom"/>
            </w:pPr>
            <w:r>
              <w:rPr>
                <w:rFonts w:ascii="Arial" w:eastAsia="宋体" w:hAnsi="Arial" w:cs="Arial"/>
                <w:color w:val="333333"/>
                <w:sz w:val="18"/>
                <w:szCs w:val="18"/>
              </w:rPr>
              <w:t xml:space="preserve">MG&amp;A </w:t>
            </w:r>
            <w:r>
              <w:rPr>
                <w:rFonts w:ascii="Arial" w:eastAsia="宋体" w:hAnsi="Arial" w:cs="Arial"/>
                <w:color w:val="333333"/>
                <w:sz w:val="18"/>
                <w:szCs w:val="18"/>
              </w:rPr>
              <w:t>decreased by $335 million, or 7%, driven by the following:</w:t>
            </w:r>
          </w:p>
        </w:tc>
        <w:tc>
          <w:tcPr>
            <w:tcW w:w="0" w:type="auto"/>
            <w:gridSpan w:val="3"/>
            <w:shd w:val="clear" w:color="auto" w:fill="auto"/>
          </w:tcPr>
          <w:p w14:paraId="36CA50AC" w14:textId="77777777" w:rsidR="00787570" w:rsidRDefault="00787570">
            <w:pPr>
              <w:rPr>
                <w:rFonts w:ascii="宋体"/>
                <w:vanish/>
              </w:rPr>
            </w:pPr>
          </w:p>
        </w:tc>
        <w:tc>
          <w:tcPr>
            <w:tcW w:w="0" w:type="auto"/>
            <w:gridSpan w:val="3"/>
            <w:shd w:val="clear" w:color="auto" w:fill="auto"/>
          </w:tcPr>
          <w:p w14:paraId="36CA50AD" w14:textId="77777777" w:rsidR="00787570" w:rsidRDefault="00787570">
            <w:pPr>
              <w:rPr>
                <w:rFonts w:ascii="宋体"/>
                <w:vanish/>
              </w:rPr>
            </w:pPr>
          </w:p>
        </w:tc>
        <w:tc>
          <w:tcPr>
            <w:tcW w:w="0" w:type="auto"/>
            <w:gridSpan w:val="3"/>
            <w:shd w:val="clear" w:color="auto" w:fill="auto"/>
          </w:tcPr>
          <w:p w14:paraId="36CA50AE" w14:textId="77777777" w:rsidR="00787570" w:rsidRDefault="00787570">
            <w:pPr>
              <w:rPr>
                <w:rFonts w:ascii="宋体"/>
                <w:vanish/>
              </w:rPr>
            </w:pPr>
          </w:p>
        </w:tc>
      </w:tr>
      <w:tr w:rsidR="00787570" w14:paraId="36CA50BD" w14:textId="77777777">
        <w:trPr>
          <w:trHeight w:val="60"/>
        </w:trPr>
        <w:tc>
          <w:tcPr>
            <w:tcW w:w="0" w:type="auto"/>
            <w:gridSpan w:val="3"/>
            <w:shd w:val="clear" w:color="auto" w:fill="auto"/>
            <w:tcMar>
              <w:left w:w="20" w:type="dxa"/>
              <w:right w:w="20" w:type="dxa"/>
            </w:tcMar>
            <w:vAlign w:val="bottom"/>
          </w:tcPr>
          <w:p w14:paraId="36CA50B0"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50B1"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50B2"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50B3" w14:textId="77777777" w:rsidR="00787570" w:rsidRDefault="00787570">
            <w:pPr>
              <w:rPr>
                <w:rFonts w:ascii="宋体"/>
              </w:rPr>
            </w:pPr>
          </w:p>
        </w:tc>
        <w:tc>
          <w:tcPr>
            <w:tcW w:w="0" w:type="auto"/>
            <w:shd w:val="clear" w:color="auto" w:fill="auto"/>
          </w:tcPr>
          <w:p w14:paraId="36CA50B4" w14:textId="77777777" w:rsidR="00787570" w:rsidRDefault="00787570">
            <w:pPr>
              <w:rPr>
                <w:rFonts w:ascii="宋体"/>
              </w:rPr>
            </w:pPr>
          </w:p>
        </w:tc>
        <w:tc>
          <w:tcPr>
            <w:tcW w:w="0" w:type="auto"/>
            <w:shd w:val="clear" w:color="auto" w:fill="auto"/>
          </w:tcPr>
          <w:p w14:paraId="36CA50B5" w14:textId="77777777" w:rsidR="00787570" w:rsidRDefault="00787570">
            <w:pPr>
              <w:rPr>
                <w:rFonts w:ascii="宋体"/>
              </w:rPr>
            </w:pPr>
          </w:p>
        </w:tc>
        <w:tc>
          <w:tcPr>
            <w:tcW w:w="0" w:type="auto"/>
            <w:shd w:val="clear" w:color="auto" w:fill="auto"/>
          </w:tcPr>
          <w:p w14:paraId="36CA50B6" w14:textId="77777777" w:rsidR="00787570" w:rsidRDefault="00787570">
            <w:pPr>
              <w:rPr>
                <w:rFonts w:ascii="宋体"/>
              </w:rPr>
            </w:pPr>
          </w:p>
        </w:tc>
        <w:tc>
          <w:tcPr>
            <w:tcW w:w="0" w:type="auto"/>
            <w:shd w:val="clear" w:color="auto" w:fill="auto"/>
          </w:tcPr>
          <w:p w14:paraId="36CA50B7" w14:textId="77777777" w:rsidR="00787570" w:rsidRDefault="00787570">
            <w:pPr>
              <w:rPr>
                <w:rFonts w:ascii="宋体"/>
              </w:rPr>
            </w:pPr>
          </w:p>
        </w:tc>
        <w:tc>
          <w:tcPr>
            <w:tcW w:w="0" w:type="auto"/>
            <w:shd w:val="clear" w:color="auto" w:fill="auto"/>
          </w:tcPr>
          <w:p w14:paraId="36CA50B8" w14:textId="77777777" w:rsidR="00787570" w:rsidRDefault="00787570">
            <w:pPr>
              <w:rPr>
                <w:rFonts w:ascii="宋体"/>
              </w:rPr>
            </w:pPr>
          </w:p>
        </w:tc>
        <w:tc>
          <w:tcPr>
            <w:tcW w:w="0" w:type="auto"/>
            <w:shd w:val="clear" w:color="auto" w:fill="auto"/>
          </w:tcPr>
          <w:p w14:paraId="36CA50B9" w14:textId="77777777" w:rsidR="00787570" w:rsidRDefault="00787570">
            <w:pPr>
              <w:rPr>
                <w:rFonts w:ascii="宋体"/>
              </w:rPr>
            </w:pPr>
          </w:p>
        </w:tc>
        <w:tc>
          <w:tcPr>
            <w:tcW w:w="0" w:type="auto"/>
            <w:shd w:val="clear" w:color="auto" w:fill="auto"/>
          </w:tcPr>
          <w:p w14:paraId="36CA50BA" w14:textId="77777777" w:rsidR="00787570" w:rsidRDefault="00787570">
            <w:pPr>
              <w:rPr>
                <w:rFonts w:ascii="宋体"/>
              </w:rPr>
            </w:pPr>
          </w:p>
        </w:tc>
        <w:tc>
          <w:tcPr>
            <w:tcW w:w="0" w:type="auto"/>
            <w:shd w:val="clear" w:color="auto" w:fill="auto"/>
          </w:tcPr>
          <w:p w14:paraId="36CA50BB" w14:textId="77777777" w:rsidR="00787570" w:rsidRDefault="00787570">
            <w:pPr>
              <w:rPr>
                <w:rFonts w:ascii="宋体"/>
              </w:rPr>
            </w:pPr>
          </w:p>
        </w:tc>
        <w:tc>
          <w:tcPr>
            <w:tcW w:w="0" w:type="auto"/>
            <w:shd w:val="clear" w:color="auto" w:fill="auto"/>
          </w:tcPr>
          <w:p w14:paraId="36CA50BC" w14:textId="77777777" w:rsidR="00787570" w:rsidRDefault="00787570">
            <w:pPr>
              <w:rPr>
                <w:rFonts w:ascii="宋体"/>
              </w:rPr>
            </w:pPr>
          </w:p>
        </w:tc>
      </w:tr>
      <w:tr w:rsidR="00787570" w14:paraId="36CA50CB" w14:textId="77777777">
        <w:tc>
          <w:tcPr>
            <w:tcW w:w="0" w:type="auto"/>
            <w:gridSpan w:val="3"/>
            <w:shd w:val="clear" w:color="auto" w:fill="auto"/>
            <w:tcMar>
              <w:top w:w="40" w:type="dxa"/>
              <w:left w:w="20" w:type="dxa"/>
              <w:bottom w:w="40" w:type="dxa"/>
              <w:right w:w="20" w:type="dxa"/>
            </w:tcMar>
            <w:vAlign w:val="bottom"/>
          </w:tcPr>
          <w:p w14:paraId="36CA50BE" w14:textId="77777777" w:rsidR="00787570" w:rsidRDefault="000D56E2">
            <w:pPr>
              <w:jc w:val="center"/>
              <w:textAlignment w:val="bottom"/>
            </w:pPr>
            <w:r>
              <w:rPr>
                <w:rFonts w:ascii="Arial" w:eastAsia="宋体" w:hAnsi="Arial" w:cs="Arial"/>
                <w:b/>
                <w:bCs/>
                <w:color w:val="FAAC16"/>
                <w:sz w:val="18"/>
                <w:szCs w:val="18"/>
              </w:rPr>
              <w:t>-</w:t>
            </w:r>
          </w:p>
        </w:tc>
        <w:tc>
          <w:tcPr>
            <w:tcW w:w="0" w:type="auto"/>
            <w:gridSpan w:val="3"/>
            <w:shd w:val="clear" w:color="auto" w:fill="auto"/>
            <w:tcMar>
              <w:top w:w="40" w:type="dxa"/>
              <w:left w:w="20" w:type="dxa"/>
              <w:bottom w:w="40" w:type="dxa"/>
              <w:right w:w="20" w:type="dxa"/>
            </w:tcMar>
            <w:vAlign w:val="bottom"/>
          </w:tcPr>
          <w:p w14:paraId="36CA50BF" w14:textId="77777777" w:rsidR="00787570" w:rsidRDefault="000D56E2">
            <w:pPr>
              <w:textAlignment w:val="bottom"/>
            </w:pPr>
            <w:r>
              <w:rPr>
                <w:rFonts w:ascii="Arial" w:eastAsia="宋体" w:hAnsi="Arial" w:cs="Arial"/>
                <w:color w:val="333333"/>
                <w:sz w:val="18"/>
                <w:szCs w:val="18"/>
              </w:rPr>
              <w:t>Corporate spending efficiencies</w:t>
            </w:r>
          </w:p>
        </w:tc>
        <w:tc>
          <w:tcPr>
            <w:tcW w:w="0" w:type="auto"/>
            <w:gridSpan w:val="3"/>
            <w:shd w:val="clear" w:color="auto" w:fill="auto"/>
            <w:tcMar>
              <w:left w:w="20" w:type="dxa"/>
              <w:right w:w="20" w:type="dxa"/>
            </w:tcMar>
            <w:vAlign w:val="bottom"/>
          </w:tcPr>
          <w:p w14:paraId="36CA50C0"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50C1" w14:textId="77777777" w:rsidR="00787570" w:rsidRDefault="00787570">
            <w:pPr>
              <w:rPr>
                <w:rFonts w:ascii="宋体"/>
              </w:rPr>
            </w:pPr>
          </w:p>
        </w:tc>
        <w:tc>
          <w:tcPr>
            <w:tcW w:w="0" w:type="auto"/>
            <w:shd w:val="clear" w:color="auto" w:fill="auto"/>
          </w:tcPr>
          <w:p w14:paraId="36CA50C2" w14:textId="77777777" w:rsidR="00787570" w:rsidRDefault="00787570">
            <w:pPr>
              <w:rPr>
                <w:rFonts w:ascii="宋体"/>
              </w:rPr>
            </w:pPr>
          </w:p>
        </w:tc>
        <w:tc>
          <w:tcPr>
            <w:tcW w:w="0" w:type="auto"/>
            <w:shd w:val="clear" w:color="auto" w:fill="auto"/>
          </w:tcPr>
          <w:p w14:paraId="36CA50C3" w14:textId="77777777" w:rsidR="00787570" w:rsidRDefault="00787570">
            <w:pPr>
              <w:rPr>
                <w:rFonts w:ascii="宋体"/>
              </w:rPr>
            </w:pPr>
          </w:p>
        </w:tc>
        <w:tc>
          <w:tcPr>
            <w:tcW w:w="0" w:type="auto"/>
            <w:shd w:val="clear" w:color="auto" w:fill="auto"/>
          </w:tcPr>
          <w:p w14:paraId="36CA50C4" w14:textId="77777777" w:rsidR="00787570" w:rsidRDefault="00787570">
            <w:pPr>
              <w:rPr>
                <w:rFonts w:ascii="宋体"/>
              </w:rPr>
            </w:pPr>
          </w:p>
        </w:tc>
        <w:tc>
          <w:tcPr>
            <w:tcW w:w="0" w:type="auto"/>
            <w:shd w:val="clear" w:color="auto" w:fill="auto"/>
          </w:tcPr>
          <w:p w14:paraId="36CA50C5" w14:textId="77777777" w:rsidR="00787570" w:rsidRDefault="00787570">
            <w:pPr>
              <w:rPr>
                <w:rFonts w:ascii="宋体"/>
              </w:rPr>
            </w:pPr>
          </w:p>
        </w:tc>
        <w:tc>
          <w:tcPr>
            <w:tcW w:w="0" w:type="auto"/>
            <w:shd w:val="clear" w:color="auto" w:fill="auto"/>
          </w:tcPr>
          <w:p w14:paraId="36CA50C6" w14:textId="77777777" w:rsidR="00787570" w:rsidRDefault="00787570">
            <w:pPr>
              <w:rPr>
                <w:rFonts w:ascii="宋体"/>
              </w:rPr>
            </w:pPr>
          </w:p>
        </w:tc>
        <w:tc>
          <w:tcPr>
            <w:tcW w:w="0" w:type="auto"/>
            <w:shd w:val="clear" w:color="auto" w:fill="auto"/>
          </w:tcPr>
          <w:p w14:paraId="36CA50C7" w14:textId="77777777" w:rsidR="00787570" w:rsidRDefault="00787570">
            <w:pPr>
              <w:rPr>
                <w:rFonts w:ascii="宋体"/>
              </w:rPr>
            </w:pPr>
          </w:p>
        </w:tc>
        <w:tc>
          <w:tcPr>
            <w:tcW w:w="0" w:type="auto"/>
            <w:shd w:val="clear" w:color="auto" w:fill="auto"/>
          </w:tcPr>
          <w:p w14:paraId="36CA50C8" w14:textId="77777777" w:rsidR="00787570" w:rsidRDefault="00787570">
            <w:pPr>
              <w:rPr>
                <w:rFonts w:ascii="宋体"/>
              </w:rPr>
            </w:pPr>
          </w:p>
        </w:tc>
        <w:tc>
          <w:tcPr>
            <w:tcW w:w="0" w:type="auto"/>
            <w:shd w:val="clear" w:color="auto" w:fill="auto"/>
          </w:tcPr>
          <w:p w14:paraId="36CA50C9" w14:textId="77777777" w:rsidR="00787570" w:rsidRDefault="00787570">
            <w:pPr>
              <w:rPr>
                <w:rFonts w:ascii="宋体"/>
              </w:rPr>
            </w:pPr>
          </w:p>
        </w:tc>
        <w:tc>
          <w:tcPr>
            <w:tcW w:w="0" w:type="auto"/>
            <w:shd w:val="clear" w:color="auto" w:fill="auto"/>
          </w:tcPr>
          <w:p w14:paraId="36CA50CA" w14:textId="77777777" w:rsidR="00787570" w:rsidRDefault="00787570">
            <w:pPr>
              <w:rPr>
                <w:rFonts w:ascii="宋体"/>
              </w:rPr>
            </w:pPr>
          </w:p>
        </w:tc>
      </w:tr>
      <w:tr w:rsidR="00787570" w14:paraId="36CA50D9" w14:textId="77777777">
        <w:trPr>
          <w:hidden/>
        </w:trPr>
        <w:tc>
          <w:tcPr>
            <w:tcW w:w="0" w:type="auto"/>
            <w:gridSpan w:val="3"/>
            <w:shd w:val="clear" w:color="auto" w:fill="auto"/>
          </w:tcPr>
          <w:p w14:paraId="36CA50CC" w14:textId="77777777" w:rsidR="00787570" w:rsidRDefault="00787570">
            <w:pPr>
              <w:rPr>
                <w:rFonts w:ascii="宋体"/>
                <w:vanish/>
              </w:rPr>
            </w:pPr>
          </w:p>
        </w:tc>
        <w:tc>
          <w:tcPr>
            <w:tcW w:w="0" w:type="auto"/>
            <w:gridSpan w:val="3"/>
            <w:shd w:val="clear" w:color="auto" w:fill="auto"/>
          </w:tcPr>
          <w:p w14:paraId="36CA50CD" w14:textId="77777777" w:rsidR="00787570" w:rsidRDefault="00787570">
            <w:pPr>
              <w:rPr>
                <w:rFonts w:ascii="宋体"/>
                <w:vanish/>
              </w:rPr>
            </w:pPr>
          </w:p>
        </w:tc>
        <w:tc>
          <w:tcPr>
            <w:tcW w:w="0" w:type="auto"/>
            <w:gridSpan w:val="3"/>
            <w:shd w:val="clear" w:color="auto" w:fill="auto"/>
          </w:tcPr>
          <w:p w14:paraId="36CA50CE" w14:textId="77777777" w:rsidR="00787570" w:rsidRDefault="00787570">
            <w:pPr>
              <w:rPr>
                <w:rFonts w:ascii="宋体"/>
                <w:vanish/>
              </w:rPr>
            </w:pPr>
          </w:p>
        </w:tc>
        <w:tc>
          <w:tcPr>
            <w:tcW w:w="0" w:type="auto"/>
            <w:gridSpan w:val="3"/>
            <w:shd w:val="clear" w:color="auto" w:fill="auto"/>
          </w:tcPr>
          <w:p w14:paraId="36CA50CF" w14:textId="77777777" w:rsidR="00787570" w:rsidRDefault="00787570">
            <w:pPr>
              <w:rPr>
                <w:rFonts w:ascii="宋体"/>
                <w:vanish/>
              </w:rPr>
            </w:pPr>
          </w:p>
        </w:tc>
        <w:tc>
          <w:tcPr>
            <w:tcW w:w="0" w:type="auto"/>
            <w:shd w:val="clear" w:color="auto" w:fill="auto"/>
          </w:tcPr>
          <w:p w14:paraId="36CA50D0" w14:textId="77777777" w:rsidR="00787570" w:rsidRDefault="00787570">
            <w:pPr>
              <w:rPr>
                <w:rFonts w:ascii="宋体"/>
              </w:rPr>
            </w:pPr>
          </w:p>
        </w:tc>
        <w:tc>
          <w:tcPr>
            <w:tcW w:w="0" w:type="auto"/>
            <w:shd w:val="clear" w:color="auto" w:fill="auto"/>
          </w:tcPr>
          <w:p w14:paraId="36CA50D1" w14:textId="77777777" w:rsidR="00787570" w:rsidRDefault="00787570">
            <w:pPr>
              <w:rPr>
                <w:rFonts w:ascii="宋体"/>
              </w:rPr>
            </w:pPr>
          </w:p>
        </w:tc>
        <w:tc>
          <w:tcPr>
            <w:tcW w:w="0" w:type="auto"/>
            <w:shd w:val="clear" w:color="auto" w:fill="auto"/>
          </w:tcPr>
          <w:p w14:paraId="36CA50D2" w14:textId="77777777" w:rsidR="00787570" w:rsidRDefault="00787570">
            <w:pPr>
              <w:rPr>
                <w:rFonts w:ascii="宋体"/>
              </w:rPr>
            </w:pPr>
          </w:p>
        </w:tc>
        <w:tc>
          <w:tcPr>
            <w:tcW w:w="0" w:type="auto"/>
            <w:shd w:val="clear" w:color="auto" w:fill="auto"/>
          </w:tcPr>
          <w:p w14:paraId="36CA50D3" w14:textId="77777777" w:rsidR="00787570" w:rsidRDefault="00787570">
            <w:pPr>
              <w:rPr>
                <w:rFonts w:ascii="宋体"/>
              </w:rPr>
            </w:pPr>
          </w:p>
        </w:tc>
        <w:tc>
          <w:tcPr>
            <w:tcW w:w="0" w:type="auto"/>
            <w:shd w:val="clear" w:color="auto" w:fill="auto"/>
          </w:tcPr>
          <w:p w14:paraId="36CA50D4" w14:textId="77777777" w:rsidR="00787570" w:rsidRDefault="00787570">
            <w:pPr>
              <w:rPr>
                <w:rFonts w:ascii="宋体"/>
              </w:rPr>
            </w:pPr>
          </w:p>
        </w:tc>
        <w:tc>
          <w:tcPr>
            <w:tcW w:w="0" w:type="auto"/>
            <w:shd w:val="clear" w:color="auto" w:fill="auto"/>
          </w:tcPr>
          <w:p w14:paraId="36CA50D5" w14:textId="77777777" w:rsidR="00787570" w:rsidRDefault="00787570">
            <w:pPr>
              <w:rPr>
                <w:rFonts w:ascii="宋体"/>
              </w:rPr>
            </w:pPr>
          </w:p>
        </w:tc>
        <w:tc>
          <w:tcPr>
            <w:tcW w:w="0" w:type="auto"/>
            <w:shd w:val="clear" w:color="auto" w:fill="auto"/>
          </w:tcPr>
          <w:p w14:paraId="36CA50D6" w14:textId="77777777" w:rsidR="00787570" w:rsidRDefault="00787570">
            <w:pPr>
              <w:rPr>
                <w:rFonts w:ascii="宋体"/>
              </w:rPr>
            </w:pPr>
          </w:p>
        </w:tc>
        <w:tc>
          <w:tcPr>
            <w:tcW w:w="0" w:type="auto"/>
            <w:shd w:val="clear" w:color="auto" w:fill="auto"/>
          </w:tcPr>
          <w:p w14:paraId="36CA50D7" w14:textId="77777777" w:rsidR="00787570" w:rsidRDefault="00787570">
            <w:pPr>
              <w:rPr>
                <w:rFonts w:ascii="宋体"/>
              </w:rPr>
            </w:pPr>
          </w:p>
        </w:tc>
        <w:tc>
          <w:tcPr>
            <w:tcW w:w="0" w:type="auto"/>
            <w:shd w:val="clear" w:color="auto" w:fill="auto"/>
          </w:tcPr>
          <w:p w14:paraId="36CA50D8" w14:textId="77777777" w:rsidR="00787570" w:rsidRDefault="00787570">
            <w:pPr>
              <w:rPr>
                <w:rFonts w:ascii="宋体"/>
              </w:rPr>
            </w:pPr>
          </w:p>
        </w:tc>
      </w:tr>
      <w:tr w:rsidR="00787570" w14:paraId="36CA50E7" w14:textId="77777777">
        <w:tc>
          <w:tcPr>
            <w:tcW w:w="0" w:type="auto"/>
            <w:gridSpan w:val="3"/>
            <w:shd w:val="clear" w:color="auto" w:fill="auto"/>
            <w:tcMar>
              <w:top w:w="40" w:type="dxa"/>
              <w:left w:w="20" w:type="dxa"/>
              <w:bottom w:w="40" w:type="dxa"/>
              <w:right w:w="20" w:type="dxa"/>
            </w:tcMar>
            <w:vAlign w:val="bottom"/>
          </w:tcPr>
          <w:p w14:paraId="36CA50DA" w14:textId="77777777" w:rsidR="00787570" w:rsidRDefault="000D56E2">
            <w:pPr>
              <w:jc w:val="center"/>
              <w:textAlignment w:val="bottom"/>
            </w:pPr>
            <w:r>
              <w:rPr>
                <w:rFonts w:ascii="Arial" w:eastAsia="宋体" w:hAnsi="Arial" w:cs="Arial"/>
                <w:b/>
                <w:bCs/>
                <w:color w:val="FAAC16"/>
                <w:sz w:val="18"/>
                <w:szCs w:val="18"/>
              </w:rPr>
              <w:t>-</w:t>
            </w:r>
          </w:p>
        </w:tc>
        <w:tc>
          <w:tcPr>
            <w:tcW w:w="0" w:type="auto"/>
            <w:gridSpan w:val="3"/>
            <w:shd w:val="clear" w:color="auto" w:fill="auto"/>
            <w:tcMar>
              <w:top w:w="40" w:type="dxa"/>
              <w:left w:w="20" w:type="dxa"/>
              <w:bottom w:w="40" w:type="dxa"/>
              <w:right w:w="20" w:type="dxa"/>
            </w:tcMar>
            <w:vAlign w:val="bottom"/>
          </w:tcPr>
          <w:p w14:paraId="36CA50DB" w14:textId="77777777" w:rsidR="00787570" w:rsidRDefault="000D56E2">
            <w:pPr>
              <w:textAlignment w:val="bottom"/>
            </w:pPr>
            <w:r>
              <w:rPr>
                <w:rFonts w:ascii="Arial" w:eastAsia="宋体" w:hAnsi="Arial" w:cs="Arial"/>
                <w:color w:val="333333"/>
                <w:sz w:val="18"/>
                <w:szCs w:val="18"/>
              </w:rPr>
              <w:t>Profit dependent compensation</w:t>
            </w:r>
          </w:p>
        </w:tc>
        <w:tc>
          <w:tcPr>
            <w:tcW w:w="0" w:type="auto"/>
            <w:gridSpan w:val="3"/>
            <w:shd w:val="clear" w:color="auto" w:fill="auto"/>
            <w:tcMar>
              <w:left w:w="20" w:type="dxa"/>
              <w:right w:w="20" w:type="dxa"/>
            </w:tcMar>
            <w:vAlign w:val="bottom"/>
          </w:tcPr>
          <w:p w14:paraId="36CA50DC"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50DD" w14:textId="77777777" w:rsidR="00787570" w:rsidRDefault="00787570">
            <w:pPr>
              <w:rPr>
                <w:rFonts w:ascii="宋体"/>
              </w:rPr>
            </w:pPr>
          </w:p>
        </w:tc>
        <w:tc>
          <w:tcPr>
            <w:tcW w:w="0" w:type="auto"/>
            <w:shd w:val="clear" w:color="auto" w:fill="auto"/>
          </w:tcPr>
          <w:p w14:paraId="36CA50DE" w14:textId="77777777" w:rsidR="00787570" w:rsidRDefault="00787570">
            <w:pPr>
              <w:rPr>
                <w:rFonts w:ascii="宋体"/>
              </w:rPr>
            </w:pPr>
          </w:p>
        </w:tc>
        <w:tc>
          <w:tcPr>
            <w:tcW w:w="0" w:type="auto"/>
            <w:shd w:val="clear" w:color="auto" w:fill="auto"/>
          </w:tcPr>
          <w:p w14:paraId="36CA50DF" w14:textId="77777777" w:rsidR="00787570" w:rsidRDefault="00787570">
            <w:pPr>
              <w:rPr>
                <w:rFonts w:ascii="宋体"/>
              </w:rPr>
            </w:pPr>
          </w:p>
        </w:tc>
        <w:tc>
          <w:tcPr>
            <w:tcW w:w="0" w:type="auto"/>
            <w:shd w:val="clear" w:color="auto" w:fill="auto"/>
          </w:tcPr>
          <w:p w14:paraId="36CA50E0" w14:textId="77777777" w:rsidR="00787570" w:rsidRDefault="00787570">
            <w:pPr>
              <w:rPr>
                <w:rFonts w:ascii="宋体"/>
              </w:rPr>
            </w:pPr>
          </w:p>
        </w:tc>
        <w:tc>
          <w:tcPr>
            <w:tcW w:w="0" w:type="auto"/>
            <w:shd w:val="clear" w:color="auto" w:fill="auto"/>
          </w:tcPr>
          <w:p w14:paraId="36CA50E1" w14:textId="77777777" w:rsidR="00787570" w:rsidRDefault="00787570">
            <w:pPr>
              <w:rPr>
                <w:rFonts w:ascii="宋体"/>
              </w:rPr>
            </w:pPr>
          </w:p>
        </w:tc>
        <w:tc>
          <w:tcPr>
            <w:tcW w:w="0" w:type="auto"/>
            <w:shd w:val="clear" w:color="auto" w:fill="auto"/>
          </w:tcPr>
          <w:p w14:paraId="36CA50E2" w14:textId="77777777" w:rsidR="00787570" w:rsidRDefault="00787570">
            <w:pPr>
              <w:rPr>
                <w:rFonts w:ascii="宋体"/>
              </w:rPr>
            </w:pPr>
          </w:p>
        </w:tc>
        <w:tc>
          <w:tcPr>
            <w:tcW w:w="0" w:type="auto"/>
            <w:shd w:val="clear" w:color="auto" w:fill="auto"/>
          </w:tcPr>
          <w:p w14:paraId="36CA50E3" w14:textId="77777777" w:rsidR="00787570" w:rsidRDefault="00787570">
            <w:pPr>
              <w:rPr>
                <w:rFonts w:ascii="宋体"/>
              </w:rPr>
            </w:pPr>
          </w:p>
        </w:tc>
        <w:tc>
          <w:tcPr>
            <w:tcW w:w="0" w:type="auto"/>
            <w:shd w:val="clear" w:color="auto" w:fill="auto"/>
          </w:tcPr>
          <w:p w14:paraId="36CA50E4" w14:textId="77777777" w:rsidR="00787570" w:rsidRDefault="00787570">
            <w:pPr>
              <w:rPr>
                <w:rFonts w:ascii="宋体"/>
              </w:rPr>
            </w:pPr>
          </w:p>
        </w:tc>
        <w:tc>
          <w:tcPr>
            <w:tcW w:w="0" w:type="auto"/>
            <w:shd w:val="clear" w:color="auto" w:fill="auto"/>
          </w:tcPr>
          <w:p w14:paraId="36CA50E5" w14:textId="77777777" w:rsidR="00787570" w:rsidRDefault="00787570">
            <w:pPr>
              <w:rPr>
                <w:rFonts w:ascii="宋体"/>
              </w:rPr>
            </w:pPr>
          </w:p>
        </w:tc>
        <w:tc>
          <w:tcPr>
            <w:tcW w:w="0" w:type="auto"/>
            <w:shd w:val="clear" w:color="auto" w:fill="auto"/>
          </w:tcPr>
          <w:p w14:paraId="36CA50E6" w14:textId="77777777" w:rsidR="00787570" w:rsidRDefault="00787570">
            <w:pPr>
              <w:rPr>
                <w:rFonts w:ascii="宋体"/>
              </w:rPr>
            </w:pPr>
          </w:p>
        </w:tc>
      </w:tr>
      <w:tr w:rsidR="00787570" w14:paraId="36CA50F5" w14:textId="77777777">
        <w:trPr>
          <w:trHeight w:val="240"/>
        </w:trPr>
        <w:tc>
          <w:tcPr>
            <w:tcW w:w="0" w:type="auto"/>
            <w:gridSpan w:val="3"/>
            <w:shd w:val="clear" w:color="auto" w:fill="auto"/>
            <w:tcMar>
              <w:left w:w="20" w:type="dxa"/>
              <w:right w:w="20" w:type="dxa"/>
            </w:tcMar>
            <w:vAlign w:val="bottom"/>
          </w:tcPr>
          <w:p w14:paraId="36CA50E8"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50E9"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50EA"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50EB" w14:textId="77777777" w:rsidR="00787570" w:rsidRDefault="00787570">
            <w:pPr>
              <w:rPr>
                <w:rFonts w:ascii="宋体"/>
              </w:rPr>
            </w:pPr>
          </w:p>
        </w:tc>
        <w:tc>
          <w:tcPr>
            <w:tcW w:w="0" w:type="auto"/>
            <w:shd w:val="clear" w:color="auto" w:fill="auto"/>
          </w:tcPr>
          <w:p w14:paraId="36CA50EC" w14:textId="77777777" w:rsidR="00787570" w:rsidRDefault="00787570">
            <w:pPr>
              <w:rPr>
                <w:rFonts w:ascii="宋体"/>
              </w:rPr>
            </w:pPr>
          </w:p>
        </w:tc>
        <w:tc>
          <w:tcPr>
            <w:tcW w:w="0" w:type="auto"/>
            <w:shd w:val="clear" w:color="auto" w:fill="auto"/>
          </w:tcPr>
          <w:p w14:paraId="36CA50ED" w14:textId="77777777" w:rsidR="00787570" w:rsidRDefault="00787570">
            <w:pPr>
              <w:rPr>
                <w:rFonts w:ascii="宋体"/>
              </w:rPr>
            </w:pPr>
          </w:p>
        </w:tc>
        <w:tc>
          <w:tcPr>
            <w:tcW w:w="0" w:type="auto"/>
            <w:shd w:val="clear" w:color="auto" w:fill="auto"/>
          </w:tcPr>
          <w:p w14:paraId="36CA50EE" w14:textId="77777777" w:rsidR="00787570" w:rsidRDefault="00787570">
            <w:pPr>
              <w:rPr>
                <w:rFonts w:ascii="宋体"/>
              </w:rPr>
            </w:pPr>
          </w:p>
        </w:tc>
        <w:tc>
          <w:tcPr>
            <w:tcW w:w="0" w:type="auto"/>
            <w:shd w:val="clear" w:color="auto" w:fill="auto"/>
          </w:tcPr>
          <w:p w14:paraId="36CA50EF" w14:textId="77777777" w:rsidR="00787570" w:rsidRDefault="00787570">
            <w:pPr>
              <w:rPr>
                <w:rFonts w:ascii="宋体"/>
              </w:rPr>
            </w:pPr>
          </w:p>
        </w:tc>
        <w:tc>
          <w:tcPr>
            <w:tcW w:w="0" w:type="auto"/>
            <w:shd w:val="clear" w:color="auto" w:fill="auto"/>
          </w:tcPr>
          <w:p w14:paraId="36CA50F0" w14:textId="77777777" w:rsidR="00787570" w:rsidRDefault="00787570">
            <w:pPr>
              <w:rPr>
                <w:rFonts w:ascii="宋体"/>
              </w:rPr>
            </w:pPr>
          </w:p>
        </w:tc>
        <w:tc>
          <w:tcPr>
            <w:tcW w:w="0" w:type="auto"/>
            <w:shd w:val="clear" w:color="auto" w:fill="auto"/>
          </w:tcPr>
          <w:p w14:paraId="36CA50F1" w14:textId="77777777" w:rsidR="00787570" w:rsidRDefault="00787570">
            <w:pPr>
              <w:rPr>
                <w:rFonts w:ascii="宋体"/>
              </w:rPr>
            </w:pPr>
          </w:p>
        </w:tc>
        <w:tc>
          <w:tcPr>
            <w:tcW w:w="0" w:type="auto"/>
            <w:shd w:val="clear" w:color="auto" w:fill="auto"/>
          </w:tcPr>
          <w:p w14:paraId="36CA50F2" w14:textId="77777777" w:rsidR="00787570" w:rsidRDefault="00787570">
            <w:pPr>
              <w:rPr>
                <w:rFonts w:ascii="宋体"/>
              </w:rPr>
            </w:pPr>
          </w:p>
        </w:tc>
        <w:tc>
          <w:tcPr>
            <w:tcW w:w="0" w:type="auto"/>
            <w:shd w:val="clear" w:color="auto" w:fill="auto"/>
          </w:tcPr>
          <w:p w14:paraId="36CA50F3" w14:textId="77777777" w:rsidR="00787570" w:rsidRDefault="00787570">
            <w:pPr>
              <w:rPr>
                <w:rFonts w:ascii="宋体"/>
              </w:rPr>
            </w:pPr>
          </w:p>
        </w:tc>
        <w:tc>
          <w:tcPr>
            <w:tcW w:w="0" w:type="auto"/>
            <w:shd w:val="clear" w:color="auto" w:fill="auto"/>
          </w:tcPr>
          <w:p w14:paraId="36CA50F4" w14:textId="77777777" w:rsidR="00787570" w:rsidRDefault="00787570">
            <w:pPr>
              <w:rPr>
                <w:rFonts w:ascii="宋体"/>
              </w:rPr>
            </w:pPr>
          </w:p>
        </w:tc>
      </w:tr>
      <w:tr w:rsidR="00787570" w14:paraId="36CA5103" w14:textId="77777777">
        <w:trPr>
          <w:trHeight w:val="240"/>
        </w:trPr>
        <w:tc>
          <w:tcPr>
            <w:tcW w:w="0" w:type="auto"/>
            <w:gridSpan w:val="3"/>
            <w:shd w:val="clear" w:color="auto" w:fill="auto"/>
            <w:tcMar>
              <w:left w:w="20" w:type="dxa"/>
              <w:right w:w="20" w:type="dxa"/>
            </w:tcMar>
            <w:vAlign w:val="bottom"/>
          </w:tcPr>
          <w:p w14:paraId="36CA50F6"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50F7"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50F8"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50F9" w14:textId="77777777" w:rsidR="00787570" w:rsidRDefault="00787570">
            <w:pPr>
              <w:rPr>
                <w:rFonts w:ascii="宋体"/>
              </w:rPr>
            </w:pPr>
          </w:p>
        </w:tc>
        <w:tc>
          <w:tcPr>
            <w:tcW w:w="0" w:type="auto"/>
            <w:shd w:val="clear" w:color="auto" w:fill="auto"/>
          </w:tcPr>
          <w:p w14:paraId="36CA50FA" w14:textId="77777777" w:rsidR="00787570" w:rsidRDefault="00787570">
            <w:pPr>
              <w:rPr>
                <w:rFonts w:ascii="宋体"/>
              </w:rPr>
            </w:pPr>
          </w:p>
        </w:tc>
        <w:tc>
          <w:tcPr>
            <w:tcW w:w="0" w:type="auto"/>
            <w:shd w:val="clear" w:color="auto" w:fill="auto"/>
          </w:tcPr>
          <w:p w14:paraId="36CA50FB" w14:textId="77777777" w:rsidR="00787570" w:rsidRDefault="00787570">
            <w:pPr>
              <w:rPr>
                <w:rFonts w:ascii="宋体"/>
              </w:rPr>
            </w:pPr>
          </w:p>
        </w:tc>
        <w:tc>
          <w:tcPr>
            <w:tcW w:w="0" w:type="auto"/>
            <w:shd w:val="clear" w:color="auto" w:fill="auto"/>
          </w:tcPr>
          <w:p w14:paraId="36CA50FC" w14:textId="77777777" w:rsidR="00787570" w:rsidRDefault="00787570">
            <w:pPr>
              <w:rPr>
                <w:rFonts w:ascii="宋体"/>
              </w:rPr>
            </w:pPr>
          </w:p>
        </w:tc>
        <w:tc>
          <w:tcPr>
            <w:tcW w:w="0" w:type="auto"/>
            <w:shd w:val="clear" w:color="auto" w:fill="auto"/>
          </w:tcPr>
          <w:p w14:paraId="36CA50FD" w14:textId="77777777" w:rsidR="00787570" w:rsidRDefault="00787570">
            <w:pPr>
              <w:rPr>
                <w:rFonts w:ascii="宋体"/>
              </w:rPr>
            </w:pPr>
          </w:p>
        </w:tc>
        <w:tc>
          <w:tcPr>
            <w:tcW w:w="0" w:type="auto"/>
            <w:shd w:val="clear" w:color="auto" w:fill="auto"/>
          </w:tcPr>
          <w:p w14:paraId="36CA50FE" w14:textId="77777777" w:rsidR="00787570" w:rsidRDefault="00787570">
            <w:pPr>
              <w:rPr>
                <w:rFonts w:ascii="宋体"/>
              </w:rPr>
            </w:pPr>
          </w:p>
        </w:tc>
        <w:tc>
          <w:tcPr>
            <w:tcW w:w="0" w:type="auto"/>
            <w:shd w:val="clear" w:color="auto" w:fill="auto"/>
          </w:tcPr>
          <w:p w14:paraId="36CA50FF" w14:textId="77777777" w:rsidR="00787570" w:rsidRDefault="00787570">
            <w:pPr>
              <w:rPr>
                <w:rFonts w:ascii="宋体"/>
              </w:rPr>
            </w:pPr>
          </w:p>
        </w:tc>
        <w:tc>
          <w:tcPr>
            <w:tcW w:w="0" w:type="auto"/>
            <w:shd w:val="clear" w:color="auto" w:fill="auto"/>
          </w:tcPr>
          <w:p w14:paraId="36CA5100" w14:textId="77777777" w:rsidR="00787570" w:rsidRDefault="00787570">
            <w:pPr>
              <w:rPr>
                <w:rFonts w:ascii="宋体"/>
              </w:rPr>
            </w:pPr>
          </w:p>
        </w:tc>
        <w:tc>
          <w:tcPr>
            <w:tcW w:w="0" w:type="auto"/>
            <w:shd w:val="clear" w:color="auto" w:fill="auto"/>
          </w:tcPr>
          <w:p w14:paraId="36CA5101" w14:textId="77777777" w:rsidR="00787570" w:rsidRDefault="00787570">
            <w:pPr>
              <w:rPr>
                <w:rFonts w:ascii="宋体"/>
              </w:rPr>
            </w:pPr>
          </w:p>
        </w:tc>
        <w:tc>
          <w:tcPr>
            <w:tcW w:w="0" w:type="auto"/>
            <w:shd w:val="clear" w:color="auto" w:fill="auto"/>
          </w:tcPr>
          <w:p w14:paraId="36CA5102" w14:textId="77777777" w:rsidR="00787570" w:rsidRDefault="00787570">
            <w:pPr>
              <w:rPr>
                <w:rFonts w:ascii="宋体"/>
              </w:rPr>
            </w:pPr>
          </w:p>
        </w:tc>
      </w:tr>
    </w:tbl>
    <w:p w14:paraId="36CA5104" w14:textId="77777777" w:rsidR="00787570" w:rsidRDefault="00787570">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95"/>
        <w:gridCol w:w="416"/>
        <w:gridCol w:w="36"/>
        <w:gridCol w:w="47"/>
        <w:gridCol w:w="4254"/>
        <w:gridCol w:w="36"/>
        <w:gridCol w:w="47"/>
        <w:gridCol w:w="3369"/>
        <w:gridCol w:w="36"/>
      </w:tblGrid>
      <w:tr w:rsidR="00787570" w14:paraId="36CA510E" w14:textId="77777777">
        <w:tc>
          <w:tcPr>
            <w:tcW w:w="50" w:type="pct"/>
            <w:shd w:val="clear" w:color="auto" w:fill="auto"/>
            <w:vAlign w:val="bottom"/>
          </w:tcPr>
          <w:p w14:paraId="36CA5105" w14:textId="77777777" w:rsidR="00787570" w:rsidRDefault="00787570">
            <w:pPr>
              <w:rPr>
                <w:rFonts w:ascii="宋体"/>
              </w:rPr>
            </w:pPr>
          </w:p>
        </w:tc>
        <w:tc>
          <w:tcPr>
            <w:tcW w:w="220" w:type="pct"/>
            <w:shd w:val="clear" w:color="auto" w:fill="auto"/>
            <w:vAlign w:val="bottom"/>
          </w:tcPr>
          <w:p w14:paraId="36CA5106" w14:textId="77777777" w:rsidR="00787570" w:rsidRDefault="00787570">
            <w:pPr>
              <w:rPr>
                <w:rFonts w:ascii="宋体"/>
              </w:rPr>
            </w:pPr>
          </w:p>
        </w:tc>
        <w:tc>
          <w:tcPr>
            <w:tcW w:w="5" w:type="pct"/>
            <w:shd w:val="clear" w:color="auto" w:fill="auto"/>
            <w:vAlign w:val="bottom"/>
          </w:tcPr>
          <w:p w14:paraId="36CA5107" w14:textId="77777777" w:rsidR="00787570" w:rsidRDefault="00787570">
            <w:pPr>
              <w:rPr>
                <w:rFonts w:ascii="宋体"/>
              </w:rPr>
            </w:pPr>
          </w:p>
        </w:tc>
        <w:tc>
          <w:tcPr>
            <w:tcW w:w="50" w:type="pct"/>
            <w:shd w:val="clear" w:color="auto" w:fill="auto"/>
            <w:vAlign w:val="bottom"/>
          </w:tcPr>
          <w:p w14:paraId="36CA5108" w14:textId="77777777" w:rsidR="00787570" w:rsidRDefault="00787570">
            <w:pPr>
              <w:rPr>
                <w:rFonts w:ascii="宋体"/>
              </w:rPr>
            </w:pPr>
          </w:p>
        </w:tc>
        <w:tc>
          <w:tcPr>
            <w:tcW w:w="2572" w:type="pct"/>
            <w:shd w:val="clear" w:color="auto" w:fill="auto"/>
            <w:vAlign w:val="bottom"/>
          </w:tcPr>
          <w:p w14:paraId="36CA5109" w14:textId="77777777" w:rsidR="00787570" w:rsidRDefault="00787570">
            <w:pPr>
              <w:rPr>
                <w:rFonts w:ascii="宋体"/>
              </w:rPr>
            </w:pPr>
          </w:p>
        </w:tc>
        <w:tc>
          <w:tcPr>
            <w:tcW w:w="5" w:type="pct"/>
            <w:shd w:val="clear" w:color="auto" w:fill="auto"/>
            <w:vAlign w:val="bottom"/>
          </w:tcPr>
          <w:p w14:paraId="36CA510A" w14:textId="77777777" w:rsidR="00787570" w:rsidRDefault="00787570">
            <w:pPr>
              <w:rPr>
                <w:rFonts w:ascii="宋体"/>
              </w:rPr>
            </w:pPr>
          </w:p>
        </w:tc>
        <w:tc>
          <w:tcPr>
            <w:tcW w:w="50" w:type="pct"/>
            <w:shd w:val="clear" w:color="auto" w:fill="auto"/>
            <w:vAlign w:val="bottom"/>
          </w:tcPr>
          <w:p w14:paraId="36CA510B" w14:textId="77777777" w:rsidR="00787570" w:rsidRDefault="00787570">
            <w:pPr>
              <w:rPr>
                <w:rFonts w:ascii="宋体"/>
              </w:rPr>
            </w:pPr>
          </w:p>
        </w:tc>
        <w:tc>
          <w:tcPr>
            <w:tcW w:w="2042" w:type="pct"/>
            <w:shd w:val="clear" w:color="auto" w:fill="auto"/>
            <w:vAlign w:val="bottom"/>
          </w:tcPr>
          <w:p w14:paraId="36CA510C" w14:textId="77777777" w:rsidR="00787570" w:rsidRDefault="00787570">
            <w:pPr>
              <w:rPr>
                <w:rFonts w:ascii="宋体"/>
              </w:rPr>
            </w:pPr>
          </w:p>
        </w:tc>
        <w:tc>
          <w:tcPr>
            <w:tcW w:w="5" w:type="pct"/>
            <w:shd w:val="clear" w:color="auto" w:fill="auto"/>
            <w:vAlign w:val="bottom"/>
          </w:tcPr>
          <w:p w14:paraId="36CA510D" w14:textId="77777777" w:rsidR="00787570" w:rsidRDefault="00787570">
            <w:pPr>
              <w:rPr>
                <w:rFonts w:ascii="宋体"/>
              </w:rPr>
            </w:pPr>
          </w:p>
        </w:tc>
      </w:tr>
      <w:tr w:rsidR="00787570" w14:paraId="36CA5112" w14:textId="77777777">
        <w:tc>
          <w:tcPr>
            <w:tcW w:w="0" w:type="auto"/>
            <w:gridSpan w:val="3"/>
            <w:tcBorders>
              <w:top w:val="single" w:sz="8" w:space="0" w:color="0071C5"/>
            </w:tcBorders>
            <w:shd w:val="clear" w:color="auto" w:fill="auto"/>
            <w:tcMar>
              <w:left w:w="20" w:type="dxa"/>
              <w:right w:w="20" w:type="dxa"/>
            </w:tcMar>
            <w:vAlign w:val="center"/>
          </w:tcPr>
          <w:p w14:paraId="36CA510F" w14:textId="77777777" w:rsidR="00787570" w:rsidRDefault="000D56E2">
            <w:pPr>
              <w:textAlignment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Viewer9_files/intc-20200926_g2.jpg"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36CA5C7B" wp14:editId="36CA5C7C">
                  <wp:extent cx="304800" cy="304800"/>
                  <wp:effectExtent l="0" t="0" r="0" b="0"/>
                  <wp:docPr id="54" name="图片 133" descr="IMG_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133" descr="IMG_329"/>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8" w:space="0" w:color="0071C5"/>
            </w:tcBorders>
            <w:shd w:val="clear" w:color="auto" w:fill="auto"/>
            <w:tcMar>
              <w:top w:w="40" w:type="dxa"/>
              <w:left w:w="20" w:type="dxa"/>
              <w:bottom w:w="40" w:type="dxa"/>
              <w:right w:w="20" w:type="dxa"/>
            </w:tcMar>
            <w:vAlign w:val="center"/>
          </w:tcPr>
          <w:p w14:paraId="36CA5110" w14:textId="77777777" w:rsidR="00787570" w:rsidRDefault="000D56E2">
            <w:pPr>
              <w:textAlignment w:val="center"/>
            </w:pPr>
            <w:r>
              <w:rPr>
                <w:rFonts w:ascii="Arial" w:eastAsia="宋体" w:hAnsi="Arial" w:cs="Arial"/>
                <w:color w:val="333333"/>
                <w:sz w:val="16"/>
                <w:szCs w:val="16"/>
              </w:rPr>
              <w:t>MD&amp;A</w:t>
            </w:r>
          </w:p>
        </w:tc>
        <w:tc>
          <w:tcPr>
            <w:tcW w:w="0" w:type="auto"/>
            <w:gridSpan w:val="3"/>
            <w:tcBorders>
              <w:top w:val="single" w:sz="8" w:space="0" w:color="0071C5"/>
            </w:tcBorders>
            <w:shd w:val="clear" w:color="auto" w:fill="auto"/>
            <w:tcMar>
              <w:top w:w="40" w:type="dxa"/>
              <w:left w:w="20" w:type="dxa"/>
              <w:bottom w:w="40" w:type="dxa"/>
              <w:right w:w="20" w:type="dxa"/>
            </w:tcMar>
            <w:vAlign w:val="center"/>
          </w:tcPr>
          <w:p w14:paraId="36CA5111" w14:textId="77777777" w:rsidR="00787570" w:rsidRDefault="000D56E2">
            <w:pPr>
              <w:jc w:val="right"/>
              <w:textAlignment w:val="center"/>
            </w:pPr>
            <w:r>
              <w:rPr>
                <w:rFonts w:ascii="Arial" w:eastAsia="宋体" w:hAnsi="Arial" w:cs="Arial"/>
                <w:color w:val="333333"/>
                <w:sz w:val="16"/>
                <w:szCs w:val="16"/>
              </w:rPr>
              <w:t>38</w:t>
            </w:r>
          </w:p>
        </w:tc>
      </w:tr>
    </w:tbl>
    <w:p w14:paraId="36CA5113" w14:textId="77777777" w:rsidR="00787570" w:rsidRDefault="000D56E2">
      <w:r>
        <w:pict w14:anchorId="36CA5C7D">
          <v:rect id="_x0000_i1064" style="width:415.3pt;height:1.5pt" o:hralign="center" o:hrstd="t" o:hr="t" fillcolor="#a0a0a0" stroked="f"/>
        </w:pict>
      </w:r>
    </w:p>
    <w:p w14:paraId="36CA5114" w14:textId="77777777" w:rsidR="00787570" w:rsidRDefault="000D56E2">
      <w:pPr>
        <w:spacing w:after="180"/>
        <w:jc w:val="right"/>
      </w:pPr>
      <w:hyperlink r:id="rId66" w:anchor="i32771df14e9449d2bec5be911426bf04_7" w:history="1">
        <w:r>
          <w:rPr>
            <w:rStyle w:val="a5"/>
            <w:rFonts w:ascii="Arial" w:eastAsia="宋体" w:hAnsi="Arial" w:cs="Arial"/>
            <w:b/>
            <w:bCs/>
            <w:sz w:val="16"/>
            <w:szCs w:val="16"/>
          </w:rPr>
          <w:t>Table of Contents</w:t>
        </w:r>
      </w:hyperlink>
    </w:p>
    <w:p w14:paraId="36CA5115" w14:textId="77777777" w:rsidR="00787570" w:rsidRDefault="00787570">
      <w:pPr>
        <w:spacing w:after="180"/>
        <w:jc w:val="right"/>
      </w:pPr>
    </w:p>
    <w:p w14:paraId="36CA5116" w14:textId="77777777" w:rsidR="00787570" w:rsidRDefault="000D56E2">
      <w:pPr>
        <w:spacing w:after="180"/>
      </w:pPr>
      <w:r>
        <w:rPr>
          <w:rFonts w:ascii="Arial" w:eastAsia="宋体" w:hAnsi="Arial" w:cs="Arial"/>
          <w:b/>
          <w:bCs/>
          <w:color w:val="0071C5"/>
          <w:sz w:val="28"/>
          <w:szCs w:val="28"/>
        </w:rPr>
        <w:t>GAINS (LOSSES) ON EQUITY INVESTMENTS AND INTEREST AND OTHER, NET</w:t>
      </w:r>
    </w:p>
    <w:tbl>
      <w:tblPr>
        <w:tblW w:w="5000" w:type="pct"/>
        <w:tblCellMar>
          <w:top w:w="15" w:type="dxa"/>
          <w:left w:w="15" w:type="dxa"/>
          <w:bottom w:w="15" w:type="dxa"/>
          <w:right w:w="15" w:type="dxa"/>
        </w:tblCellMar>
        <w:tblLook w:val="04A0" w:firstRow="1" w:lastRow="0" w:firstColumn="1" w:lastColumn="0" w:noHBand="0" w:noVBand="1"/>
      </w:tblPr>
      <w:tblGrid>
        <w:gridCol w:w="43"/>
        <w:gridCol w:w="3976"/>
        <w:gridCol w:w="37"/>
        <w:gridCol w:w="36"/>
        <w:gridCol w:w="36"/>
        <w:gridCol w:w="36"/>
        <w:gridCol w:w="136"/>
        <w:gridCol w:w="785"/>
        <w:gridCol w:w="41"/>
        <w:gridCol w:w="36"/>
        <w:gridCol w:w="36"/>
        <w:gridCol w:w="36"/>
        <w:gridCol w:w="136"/>
        <w:gridCol w:w="785"/>
        <w:gridCol w:w="41"/>
        <w:gridCol w:w="36"/>
        <w:gridCol w:w="36"/>
        <w:gridCol w:w="36"/>
        <w:gridCol w:w="136"/>
        <w:gridCol w:w="785"/>
        <w:gridCol w:w="41"/>
        <w:gridCol w:w="36"/>
        <w:gridCol w:w="36"/>
        <w:gridCol w:w="36"/>
        <w:gridCol w:w="136"/>
        <w:gridCol w:w="785"/>
        <w:gridCol w:w="41"/>
      </w:tblGrid>
      <w:tr w:rsidR="00787570" w14:paraId="36CA5132" w14:textId="77777777">
        <w:tc>
          <w:tcPr>
            <w:tcW w:w="50" w:type="pct"/>
            <w:shd w:val="clear" w:color="auto" w:fill="auto"/>
          </w:tcPr>
          <w:p w14:paraId="36CA5117" w14:textId="77777777" w:rsidR="00787570" w:rsidRDefault="00787570">
            <w:pPr>
              <w:rPr>
                <w:rFonts w:ascii="宋体"/>
              </w:rPr>
            </w:pPr>
          </w:p>
        </w:tc>
        <w:tc>
          <w:tcPr>
            <w:tcW w:w="2431" w:type="pct"/>
            <w:shd w:val="clear" w:color="auto" w:fill="auto"/>
          </w:tcPr>
          <w:p w14:paraId="36CA5118" w14:textId="77777777" w:rsidR="00787570" w:rsidRDefault="00787570">
            <w:pPr>
              <w:rPr>
                <w:rFonts w:ascii="宋体"/>
              </w:rPr>
            </w:pPr>
          </w:p>
        </w:tc>
        <w:tc>
          <w:tcPr>
            <w:tcW w:w="5" w:type="pct"/>
            <w:shd w:val="clear" w:color="auto" w:fill="auto"/>
          </w:tcPr>
          <w:p w14:paraId="36CA5119" w14:textId="77777777" w:rsidR="00787570" w:rsidRDefault="00787570">
            <w:pPr>
              <w:rPr>
                <w:rFonts w:ascii="宋体"/>
              </w:rPr>
            </w:pPr>
          </w:p>
        </w:tc>
        <w:tc>
          <w:tcPr>
            <w:tcW w:w="5" w:type="pct"/>
            <w:shd w:val="clear" w:color="auto" w:fill="auto"/>
          </w:tcPr>
          <w:p w14:paraId="36CA511A" w14:textId="77777777" w:rsidR="00787570" w:rsidRDefault="00787570">
            <w:pPr>
              <w:rPr>
                <w:rFonts w:ascii="宋体"/>
              </w:rPr>
            </w:pPr>
          </w:p>
        </w:tc>
        <w:tc>
          <w:tcPr>
            <w:tcW w:w="24" w:type="pct"/>
            <w:shd w:val="clear" w:color="auto" w:fill="auto"/>
          </w:tcPr>
          <w:p w14:paraId="36CA511B" w14:textId="77777777" w:rsidR="00787570" w:rsidRDefault="00787570">
            <w:pPr>
              <w:rPr>
                <w:rFonts w:ascii="宋体"/>
              </w:rPr>
            </w:pPr>
          </w:p>
        </w:tc>
        <w:tc>
          <w:tcPr>
            <w:tcW w:w="5" w:type="pct"/>
            <w:shd w:val="clear" w:color="auto" w:fill="auto"/>
          </w:tcPr>
          <w:p w14:paraId="36CA511C" w14:textId="77777777" w:rsidR="00787570" w:rsidRDefault="00787570">
            <w:pPr>
              <w:rPr>
                <w:rFonts w:ascii="宋体"/>
              </w:rPr>
            </w:pPr>
          </w:p>
        </w:tc>
        <w:tc>
          <w:tcPr>
            <w:tcW w:w="50" w:type="pct"/>
            <w:shd w:val="clear" w:color="auto" w:fill="auto"/>
          </w:tcPr>
          <w:p w14:paraId="36CA511D" w14:textId="77777777" w:rsidR="00787570" w:rsidRDefault="00787570">
            <w:pPr>
              <w:rPr>
                <w:rFonts w:ascii="宋体"/>
              </w:rPr>
            </w:pPr>
          </w:p>
        </w:tc>
        <w:tc>
          <w:tcPr>
            <w:tcW w:w="539" w:type="pct"/>
            <w:shd w:val="clear" w:color="auto" w:fill="auto"/>
          </w:tcPr>
          <w:p w14:paraId="36CA511E" w14:textId="77777777" w:rsidR="00787570" w:rsidRDefault="00787570">
            <w:pPr>
              <w:rPr>
                <w:rFonts w:ascii="宋体"/>
              </w:rPr>
            </w:pPr>
          </w:p>
        </w:tc>
        <w:tc>
          <w:tcPr>
            <w:tcW w:w="5" w:type="pct"/>
            <w:shd w:val="clear" w:color="auto" w:fill="auto"/>
          </w:tcPr>
          <w:p w14:paraId="36CA511F" w14:textId="77777777" w:rsidR="00787570" w:rsidRDefault="00787570">
            <w:pPr>
              <w:rPr>
                <w:rFonts w:ascii="宋体"/>
              </w:rPr>
            </w:pPr>
          </w:p>
        </w:tc>
        <w:tc>
          <w:tcPr>
            <w:tcW w:w="5" w:type="pct"/>
            <w:shd w:val="clear" w:color="auto" w:fill="auto"/>
          </w:tcPr>
          <w:p w14:paraId="36CA5120" w14:textId="77777777" w:rsidR="00787570" w:rsidRDefault="00787570">
            <w:pPr>
              <w:rPr>
                <w:rFonts w:ascii="宋体"/>
              </w:rPr>
            </w:pPr>
          </w:p>
        </w:tc>
        <w:tc>
          <w:tcPr>
            <w:tcW w:w="24" w:type="pct"/>
            <w:shd w:val="clear" w:color="auto" w:fill="auto"/>
          </w:tcPr>
          <w:p w14:paraId="36CA5121" w14:textId="77777777" w:rsidR="00787570" w:rsidRDefault="00787570">
            <w:pPr>
              <w:rPr>
                <w:rFonts w:ascii="宋体"/>
              </w:rPr>
            </w:pPr>
          </w:p>
        </w:tc>
        <w:tc>
          <w:tcPr>
            <w:tcW w:w="5" w:type="pct"/>
            <w:shd w:val="clear" w:color="auto" w:fill="auto"/>
          </w:tcPr>
          <w:p w14:paraId="36CA5122" w14:textId="77777777" w:rsidR="00787570" w:rsidRDefault="00787570">
            <w:pPr>
              <w:rPr>
                <w:rFonts w:ascii="宋体"/>
              </w:rPr>
            </w:pPr>
          </w:p>
        </w:tc>
        <w:tc>
          <w:tcPr>
            <w:tcW w:w="50" w:type="pct"/>
            <w:shd w:val="clear" w:color="auto" w:fill="auto"/>
          </w:tcPr>
          <w:p w14:paraId="36CA5123" w14:textId="77777777" w:rsidR="00787570" w:rsidRDefault="00787570">
            <w:pPr>
              <w:rPr>
                <w:rFonts w:ascii="宋体"/>
              </w:rPr>
            </w:pPr>
          </w:p>
        </w:tc>
        <w:tc>
          <w:tcPr>
            <w:tcW w:w="539" w:type="pct"/>
            <w:shd w:val="clear" w:color="auto" w:fill="auto"/>
          </w:tcPr>
          <w:p w14:paraId="36CA5124" w14:textId="77777777" w:rsidR="00787570" w:rsidRDefault="00787570">
            <w:pPr>
              <w:rPr>
                <w:rFonts w:ascii="宋体"/>
              </w:rPr>
            </w:pPr>
          </w:p>
        </w:tc>
        <w:tc>
          <w:tcPr>
            <w:tcW w:w="5" w:type="pct"/>
            <w:shd w:val="clear" w:color="auto" w:fill="auto"/>
          </w:tcPr>
          <w:p w14:paraId="36CA5125" w14:textId="77777777" w:rsidR="00787570" w:rsidRDefault="00787570">
            <w:pPr>
              <w:rPr>
                <w:rFonts w:ascii="宋体"/>
              </w:rPr>
            </w:pPr>
          </w:p>
        </w:tc>
        <w:tc>
          <w:tcPr>
            <w:tcW w:w="5" w:type="pct"/>
            <w:shd w:val="clear" w:color="auto" w:fill="auto"/>
          </w:tcPr>
          <w:p w14:paraId="36CA5126" w14:textId="77777777" w:rsidR="00787570" w:rsidRDefault="00787570">
            <w:pPr>
              <w:rPr>
                <w:rFonts w:ascii="宋体"/>
              </w:rPr>
            </w:pPr>
          </w:p>
        </w:tc>
        <w:tc>
          <w:tcPr>
            <w:tcW w:w="24" w:type="pct"/>
            <w:shd w:val="clear" w:color="auto" w:fill="auto"/>
          </w:tcPr>
          <w:p w14:paraId="36CA5127" w14:textId="77777777" w:rsidR="00787570" w:rsidRDefault="00787570">
            <w:pPr>
              <w:rPr>
                <w:rFonts w:ascii="宋体"/>
              </w:rPr>
            </w:pPr>
          </w:p>
        </w:tc>
        <w:tc>
          <w:tcPr>
            <w:tcW w:w="5" w:type="pct"/>
            <w:shd w:val="clear" w:color="auto" w:fill="auto"/>
          </w:tcPr>
          <w:p w14:paraId="36CA5128" w14:textId="77777777" w:rsidR="00787570" w:rsidRDefault="00787570">
            <w:pPr>
              <w:rPr>
                <w:rFonts w:ascii="宋体"/>
              </w:rPr>
            </w:pPr>
          </w:p>
        </w:tc>
        <w:tc>
          <w:tcPr>
            <w:tcW w:w="50" w:type="pct"/>
            <w:shd w:val="clear" w:color="auto" w:fill="auto"/>
          </w:tcPr>
          <w:p w14:paraId="36CA5129" w14:textId="77777777" w:rsidR="00787570" w:rsidRDefault="00787570">
            <w:pPr>
              <w:rPr>
                <w:rFonts w:ascii="宋体"/>
              </w:rPr>
            </w:pPr>
          </w:p>
        </w:tc>
        <w:tc>
          <w:tcPr>
            <w:tcW w:w="539" w:type="pct"/>
            <w:shd w:val="clear" w:color="auto" w:fill="auto"/>
          </w:tcPr>
          <w:p w14:paraId="36CA512A" w14:textId="77777777" w:rsidR="00787570" w:rsidRDefault="00787570">
            <w:pPr>
              <w:rPr>
                <w:rFonts w:ascii="宋体"/>
              </w:rPr>
            </w:pPr>
          </w:p>
        </w:tc>
        <w:tc>
          <w:tcPr>
            <w:tcW w:w="5" w:type="pct"/>
            <w:shd w:val="clear" w:color="auto" w:fill="auto"/>
          </w:tcPr>
          <w:p w14:paraId="36CA512B" w14:textId="77777777" w:rsidR="00787570" w:rsidRDefault="00787570">
            <w:pPr>
              <w:rPr>
                <w:rFonts w:ascii="宋体"/>
              </w:rPr>
            </w:pPr>
          </w:p>
        </w:tc>
        <w:tc>
          <w:tcPr>
            <w:tcW w:w="5" w:type="pct"/>
            <w:shd w:val="clear" w:color="auto" w:fill="auto"/>
          </w:tcPr>
          <w:p w14:paraId="36CA512C" w14:textId="77777777" w:rsidR="00787570" w:rsidRDefault="00787570">
            <w:pPr>
              <w:rPr>
                <w:rFonts w:ascii="宋体"/>
              </w:rPr>
            </w:pPr>
          </w:p>
        </w:tc>
        <w:tc>
          <w:tcPr>
            <w:tcW w:w="24" w:type="pct"/>
            <w:shd w:val="clear" w:color="auto" w:fill="auto"/>
          </w:tcPr>
          <w:p w14:paraId="36CA512D" w14:textId="77777777" w:rsidR="00787570" w:rsidRDefault="00787570">
            <w:pPr>
              <w:rPr>
                <w:rFonts w:ascii="宋体"/>
              </w:rPr>
            </w:pPr>
          </w:p>
        </w:tc>
        <w:tc>
          <w:tcPr>
            <w:tcW w:w="5" w:type="pct"/>
            <w:shd w:val="clear" w:color="auto" w:fill="auto"/>
          </w:tcPr>
          <w:p w14:paraId="36CA512E" w14:textId="77777777" w:rsidR="00787570" w:rsidRDefault="00787570">
            <w:pPr>
              <w:rPr>
                <w:rFonts w:ascii="宋体"/>
              </w:rPr>
            </w:pPr>
          </w:p>
        </w:tc>
        <w:tc>
          <w:tcPr>
            <w:tcW w:w="50" w:type="pct"/>
            <w:shd w:val="clear" w:color="auto" w:fill="auto"/>
          </w:tcPr>
          <w:p w14:paraId="36CA512F" w14:textId="77777777" w:rsidR="00787570" w:rsidRDefault="00787570">
            <w:pPr>
              <w:rPr>
                <w:rFonts w:ascii="宋体"/>
              </w:rPr>
            </w:pPr>
          </w:p>
        </w:tc>
        <w:tc>
          <w:tcPr>
            <w:tcW w:w="539" w:type="pct"/>
            <w:shd w:val="clear" w:color="auto" w:fill="auto"/>
          </w:tcPr>
          <w:p w14:paraId="36CA5130" w14:textId="77777777" w:rsidR="00787570" w:rsidRDefault="00787570">
            <w:pPr>
              <w:rPr>
                <w:rFonts w:ascii="宋体"/>
              </w:rPr>
            </w:pPr>
          </w:p>
        </w:tc>
        <w:tc>
          <w:tcPr>
            <w:tcW w:w="5" w:type="pct"/>
            <w:shd w:val="clear" w:color="auto" w:fill="auto"/>
          </w:tcPr>
          <w:p w14:paraId="36CA5131" w14:textId="77777777" w:rsidR="00787570" w:rsidRDefault="00787570">
            <w:pPr>
              <w:rPr>
                <w:rFonts w:ascii="宋体"/>
              </w:rPr>
            </w:pPr>
          </w:p>
        </w:tc>
      </w:tr>
      <w:tr w:rsidR="00787570" w14:paraId="36CA513C" w14:textId="77777777">
        <w:tc>
          <w:tcPr>
            <w:tcW w:w="0" w:type="auto"/>
            <w:gridSpan w:val="3"/>
            <w:shd w:val="clear" w:color="auto" w:fill="auto"/>
            <w:tcMar>
              <w:top w:w="40" w:type="dxa"/>
              <w:left w:w="20" w:type="dxa"/>
              <w:bottom w:w="40" w:type="dxa"/>
              <w:right w:w="20" w:type="dxa"/>
            </w:tcMar>
            <w:vAlign w:val="bottom"/>
          </w:tcPr>
          <w:p w14:paraId="36CA5133" w14:textId="77777777" w:rsidR="00787570" w:rsidRDefault="000D56E2">
            <w:pPr>
              <w:textAlignment w:val="bottom"/>
            </w:pPr>
            <w:r>
              <w:rPr>
                <w:rFonts w:ascii="Arial" w:eastAsia="宋体" w:hAnsi="Arial" w:cs="Arial"/>
                <w:b/>
                <w:bCs/>
                <w:color w:val="333333"/>
                <w:sz w:val="18"/>
                <w:szCs w:val="18"/>
              </w:rPr>
              <w:t>(In Millions)</w:t>
            </w:r>
          </w:p>
        </w:tc>
        <w:tc>
          <w:tcPr>
            <w:tcW w:w="0" w:type="auto"/>
            <w:gridSpan w:val="3"/>
            <w:shd w:val="clear" w:color="auto" w:fill="auto"/>
            <w:tcMar>
              <w:left w:w="20" w:type="dxa"/>
              <w:right w:w="20" w:type="dxa"/>
            </w:tcMar>
            <w:vAlign w:val="bottom"/>
          </w:tcPr>
          <w:p w14:paraId="36CA5134" w14:textId="77777777" w:rsidR="00787570" w:rsidRDefault="00787570">
            <w:pPr>
              <w:rPr>
                <w:rFonts w:ascii="宋体"/>
              </w:rPr>
            </w:pPr>
          </w:p>
        </w:tc>
        <w:tc>
          <w:tcPr>
            <w:tcW w:w="0" w:type="auto"/>
            <w:gridSpan w:val="3"/>
            <w:shd w:val="clear" w:color="auto" w:fill="auto"/>
            <w:tcMar>
              <w:top w:w="40" w:type="dxa"/>
              <w:left w:w="20" w:type="dxa"/>
              <w:bottom w:w="40" w:type="dxa"/>
              <w:right w:w="20" w:type="dxa"/>
            </w:tcMar>
            <w:vAlign w:val="bottom"/>
          </w:tcPr>
          <w:p w14:paraId="36CA5135" w14:textId="77777777" w:rsidR="00787570" w:rsidRDefault="000D56E2">
            <w:pPr>
              <w:jc w:val="center"/>
              <w:textAlignment w:val="bottom"/>
            </w:pPr>
            <w:r>
              <w:rPr>
                <w:rFonts w:ascii="Arial" w:eastAsia="宋体" w:hAnsi="Arial" w:cs="Arial"/>
                <w:b/>
                <w:bCs/>
                <w:color w:val="333333"/>
                <w:sz w:val="18"/>
                <w:szCs w:val="18"/>
              </w:rPr>
              <w:t>Q3 2020</w:t>
            </w:r>
          </w:p>
        </w:tc>
        <w:tc>
          <w:tcPr>
            <w:tcW w:w="0" w:type="auto"/>
            <w:gridSpan w:val="3"/>
            <w:shd w:val="clear" w:color="auto" w:fill="auto"/>
            <w:tcMar>
              <w:left w:w="20" w:type="dxa"/>
              <w:right w:w="20" w:type="dxa"/>
            </w:tcMar>
            <w:vAlign w:val="bottom"/>
          </w:tcPr>
          <w:p w14:paraId="36CA5136" w14:textId="77777777" w:rsidR="00787570" w:rsidRDefault="00787570">
            <w:pPr>
              <w:rPr>
                <w:rFonts w:ascii="宋体"/>
              </w:rPr>
            </w:pPr>
          </w:p>
        </w:tc>
        <w:tc>
          <w:tcPr>
            <w:tcW w:w="0" w:type="auto"/>
            <w:gridSpan w:val="3"/>
            <w:shd w:val="clear" w:color="auto" w:fill="auto"/>
            <w:tcMar>
              <w:top w:w="40" w:type="dxa"/>
              <w:left w:w="20" w:type="dxa"/>
              <w:bottom w:w="40" w:type="dxa"/>
              <w:right w:w="20" w:type="dxa"/>
            </w:tcMar>
            <w:vAlign w:val="bottom"/>
          </w:tcPr>
          <w:p w14:paraId="36CA5137" w14:textId="77777777" w:rsidR="00787570" w:rsidRDefault="000D56E2">
            <w:pPr>
              <w:jc w:val="center"/>
              <w:textAlignment w:val="bottom"/>
            </w:pPr>
            <w:r>
              <w:rPr>
                <w:rFonts w:ascii="Arial" w:eastAsia="宋体" w:hAnsi="Arial" w:cs="Arial"/>
                <w:b/>
                <w:bCs/>
                <w:color w:val="333333"/>
                <w:sz w:val="18"/>
                <w:szCs w:val="18"/>
              </w:rPr>
              <w:t>Q3 2019</w:t>
            </w:r>
          </w:p>
        </w:tc>
        <w:tc>
          <w:tcPr>
            <w:tcW w:w="0" w:type="auto"/>
            <w:gridSpan w:val="3"/>
            <w:shd w:val="clear" w:color="auto" w:fill="auto"/>
            <w:tcMar>
              <w:left w:w="20" w:type="dxa"/>
              <w:right w:w="20" w:type="dxa"/>
            </w:tcMar>
            <w:vAlign w:val="bottom"/>
          </w:tcPr>
          <w:p w14:paraId="36CA5138" w14:textId="77777777" w:rsidR="00787570" w:rsidRDefault="00787570">
            <w:pPr>
              <w:rPr>
                <w:rFonts w:ascii="宋体"/>
              </w:rPr>
            </w:pPr>
          </w:p>
        </w:tc>
        <w:tc>
          <w:tcPr>
            <w:tcW w:w="0" w:type="auto"/>
            <w:gridSpan w:val="3"/>
            <w:shd w:val="clear" w:color="auto" w:fill="auto"/>
            <w:tcMar>
              <w:top w:w="40" w:type="dxa"/>
              <w:left w:w="20" w:type="dxa"/>
              <w:bottom w:w="40" w:type="dxa"/>
              <w:right w:w="20" w:type="dxa"/>
            </w:tcMar>
            <w:vAlign w:val="bottom"/>
          </w:tcPr>
          <w:p w14:paraId="36CA5139" w14:textId="77777777" w:rsidR="00787570" w:rsidRDefault="000D56E2">
            <w:pPr>
              <w:jc w:val="center"/>
              <w:textAlignment w:val="bottom"/>
            </w:pPr>
            <w:r>
              <w:rPr>
                <w:rFonts w:ascii="Arial" w:eastAsia="宋体" w:hAnsi="Arial" w:cs="Arial"/>
                <w:b/>
                <w:bCs/>
                <w:color w:val="333333"/>
                <w:sz w:val="18"/>
                <w:szCs w:val="18"/>
              </w:rPr>
              <w:t>YTD 2020</w:t>
            </w:r>
          </w:p>
        </w:tc>
        <w:tc>
          <w:tcPr>
            <w:tcW w:w="0" w:type="auto"/>
            <w:gridSpan w:val="3"/>
            <w:shd w:val="clear" w:color="auto" w:fill="auto"/>
            <w:tcMar>
              <w:left w:w="20" w:type="dxa"/>
              <w:right w:w="20" w:type="dxa"/>
            </w:tcMar>
            <w:vAlign w:val="bottom"/>
          </w:tcPr>
          <w:p w14:paraId="36CA513A" w14:textId="77777777" w:rsidR="00787570" w:rsidRDefault="00787570">
            <w:pPr>
              <w:rPr>
                <w:rFonts w:ascii="宋体"/>
              </w:rPr>
            </w:pPr>
          </w:p>
        </w:tc>
        <w:tc>
          <w:tcPr>
            <w:tcW w:w="0" w:type="auto"/>
            <w:gridSpan w:val="3"/>
            <w:shd w:val="clear" w:color="auto" w:fill="auto"/>
            <w:tcMar>
              <w:top w:w="40" w:type="dxa"/>
              <w:left w:w="20" w:type="dxa"/>
              <w:bottom w:w="40" w:type="dxa"/>
              <w:right w:w="20" w:type="dxa"/>
            </w:tcMar>
            <w:vAlign w:val="bottom"/>
          </w:tcPr>
          <w:p w14:paraId="36CA513B" w14:textId="77777777" w:rsidR="00787570" w:rsidRDefault="000D56E2">
            <w:pPr>
              <w:jc w:val="center"/>
              <w:textAlignment w:val="bottom"/>
            </w:pPr>
            <w:r>
              <w:rPr>
                <w:rFonts w:ascii="Arial" w:eastAsia="宋体" w:hAnsi="Arial" w:cs="Arial"/>
                <w:b/>
                <w:bCs/>
                <w:color w:val="333333"/>
                <w:sz w:val="18"/>
                <w:szCs w:val="18"/>
              </w:rPr>
              <w:t>YTD 2019</w:t>
            </w:r>
          </w:p>
        </w:tc>
      </w:tr>
      <w:tr w:rsidR="00787570" w14:paraId="36CA514E" w14:textId="77777777">
        <w:tc>
          <w:tcPr>
            <w:tcW w:w="0" w:type="auto"/>
            <w:gridSpan w:val="3"/>
            <w:tcBorders>
              <w:top w:val="single" w:sz="8" w:space="0" w:color="0071C5"/>
            </w:tcBorders>
            <w:shd w:val="clear" w:color="auto" w:fill="auto"/>
            <w:tcMar>
              <w:top w:w="40" w:type="dxa"/>
              <w:left w:w="20" w:type="dxa"/>
              <w:bottom w:w="40" w:type="dxa"/>
              <w:right w:w="20" w:type="dxa"/>
            </w:tcMar>
            <w:vAlign w:val="center"/>
          </w:tcPr>
          <w:p w14:paraId="36CA513D" w14:textId="77777777" w:rsidR="00787570" w:rsidRDefault="000D56E2">
            <w:pPr>
              <w:textAlignment w:val="center"/>
            </w:pPr>
            <w:r>
              <w:rPr>
                <w:rFonts w:ascii="Arial" w:eastAsia="宋体" w:hAnsi="Arial" w:cs="Arial"/>
                <w:color w:val="333333"/>
                <w:sz w:val="18"/>
                <w:szCs w:val="18"/>
              </w:rPr>
              <w:t>Ongoing mark-to-market adjustments on marketable equity</w:t>
            </w:r>
            <w:r>
              <w:rPr>
                <w:rFonts w:ascii="Arial" w:eastAsia="宋体" w:hAnsi="Arial" w:cs="Arial"/>
                <w:color w:val="333333"/>
                <w:sz w:val="18"/>
                <w:szCs w:val="18"/>
              </w:rPr>
              <w:br/>
              <w:t>securities</w:t>
            </w:r>
          </w:p>
        </w:tc>
        <w:tc>
          <w:tcPr>
            <w:tcW w:w="0" w:type="auto"/>
            <w:gridSpan w:val="3"/>
            <w:shd w:val="clear" w:color="auto" w:fill="auto"/>
            <w:tcMar>
              <w:left w:w="20" w:type="dxa"/>
              <w:right w:w="20" w:type="dxa"/>
            </w:tcMar>
            <w:vAlign w:val="bottom"/>
          </w:tcPr>
          <w:p w14:paraId="36CA513E" w14:textId="77777777" w:rsidR="00787570" w:rsidRDefault="00787570">
            <w:pPr>
              <w:rPr>
                <w:rFonts w:ascii="宋体"/>
              </w:rPr>
            </w:pPr>
          </w:p>
        </w:tc>
        <w:tc>
          <w:tcPr>
            <w:tcW w:w="0" w:type="auto"/>
            <w:tcBorders>
              <w:top w:val="single" w:sz="8" w:space="0" w:color="0071C5"/>
            </w:tcBorders>
            <w:shd w:val="clear" w:color="auto" w:fill="auto"/>
            <w:tcMar>
              <w:top w:w="40" w:type="dxa"/>
              <w:left w:w="20" w:type="dxa"/>
              <w:bottom w:w="40" w:type="dxa"/>
            </w:tcMar>
            <w:vAlign w:val="bottom"/>
          </w:tcPr>
          <w:p w14:paraId="36CA513F" w14:textId="77777777" w:rsidR="00787570" w:rsidRDefault="000D56E2">
            <w:pPr>
              <w:textAlignment w:val="bottom"/>
            </w:pPr>
            <w:r>
              <w:rPr>
                <w:rFonts w:ascii="Arial" w:eastAsia="宋体" w:hAnsi="Arial" w:cs="Arial"/>
                <w:color w:val="026DCE"/>
                <w:sz w:val="18"/>
                <w:szCs w:val="18"/>
              </w:rPr>
              <w:t>$</w:t>
            </w:r>
          </w:p>
        </w:tc>
        <w:tc>
          <w:tcPr>
            <w:tcW w:w="0" w:type="auto"/>
            <w:tcBorders>
              <w:top w:val="single" w:sz="8" w:space="0" w:color="0071C5"/>
            </w:tcBorders>
            <w:shd w:val="clear" w:color="auto" w:fill="auto"/>
            <w:tcMar>
              <w:top w:w="40" w:type="dxa"/>
              <w:bottom w:w="40" w:type="dxa"/>
              <w:right w:w="0" w:type="dxa"/>
            </w:tcMar>
            <w:vAlign w:val="bottom"/>
          </w:tcPr>
          <w:p w14:paraId="36CA5140" w14:textId="77777777" w:rsidR="00787570" w:rsidRDefault="000D56E2">
            <w:pPr>
              <w:jc w:val="right"/>
              <w:textAlignment w:val="bottom"/>
            </w:pPr>
            <w:r>
              <w:rPr>
                <w:rFonts w:ascii="Arial" w:eastAsia="宋体" w:hAnsi="Arial" w:cs="Arial"/>
                <w:color w:val="026DCE"/>
                <w:sz w:val="18"/>
                <w:szCs w:val="18"/>
              </w:rPr>
              <w:t>(146)</w:t>
            </w:r>
          </w:p>
        </w:tc>
        <w:tc>
          <w:tcPr>
            <w:tcW w:w="0" w:type="auto"/>
            <w:tcBorders>
              <w:top w:val="single" w:sz="8" w:space="0" w:color="0071C5"/>
            </w:tcBorders>
            <w:shd w:val="clear" w:color="auto" w:fill="auto"/>
            <w:tcMar>
              <w:top w:w="40" w:type="dxa"/>
              <w:bottom w:w="40" w:type="dxa"/>
              <w:right w:w="20" w:type="dxa"/>
            </w:tcMar>
            <w:vAlign w:val="bottom"/>
          </w:tcPr>
          <w:p w14:paraId="36CA5141"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5142" w14:textId="77777777" w:rsidR="00787570" w:rsidRDefault="00787570">
            <w:pPr>
              <w:rPr>
                <w:rFonts w:ascii="宋体"/>
              </w:rPr>
            </w:pPr>
          </w:p>
        </w:tc>
        <w:tc>
          <w:tcPr>
            <w:tcW w:w="0" w:type="auto"/>
            <w:tcBorders>
              <w:top w:val="single" w:sz="8" w:space="0" w:color="0071C5"/>
            </w:tcBorders>
            <w:shd w:val="clear" w:color="auto" w:fill="auto"/>
            <w:tcMar>
              <w:top w:w="40" w:type="dxa"/>
              <w:left w:w="20" w:type="dxa"/>
              <w:bottom w:w="40" w:type="dxa"/>
            </w:tcMar>
            <w:vAlign w:val="bottom"/>
          </w:tcPr>
          <w:p w14:paraId="36CA5143" w14:textId="77777777" w:rsidR="00787570" w:rsidRDefault="000D56E2">
            <w:pPr>
              <w:textAlignment w:val="bottom"/>
            </w:pPr>
            <w:r>
              <w:rPr>
                <w:rFonts w:ascii="Arial" w:eastAsia="宋体" w:hAnsi="Arial" w:cs="Arial"/>
                <w:color w:val="333333"/>
                <w:sz w:val="18"/>
                <w:szCs w:val="18"/>
              </w:rPr>
              <w:t>$</w:t>
            </w:r>
          </w:p>
        </w:tc>
        <w:tc>
          <w:tcPr>
            <w:tcW w:w="0" w:type="auto"/>
            <w:tcBorders>
              <w:top w:val="single" w:sz="8" w:space="0" w:color="0071C5"/>
            </w:tcBorders>
            <w:shd w:val="clear" w:color="auto" w:fill="auto"/>
            <w:tcMar>
              <w:top w:w="40" w:type="dxa"/>
              <w:bottom w:w="40" w:type="dxa"/>
              <w:right w:w="0" w:type="dxa"/>
            </w:tcMar>
            <w:vAlign w:val="bottom"/>
          </w:tcPr>
          <w:p w14:paraId="36CA5144" w14:textId="77777777" w:rsidR="00787570" w:rsidRDefault="000D56E2">
            <w:pPr>
              <w:jc w:val="right"/>
              <w:textAlignment w:val="bottom"/>
            </w:pPr>
            <w:r>
              <w:rPr>
                <w:rFonts w:ascii="Arial" w:eastAsia="宋体" w:hAnsi="Arial" w:cs="Arial"/>
                <w:color w:val="333333"/>
                <w:sz w:val="18"/>
                <w:szCs w:val="18"/>
              </w:rPr>
              <w:t>114 </w:t>
            </w:r>
          </w:p>
        </w:tc>
        <w:tc>
          <w:tcPr>
            <w:tcW w:w="0" w:type="auto"/>
            <w:tcBorders>
              <w:top w:val="single" w:sz="8" w:space="0" w:color="0071C5"/>
            </w:tcBorders>
            <w:shd w:val="clear" w:color="auto" w:fill="auto"/>
            <w:tcMar>
              <w:top w:w="40" w:type="dxa"/>
              <w:bottom w:w="40" w:type="dxa"/>
              <w:right w:w="20" w:type="dxa"/>
            </w:tcMar>
            <w:vAlign w:val="bottom"/>
          </w:tcPr>
          <w:p w14:paraId="36CA5145"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5146" w14:textId="77777777" w:rsidR="00787570" w:rsidRDefault="00787570">
            <w:pPr>
              <w:jc w:val="right"/>
              <w:rPr>
                <w:rFonts w:ascii="宋体"/>
              </w:rPr>
            </w:pPr>
          </w:p>
        </w:tc>
        <w:tc>
          <w:tcPr>
            <w:tcW w:w="0" w:type="auto"/>
            <w:tcBorders>
              <w:top w:val="single" w:sz="8" w:space="0" w:color="0071C5"/>
            </w:tcBorders>
            <w:shd w:val="clear" w:color="auto" w:fill="auto"/>
            <w:tcMar>
              <w:top w:w="40" w:type="dxa"/>
              <w:left w:w="20" w:type="dxa"/>
              <w:bottom w:w="40" w:type="dxa"/>
            </w:tcMar>
            <w:vAlign w:val="bottom"/>
          </w:tcPr>
          <w:p w14:paraId="36CA5147" w14:textId="77777777" w:rsidR="00787570" w:rsidRDefault="000D56E2">
            <w:pPr>
              <w:textAlignment w:val="bottom"/>
            </w:pPr>
            <w:r>
              <w:rPr>
                <w:rFonts w:ascii="Arial" w:eastAsia="宋体" w:hAnsi="Arial" w:cs="Arial"/>
                <w:color w:val="026DCE"/>
                <w:sz w:val="18"/>
                <w:szCs w:val="18"/>
              </w:rPr>
              <w:t>$</w:t>
            </w:r>
          </w:p>
        </w:tc>
        <w:tc>
          <w:tcPr>
            <w:tcW w:w="0" w:type="auto"/>
            <w:tcBorders>
              <w:top w:val="single" w:sz="8" w:space="0" w:color="0071C5"/>
            </w:tcBorders>
            <w:shd w:val="clear" w:color="auto" w:fill="auto"/>
            <w:tcMar>
              <w:top w:w="40" w:type="dxa"/>
              <w:bottom w:w="40" w:type="dxa"/>
              <w:right w:w="0" w:type="dxa"/>
            </w:tcMar>
            <w:vAlign w:val="bottom"/>
          </w:tcPr>
          <w:p w14:paraId="36CA5148" w14:textId="77777777" w:rsidR="00787570" w:rsidRDefault="000D56E2">
            <w:pPr>
              <w:jc w:val="right"/>
              <w:textAlignment w:val="bottom"/>
            </w:pPr>
            <w:r>
              <w:rPr>
                <w:rFonts w:ascii="Arial" w:eastAsia="宋体" w:hAnsi="Arial" w:cs="Arial"/>
                <w:color w:val="026DCE"/>
                <w:sz w:val="18"/>
                <w:szCs w:val="18"/>
              </w:rPr>
              <w:t>(84)</w:t>
            </w:r>
          </w:p>
        </w:tc>
        <w:tc>
          <w:tcPr>
            <w:tcW w:w="0" w:type="auto"/>
            <w:tcBorders>
              <w:top w:val="single" w:sz="8" w:space="0" w:color="0071C5"/>
            </w:tcBorders>
            <w:shd w:val="clear" w:color="auto" w:fill="auto"/>
            <w:tcMar>
              <w:top w:w="40" w:type="dxa"/>
              <w:bottom w:w="40" w:type="dxa"/>
              <w:right w:w="20" w:type="dxa"/>
            </w:tcMar>
            <w:vAlign w:val="bottom"/>
          </w:tcPr>
          <w:p w14:paraId="36CA5149"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514A" w14:textId="77777777" w:rsidR="00787570" w:rsidRDefault="00787570">
            <w:pPr>
              <w:rPr>
                <w:rFonts w:ascii="宋体"/>
              </w:rPr>
            </w:pPr>
          </w:p>
        </w:tc>
        <w:tc>
          <w:tcPr>
            <w:tcW w:w="0" w:type="auto"/>
            <w:tcBorders>
              <w:top w:val="single" w:sz="8" w:space="0" w:color="0071C5"/>
            </w:tcBorders>
            <w:shd w:val="clear" w:color="auto" w:fill="auto"/>
            <w:tcMar>
              <w:top w:w="40" w:type="dxa"/>
              <w:left w:w="20" w:type="dxa"/>
              <w:bottom w:w="40" w:type="dxa"/>
            </w:tcMar>
            <w:vAlign w:val="bottom"/>
          </w:tcPr>
          <w:p w14:paraId="36CA514B" w14:textId="77777777" w:rsidR="00787570" w:rsidRDefault="000D56E2">
            <w:pPr>
              <w:textAlignment w:val="bottom"/>
            </w:pPr>
            <w:r>
              <w:rPr>
                <w:rFonts w:ascii="Arial" w:eastAsia="宋体" w:hAnsi="Arial" w:cs="Arial"/>
                <w:color w:val="000000"/>
                <w:sz w:val="18"/>
                <w:szCs w:val="18"/>
              </w:rPr>
              <w:t>$</w:t>
            </w:r>
          </w:p>
        </w:tc>
        <w:tc>
          <w:tcPr>
            <w:tcW w:w="0" w:type="auto"/>
            <w:tcBorders>
              <w:top w:val="single" w:sz="8" w:space="0" w:color="0071C5"/>
            </w:tcBorders>
            <w:shd w:val="clear" w:color="auto" w:fill="auto"/>
            <w:tcMar>
              <w:top w:w="40" w:type="dxa"/>
              <w:bottom w:w="40" w:type="dxa"/>
              <w:right w:w="0" w:type="dxa"/>
            </w:tcMar>
            <w:vAlign w:val="bottom"/>
          </w:tcPr>
          <w:p w14:paraId="36CA514C" w14:textId="77777777" w:rsidR="00787570" w:rsidRDefault="000D56E2">
            <w:pPr>
              <w:jc w:val="right"/>
              <w:textAlignment w:val="bottom"/>
            </w:pPr>
            <w:r>
              <w:rPr>
                <w:rFonts w:ascii="Arial" w:eastAsia="宋体" w:hAnsi="Arial" w:cs="Arial"/>
                <w:color w:val="000000"/>
                <w:sz w:val="18"/>
                <w:szCs w:val="18"/>
              </w:rPr>
              <w:t>188 </w:t>
            </w:r>
          </w:p>
        </w:tc>
        <w:tc>
          <w:tcPr>
            <w:tcW w:w="0" w:type="auto"/>
            <w:tcBorders>
              <w:top w:val="single" w:sz="8" w:space="0" w:color="0071C5"/>
            </w:tcBorders>
            <w:shd w:val="clear" w:color="auto" w:fill="auto"/>
            <w:tcMar>
              <w:top w:w="40" w:type="dxa"/>
              <w:bottom w:w="40" w:type="dxa"/>
              <w:right w:w="20" w:type="dxa"/>
            </w:tcMar>
            <w:vAlign w:val="bottom"/>
          </w:tcPr>
          <w:p w14:paraId="36CA514D" w14:textId="77777777" w:rsidR="00787570" w:rsidRDefault="00787570">
            <w:pPr>
              <w:jc w:val="right"/>
              <w:rPr>
                <w:rFonts w:ascii="宋体"/>
              </w:rPr>
            </w:pPr>
          </w:p>
        </w:tc>
      </w:tr>
      <w:tr w:rsidR="00787570" w14:paraId="36CA515C" w14:textId="77777777">
        <w:tc>
          <w:tcPr>
            <w:tcW w:w="0" w:type="auto"/>
            <w:gridSpan w:val="3"/>
            <w:shd w:val="clear" w:color="auto" w:fill="auto"/>
            <w:tcMar>
              <w:top w:w="40" w:type="dxa"/>
              <w:left w:w="20" w:type="dxa"/>
              <w:bottom w:w="40" w:type="dxa"/>
              <w:right w:w="20" w:type="dxa"/>
            </w:tcMar>
            <w:vAlign w:val="bottom"/>
          </w:tcPr>
          <w:p w14:paraId="36CA514F" w14:textId="77777777" w:rsidR="00787570" w:rsidRDefault="000D56E2">
            <w:pPr>
              <w:textAlignment w:val="bottom"/>
            </w:pPr>
            <w:r>
              <w:rPr>
                <w:rFonts w:ascii="Arial" w:eastAsia="宋体" w:hAnsi="Arial" w:cs="Arial"/>
                <w:color w:val="333333"/>
                <w:sz w:val="18"/>
                <w:szCs w:val="18"/>
              </w:rPr>
              <w:t xml:space="preserve">Observable price adjustments on non-marketable equity securities </w:t>
            </w:r>
          </w:p>
        </w:tc>
        <w:tc>
          <w:tcPr>
            <w:tcW w:w="0" w:type="auto"/>
            <w:gridSpan w:val="3"/>
            <w:shd w:val="clear" w:color="auto" w:fill="auto"/>
            <w:tcMar>
              <w:left w:w="20" w:type="dxa"/>
              <w:right w:w="20" w:type="dxa"/>
            </w:tcMar>
            <w:vAlign w:val="bottom"/>
          </w:tcPr>
          <w:p w14:paraId="36CA5150"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5151" w14:textId="77777777" w:rsidR="00787570" w:rsidRDefault="000D56E2">
            <w:pPr>
              <w:jc w:val="right"/>
              <w:textAlignment w:val="bottom"/>
            </w:pPr>
            <w:r>
              <w:rPr>
                <w:rFonts w:ascii="Arial" w:eastAsia="宋体" w:hAnsi="Arial" w:cs="Arial"/>
                <w:color w:val="026DCE"/>
                <w:sz w:val="18"/>
                <w:szCs w:val="18"/>
              </w:rPr>
              <w:t>5 </w:t>
            </w:r>
          </w:p>
        </w:tc>
        <w:tc>
          <w:tcPr>
            <w:tcW w:w="0" w:type="auto"/>
            <w:shd w:val="clear" w:color="auto" w:fill="auto"/>
            <w:tcMar>
              <w:top w:w="40" w:type="dxa"/>
              <w:bottom w:w="40" w:type="dxa"/>
              <w:right w:w="20" w:type="dxa"/>
            </w:tcMar>
            <w:vAlign w:val="bottom"/>
          </w:tcPr>
          <w:p w14:paraId="36CA5152"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5153"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5154" w14:textId="77777777" w:rsidR="00787570" w:rsidRDefault="000D56E2">
            <w:pPr>
              <w:jc w:val="right"/>
              <w:textAlignment w:val="bottom"/>
            </w:pPr>
            <w:r>
              <w:rPr>
                <w:rFonts w:ascii="Arial" w:eastAsia="宋体" w:hAnsi="Arial" w:cs="Arial"/>
                <w:color w:val="333333"/>
                <w:sz w:val="18"/>
                <w:szCs w:val="18"/>
              </w:rPr>
              <w:t>84 </w:t>
            </w:r>
          </w:p>
        </w:tc>
        <w:tc>
          <w:tcPr>
            <w:tcW w:w="0" w:type="auto"/>
            <w:shd w:val="clear" w:color="auto" w:fill="auto"/>
            <w:tcMar>
              <w:top w:w="40" w:type="dxa"/>
              <w:bottom w:w="40" w:type="dxa"/>
              <w:right w:w="20" w:type="dxa"/>
            </w:tcMar>
            <w:vAlign w:val="bottom"/>
          </w:tcPr>
          <w:p w14:paraId="36CA5155"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5156" w14:textId="77777777" w:rsidR="00787570" w:rsidRDefault="00787570">
            <w:pPr>
              <w:jc w:val="right"/>
              <w:rPr>
                <w:rFonts w:ascii="宋体"/>
              </w:rPr>
            </w:pPr>
          </w:p>
        </w:tc>
        <w:tc>
          <w:tcPr>
            <w:tcW w:w="0" w:type="auto"/>
            <w:gridSpan w:val="2"/>
            <w:shd w:val="clear" w:color="auto" w:fill="auto"/>
            <w:tcMar>
              <w:top w:w="40" w:type="dxa"/>
              <w:left w:w="20" w:type="dxa"/>
              <w:bottom w:w="40" w:type="dxa"/>
              <w:right w:w="0" w:type="dxa"/>
            </w:tcMar>
            <w:vAlign w:val="bottom"/>
          </w:tcPr>
          <w:p w14:paraId="36CA5157" w14:textId="77777777" w:rsidR="00787570" w:rsidRDefault="000D56E2">
            <w:pPr>
              <w:jc w:val="right"/>
              <w:textAlignment w:val="bottom"/>
            </w:pPr>
            <w:r>
              <w:rPr>
                <w:rFonts w:ascii="Arial" w:eastAsia="宋体" w:hAnsi="Arial" w:cs="Arial"/>
                <w:color w:val="026DCE"/>
                <w:sz w:val="18"/>
                <w:szCs w:val="18"/>
              </w:rPr>
              <w:t>142 </w:t>
            </w:r>
          </w:p>
        </w:tc>
        <w:tc>
          <w:tcPr>
            <w:tcW w:w="0" w:type="auto"/>
            <w:shd w:val="clear" w:color="auto" w:fill="auto"/>
            <w:tcMar>
              <w:top w:w="40" w:type="dxa"/>
              <w:bottom w:w="40" w:type="dxa"/>
              <w:right w:w="20" w:type="dxa"/>
            </w:tcMar>
            <w:vAlign w:val="bottom"/>
          </w:tcPr>
          <w:p w14:paraId="36CA5158"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5159"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515A" w14:textId="77777777" w:rsidR="00787570" w:rsidRDefault="000D56E2">
            <w:pPr>
              <w:jc w:val="right"/>
              <w:textAlignment w:val="bottom"/>
            </w:pPr>
            <w:r>
              <w:rPr>
                <w:rFonts w:ascii="Arial" w:eastAsia="宋体" w:hAnsi="Arial" w:cs="Arial"/>
                <w:color w:val="000000"/>
                <w:sz w:val="18"/>
                <w:szCs w:val="18"/>
              </w:rPr>
              <w:t>100 </w:t>
            </w:r>
          </w:p>
        </w:tc>
        <w:tc>
          <w:tcPr>
            <w:tcW w:w="0" w:type="auto"/>
            <w:shd w:val="clear" w:color="auto" w:fill="auto"/>
            <w:tcMar>
              <w:top w:w="40" w:type="dxa"/>
              <w:bottom w:w="40" w:type="dxa"/>
              <w:right w:w="20" w:type="dxa"/>
            </w:tcMar>
            <w:vAlign w:val="bottom"/>
          </w:tcPr>
          <w:p w14:paraId="36CA515B" w14:textId="77777777" w:rsidR="00787570" w:rsidRDefault="00787570">
            <w:pPr>
              <w:jc w:val="right"/>
              <w:rPr>
                <w:rFonts w:ascii="宋体"/>
              </w:rPr>
            </w:pPr>
          </w:p>
        </w:tc>
      </w:tr>
      <w:tr w:rsidR="00787570" w14:paraId="36CA516A" w14:textId="77777777">
        <w:tc>
          <w:tcPr>
            <w:tcW w:w="0" w:type="auto"/>
            <w:gridSpan w:val="3"/>
            <w:shd w:val="clear" w:color="auto" w:fill="auto"/>
            <w:tcMar>
              <w:top w:w="40" w:type="dxa"/>
              <w:left w:w="20" w:type="dxa"/>
              <w:bottom w:w="40" w:type="dxa"/>
              <w:right w:w="20" w:type="dxa"/>
            </w:tcMar>
            <w:vAlign w:val="bottom"/>
          </w:tcPr>
          <w:p w14:paraId="36CA515D" w14:textId="77777777" w:rsidR="00787570" w:rsidRDefault="000D56E2">
            <w:pPr>
              <w:textAlignment w:val="bottom"/>
            </w:pPr>
            <w:r>
              <w:rPr>
                <w:rFonts w:ascii="Arial" w:eastAsia="宋体" w:hAnsi="Arial" w:cs="Arial"/>
                <w:color w:val="333333"/>
                <w:sz w:val="18"/>
                <w:szCs w:val="18"/>
              </w:rPr>
              <w:t>Impairment charges</w:t>
            </w:r>
          </w:p>
        </w:tc>
        <w:tc>
          <w:tcPr>
            <w:tcW w:w="0" w:type="auto"/>
            <w:gridSpan w:val="3"/>
            <w:shd w:val="clear" w:color="auto" w:fill="auto"/>
            <w:tcMar>
              <w:left w:w="20" w:type="dxa"/>
              <w:right w:w="20" w:type="dxa"/>
            </w:tcMar>
            <w:vAlign w:val="bottom"/>
          </w:tcPr>
          <w:p w14:paraId="36CA515E"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515F" w14:textId="77777777" w:rsidR="00787570" w:rsidRDefault="000D56E2">
            <w:pPr>
              <w:jc w:val="right"/>
              <w:textAlignment w:val="bottom"/>
            </w:pPr>
            <w:r>
              <w:rPr>
                <w:rFonts w:ascii="Arial" w:eastAsia="宋体" w:hAnsi="Arial" w:cs="Arial"/>
                <w:color w:val="026DCE"/>
                <w:sz w:val="18"/>
                <w:szCs w:val="18"/>
              </w:rPr>
              <w:t>(40)</w:t>
            </w:r>
          </w:p>
        </w:tc>
        <w:tc>
          <w:tcPr>
            <w:tcW w:w="0" w:type="auto"/>
            <w:shd w:val="clear" w:color="auto" w:fill="auto"/>
            <w:tcMar>
              <w:top w:w="40" w:type="dxa"/>
              <w:bottom w:w="40" w:type="dxa"/>
              <w:right w:w="20" w:type="dxa"/>
            </w:tcMar>
            <w:vAlign w:val="bottom"/>
          </w:tcPr>
          <w:p w14:paraId="36CA5160"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5161"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5162" w14:textId="77777777" w:rsidR="00787570" w:rsidRDefault="000D56E2">
            <w:pPr>
              <w:jc w:val="right"/>
              <w:textAlignment w:val="bottom"/>
            </w:pPr>
            <w:r>
              <w:rPr>
                <w:rFonts w:ascii="Arial" w:eastAsia="宋体" w:hAnsi="Arial" w:cs="Arial"/>
                <w:color w:val="333333"/>
                <w:sz w:val="18"/>
                <w:szCs w:val="18"/>
              </w:rPr>
              <w:t>(17)</w:t>
            </w:r>
          </w:p>
        </w:tc>
        <w:tc>
          <w:tcPr>
            <w:tcW w:w="0" w:type="auto"/>
            <w:shd w:val="clear" w:color="auto" w:fill="auto"/>
            <w:tcMar>
              <w:top w:w="40" w:type="dxa"/>
              <w:bottom w:w="40" w:type="dxa"/>
              <w:right w:w="20" w:type="dxa"/>
            </w:tcMar>
            <w:vAlign w:val="bottom"/>
          </w:tcPr>
          <w:p w14:paraId="36CA5163"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5164" w14:textId="77777777" w:rsidR="00787570" w:rsidRDefault="00787570">
            <w:pPr>
              <w:jc w:val="right"/>
              <w:rPr>
                <w:rFonts w:ascii="宋体"/>
              </w:rPr>
            </w:pPr>
          </w:p>
        </w:tc>
        <w:tc>
          <w:tcPr>
            <w:tcW w:w="0" w:type="auto"/>
            <w:gridSpan w:val="2"/>
            <w:shd w:val="clear" w:color="auto" w:fill="auto"/>
            <w:tcMar>
              <w:top w:w="40" w:type="dxa"/>
              <w:left w:w="20" w:type="dxa"/>
              <w:bottom w:w="40" w:type="dxa"/>
              <w:right w:w="0" w:type="dxa"/>
            </w:tcMar>
            <w:vAlign w:val="bottom"/>
          </w:tcPr>
          <w:p w14:paraId="36CA5165" w14:textId="77777777" w:rsidR="00787570" w:rsidRDefault="000D56E2">
            <w:pPr>
              <w:jc w:val="right"/>
              <w:textAlignment w:val="bottom"/>
            </w:pPr>
            <w:r>
              <w:rPr>
                <w:rFonts w:ascii="Arial" w:eastAsia="宋体" w:hAnsi="Arial" w:cs="Arial"/>
                <w:color w:val="026DCE"/>
                <w:sz w:val="18"/>
                <w:szCs w:val="18"/>
              </w:rPr>
              <w:t>(233)</w:t>
            </w:r>
          </w:p>
        </w:tc>
        <w:tc>
          <w:tcPr>
            <w:tcW w:w="0" w:type="auto"/>
            <w:shd w:val="clear" w:color="auto" w:fill="auto"/>
            <w:tcMar>
              <w:top w:w="40" w:type="dxa"/>
              <w:bottom w:w="40" w:type="dxa"/>
              <w:right w:w="20" w:type="dxa"/>
            </w:tcMar>
            <w:vAlign w:val="bottom"/>
          </w:tcPr>
          <w:p w14:paraId="36CA5166"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5167"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5168" w14:textId="77777777" w:rsidR="00787570" w:rsidRDefault="000D56E2">
            <w:pPr>
              <w:jc w:val="right"/>
              <w:textAlignment w:val="bottom"/>
            </w:pPr>
            <w:r>
              <w:rPr>
                <w:rFonts w:ascii="Arial" w:eastAsia="宋体" w:hAnsi="Arial" w:cs="Arial"/>
                <w:color w:val="000000"/>
                <w:sz w:val="18"/>
                <w:szCs w:val="18"/>
              </w:rPr>
              <w:t>(79)</w:t>
            </w:r>
          </w:p>
        </w:tc>
        <w:tc>
          <w:tcPr>
            <w:tcW w:w="0" w:type="auto"/>
            <w:shd w:val="clear" w:color="auto" w:fill="auto"/>
            <w:tcMar>
              <w:top w:w="40" w:type="dxa"/>
              <w:bottom w:w="40" w:type="dxa"/>
              <w:right w:w="20" w:type="dxa"/>
            </w:tcMar>
            <w:vAlign w:val="bottom"/>
          </w:tcPr>
          <w:p w14:paraId="36CA5169" w14:textId="77777777" w:rsidR="00787570" w:rsidRDefault="00787570">
            <w:pPr>
              <w:jc w:val="right"/>
              <w:rPr>
                <w:rFonts w:ascii="宋体"/>
              </w:rPr>
            </w:pPr>
          </w:p>
        </w:tc>
      </w:tr>
      <w:tr w:rsidR="00787570" w14:paraId="36CA5178" w14:textId="77777777">
        <w:tc>
          <w:tcPr>
            <w:tcW w:w="0" w:type="auto"/>
            <w:gridSpan w:val="3"/>
            <w:shd w:val="clear" w:color="auto" w:fill="auto"/>
            <w:tcMar>
              <w:top w:w="40" w:type="dxa"/>
              <w:left w:w="20" w:type="dxa"/>
              <w:bottom w:w="40" w:type="dxa"/>
              <w:right w:w="20" w:type="dxa"/>
            </w:tcMar>
            <w:vAlign w:val="bottom"/>
          </w:tcPr>
          <w:p w14:paraId="36CA516B" w14:textId="77777777" w:rsidR="00787570" w:rsidRDefault="000D56E2">
            <w:pPr>
              <w:textAlignment w:val="bottom"/>
            </w:pPr>
            <w:r>
              <w:rPr>
                <w:rFonts w:ascii="Arial" w:eastAsia="宋体" w:hAnsi="Arial" w:cs="Arial"/>
                <w:color w:val="333333"/>
                <w:sz w:val="18"/>
                <w:szCs w:val="18"/>
              </w:rPr>
              <w:t>Sale of equity investments and other</w:t>
            </w:r>
            <w:r>
              <w:rPr>
                <w:rFonts w:ascii="Arial" w:eastAsia="宋体" w:hAnsi="Arial" w:cs="Arial"/>
                <w:color w:val="333333"/>
                <w:sz w:val="11"/>
                <w:szCs w:val="11"/>
              </w:rPr>
              <w:t xml:space="preserve"> </w:t>
            </w:r>
          </w:p>
        </w:tc>
        <w:tc>
          <w:tcPr>
            <w:tcW w:w="0" w:type="auto"/>
            <w:gridSpan w:val="3"/>
            <w:shd w:val="clear" w:color="auto" w:fill="auto"/>
            <w:tcMar>
              <w:left w:w="20" w:type="dxa"/>
              <w:right w:w="20" w:type="dxa"/>
            </w:tcMar>
            <w:vAlign w:val="bottom"/>
          </w:tcPr>
          <w:p w14:paraId="36CA516C"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516D" w14:textId="77777777" w:rsidR="00787570" w:rsidRDefault="000D56E2">
            <w:pPr>
              <w:jc w:val="right"/>
              <w:textAlignment w:val="bottom"/>
            </w:pPr>
            <w:r>
              <w:rPr>
                <w:rFonts w:ascii="Arial" w:eastAsia="宋体" w:hAnsi="Arial" w:cs="Arial"/>
                <w:color w:val="026DCE"/>
                <w:sz w:val="18"/>
                <w:szCs w:val="18"/>
              </w:rPr>
              <w:t>237 </w:t>
            </w:r>
          </w:p>
        </w:tc>
        <w:tc>
          <w:tcPr>
            <w:tcW w:w="0" w:type="auto"/>
            <w:shd w:val="clear" w:color="auto" w:fill="auto"/>
            <w:tcMar>
              <w:top w:w="40" w:type="dxa"/>
              <w:bottom w:w="40" w:type="dxa"/>
              <w:right w:w="20" w:type="dxa"/>
            </w:tcMar>
            <w:vAlign w:val="bottom"/>
          </w:tcPr>
          <w:p w14:paraId="36CA516E"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516F"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5170" w14:textId="77777777" w:rsidR="00787570" w:rsidRDefault="000D56E2">
            <w:pPr>
              <w:jc w:val="right"/>
              <w:textAlignment w:val="bottom"/>
            </w:pPr>
            <w:r>
              <w:rPr>
                <w:rFonts w:ascii="Arial" w:eastAsia="宋体" w:hAnsi="Arial" w:cs="Arial"/>
                <w:color w:val="333333"/>
                <w:sz w:val="18"/>
                <w:szCs w:val="18"/>
              </w:rPr>
              <w:t>137 </w:t>
            </w:r>
          </w:p>
        </w:tc>
        <w:tc>
          <w:tcPr>
            <w:tcW w:w="0" w:type="auto"/>
            <w:shd w:val="clear" w:color="auto" w:fill="auto"/>
            <w:tcMar>
              <w:top w:w="40" w:type="dxa"/>
              <w:bottom w:w="40" w:type="dxa"/>
              <w:right w:w="20" w:type="dxa"/>
            </w:tcMar>
            <w:vAlign w:val="bottom"/>
          </w:tcPr>
          <w:p w14:paraId="36CA5171"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5172" w14:textId="77777777" w:rsidR="00787570" w:rsidRDefault="00787570">
            <w:pPr>
              <w:jc w:val="right"/>
              <w:rPr>
                <w:rFonts w:ascii="宋体"/>
              </w:rPr>
            </w:pPr>
          </w:p>
        </w:tc>
        <w:tc>
          <w:tcPr>
            <w:tcW w:w="0" w:type="auto"/>
            <w:gridSpan w:val="2"/>
            <w:shd w:val="clear" w:color="auto" w:fill="auto"/>
            <w:tcMar>
              <w:top w:w="40" w:type="dxa"/>
              <w:left w:w="20" w:type="dxa"/>
              <w:bottom w:w="40" w:type="dxa"/>
              <w:right w:w="0" w:type="dxa"/>
            </w:tcMar>
            <w:vAlign w:val="bottom"/>
          </w:tcPr>
          <w:p w14:paraId="36CA5173" w14:textId="77777777" w:rsidR="00787570" w:rsidRDefault="000D56E2">
            <w:pPr>
              <w:jc w:val="right"/>
              <w:textAlignment w:val="bottom"/>
            </w:pPr>
            <w:r>
              <w:rPr>
                <w:rFonts w:ascii="Arial" w:eastAsia="宋体" w:hAnsi="Arial" w:cs="Arial"/>
                <w:color w:val="026DCE"/>
                <w:sz w:val="18"/>
                <w:szCs w:val="18"/>
              </w:rPr>
              <w:t>387 </w:t>
            </w:r>
          </w:p>
        </w:tc>
        <w:tc>
          <w:tcPr>
            <w:tcW w:w="0" w:type="auto"/>
            <w:shd w:val="clear" w:color="auto" w:fill="auto"/>
            <w:tcMar>
              <w:top w:w="40" w:type="dxa"/>
              <w:bottom w:w="40" w:type="dxa"/>
              <w:right w:w="20" w:type="dxa"/>
            </w:tcMar>
            <w:vAlign w:val="bottom"/>
          </w:tcPr>
          <w:p w14:paraId="36CA5174"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5175"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5176" w14:textId="77777777" w:rsidR="00787570" w:rsidRDefault="000D56E2">
            <w:pPr>
              <w:jc w:val="right"/>
              <w:textAlignment w:val="bottom"/>
            </w:pPr>
            <w:r>
              <w:rPr>
                <w:rFonts w:ascii="Arial" w:eastAsia="宋体" w:hAnsi="Arial" w:cs="Arial"/>
                <w:color w:val="000000"/>
                <w:sz w:val="18"/>
                <w:szCs w:val="18"/>
              </w:rPr>
              <w:t>713 </w:t>
            </w:r>
          </w:p>
        </w:tc>
        <w:tc>
          <w:tcPr>
            <w:tcW w:w="0" w:type="auto"/>
            <w:shd w:val="clear" w:color="auto" w:fill="auto"/>
            <w:tcMar>
              <w:top w:w="40" w:type="dxa"/>
              <w:bottom w:w="40" w:type="dxa"/>
              <w:right w:w="20" w:type="dxa"/>
            </w:tcMar>
            <w:vAlign w:val="bottom"/>
          </w:tcPr>
          <w:p w14:paraId="36CA5177" w14:textId="77777777" w:rsidR="00787570" w:rsidRDefault="00787570">
            <w:pPr>
              <w:jc w:val="right"/>
              <w:rPr>
                <w:rFonts w:ascii="宋体"/>
              </w:rPr>
            </w:pPr>
          </w:p>
        </w:tc>
      </w:tr>
      <w:tr w:rsidR="00787570" w14:paraId="36CA518A" w14:textId="77777777">
        <w:tc>
          <w:tcPr>
            <w:tcW w:w="0" w:type="auto"/>
            <w:gridSpan w:val="3"/>
            <w:shd w:val="clear" w:color="auto" w:fill="auto"/>
            <w:tcMar>
              <w:top w:w="40" w:type="dxa"/>
              <w:left w:w="20" w:type="dxa"/>
              <w:bottom w:w="40" w:type="dxa"/>
              <w:right w:w="20" w:type="dxa"/>
            </w:tcMar>
            <w:vAlign w:val="bottom"/>
          </w:tcPr>
          <w:p w14:paraId="36CA5179" w14:textId="77777777" w:rsidR="00787570" w:rsidRDefault="000D56E2">
            <w:pPr>
              <w:textAlignment w:val="bottom"/>
            </w:pPr>
            <w:r>
              <w:rPr>
                <w:rFonts w:ascii="Arial" w:eastAsia="宋体" w:hAnsi="Arial" w:cs="Arial"/>
                <w:b/>
                <w:bCs/>
                <w:color w:val="333333"/>
                <w:sz w:val="18"/>
                <w:szCs w:val="18"/>
              </w:rPr>
              <w:t>Gains (losses) on equity investments, net</w:t>
            </w:r>
          </w:p>
        </w:tc>
        <w:tc>
          <w:tcPr>
            <w:tcW w:w="0" w:type="auto"/>
            <w:gridSpan w:val="3"/>
            <w:shd w:val="clear" w:color="auto" w:fill="auto"/>
            <w:tcMar>
              <w:left w:w="20" w:type="dxa"/>
              <w:right w:w="20" w:type="dxa"/>
            </w:tcMar>
            <w:vAlign w:val="bottom"/>
          </w:tcPr>
          <w:p w14:paraId="36CA517A" w14:textId="77777777" w:rsidR="00787570" w:rsidRDefault="00787570">
            <w:pPr>
              <w:rPr>
                <w:rFonts w:ascii="宋体"/>
              </w:rPr>
            </w:pPr>
          </w:p>
        </w:tc>
        <w:tc>
          <w:tcPr>
            <w:tcW w:w="0" w:type="auto"/>
            <w:tcBorders>
              <w:top w:val="single" w:sz="8" w:space="0" w:color="333333"/>
            </w:tcBorders>
            <w:shd w:val="clear" w:color="auto" w:fill="auto"/>
            <w:tcMar>
              <w:top w:w="40" w:type="dxa"/>
              <w:left w:w="20" w:type="dxa"/>
              <w:bottom w:w="40" w:type="dxa"/>
            </w:tcMar>
            <w:vAlign w:val="bottom"/>
          </w:tcPr>
          <w:p w14:paraId="36CA517B" w14:textId="77777777" w:rsidR="00787570" w:rsidRDefault="000D56E2">
            <w:pPr>
              <w:textAlignment w:val="bottom"/>
            </w:pPr>
            <w:r>
              <w:rPr>
                <w:rFonts w:ascii="Arial" w:eastAsia="宋体" w:hAnsi="Arial" w:cs="Arial"/>
                <w:b/>
                <w:bCs/>
                <w:color w:val="026DCE"/>
                <w:sz w:val="18"/>
                <w:szCs w:val="18"/>
              </w:rPr>
              <w:t>$</w:t>
            </w:r>
          </w:p>
        </w:tc>
        <w:tc>
          <w:tcPr>
            <w:tcW w:w="0" w:type="auto"/>
            <w:tcBorders>
              <w:top w:val="single" w:sz="8" w:space="0" w:color="333333"/>
            </w:tcBorders>
            <w:shd w:val="clear" w:color="auto" w:fill="auto"/>
            <w:tcMar>
              <w:top w:w="40" w:type="dxa"/>
              <w:bottom w:w="40" w:type="dxa"/>
              <w:right w:w="0" w:type="dxa"/>
            </w:tcMar>
            <w:vAlign w:val="bottom"/>
          </w:tcPr>
          <w:p w14:paraId="36CA517C" w14:textId="77777777" w:rsidR="00787570" w:rsidRDefault="000D56E2">
            <w:pPr>
              <w:jc w:val="right"/>
              <w:textAlignment w:val="bottom"/>
            </w:pPr>
            <w:r>
              <w:rPr>
                <w:rFonts w:ascii="Arial" w:eastAsia="宋体" w:hAnsi="Arial" w:cs="Arial"/>
                <w:b/>
                <w:bCs/>
                <w:color w:val="026DCE"/>
                <w:sz w:val="18"/>
                <w:szCs w:val="18"/>
              </w:rPr>
              <w:t>56</w:t>
            </w:r>
            <w:r>
              <w:rPr>
                <w:rFonts w:ascii="Arial" w:eastAsia="宋体" w:hAnsi="Arial" w:cs="Arial"/>
                <w:color w:val="026DCE"/>
                <w:sz w:val="18"/>
                <w:szCs w:val="18"/>
              </w:rPr>
              <w:t> </w:t>
            </w:r>
          </w:p>
        </w:tc>
        <w:tc>
          <w:tcPr>
            <w:tcW w:w="0" w:type="auto"/>
            <w:tcBorders>
              <w:top w:val="single" w:sz="8" w:space="0" w:color="333333"/>
            </w:tcBorders>
            <w:shd w:val="clear" w:color="auto" w:fill="auto"/>
            <w:tcMar>
              <w:top w:w="40" w:type="dxa"/>
              <w:bottom w:w="40" w:type="dxa"/>
              <w:right w:w="20" w:type="dxa"/>
            </w:tcMar>
            <w:vAlign w:val="bottom"/>
          </w:tcPr>
          <w:p w14:paraId="36CA517D"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517E" w14:textId="77777777" w:rsidR="00787570" w:rsidRDefault="00787570">
            <w:pPr>
              <w:rPr>
                <w:rFonts w:ascii="宋体"/>
              </w:rPr>
            </w:pPr>
          </w:p>
        </w:tc>
        <w:tc>
          <w:tcPr>
            <w:tcW w:w="0" w:type="auto"/>
            <w:tcBorders>
              <w:top w:val="single" w:sz="8" w:space="0" w:color="333333"/>
            </w:tcBorders>
            <w:shd w:val="clear" w:color="auto" w:fill="auto"/>
            <w:tcMar>
              <w:top w:w="40" w:type="dxa"/>
              <w:left w:w="20" w:type="dxa"/>
              <w:bottom w:w="40" w:type="dxa"/>
            </w:tcMar>
            <w:vAlign w:val="bottom"/>
          </w:tcPr>
          <w:p w14:paraId="36CA517F" w14:textId="77777777" w:rsidR="00787570" w:rsidRDefault="000D56E2">
            <w:pPr>
              <w:textAlignment w:val="bottom"/>
            </w:pPr>
            <w:r>
              <w:rPr>
                <w:rFonts w:ascii="Arial" w:eastAsia="宋体" w:hAnsi="Arial" w:cs="Arial"/>
                <w:b/>
                <w:bCs/>
                <w:color w:val="333333"/>
                <w:sz w:val="18"/>
                <w:szCs w:val="18"/>
              </w:rPr>
              <w:t>$</w:t>
            </w:r>
          </w:p>
        </w:tc>
        <w:tc>
          <w:tcPr>
            <w:tcW w:w="0" w:type="auto"/>
            <w:tcBorders>
              <w:top w:val="single" w:sz="8" w:space="0" w:color="333333"/>
            </w:tcBorders>
            <w:shd w:val="clear" w:color="auto" w:fill="auto"/>
            <w:tcMar>
              <w:top w:w="40" w:type="dxa"/>
              <w:bottom w:w="40" w:type="dxa"/>
              <w:right w:w="0" w:type="dxa"/>
            </w:tcMar>
            <w:vAlign w:val="bottom"/>
          </w:tcPr>
          <w:p w14:paraId="36CA5180" w14:textId="77777777" w:rsidR="00787570" w:rsidRDefault="000D56E2">
            <w:pPr>
              <w:jc w:val="right"/>
              <w:textAlignment w:val="bottom"/>
            </w:pPr>
            <w:r>
              <w:rPr>
                <w:rFonts w:ascii="Arial" w:eastAsia="宋体" w:hAnsi="Arial" w:cs="Arial"/>
                <w:b/>
                <w:bCs/>
                <w:color w:val="333333"/>
                <w:sz w:val="18"/>
                <w:szCs w:val="18"/>
              </w:rPr>
              <w:t>318</w:t>
            </w:r>
            <w:r>
              <w:rPr>
                <w:rFonts w:ascii="Arial" w:eastAsia="宋体" w:hAnsi="Arial" w:cs="Arial"/>
                <w:color w:val="333333"/>
                <w:sz w:val="18"/>
                <w:szCs w:val="18"/>
              </w:rPr>
              <w:t> </w:t>
            </w:r>
          </w:p>
        </w:tc>
        <w:tc>
          <w:tcPr>
            <w:tcW w:w="0" w:type="auto"/>
            <w:tcBorders>
              <w:top w:val="single" w:sz="8" w:space="0" w:color="333333"/>
            </w:tcBorders>
            <w:shd w:val="clear" w:color="auto" w:fill="auto"/>
            <w:tcMar>
              <w:top w:w="40" w:type="dxa"/>
              <w:bottom w:w="40" w:type="dxa"/>
              <w:right w:w="20" w:type="dxa"/>
            </w:tcMar>
            <w:vAlign w:val="bottom"/>
          </w:tcPr>
          <w:p w14:paraId="36CA5181"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5182" w14:textId="77777777" w:rsidR="00787570" w:rsidRDefault="00787570">
            <w:pPr>
              <w:jc w:val="right"/>
              <w:rPr>
                <w:rFonts w:ascii="宋体"/>
              </w:rPr>
            </w:pPr>
          </w:p>
        </w:tc>
        <w:tc>
          <w:tcPr>
            <w:tcW w:w="0" w:type="auto"/>
            <w:tcBorders>
              <w:top w:val="single" w:sz="8" w:space="0" w:color="333333"/>
            </w:tcBorders>
            <w:shd w:val="clear" w:color="auto" w:fill="auto"/>
            <w:tcMar>
              <w:top w:w="40" w:type="dxa"/>
              <w:left w:w="20" w:type="dxa"/>
              <w:bottom w:w="40" w:type="dxa"/>
            </w:tcMar>
            <w:vAlign w:val="bottom"/>
          </w:tcPr>
          <w:p w14:paraId="36CA5183" w14:textId="77777777" w:rsidR="00787570" w:rsidRDefault="000D56E2">
            <w:pPr>
              <w:textAlignment w:val="bottom"/>
            </w:pPr>
            <w:r>
              <w:rPr>
                <w:rFonts w:ascii="Arial" w:eastAsia="宋体" w:hAnsi="Arial" w:cs="Arial"/>
                <w:b/>
                <w:bCs/>
                <w:color w:val="026DCE"/>
                <w:sz w:val="18"/>
                <w:szCs w:val="18"/>
              </w:rPr>
              <w:t>$</w:t>
            </w:r>
          </w:p>
        </w:tc>
        <w:tc>
          <w:tcPr>
            <w:tcW w:w="0" w:type="auto"/>
            <w:tcBorders>
              <w:top w:val="single" w:sz="8" w:space="0" w:color="333333"/>
            </w:tcBorders>
            <w:shd w:val="clear" w:color="auto" w:fill="auto"/>
            <w:tcMar>
              <w:top w:w="40" w:type="dxa"/>
              <w:bottom w:w="40" w:type="dxa"/>
              <w:right w:w="0" w:type="dxa"/>
            </w:tcMar>
            <w:vAlign w:val="bottom"/>
          </w:tcPr>
          <w:p w14:paraId="36CA5184" w14:textId="77777777" w:rsidR="00787570" w:rsidRDefault="000D56E2">
            <w:pPr>
              <w:jc w:val="right"/>
              <w:textAlignment w:val="bottom"/>
            </w:pPr>
            <w:r>
              <w:rPr>
                <w:rFonts w:ascii="Arial" w:eastAsia="宋体" w:hAnsi="Arial" w:cs="Arial"/>
                <w:b/>
                <w:bCs/>
                <w:color w:val="026DCE"/>
                <w:sz w:val="18"/>
                <w:szCs w:val="18"/>
              </w:rPr>
              <w:t>212</w:t>
            </w:r>
            <w:r>
              <w:rPr>
                <w:rFonts w:ascii="Arial" w:eastAsia="宋体" w:hAnsi="Arial" w:cs="Arial"/>
                <w:color w:val="026DCE"/>
                <w:sz w:val="18"/>
                <w:szCs w:val="18"/>
              </w:rPr>
              <w:t> </w:t>
            </w:r>
          </w:p>
        </w:tc>
        <w:tc>
          <w:tcPr>
            <w:tcW w:w="0" w:type="auto"/>
            <w:tcBorders>
              <w:top w:val="single" w:sz="8" w:space="0" w:color="333333"/>
            </w:tcBorders>
            <w:shd w:val="clear" w:color="auto" w:fill="auto"/>
            <w:tcMar>
              <w:top w:w="40" w:type="dxa"/>
              <w:bottom w:w="40" w:type="dxa"/>
              <w:right w:w="20" w:type="dxa"/>
            </w:tcMar>
            <w:vAlign w:val="bottom"/>
          </w:tcPr>
          <w:p w14:paraId="36CA5185"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5186" w14:textId="77777777" w:rsidR="00787570" w:rsidRDefault="00787570">
            <w:pPr>
              <w:rPr>
                <w:rFonts w:ascii="宋体"/>
              </w:rPr>
            </w:pPr>
          </w:p>
        </w:tc>
        <w:tc>
          <w:tcPr>
            <w:tcW w:w="0" w:type="auto"/>
            <w:tcBorders>
              <w:top w:val="single" w:sz="8" w:space="0" w:color="333333"/>
            </w:tcBorders>
            <w:shd w:val="clear" w:color="auto" w:fill="auto"/>
            <w:tcMar>
              <w:top w:w="40" w:type="dxa"/>
              <w:left w:w="20" w:type="dxa"/>
              <w:bottom w:w="40" w:type="dxa"/>
            </w:tcMar>
            <w:vAlign w:val="bottom"/>
          </w:tcPr>
          <w:p w14:paraId="36CA5187" w14:textId="77777777" w:rsidR="00787570" w:rsidRDefault="000D56E2">
            <w:pPr>
              <w:textAlignment w:val="bottom"/>
            </w:pPr>
            <w:r>
              <w:rPr>
                <w:rFonts w:ascii="Arial" w:eastAsia="宋体" w:hAnsi="Arial" w:cs="Arial"/>
                <w:b/>
                <w:bCs/>
                <w:color w:val="000000"/>
                <w:sz w:val="18"/>
                <w:szCs w:val="18"/>
              </w:rPr>
              <w:t>$</w:t>
            </w:r>
          </w:p>
        </w:tc>
        <w:tc>
          <w:tcPr>
            <w:tcW w:w="0" w:type="auto"/>
            <w:tcBorders>
              <w:top w:val="single" w:sz="8" w:space="0" w:color="333333"/>
            </w:tcBorders>
            <w:shd w:val="clear" w:color="auto" w:fill="auto"/>
            <w:tcMar>
              <w:top w:w="40" w:type="dxa"/>
              <w:bottom w:w="40" w:type="dxa"/>
              <w:right w:w="0" w:type="dxa"/>
            </w:tcMar>
            <w:vAlign w:val="bottom"/>
          </w:tcPr>
          <w:p w14:paraId="36CA5188" w14:textId="77777777" w:rsidR="00787570" w:rsidRDefault="000D56E2">
            <w:pPr>
              <w:jc w:val="right"/>
              <w:textAlignment w:val="bottom"/>
            </w:pPr>
            <w:r>
              <w:rPr>
                <w:rFonts w:ascii="Arial" w:eastAsia="宋体" w:hAnsi="Arial" w:cs="Arial"/>
                <w:b/>
                <w:bCs/>
                <w:color w:val="000000"/>
                <w:sz w:val="18"/>
                <w:szCs w:val="18"/>
              </w:rPr>
              <w:t>922</w:t>
            </w:r>
            <w:r>
              <w:rPr>
                <w:rFonts w:ascii="Arial" w:eastAsia="宋体" w:hAnsi="Arial" w:cs="Arial"/>
                <w:color w:val="000000"/>
                <w:sz w:val="18"/>
                <w:szCs w:val="18"/>
              </w:rPr>
              <w:t> </w:t>
            </w:r>
          </w:p>
        </w:tc>
        <w:tc>
          <w:tcPr>
            <w:tcW w:w="0" w:type="auto"/>
            <w:tcBorders>
              <w:top w:val="single" w:sz="8" w:space="0" w:color="333333"/>
            </w:tcBorders>
            <w:shd w:val="clear" w:color="auto" w:fill="auto"/>
            <w:tcMar>
              <w:top w:w="40" w:type="dxa"/>
              <w:bottom w:w="40" w:type="dxa"/>
              <w:right w:w="20" w:type="dxa"/>
            </w:tcMar>
            <w:vAlign w:val="bottom"/>
          </w:tcPr>
          <w:p w14:paraId="36CA5189" w14:textId="77777777" w:rsidR="00787570" w:rsidRDefault="00787570">
            <w:pPr>
              <w:jc w:val="right"/>
              <w:rPr>
                <w:rFonts w:ascii="宋体"/>
              </w:rPr>
            </w:pPr>
          </w:p>
        </w:tc>
      </w:tr>
      <w:tr w:rsidR="00787570" w14:paraId="36CA5194" w14:textId="77777777">
        <w:trPr>
          <w:trHeight w:val="60"/>
        </w:trPr>
        <w:tc>
          <w:tcPr>
            <w:tcW w:w="0" w:type="auto"/>
            <w:gridSpan w:val="3"/>
            <w:shd w:val="clear" w:color="auto" w:fill="auto"/>
            <w:tcMar>
              <w:left w:w="20" w:type="dxa"/>
              <w:right w:w="20" w:type="dxa"/>
            </w:tcMar>
            <w:vAlign w:val="bottom"/>
          </w:tcPr>
          <w:p w14:paraId="36CA518B"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518C" w14:textId="77777777" w:rsidR="00787570" w:rsidRDefault="00787570">
            <w:pPr>
              <w:rPr>
                <w:rFonts w:ascii="宋体"/>
              </w:rPr>
            </w:pPr>
          </w:p>
        </w:tc>
        <w:tc>
          <w:tcPr>
            <w:tcW w:w="0" w:type="auto"/>
            <w:gridSpan w:val="3"/>
            <w:tcBorders>
              <w:top w:val="double" w:sz="6" w:space="0" w:color="333333"/>
            </w:tcBorders>
            <w:shd w:val="clear" w:color="auto" w:fill="auto"/>
            <w:tcMar>
              <w:left w:w="20" w:type="dxa"/>
              <w:right w:w="20" w:type="dxa"/>
            </w:tcMar>
            <w:vAlign w:val="bottom"/>
          </w:tcPr>
          <w:p w14:paraId="36CA518D"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518E" w14:textId="77777777" w:rsidR="00787570" w:rsidRDefault="00787570">
            <w:pPr>
              <w:rPr>
                <w:rFonts w:ascii="宋体"/>
              </w:rPr>
            </w:pPr>
          </w:p>
        </w:tc>
        <w:tc>
          <w:tcPr>
            <w:tcW w:w="0" w:type="auto"/>
            <w:gridSpan w:val="3"/>
            <w:tcBorders>
              <w:top w:val="double" w:sz="6" w:space="0" w:color="333333"/>
            </w:tcBorders>
            <w:shd w:val="clear" w:color="auto" w:fill="auto"/>
            <w:tcMar>
              <w:left w:w="20" w:type="dxa"/>
              <w:right w:w="20" w:type="dxa"/>
            </w:tcMar>
            <w:vAlign w:val="bottom"/>
          </w:tcPr>
          <w:p w14:paraId="36CA518F"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5190" w14:textId="77777777" w:rsidR="00787570" w:rsidRDefault="00787570">
            <w:pPr>
              <w:rPr>
                <w:rFonts w:ascii="宋体"/>
              </w:rPr>
            </w:pPr>
          </w:p>
        </w:tc>
        <w:tc>
          <w:tcPr>
            <w:tcW w:w="0" w:type="auto"/>
            <w:gridSpan w:val="3"/>
            <w:tcBorders>
              <w:top w:val="double" w:sz="6" w:space="0" w:color="333333"/>
            </w:tcBorders>
            <w:shd w:val="clear" w:color="auto" w:fill="auto"/>
            <w:tcMar>
              <w:left w:w="20" w:type="dxa"/>
              <w:right w:w="20" w:type="dxa"/>
            </w:tcMar>
            <w:vAlign w:val="bottom"/>
          </w:tcPr>
          <w:p w14:paraId="36CA5191"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5192" w14:textId="77777777" w:rsidR="00787570" w:rsidRDefault="00787570">
            <w:pPr>
              <w:rPr>
                <w:rFonts w:ascii="宋体"/>
              </w:rPr>
            </w:pPr>
          </w:p>
        </w:tc>
        <w:tc>
          <w:tcPr>
            <w:tcW w:w="0" w:type="auto"/>
            <w:gridSpan w:val="3"/>
            <w:tcBorders>
              <w:top w:val="double" w:sz="6" w:space="0" w:color="333333"/>
            </w:tcBorders>
            <w:shd w:val="clear" w:color="auto" w:fill="auto"/>
            <w:tcMar>
              <w:left w:w="20" w:type="dxa"/>
              <w:right w:w="20" w:type="dxa"/>
            </w:tcMar>
            <w:vAlign w:val="bottom"/>
          </w:tcPr>
          <w:p w14:paraId="36CA5193" w14:textId="77777777" w:rsidR="00787570" w:rsidRDefault="00787570">
            <w:pPr>
              <w:rPr>
                <w:rFonts w:ascii="宋体"/>
              </w:rPr>
            </w:pPr>
          </w:p>
        </w:tc>
      </w:tr>
      <w:tr w:rsidR="00787570" w14:paraId="36CA51A6" w14:textId="77777777">
        <w:tc>
          <w:tcPr>
            <w:tcW w:w="0" w:type="auto"/>
            <w:gridSpan w:val="3"/>
            <w:shd w:val="clear" w:color="auto" w:fill="auto"/>
            <w:tcMar>
              <w:top w:w="40" w:type="dxa"/>
              <w:left w:w="20" w:type="dxa"/>
              <w:bottom w:w="40" w:type="dxa"/>
              <w:right w:w="20" w:type="dxa"/>
            </w:tcMar>
            <w:vAlign w:val="bottom"/>
          </w:tcPr>
          <w:p w14:paraId="36CA5195" w14:textId="77777777" w:rsidR="00787570" w:rsidRDefault="000D56E2">
            <w:pPr>
              <w:ind w:hanging="180"/>
              <w:textAlignment w:val="bottom"/>
            </w:pPr>
            <w:r>
              <w:rPr>
                <w:rFonts w:ascii="Arial" w:eastAsia="宋体" w:hAnsi="Arial" w:cs="Arial"/>
                <w:b/>
                <w:bCs/>
                <w:color w:val="333333"/>
                <w:sz w:val="18"/>
                <w:szCs w:val="18"/>
              </w:rPr>
              <w:t>Interest and other, net</w:t>
            </w:r>
          </w:p>
        </w:tc>
        <w:tc>
          <w:tcPr>
            <w:tcW w:w="0" w:type="auto"/>
            <w:gridSpan w:val="3"/>
            <w:shd w:val="clear" w:color="auto" w:fill="auto"/>
            <w:tcMar>
              <w:left w:w="20" w:type="dxa"/>
              <w:right w:w="20" w:type="dxa"/>
            </w:tcMar>
            <w:vAlign w:val="bottom"/>
          </w:tcPr>
          <w:p w14:paraId="36CA5196" w14:textId="77777777" w:rsidR="00787570" w:rsidRDefault="00787570">
            <w:pPr>
              <w:rPr>
                <w:rFonts w:ascii="宋体"/>
              </w:rPr>
            </w:pPr>
          </w:p>
        </w:tc>
        <w:tc>
          <w:tcPr>
            <w:tcW w:w="0" w:type="auto"/>
            <w:shd w:val="clear" w:color="auto" w:fill="auto"/>
            <w:tcMar>
              <w:top w:w="40" w:type="dxa"/>
              <w:left w:w="20" w:type="dxa"/>
              <w:bottom w:w="40" w:type="dxa"/>
            </w:tcMar>
            <w:vAlign w:val="bottom"/>
          </w:tcPr>
          <w:p w14:paraId="36CA5197" w14:textId="77777777" w:rsidR="00787570" w:rsidRDefault="000D56E2">
            <w:pPr>
              <w:textAlignment w:val="bottom"/>
            </w:pPr>
            <w:r>
              <w:rPr>
                <w:rFonts w:ascii="Arial" w:eastAsia="宋体" w:hAnsi="Arial" w:cs="Arial"/>
                <w:b/>
                <w:bCs/>
                <w:color w:val="026DCE"/>
                <w:sz w:val="18"/>
                <w:szCs w:val="18"/>
              </w:rPr>
              <w:t>$</w:t>
            </w:r>
          </w:p>
        </w:tc>
        <w:tc>
          <w:tcPr>
            <w:tcW w:w="0" w:type="auto"/>
            <w:shd w:val="clear" w:color="auto" w:fill="auto"/>
            <w:tcMar>
              <w:top w:w="40" w:type="dxa"/>
              <w:bottom w:w="40" w:type="dxa"/>
              <w:right w:w="0" w:type="dxa"/>
            </w:tcMar>
            <w:vAlign w:val="bottom"/>
          </w:tcPr>
          <w:p w14:paraId="36CA5198" w14:textId="77777777" w:rsidR="00787570" w:rsidRDefault="000D56E2">
            <w:pPr>
              <w:jc w:val="right"/>
              <w:textAlignment w:val="bottom"/>
            </w:pPr>
            <w:r>
              <w:rPr>
                <w:rFonts w:ascii="Arial" w:eastAsia="宋体" w:hAnsi="Arial" w:cs="Arial"/>
                <w:b/>
                <w:bCs/>
                <w:color w:val="026DCE"/>
                <w:sz w:val="18"/>
                <w:szCs w:val="18"/>
              </w:rPr>
              <w:t>(74)</w:t>
            </w:r>
          </w:p>
        </w:tc>
        <w:tc>
          <w:tcPr>
            <w:tcW w:w="0" w:type="auto"/>
            <w:shd w:val="clear" w:color="auto" w:fill="auto"/>
            <w:tcMar>
              <w:top w:w="40" w:type="dxa"/>
              <w:bottom w:w="40" w:type="dxa"/>
              <w:right w:w="20" w:type="dxa"/>
            </w:tcMar>
            <w:vAlign w:val="bottom"/>
          </w:tcPr>
          <w:p w14:paraId="36CA5199"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519A" w14:textId="77777777" w:rsidR="00787570" w:rsidRDefault="00787570">
            <w:pPr>
              <w:rPr>
                <w:rFonts w:ascii="宋体"/>
              </w:rPr>
            </w:pPr>
          </w:p>
        </w:tc>
        <w:tc>
          <w:tcPr>
            <w:tcW w:w="0" w:type="auto"/>
            <w:shd w:val="clear" w:color="auto" w:fill="auto"/>
            <w:tcMar>
              <w:top w:w="40" w:type="dxa"/>
              <w:left w:w="20" w:type="dxa"/>
              <w:bottom w:w="40" w:type="dxa"/>
            </w:tcMar>
            <w:vAlign w:val="bottom"/>
          </w:tcPr>
          <w:p w14:paraId="36CA519B" w14:textId="77777777" w:rsidR="00787570" w:rsidRDefault="000D56E2">
            <w:pPr>
              <w:textAlignment w:val="bottom"/>
            </w:pPr>
            <w:r>
              <w:rPr>
                <w:rFonts w:ascii="Arial" w:eastAsia="宋体" w:hAnsi="Arial" w:cs="Arial"/>
                <w:b/>
                <w:bCs/>
                <w:color w:val="333333"/>
                <w:sz w:val="18"/>
                <w:szCs w:val="18"/>
              </w:rPr>
              <w:t>$</w:t>
            </w:r>
          </w:p>
        </w:tc>
        <w:tc>
          <w:tcPr>
            <w:tcW w:w="0" w:type="auto"/>
            <w:shd w:val="clear" w:color="auto" w:fill="auto"/>
            <w:tcMar>
              <w:top w:w="40" w:type="dxa"/>
              <w:bottom w:w="40" w:type="dxa"/>
              <w:right w:w="0" w:type="dxa"/>
            </w:tcMar>
            <w:vAlign w:val="bottom"/>
          </w:tcPr>
          <w:p w14:paraId="36CA519C" w14:textId="77777777" w:rsidR="00787570" w:rsidRDefault="000D56E2">
            <w:pPr>
              <w:jc w:val="right"/>
              <w:textAlignment w:val="bottom"/>
            </w:pPr>
            <w:r>
              <w:rPr>
                <w:rFonts w:ascii="Arial" w:eastAsia="宋体" w:hAnsi="Arial" w:cs="Arial"/>
                <w:b/>
                <w:bCs/>
                <w:color w:val="333333"/>
                <w:sz w:val="18"/>
                <w:szCs w:val="18"/>
              </w:rPr>
              <w:t>(46)</w:t>
            </w:r>
          </w:p>
        </w:tc>
        <w:tc>
          <w:tcPr>
            <w:tcW w:w="0" w:type="auto"/>
            <w:shd w:val="clear" w:color="auto" w:fill="auto"/>
            <w:tcMar>
              <w:top w:w="40" w:type="dxa"/>
              <w:bottom w:w="40" w:type="dxa"/>
              <w:right w:w="20" w:type="dxa"/>
            </w:tcMar>
            <w:vAlign w:val="bottom"/>
          </w:tcPr>
          <w:p w14:paraId="36CA519D"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519E" w14:textId="77777777" w:rsidR="00787570" w:rsidRDefault="00787570">
            <w:pPr>
              <w:rPr>
                <w:rFonts w:ascii="宋体"/>
              </w:rPr>
            </w:pPr>
          </w:p>
        </w:tc>
        <w:tc>
          <w:tcPr>
            <w:tcW w:w="0" w:type="auto"/>
            <w:shd w:val="clear" w:color="auto" w:fill="auto"/>
            <w:tcMar>
              <w:top w:w="40" w:type="dxa"/>
              <w:left w:w="20" w:type="dxa"/>
              <w:bottom w:w="40" w:type="dxa"/>
            </w:tcMar>
            <w:vAlign w:val="bottom"/>
          </w:tcPr>
          <w:p w14:paraId="36CA519F" w14:textId="77777777" w:rsidR="00787570" w:rsidRDefault="000D56E2">
            <w:pPr>
              <w:textAlignment w:val="bottom"/>
            </w:pPr>
            <w:r>
              <w:rPr>
                <w:rFonts w:ascii="Arial" w:eastAsia="宋体" w:hAnsi="Arial" w:cs="Arial"/>
                <w:b/>
                <w:bCs/>
                <w:color w:val="0071C5"/>
                <w:sz w:val="18"/>
                <w:szCs w:val="18"/>
              </w:rPr>
              <w:t>$</w:t>
            </w:r>
          </w:p>
        </w:tc>
        <w:tc>
          <w:tcPr>
            <w:tcW w:w="0" w:type="auto"/>
            <w:shd w:val="clear" w:color="auto" w:fill="auto"/>
            <w:tcMar>
              <w:top w:w="40" w:type="dxa"/>
              <w:bottom w:w="40" w:type="dxa"/>
              <w:right w:w="0" w:type="dxa"/>
            </w:tcMar>
            <w:vAlign w:val="bottom"/>
          </w:tcPr>
          <w:p w14:paraId="36CA51A0" w14:textId="77777777" w:rsidR="00787570" w:rsidRDefault="000D56E2">
            <w:pPr>
              <w:jc w:val="right"/>
              <w:textAlignment w:val="bottom"/>
            </w:pPr>
            <w:r>
              <w:rPr>
                <w:rFonts w:ascii="Arial" w:eastAsia="宋体" w:hAnsi="Arial" w:cs="Arial"/>
                <w:b/>
                <w:bCs/>
                <w:color w:val="0071C5"/>
                <w:sz w:val="18"/>
                <w:szCs w:val="18"/>
              </w:rPr>
              <w:t>(416)</w:t>
            </w:r>
          </w:p>
        </w:tc>
        <w:tc>
          <w:tcPr>
            <w:tcW w:w="0" w:type="auto"/>
            <w:shd w:val="clear" w:color="auto" w:fill="auto"/>
            <w:tcMar>
              <w:top w:w="40" w:type="dxa"/>
              <w:bottom w:w="40" w:type="dxa"/>
              <w:right w:w="20" w:type="dxa"/>
            </w:tcMar>
            <w:vAlign w:val="bottom"/>
          </w:tcPr>
          <w:p w14:paraId="36CA51A1"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51A2" w14:textId="77777777" w:rsidR="00787570" w:rsidRDefault="00787570">
            <w:pPr>
              <w:rPr>
                <w:rFonts w:ascii="宋体"/>
              </w:rPr>
            </w:pPr>
          </w:p>
        </w:tc>
        <w:tc>
          <w:tcPr>
            <w:tcW w:w="0" w:type="auto"/>
            <w:shd w:val="clear" w:color="auto" w:fill="auto"/>
            <w:tcMar>
              <w:top w:w="40" w:type="dxa"/>
              <w:left w:w="20" w:type="dxa"/>
              <w:bottom w:w="40" w:type="dxa"/>
            </w:tcMar>
            <w:vAlign w:val="bottom"/>
          </w:tcPr>
          <w:p w14:paraId="36CA51A3" w14:textId="77777777" w:rsidR="00787570" w:rsidRDefault="000D56E2">
            <w:pPr>
              <w:textAlignment w:val="bottom"/>
            </w:pPr>
            <w:r>
              <w:rPr>
                <w:rFonts w:ascii="Arial" w:eastAsia="宋体" w:hAnsi="Arial" w:cs="Arial"/>
                <w:b/>
                <w:bCs/>
                <w:color w:val="333333"/>
                <w:sz w:val="18"/>
                <w:szCs w:val="18"/>
              </w:rPr>
              <w:t>$</w:t>
            </w:r>
          </w:p>
        </w:tc>
        <w:tc>
          <w:tcPr>
            <w:tcW w:w="0" w:type="auto"/>
            <w:shd w:val="clear" w:color="auto" w:fill="auto"/>
            <w:tcMar>
              <w:top w:w="40" w:type="dxa"/>
              <w:bottom w:w="40" w:type="dxa"/>
              <w:right w:w="0" w:type="dxa"/>
            </w:tcMar>
            <w:vAlign w:val="bottom"/>
          </w:tcPr>
          <w:p w14:paraId="36CA51A4" w14:textId="77777777" w:rsidR="00787570" w:rsidRDefault="000D56E2">
            <w:pPr>
              <w:jc w:val="right"/>
              <w:textAlignment w:val="bottom"/>
            </w:pPr>
            <w:r>
              <w:rPr>
                <w:rFonts w:ascii="Arial" w:eastAsia="宋体" w:hAnsi="Arial" w:cs="Arial"/>
                <w:b/>
                <w:bCs/>
                <w:color w:val="333333"/>
                <w:sz w:val="18"/>
                <w:szCs w:val="18"/>
              </w:rPr>
              <w:t>(170)</w:t>
            </w:r>
          </w:p>
        </w:tc>
        <w:tc>
          <w:tcPr>
            <w:tcW w:w="0" w:type="auto"/>
            <w:shd w:val="clear" w:color="auto" w:fill="auto"/>
            <w:tcMar>
              <w:top w:w="40" w:type="dxa"/>
              <w:bottom w:w="40" w:type="dxa"/>
              <w:right w:w="20" w:type="dxa"/>
            </w:tcMar>
            <w:vAlign w:val="bottom"/>
          </w:tcPr>
          <w:p w14:paraId="36CA51A5" w14:textId="77777777" w:rsidR="00787570" w:rsidRDefault="00787570">
            <w:pPr>
              <w:jc w:val="right"/>
              <w:rPr>
                <w:rFonts w:ascii="宋体"/>
              </w:rPr>
            </w:pPr>
          </w:p>
        </w:tc>
      </w:tr>
    </w:tbl>
    <w:p w14:paraId="36CA51A7" w14:textId="77777777" w:rsidR="00787570" w:rsidRDefault="000D56E2">
      <w:pPr>
        <w:spacing w:before="300" w:after="120"/>
      </w:pPr>
      <w:r>
        <w:rPr>
          <w:rFonts w:ascii="Arial" w:eastAsia="宋体" w:hAnsi="Arial" w:cs="Arial"/>
          <w:b/>
          <w:bCs/>
          <w:color w:val="333333"/>
          <w:sz w:val="20"/>
          <w:szCs w:val="20"/>
        </w:rPr>
        <w:t>Gains (losses) on equity investments, net</w:t>
      </w:r>
    </w:p>
    <w:p w14:paraId="36CA51A8" w14:textId="77777777" w:rsidR="00787570" w:rsidRDefault="000D56E2">
      <w:pPr>
        <w:spacing w:after="180"/>
      </w:pPr>
      <w:r>
        <w:rPr>
          <w:rFonts w:ascii="Arial" w:eastAsia="宋体" w:hAnsi="Arial" w:cs="Arial"/>
          <w:color w:val="333333"/>
          <w:sz w:val="18"/>
          <w:szCs w:val="18"/>
        </w:rPr>
        <w:t>Ongoing mark-to-market adjustments during the first nine months of 2020 were primarily related to our interest in Cloudera Inc. During the first nine months of 20</w:t>
      </w:r>
      <w:r>
        <w:rPr>
          <w:rFonts w:ascii="Arial" w:eastAsia="宋体" w:hAnsi="Arial" w:cs="Arial"/>
          <w:color w:val="333333"/>
          <w:sz w:val="18"/>
          <w:szCs w:val="18"/>
        </w:rPr>
        <w:t xml:space="preserve">19, ongoing mark-to-market adjustments were primarily driven by our interests in ASML Holdings N.V. and Cloudera Inc. </w:t>
      </w:r>
    </w:p>
    <w:p w14:paraId="36CA51A9" w14:textId="77777777" w:rsidR="00787570" w:rsidRDefault="000D56E2">
      <w:pPr>
        <w:spacing w:after="180"/>
      </w:pPr>
      <w:r>
        <w:rPr>
          <w:rFonts w:ascii="Arial" w:eastAsia="宋体" w:hAnsi="Arial" w:cs="Arial"/>
          <w:color w:val="333333"/>
          <w:sz w:val="18"/>
          <w:szCs w:val="18"/>
        </w:rPr>
        <w:t>We recognized higher than historically experienced impairment charges on our non-marketable portfolio in the first nine months of 2020 ba</w:t>
      </w:r>
      <w:r>
        <w:rPr>
          <w:rFonts w:ascii="Arial" w:eastAsia="宋体" w:hAnsi="Arial" w:cs="Arial"/>
          <w:color w:val="333333"/>
          <w:sz w:val="18"/>
          <w:szCs w:val="18"/>
        </w:rPr>
        <w:t>sed on our assessment of the impact of recent public and private market volatility and tightening of liquidity.</w:t>
      </w:r>
    </w:p>
    <w:p w14:paraId="36CA51AA" w14:textId="77777777" w:rsidR="00787570" w:rsidRDefault="000D56E2">
      <w:pPr>
        <w:spacing w:after="180"/>
      </w:pPr>
      <w:r>
        <w:rPr>
          <w:rFonts w:ascii="Arial" w:eastAsia="宋体" w:hAnsi="Arial" w:cs="Arial"/>
          <w:color w:val="333333"/>
          <w:sz w:val="18"/>
          <w:szCs w:val="18"/>
        </w:rPr>
        <w:t>In sale of equity investments and other, we recognized $166 million on initial fair value adjustments from an initial public offering related to</w:t>
      </w:r>
      <w:r>
        <w:rPr>
          <w:rFonts w:ascii="Arial" w:eastAsia="宋体" w:hAnsi="Arial" w:cs="Arial"/>
          <w:color w:val="333333"/>
          <w:sz w:val="18"/>
          <w:szCs w:val="18"/>
        </w:rPr>
        <w:t xml:space="preserve"> an equity investment that went public in August 2020. We recognized McAfee dividends of $515 million during the first nine months of 2019.</w:t>
      </w:r>
    </w:p>
    <w:p w14:paraId="36CA51AB" w14:textId="77777777" w:rsidR="00787570" w:rsidRDefault="000D56E2">
      <w:pPr>
        <w:spacing w:after="120"/>
      </w:pPr>
      <w:r>
        <w:rPr>
          <w:rFonts w:ascii="Arial" w:eastAsia="宋体" w:hAnsi="Arial" w:cs="Arial"/>
          <w:b/>
          <w:bCs/>
          <w:color w:val="333333"/>
          <w:sz w:val="20"/>
          <w:szCs w:val="20"/>
        </w:rPr>
        <w:t>Interest and other, net</w:t>
      </w:r>
    </w:p>
    <w:p w14:paraId="36CA51AC" w14:textId="77777777" w:rsidR="00787570" w:rsidRDefault="000D56E2">
      <w:pPr>
        <w:spacing w:after="180"/>
      </w:pPr>
      <w:r>
        <w:rPr>
          <w:rFonts w:ascii="Arial" w:eastAsia="宋体" w:hAnsi="Arial" w:cs="Arial"/>
          <w:color w:val="333333"/>
          <w:sz w:val="18"/>
          <w:szCs w:val="18"/>
        </w:rPr>
        <w:t>In the first nine months of 2020, we paid $1.1 billion to satisfy conversion obligations for</w:t>
      </w:r>
      <w:r>
        <w:rPr>
          <w:rFonts w:ascii="Arial" w:eastAsia="宋体" w:hAnsi="Arial" w:cs="Arial"/>
          <w:color w:val="333333"/>
          <w:sz w:val="18"/>
          <w:szCs w:val="18"/>
        </w:rPr>
        <w:t xml:space="preserve"> $372 million of our $2.0 billion 2009 Debentures and recognized a loss of $109 million in interest and other, net and $750 million as a reduction in stockholders' equity related to the conversion feature. For the nine months ended September 28, 2019, we p</w:t>
      </w:r>
      <w:r>
        <w:rPr>
          <w:rFonts w:ascii="Arial" w:eastAsia="宋体" w:hAnsi="Arial" w:cs="Arial"/>
          <w:color w:val="333333"/>
          <w:sz w:val="18"/>
          <w:szCs w:val="18"/>
        </w:rPr>
        <w:t>aid $1.5 billion to satisfy conversion obligations for $590 million of our $2.0 billion 2009 Debentures and recognized a loss of $148 million in interest and other, net and $990 million as a reduction in stockholders' equity related to the conversion featu</w:t>
      </w:r>
      <w:r>
        <w:rPr>
          <w:rFonts w:ascii="Arial" w:eastAsia="宋体" w:hAnsi="Arial" w:cs="Arial"/>
          <w:color w:val="333333"/>
          <w:sz w:val="18"/>
          <w:szCs w:val="18"/>
        </w:rPr>
        <w:t>re.</w:t>
      </w:r>
    </w:p>
    <w:p w14:paraId="36CA51AD" w14:textId="77777777" w:rsidR="00787570" w:rsidRDefault="000D56E2">
      <w:pPr>
        <w:spacing w:before="300" w:after="180"/>
      </w:pPr>
      <w:r>
        <w:rPr>
          <w:rFonts w:ascii="Arial" w:eastAsia="宋体" w:hAnsi="Arial" w:cs="Arial"/>
          <w:b/>
          <w:bCs/>
          <w:color w:val="0071C5"/>
          <w:sz w:val="28"/>
          <w:szCs w:val="28"/>
        </w:rPr>
        <w:t>PROVISION FOR TAXES</w:t>
      </w:r>
    </w:p>
    <w:tbl>
      <w:tblPr>
        <w:tblW w:w="5000" w:type="pct"/>
        <w:tblCellMar>
          <w:top w:w="15" w:type="dxa"/>
          <w:left w:w="15" w:type="dxa"/>
          <w:bottom w:w="15" w:type="dxa"/>
          <w:right w:w="15" w:type="dxa"/>
        </w:tblCellMar>
        <w:tblLook w:val="04A0" w:firstRow="1" w:lastRow="0" w:firstColumn="1" w:lastColumn="0" w:noHBand="0" w:noVBand="1"/>
      </w:tblPr>
      <w:tblGrid>
        <w:gridCol w:w="37"/>
        <w:gridCol w:w="3859"/>
        <w:gridCol w:w="36"/>
        <w:gridCol w:w="36"/>
        <w:gridCol w:w="36"/>
        <w:gridCol w:w="36"/>
        <w:gridCol w:w="136"/>
        <w:gridCol w:w="661"/>
        <w:gridCol w:w="196"/>
        <w:gridCol w:w="36"/>
        <w:gridCol w:w="36"/>
        <w:gridCol w:w="36"/>
        <w:gridCol w:w="136"/>
        <w:gridCol w:w="661"/>
        <w:gridCol w:w="196"/>
        <w:gridCol w:w="36"/>
        <w:gridCol w:w="36"/>
        <w:gridCol w:w="36"/>
        <w:gridCol w:w="136"/>
        <w:gridCol w:w="661"/>
        <w:gridCol w:w="196"/>
        <w:gridCol w:w="36"/>
        <w:gridCol w:w="36"/>
        <w:gridCol w:w="36"/>
        <w:gridCol w:w="136"/>
        <w:gridCol w:w="661"/>
        <w:gridCol w:w="196"/>
      </w:tblGrid>
      <w:tr w:rsidR="00787570" w14:paraId="36CA51C9" w14:textId="77777777">
        <w:tc>
          <w:tcPr>
            <w:tcW w:w="50" w:type="pct"/>
            <w:shd w:val="clear" w:color="auto" w:fill="auto"/>
          </w:tcPr>
          <w:p w14:paraId="36CA51AE" w14:textId="77777777" w:rsidR="00787570" w:rsidRDefault="00787570">
            <w:pPr>
              <w:rPr>
                <w:rFonts w:ascii="宋体"/>
              </w:rPr>
            </w:pPr>
          </w:p>
        </w:tc>
        <w:tc>
          <w:tcPr>
            <w:tcW w:w="2431" w:type="pct"/>
            <w:shd w:val="clear" w:color="auto" w:fill="auto"/>
          </w:tcPr>
          <w:p w14:paraId="36CA51AF" w14:textId="77777777" w:rsidR="00787570" w:rsidRDefault="00787570">
            <w:pPr>
              <w:rPr>
                <w:rFonts w:ascii="宋体"/>
              </w:rPr>
            </w:pPr>
          </w:p>
        </w:tc>
        <w:tc>
          <w:tcPr>
            <w:tcW w:w="5" w:type="pct"/>
            <w:shd w:val="clear" w:color="auto" w:fill="auto"/>
          </w:tcPr>
          <w:p w14:paraId="36CA51B0" w14:textId="77777777" w:rsidR="00787570" w:rsidRDefault="00787570">
            <w:pPr>
              <w:rPr>
                <w:rFonts w:ascii="宋体"/>
              </w:rPr>
            </w:pPr>
          </w:p>
        </w:tc>
        <w:tc>
          <w:tcPr>
            <w:tcW w:w="5" w:type="pct"/>
            <w:shd w:val="clear" w:color="auto" w:fill="auto"/>
          </w:tcPr>
          <w:p w14:paraId="36CA51B1" w14:textId="77777777" w:rsidR="00787570" w:rsidRDefault="00787570">
            <w:pPr>
              <w:rPr>
                <w:rFonts w:ascii="宋体"/>
              </w:rPr>
            </w:pPr>
          </w:p>
        </w:tc>
        <w:tc>
          <w:tcPr>
            <w:tcW w:w="24" w:type="pct"/>
            <w:shd w:val="clear" w:color="auto" w:fill="auto"/>
          </w:tcPr>
          <w:p w14:paraId="36CA51B2" w14:textId="77777777" w:rsidR="00787570" w:rsidRDefault="00787570">
            <w:pPr>
              <w:rPr>
                <w:rFonts w:ascii="宋体"/>
              </w:rPr>
            </w:pPr>
          </w:p>
        </w:tc>
        <w:tc>
          <w:tcPr>
            <w:tcW w:w="5" w:type="pct"/>
            <w:shd w:val="clear" w:color="auto" w:fill="auto"/>
          </w:tcPr>
          <w:p w14:paraId="36CA51B3" w14:textId="77777777" w:rsidR="00787570" w:rsidRDefault="00787570">
            <w:pPr>
              <w:rPr>
                <w:rFonts w:ascii="宋体"/>
              </w:rPr>
            </w:pPr>
          </w:p>
        </w:tc>
        <w:tc>
          <w:tcPr>
            <w:tcW w:w="50" w:type="pct"/>
            <w:shd w:val="clear" w:color="auto" w:fill="auto"/>
          </w:tcPr>
          <w:p w14:paraId="36CA51B4" w14:textId="77777777" w:rsidR="00787570" w:rsidRDefault="00787570">
            <w:pPr>
              <w:rPr>
                <w:rFonts w:ascii="宋体"/>
              </w:rPr>
            </w:pPr>
          </w:p>
        </w:tc>
        <w:tc>
          <w:tcPr>
            <w:tcW w:w="539" w:type="pct"/>
            <w:shd w:val="clear" w:color="auto" w:fill="auto"/>
          </w:tcPr>
          <w:p w14:paraId="36CA51B5" w14:textId="77777777" w:rsidR="00787570" w:rsidRDefault="00787570">
            <w:pPr>
              <w:rPr>
                <w:rFonts w:ascii="宋体"/>
              </w:rPr>
            </w:pPr>
          </w:p>
        </w:tc>
        <w:tc>
          <w:tcPr>
            <w:tcW w:w="5" w:type="pct"/>
            <w:shd w:val="clear" w:color="auto" w:fill="auto"/>
          </w:tcPr>
          <w:p w14:paraId="36CA51B6" w14:textId="77777777" w:rsidR="00787570" w:rsidRDefault="00787570">
            <w:pPr>
              <w:rPr>
                <w:rFonts w:ascii="宋体"/>
              </w:rPr>
            </w:pPr>
          </w:p>
        </w:tc>
        <w:tc>
          <w:tcPr>
            <w:tcW w:w="5" w:type="pct"/>
            <w:shd w:val="clear" w:color="auto" w:fill="auto"/>
          </w:tcPr>
          <w:p w14:paraId="36CA51B7" w14:textId="77777777" w:rsidR="00787570" w:rsidRDefault="00787570">
            <w:pPr>
              <w:rPr>
                <w:rFonts w:ascii="宋体"/>
              </w:rPr>
            </w:pPr>
          </w:p>
        </w:tc>
        <w:tc>
          <w:tcPr>
            <w:tcW w:w="24" w:type="pct"/>
            <w:shd w:val="clear" w:color="auto" w:fill="auto"/>
          </w:tcPr>
          <w:p w14:paraId="36CA51B8" w14:textId="77777777" w:rsidR="00787570" w:rsidRDefault="00787570">
            <w:pPr>
              <w:rPr>
                <w:rFonts w:ascii="宋体"/>
              </w:rPr>
            </w:pPr>
          </w:p>
        </w:tc>
        <w:tc>
          <w:tcPr>
            <w:tcW w:w="5" w:type="pct"/>
            <w:shd w:val="clear" w:color="auto" w:fill="auto"/>
          </w:tcPr>
          <w:p w14:paraId="36CA51B9" w14:textId="77777777" w:rsidR="00787570" w:rsidRDefault="00787570">
            <w:pPr>
              <w:rPr>
                <w:rFonts w:ascii="宋体"/>
              </w:rPr>
            </w:pPr>
          </w:p>
        </w:tc>
        <w:tc>
          <w:tcPr>
            <w:tcW w:w="50" w:type="pct"/>
            <w:shd w:val="clear" w:color="auto" w:fill="auto"/>
          </w:tcPr>
          <w:p w14:paraId="36CA51BA" w14:textId="77777777" w:rsidR="00787570" w:rsidRDefault="00787570">
            <w:pPr>
              <w:rPr>
                <w:rFonts w:ascii="宋体"/>
              </w:rPr>
            </w:pPr>
          </w:p>
        </w:tc>
        <w:tc>
          <w:tcPr>
            <w:tcW w:w="539" w:type="pct"/>
            <w:shd w:val="clear" w:color="auto" w:fill="auto"/>
          </w:tcPr>
          <w:p w14:paraId="36CA51BB" w14:textId="77777777" w:rsidR="00787570" w:rsidRDefault="00787570">
            <w:pPr>
              <w:rPr>
                <w:rFonts w:ascii="宋体"/>
              </w:rPr>
            </w:pPr>
          </w:p>
        </w:tc>
        <w:tc>
          <w:tcPr>
            <w:tcW w:w="5" w:type="pct"/>
            <w:shd w:val="clear" w:color="auto" w:fill="auto"/>
          </w:tcPr>
          <w:p w14:paraId="36CA51BC" w14:textId="77777777" w:rsidR="00787570" w:rsidRDefault="00787570">
            <w:pPr>
              <w:rPr>
                <w:rFonts w:ascii="宋体"/>
              </w:rPr>
            </w:pPr>
          </w:p>
        </w:tc>
        <w:tc>
          <w:tcPr>
            <w:tcW w:w="5" w:type="pct"/>
            <w:shd w:val="clear" w:color="auto" w:fill="auto"/>
          </w:tcPr>
          <w:p w14:paraId="36CA51BD" w14:textId="77777777" w:rsidR="00787570" w:rsidRDefault="00787570">
            <w:pPr>
              <w:rPr>
                <w:rFonts w:ascii="宋体"/>
              </w:rPr>
            </w:pPr>
          </w:p>
        </w:tc>
        <w:tc>
          <w:tcPr>
            <w:tcW w:w="24" w:type="pct"/>
            <w:shd w:val="clear" w:color="auto" w:fill="auto"/>
          </w:tcPr>
          <w:p w14:paraId="36CA51BE" w14:textId="77777777" w:rsidR="00787570" w:rsidRDefault="00787570">
            <w:pPr>
              <w:rPr>
                <w:rFonts w:ascii="宋体"/>
              </w:rPr>
            </w:pPr>
          </w:p>
        </w:tc>
        <w:tc>
          <w:tcPr>
            <w:tcW w:w="5" w:type="pct"/>
            <w:shd w:val="clear" w:color="auto" w:fill="auto"/>
          </w:tcPr>
          <w:p w14:paraId="36CA51BF" w14:textId="77777777" w:rsidR="00787570" w:rsidRDefault="00787570">
            <w:pPr>
              <w:rPr>
                <w:rFonts w:ascii="宋体"/>
              </w:rPr>
            </w:pPr>
          </w:p>
        </w:tc>
        <w:tc>
          <w:tcPr>
            <w:tcW w:w="50" w:type="pct"/>
            <w:shd w:val="clear" w:color="auto" w:fill="auto"/>
          </w:tcPr>
          <w:p w14:paraId="36CA51C0" w14:textId="77777777" w:rsidR="00787570" w:rsidRDefault="00787570">
            <w:pPr>
              <w:rPr>
                <w:rFonts w:ascii="宋体"/>
              </w:rPr>
            </w:pPr>
          </w:p>
        </w:tc>
        <w:tc>
          <w:tcPr>
            <w:tcW w:w="539" w:type="pct"/>
            <w:shd w:val="clear" w:color="auto" w:fill="auto"/>
          </w:tcPr>
          <w:p w14:paraId="36CA51C1" w14:textId="77777777" w:rsidR="00787570" w:rsidRDefault="00787570">
            <w:pPr>
              <w:rPr>
                <w:rFonts w:ascii="宋体"/>
              </w:rPr>
            </w:pPr>
          </w:p>
        </w:tc>
        <w:tc>
          <w:tcPr>
            <w:tcW w:w="5" w:type="pct"/>
            <w:shd w:val="clear" w:color="auto" w:fill="auto"/>
          </w:tcPr>
          <w:p w14:paraId="36CA51C2" w14:textId="77777777" w:rsidR="00787570" w:rsidRDefault="00787570">
            <w:pPr>
              <w:rPr>
                <w:rFonts w:ascii="宋体"/>
              </w:rPr>
            </w:pPr>
          </w:p>
        </w:tc>
        <w:tc>
          <w:tcPr>
            <w:tcW w:w="5" w:type="pct"/>
            <w:shd w:val="clear" w:color="auto" w:fill="auto"/>
          </w:tcPr>
          <w:p w14:paraId="36CA51C3" w14:textId="77777777" w:rsidR="00787570" w:rsidRDefault="00787570">
            <w:pPr>
              <w:rPr>
                <w:rFonts w:ascii="宋体"/>
              </w:rPr>
            </w:pPr>
          </w:p>
        </w:tc>
        <w:tc>
          <w:tcPr>
            <w:tcW w:w="24" w:type="pct"/>
            <w:shd w:val="clear" w:color="auto" w:fill="auto"/>
          </w:tcPr>
          <w:p w14:paraId="36CA51C4" w14:textId="77777777" w:rsidR="00787570" w:rsidRDefault="00787570">
            <w:pPr>
              <w:rPr>
                <w:rFonts w:ascii="宋体"/>
              </w:rPr>
            </w:pPr>
          </w:p>
        </w:tc>
        <w:tc>
          <w:tcPr>
            <w:tcW w:w="5" w:type="pct"/>
            <w:shd w:val="clear" w:color="auto" w:fill="auto"/>
          </w:tcPr>
          <w:p w14:paraId="36CA51C5" w14:textId="77777777" w:rsidR="00787570" w:rsidRDefault="00787570">
            <w:pPr>
              <w:rPr>
                <w:rFonts w:ascii="宋体"/>
              </w:rPr>
            </w:pPr>
          </w:p>
        </w:tc>
        <w:tc>
          <w:tcPr>
            <w:tcW w:w="50" w:type="pct"/>
            <w:shd w:val="clear" w:color="auto" w:fill="auto"/>
          </w:tcPr>
          <w:p w14:paraId="36CA51C6" w14:textId="77777777" w:rsidR="00787570" w:rsidRDefault="00787570">
            <w:pPr>
              <w:rPr>
                <w:rFonts w:ascii="宋体"/>
              </w:rPr>
            </w:pPr>
          </w:p>
        </w:tc>
        <w:tc>
          <w:tcPr>
            <w:tcW w:w="539" w:type="pct"/>
            <w:shd w:val="clear" w:color="auto" w:fill="auto"/>
          </w:tcPr>
          <w:p w14:paraId="36CA51C7" w14:textId="77777777" w:rsidR="00787570" w:rsidRDefault="00787570">
            <w:pPr>
              <w:rPr>
                <w:rFonts w:ascii="宋体"/>
              </w:rPr>
            </w:pPr>
          </w:p>
        </w:tc>
        <w:tc>
          <w:tcPr>
            <w:tcW w:w="5" w:type="pct"/>
            <w:shd w:val="clear" w:color="auto" w:fill="auto"/>
          </w:tcPr>
          <w:p w14:paraId="36CA51C8" w14:textId="77777777" w:rsidR="00787570" w:rsidRDefault="00787570">
            <w:pPr>
              <w:rPr>
                <w:rFonts w:ascii="宋体"/>
              </w:rPr>
            </w:pPr>
          </w:p>
        </w:tc>
      </w:tr>
      <w:tr w:rsidR="00787570" w14:paraId="36CA51D3" w14:textId="77777777">
        <w:tc>
          <w:tcPr>
            <w:tcW w:w="0" w:type="auto"/>
            <w:gridSpan w:val="3"/>
            <w:shd w:val="clear" w:color="auto" w:fill="auto"/>
            <w:tcMar>
              <w:top w:w="40" w:type="dxa"/>
              <w:left w:w="20" w:type="dxa"/>
              <w:bottom w:w="40" w:type="dxa"/>
              <w:right w:w="20" w:type="dxa"/>
            </w:tcMar>
            <w:vAlign w:val="bottom"/>
          </w:tcPr>
          <w:p w14:paraId="36CA51CA" w14:textId="77777777" w:rsidR="00787570" w:rsidRDefault="000D56E2">
            <w:pPr>
              <w:textAlignment w:val="bottom"/>
            </w:pPr>
            <w:r>
              <w:rPr>
                <w:rFonts w:ascii="Arial" w:eastAsia="宋体" w:hAnsi="Arial" w:cs="Arial"/>
                <w:b/>
                <w:bCs/>
                <w:color w:val="333333"/>
                <w:sz w:val="18"/>
                <w:szCs w:val="18"/>
              </w:rPr>
              <w:t>(In Millions)</w:t>
            </w:r>
          </w:p>
        </w:tc>
        <w:tc>
          <w:tcPr>
            <w:tcW w:w="0" w:type="auto"/>
            <w:gridSpan w:val="3"/>
            <w:shd w:val="clear" w:color="auto" w:fill="auto"/>
            <w:tcMar>
              <w:left w:w="20" w:type="dxa"/>
              <w:right w:w="20" w:type="dxa"/>
            </w:tcMar>
            <w:vAlign w:val="bottom"/>
          </w:tcPr>
          <w:p w14:paraId="36CA51CB" w14:textId="77777777" w:rsidR="00787570" w:rsidRDefault="00787570">
            <w:pPr>
              <w:rPr>
                <w:rFonts w:ascii="宋体"/>
              </w:rPr>
            </w:pPr>
          </w:p>
        </w:tc>
        <w:tc>
          <w:tcPr>
            <w:tcW w:w="0" w:type="auto"/>
            <w:gridSpan w:val="3"/>
            <w:shd w:val="clear" w:color="auto" w:fill="auto"/>
            <w:tcMar>
              <w:top w:w="40" w:type="dxa"/>
              <w:left w:w="20" w:type="dxa"/>
              <w:bottom w:w="40" w:type="dxa"/>
              <w:right w:w="20" w:type="dxa"/>
            </w:tcMar>
            <w:vAlign w:val="bottom"/>
          </w:tcPr>
          <w:p w14:paraId="36CA51CC" w14:textId="77777777" w:rsidR="00787570" w:rsidRDefault="000D56E2">
            <w:pPr>
              <w:jc w:val="center"/>
              <w:textAlignment w:val="bottom"/>
            </w:pPr>
            <w:r>
              <w:rPr>
                <w:rFonts w:ascii="Arial" w:eastAsia="宋体" w:hAnsi="Arial" w:cs="Arial"/>
                <w:b/>
                <w:bCs/>
                <w:color w:val="333333"/>
                <w:sz w:val="18"/>
                <w:szCs w:val="18"/>
              </w:rPr>
              <w:t>Q3 2020</w:t>
            </w:r>
          </w:p>
        </w:tc>
        <w:tc>
          <w:tcPr>
            <w:tcW w:w="0" w:type="auto"/>
            <w:gridSpan w:val="3"/>
            <w:shd w:val="clear" w:color="auto" w:fill="auto"/>
            <w:tcMar>
              <w:left w:w="20" w:type="dxa"/>
              <w:right w:w="20" w:type="dxa"/>
            </w:tcMar>
            <w:vAlign w:val="bottom"/>
          </w:tcPr>
          <w:p w14:paraId="36CA51CD" w14:textId="77777777" w:rsidR="00787570" w:rsidRDefault="00787570">
            <w:pPr>
              <w:rPr>
                <w:rFonts w:ascii="宋体"/>
              </w:rPr>
            </w:pPr>
          </w:p>
        </w:tc>
        <w:tc>
          <w:tcPr>
            <w:tcW w:w="0" w:type="auto"/>
            <w:gridSpan w:val="3"/>
            <w:shd w:val="clear" w:color="auto" w:fill="auto"/>
            <w:tcMar>
              <w:top w:w="40" w:type="dxa"/>
              <w:left w:w="20" w:type="dxa"/>
              <w:bottom w:w="40" w:type="dxa"/>
              <w:right w:w="20" w:type="dxa"/>
            </w:tcMar>
            <w:vAlign w:val="bottom"/>
          </w:tcPr>
          <w:p w14:paraId="36CA51CE" w14:textId="77777777" w:rsidR="00787570" w:rsidRDefault="000D56E2">
            <w:pPr>
              <w:jc w:val="center"/>
              <w:textAlignment w:val="bottom"/>
            </w:pPr>
            <w:r>
              <w:rPr>
                <w:rFonts w:ascii="Arial" w:eastAsia="宋体" w:hAnsi="Arial" w:cs="Arial"/>
                <w:b/>
                <w:bCs/>
                <w:color w:val="333333"/>
                <w:sz w:val="18"/>
                <w:szCs w:val="18"/>
              </w:rPr>
              <w:t>Q3 2019</w:t>
            </w:r>
          </w:p>
        </w:tc>
        <w:tc>
          <w:tcPr>
            <w:tcW w:w="0" w:type="auto"/>
            <w:gridSpan w:val="3"/>
            <w:shd w:val="clear" w:color="auto" w:fill="auto"/>
            <w:tcMar>
              <w:left w:w="20" w:type="dxa"/>
              <w:right w:w="20" w:type="dxa"/>
            </w:tcMar>
            <w:vAlign w:val="bottom"/>
          </w:tcPr>
          <w:p w14:paraId="36CA51CF" w14:textId="77777777" w:rsidR="00787570" w:rsidRDefault="00787570">
            <w:pPr>
              <w:rPr>
                <w:rFonts w:ascii="宋体"/>
              </w:rPr>
            </w:pPr>
          </w:p>
        </w:tc>
        <w:tc>
          <w:tcPr>
            <w:tcW w:w="0" w:type="auto"/>
            <w:gridSpan w:val="3"/>
            <w:shd w:val="clear" w:color="auto" w:fill="auto"/>
            <w:tcMar>
              <w:top w:w="40" w:type="dxa"/>
              <w:left w:w="20" w:type="dxa"/>
              <w:bottom w:w="40" w:type="dxa"/>
              <w:right w:w="20" w:type="dxa"/>
            </w:tcMar>
            <w:vAlign w:val="bottom"/>
          </w:tcPr>
          <w:p w14:paraId="36CA51D0" w14:textId="77777777" w:rsidR="00787570" w:rsidRDefault="000D56E2">
            <w:pPr>
              <w:jc w:val="center"/>
              <w:textAlignment w:val="bottom"/>
            </w:pPr>
            <w:r>
              <w:rPr>
                <w:rFonts w:ascii="Arial" w:eastAsia="宋体" w:hAnsi="Arial" w:cs="Arial"/>
                <w:b/>
                <w:bCs/>
                <w:color w:val="333333"/>
                <w:sz w:val="18"/>
                <w:szCs w:val="18"/>
              </w:rPr>
              <w:t>YTD 2020</w:t>
            </w:r>
          </w:p>
        </w:tc>
        <w:tc>
          <w:tcPr>
            <w:tcW w:w="0" w:type="auto"/>
            <w:gridSpan w:val="3"/>
            <w:shd w:val="clear" w:color="auto" w:fill="auto"/>
            <w:tcMar>
              <w:left w:w="20" w:type="dxa"/>
              <w:right w:w="20" w:type="dxa"/>
            </w:tcMar>
            <w:vAlign w:val="bottom"/>
          </w:tcPr>
          <w:p w14:paraId="36CA51D1" w14:textId="77777777" w:rsidR="00787570" w:rsidRDefault="00787570">
            <w:pPr>
              <w:rPr>
                <w:rFonts w:ascii="宋体"/>
              </w:rPr>
            </w:pPr>
          </w:p>
        </w:tc>
        <w:tc>
          <w:tcPr>
            <w:tcW w:w="0" w:type="auto"/>
            <w:gridSpan w:val="3"/>
            <w:shd w:val="clear" w:color="auto" w:fill="auto"/>
            <w:tcMar>
              <w:top w:w="40" w:type="dxa"/>
              <w:left w:w="20" w:type="dxa"/>
              <w:bottom w:w="40" w:type="dxa"/>
              <w:right w:w="20" w:type="dxa"/>
            </w:tcMar>
            <w:vAlign w:val="bottom"/>
          </w:tcPr>
          <w:p w14:paraId="36CA51D2" w14:textId="77777777" w:rsidR="00787570" w:rsidRDefault="000D56E2">
            <w:pPr>
              <w:jc w:val="center"/>
              <w:textAlignment w:val="bottom"/>
            </w:pPr>
            <w:r>
              <w:rPr>
                <w:rFonts w:ascii="Arial" w:eastAsia="宋体" w:hAnsi="Arial" w:cs="Arial"/>
                <w:b/>
                <w:bCs/>
                <w:color w:val="333333"/>
                <w:sz w:val="18"/>
                <w:szCs w:val="18"/>
              </w:rPr>
              <w:t>YTD 2019</w:t>
            </w:r>
          </w:p>
        </w:tc>
      </w:tr>
      <w:tr w:rsidR="00787570" w14:paraId="36CA51E5" w14:textId="77777777">
        <w:tc>
          <w:tcPr>
            <w:tcW w:w="0" w:type="auto"/>
            <w:gridSpan w:val="3"/>
            <w:tcBorders>
              <w:top w:val="single" w:sz="8" w:space="0" w:color="0071C5"/>
            </w:tcBorders>
            <w:shd w:val="clear" w:color="auto" w:fill="auto"/>
            <w:tcMar>
              <w:top w:w="40" w:type="dxa"/>
              <w:left w:w="20" w:type="dxa"/>
              <w:bottom w:w="40" w:type="dxa"/>
              <w:right w:w="20" w:type="dxa"/>
            </w:tcMar>
          </w:tcPr>
          <w:p w14:paraId="36CA51D4" w14:textId="77777777" w:rsidR="00787570" w:rsidRDefault="000D56E2">
            <w:pPr>
              <w:ind w:hanging="180"/>
              <w:textAlignment w:val="top"/>
            </w:pPr>
            <w:r>
              <w:rPr>
                <w:rFonts w:ascii="Arial" w:eastAsia="宋体" w:hAnsi="Arial" w:cs="Arial"/>
                <w:color w:val="333333"/>
                <w:sz w:val="18"/>
                <w:szCs w:val="18"/>
              </w:rPr>
              <w:t>Income before taxes</w:t>
            </w:r>
          </w:p>
        </w:tc>
        <w:tc>
          <w:tcPr>
            <w:tcW w:w="0" w:type="auto"/>
            <w:gridSpan w:val="3"/>
            <w:shd w:val="clear" w:color="auto" w:fill="auto"/>
            <w:tcMar>
              <w:left w:w="20" w:type="dxa"/>
              <w:right w:w="20" w:type="dxa"/>
            </w:tcMar>
            <w:vAlign w:val="bottom"/>
          </w:tcPr>
          <w:p w14:paraId="36CA51D5" w14:textId="77777777" w:rsidR="00787570" w:rsidRDefault="00787570">
            <w:pPr>
              <w:rPr>
                <w:rFonts w:ascii="宋体"/>
              </w:rPr>
            </w:pPr>
          </w:p>
        </w:tc>
        <w:tc>
          <w:tcPr>
            <w:tcW w:w="0" w:type="auto"/>
            <w:tcBorders>
              <w:top w:val="single" w:sz="8" w:space="0" w:color="0071C5"/>
            </w:tcBorders>
            <w:shd w:val="clear" w:color="auto" w:fill="auto"/>
            <w:tcMar>
              <w:top w:w="40" w:type="dxa"/>
              <w:left w:w="20" w:type="dxa"/>
              <w:bottom w:w="40" w:type="dxa"/>
            </w:tcMar>
            <w:vAlign w:val="bottom"/>
          </w:tcPr>
          <w:p w14:paraId="36CA51D6" w14:textId="77777777" w:rsidR="00787570" w:rsidRDefault="000D56E2">
            <w:pPr>
              <w:textAlignment w:val="bottom"/>
            </w:pPr>
            <w:r>
              <w:rPr>
                <w:rFonts w:ascii="Arial" w:eastAsia="宋体" w:hAnsi="Arial" w:cs="Arial"/>
                <w:color w:val="0071C5"/>
                <w:sz w:val="18"/>
                <w:szCs w:val="18"/>
              </w:rPr>
              <w:t>$</w:t>
            </w:r>
          </w:p>
        </w:tc>
        <w:tc>
          <w:tcPr>
            <w:tcW w:w="0" w:type="auto"/>
            <w:tcBorders>
              <w:top w:val="single" w:sz="8" w:space="0" w:color="0071C5"/>
            </w:tcBorders>
            <w:shd w:val="clear" w:color="auto" w:fill="auto"/>
            <w:tcMar>
              <w:top w:w="40" w:type="dxa"/>
              <w:bottom w:w="40" w:type="dxa"/>
              <w:right w:w="0" w:type="dxa"/>
            </w:tcMar>
            <w:vAlign w:val="bottom"/>
          </w:tcPr>
          <w:p w14:paraId="36CA51D7" w14:textId="77777777" w:rsidR="00787570" w:rsidRDefault="000D56E2">
            <w:pPr>
              <w:jc w:val="right"/>
              <w:textAlignment w:val="bottom"/>
            </w:pPr>
            <w:r>
              <w:rPr>
                <w:rFonts w:ascii="Arial" w:eastAsia="宋体" w:hAnsi="Arial" w:cs="Arial"/>
                <w:color w:val="0071C5"/>
                <w:sz w:val="18"/>
                <w:szCs w:val="18"/>
              </w:rPr>
              <w:t>5,041 </w:t>
            </w:r>
          </w:p>
        </w:tc>
        <w:tc>
          <w:tcPr>
            <w:tcW w:w="0" w:type="auto"/>
            <w:tcBorders>
              <w:top w:val="single" w:sz="8" w:space="0" w:color="0071C5"/>
            </w:tcBorders>
            <w:shd w:val="clear" w:color="auto" w:fill="auto"/>
            <w:tcMar>
              <w:top w:w="40" w:type="dxa"/>
              <w:bottom w:w="40" w:type="dxa"/>
              <w:right w:w="20" w:type="dxa"/>
            </w:tcMar>
            <w:vAlign w:val="bottom"/>
          </w:tcPr>
          <w:p w14:paraId="36CA51D8"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51D9" w14:textId="77777777" w:rsidR="00787570" w:rsidRDefault="00787570">
            <w:pPr>
              <w:rPr>
                <w:rFonts w:ascii="宋体"/>
              </w:rPr>
            </w:pPr>
          </w:p>
        </w:tc>
        <w:tc>
          <w:tcPr>
            <w:tcW w:w="0" w:type="auto"/>
            <w:tcBorders>
              <w:top w:val="single" w:sz="8" w:space="0" w:color="0071C5"/>
            </w:tcBorders>
            <w:shd w:val="clear" w:color="auto" w:fill="auto"/>
            <w:tcMar>
              <w:top w:w="40" w:type="dxa"/>
              <w:left w:w="20" w:type="dxa"/>
              <w:bottom w:w="40" w:type="dxa"/>
            </w:tcMar>
            <w:vAlign w:val="bottom"/>
          </w:tcPr>
          <w:p w14:paraId="36CA51DA" w14:textId="77777777" w:rsidR="00787570" w:rsidRDefault="000D56E2">
            <w:pPr>
              <w:textAlignment w:val="bottom"/>
            </w:pPr>
            <w:r>
              <w:rPr>
                <w:rFonts w:ascii="Arial" w:eastAsia="宋体" w:hAnsi="Arial" w:cs="Arial"/>
                <w:color w:val="333333"/>
                <w:sz w:val="18"/>
                <w:szCs w:val="18"/>
              </w:rPr>
              <w:t>$</w:t>
            </w:r>
          </w:p>
        </w:tc>
        <w:tc>
          <w:tcPr>
            <w:tcW w:w="0" w:type="auto"/>
            <w:tcBorders>
              <w:top w:val="single" w:sz="8" w:space="0" w:color="0071C5"/>
            </w:tcBorders>
            <w:shd w:val="clear" w:color="auto" w:fill="auto"/>
            <w:tcMar>
              <w:top w:w="40" w:type="dxa"/>
              <w:bottom w:w="40" w:type="dxa"/>
              <w:right w:w="0" w:type="dxa"/>
            </w:tcMar>
            <w:vAlign w:val="bottom"/>
          </w:tcPr>
          <w:p w14:paraId="36CA51DB" w14:textId="77777777" w:rsidR="00787570" w:rsidRDefault="000D56E2">
            <w:pPr>
              <w:jc w:val="right"/>
              <w:textAlignment w:val="bottom"/>
            </w:pPr>
            <w:r>
              <w:rPr>
                <w:rFonts w:ascii="Arial" w:eastAsia="宋体" w:hAnsi="Arial" w:cs="Arial"/>
                <w:color w:val="333333"/>
                <w:sz w:val="18"/>
                <w:szCs w:val="18"/>
              </w:rPr>
              <w:t>6,719 </w:t>
            </w:r>
          </w:p>
        </w:tc>
        <w:tc>
          <w:tcPr>
            <w:tcW w:w="0" w:type="auto"/>
            <w:tcBorders>
              <w:top w:val="single" w:sz="8" w:space="0" w:color="0071C5"/>
            </w:tcBorders>
            <w:shd w:val="clear" w:color="auto" w:fill="auto"/>
            <w:tcMar>
              <w:top w:w="40" w:type="dxa"/>
              <w:bottom w:w="40" w:type="dxa"/>
              <w:right w:w="20" w:type="dxa"/>
            </w:tcMar>
            <w:vAlign w:val="bottom"/>
          </w:tcPr>
          <w:p w14:paraId="36CA51DC"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51DD" w14:textId="77777777" w:rsidR="00787570" w:rsidRDefault="00787570">
            <w:pPr>
              <w:rPr>
                <w:rFonts w:ascii="宋体"/>
              </w:rPr>
            </w:pPr>
          </w:p>
        </w:tc>
        <w:tc>
          <w:tcPr>
            <w:tcW w:w="0" w:type="auto"/>
            <w:tcBorders>
              <w:top w:val="single" w:sz="8" w:space="0" w:color="0071C5"/>
            </w:tcBorders>
            <w:shd w:val="clear" w:color="auto" w:fill="auto"/>
            <w:tcMar>
              <w:top w:w="40" w:type="dxa"/>
              <w:left w:w="20" w:type="dxa"/>
              <w:bottom w:w="40" w:type="dxa"/>
            </w:tcMar>
            <w:vAlign w:val="bottom"/>
          </w:tcPr>
          <w:p w14:paraId="36CA51DE" w14:textId="77777777" w:rsidR="00787570" w:rsidRDefault="000D56E2">
            <w:pPr>
              <w:textAlignment w:val="bottom"/>
            </w:pPr>
            <w:r>
              <w:rPr>
                <w:rFonts w:ascii="Arial" w:eastAsia="宋体" w:hAnsi="Arial" w:cs="Arial"/>
                <w:color w:val="0071C5"/>
                <w:sz w:val="18"/>
                <w:szCs w:val="18"/>
              </w:rPr>
              <w:t>$</w:t>
            </w:r>
          </w:p>
        </w:tc>
        <w:tc>
          <w:tcPr>
            <w:tcW w:w="0" w:type="auto"/>
            <w:tcBorders>
              <w:top w:val="single" w:sz="8" w:space="0" w:color="0071C5"/>
            </w:tcBorders>
            <w:shd w:val="clear" w:color="auto" w:fill="auto"/>
            <w:tcMar>
              <w:top w:w="40" w:type="dxa"/>
              <w:bottom w:w="40" w:type="dxa"/>
              <w:right w:w="0" w:type="dxa"/>
            </w:tcMar>
            <w:vAlign w:val="bottom"/>
          </w:tcPr>
          <w:p w14:paraId="36CA51DF" w14:textId="77777777" w:rsidR="00787570" w:rsidRDefault="000D56E2">
            <w:pPr>
              <w:jc w:val="right"/>
              <w:textAlignment w:val="bottom"/>
            </w:pPr>
            <w:r>
              <w:rPr>
                <w:rFonts w:ascii="Arial" w:eastAsia="宋体" w:hAnsi="Arial" w:cs="Arial"/>
                <w:color w:val="0071C5"/>
                <w:sz w:val="18"/>
                <w:szCs w:val="18"/>
              </w:rPr>
              <w:t>17,590 </w:t>
            </w:r>
          </w:p>
        </w:tc>
        <w:tc>
          <w:tcPr>
            <w:tcW w:w="0" w:type="auto"/>
            <w:tcBorders>
              <w:top w:val="single" w:sz="8" w:space="0" w:color="0071C5"/>
            </w:tcBorders>
            <w:shd w:val="clear" w:color="auto" w:fill="auto"/>
            <w:tcMar>
              <w:top w:w="40" w:type="dxa"/>
              <w:bottom w:w="40" w:type="dxa"/>
              <w:right w:w="20" w:type="dxa"/>
            </w:tcMar>
            <w:vAlign w:val="bottom"/>
          </w:tcPr>
          <w:p w14:paraId="36CA51E0"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51E1" w14:textId="77777777" w:rsidR="00787570" w:rsidRDefault="00787570">
            <w:pPr>
              <w:rPr>
                <w:rFonts w:ascii="宋体"/>
              </w:rPr>
            </w:pPr>
          </w:p>
        </w:tc>
        <w:tc>
          <w:tcPr>
            <w:tcW w:w="0" w:type="auto"/>
            <w:tcBorders>
              <w:top w:val="single" w:sz="8" w:space="0" w:color="0071C5"/>
            </w:tcBorders>
            <w:shd w:val="clear" w:color="auto" w:fill="auto"/>
            <w:tcMar>
              <w:top w:w="40" w:type="dxa"/>
              <w:left w:w="20" w:type="dxa"/>
              <w:bottom w:w="40" w:type="dxa"/>
            </w:tcMar>
            <w:vAlign w:val="bottom"/>
          </w:tcPr>
          <w:p w14:paraId="36CA51E2" w14:textId="77777777" w:rsidR="00787570" w:rsidRDefault="000D56E2">
            <w:pPr>
              <w:textAlignment w:val="bottom"/>
            </w:pPr>
            <w:r>
              <w:rPr>
                <w:rFonts w:ascii="Arial" w:eastAsia="宋体" w:hAnsi="Arial" w:cs="Arial"/>
                <w:color w:val="333333"/>
                <w:sz w:val="18"/>
                <w:szCs w:val="18"/>
              </w:rPr>
              <w:t>$</w:t>
            </w:r>
          </w:p>
        </w:tc>
        <w:tc>
          <w:tcPr>
            <w:tcW w:w="0" w:type="auto"/>
            <w:tcBorders>
              <w:top w:val="single" w:sz="8" w:space="0" w:color="0071C5"/>
            </w:tcBorders>
            <w:shd w:val="clear" w:color="auto" w:fill="auto"/>
            <w:tcMar>
              <w:top w:w="40" w:type="dxa"/>
              <w:bottom w:w="40" w:type="dxa"/>
              <w:right w:w="0" w:type="dxa"/>
            </w:tcMar>
            <w:vAlign w:val="bottom"/>
          </w:tcPr>
          <w:p w14:paraId="36CA51E3" w14:textId="77777777" w:rsidR="00787570" w:rsidRDefault="000D56E2">
            <w:pPr>
              <w:jc w:val="right"/>
              <w:textAlignment w:val="bottom"/>
            </w:pPr>
            <w:r>
              <w:rPr>
                <w:rFonts w:ascii="Arial" w:eastAsia="宋体" w:hAnsi="Arial" w:cs="Arial"/>
                <w:color w:val="333333"/>
                <w:sz w:val="18"/>
                <w:szCs w:val="18"/>
              </w:rPr>
              <w:t>15,990 </w:t>
            </w:r>
          </w:p>
        </w:tc>
        <w:tc>
          <w:tcPr>
            <w:tcW w:w="0" w:type="auto"/>
            <w:tcBorders>
              <w:top w:val="single" w:sz="8" w:space="0" w:color="0071C5"/>
            </w:tcBorders>
            <w:shd w:val="clear" w:color="auto" w:fill="auto"/>
            <w:tcMar>
              <w:top w:w="40" w:type="dxa"/>
              <w:bottom w:w="40" w:type="dxa"/>
              <w:right w:w="20" w:type="dxa"/>
            </w:tcMar>
            <w:vAlign w:val="bottom"/>
          </w:tcPr>
          <w:p w14:paraId="36CA51E4" w14:textId="77777777" w:rsidR="00787570" w:rsidRDefault="00787570">
            <w:pPr>
              <w:jc w:val="right"/>
              <w:rPr>
                <w:rFonts w:ascii="宋体"/>
              </w:rPr>
            </w:pPr>
          </w:p>
        </w:tc>
      </w:tr>
      <w:tr w:rsidR="00787570" w14:paraId="36CA51F7" w14:textId="77777777">
        <w:tc>
          <w:tcPr>
            <w:tcW w:w="0" w:type="auto"/>
            <w:gridSpan w:val="3"/>
            <w:shd w:val="clear" w:color="auto" w:fill="auto"/>
            <w:tcMar>
              <w:top w:w="40" w:type="dxa"/>
              <w:left w:w="20" w:type="dxa"/>
              <w:bottom w:w="40" w:type="dxa"/>
              <w:right w:w="20" w:type="dxa"/>
            </w:tcMar>
          </w:tcPr>
          <w:p w14:paraId="36CA51E6" w14:textId="77777777" w:rsidR="00787570" w:rsidRDefault="000D56E2">
            <w:pPr>
              <w:ind w:hanging="180"/>
              <w:textAlignment w:val="top"/>
            </w:pPr>
            <w:r>
              <w:rPr>
                <w:rFonts w:ascii="Arial" w:eastAsia="宋体" w:hAnsi="Arial" w:cs="Arial"/>
                <w:color w:val="333333"/>
                <w:sz w:val="18"/>
                <w:szCs w:val="18"/>
              </w:rPr>
              <w:t>Provision for taxes</w:t>
            </w:r>
          </w:p>
        </w:tc>
        <w:tc>
          <w:tcPr>
            <w:tcW w:w="0" w:type="auto"/>
            <w:gridSpan w:val="3"/>
            <w:shd w:val="clear" w:color="auto" w:fill="auto"/>
            <w:tcMar>
              <w:left w:w="20" w:type="dxa"/>
              <w:right w:w="20" w:type="dxa"/>
            </w:tcMar>
            <w:vAlign w:val="bottom"/>
          </w:tcPr>
          <w:p w14:paraId="36CA51E7" w14:textId="77777777" w:rsidR="00787570" w:rsidRDefault="00787570">
            <w:pPr>
              <w:rPr>
                <w:rFonts w:ascii="宋体"/>
              </w:rPr>
            </w:pPr>
          </w:p>
        </w:tc>
        <w:tc>
          <w:tcPr>
            <w:tcW w:w="0" w:type="auto"/>
            <w:shd w:val="clear" w:color="auto" w:fill="auto"/>
            <w:tcMar>
              <w:top w:w="40" w:type="dxa"/>
              <w:left w:w="20" w:type="dxa"/>
              <w:bottom w:w="40" w:type="dxa"/>
            </w:tcMar>
            <w:vAlign w:val="bottom"/>
          </w:tcPr>
          <w:p w14:paraId="36CA51E8" w14:textId="77777777" w:rsidR="00787570" w:rsidRDefault="000D56E2">
            <w:pPr>
              <w:textAlignment w:val="bottom"/>
            </w:pPr>
            <w:r>
              <w:rPr>
                <w:rFonts w:ascii="Arial" w:eastAsia="宋体" w:hAnsi="Arial" w:cs="Arial"/>
                <w:color w:val="0071C5"/>
                <w:sz w:val="18"/>
                <w:szCs w:val="18"/>
              </w:rPr>
              <w:t>$</w:t>
            </w:r>
          </w:p>
        </w:tc>
        <w:tc>
          <w:tcPr>
            <w:tcW w:w="0" w:type="auto"/>
            <w:shd w:val="clear" w:color="auto" w:fill="auto"/>
            <w:tcMar>
              <w:top w:w="40" w:type="dxa"/>
              <w:bottom w:w="40" w:type="dxa"/>
              <w:right w:w="0" w:type="dxa"/>
            </w:tcMar>
            <w:vAlign w:val="bottom"/>
          </w:tcPr>
          <w:p w14:paraId="36CA51E9" w14:textId="77777777" w:rsidR="00787570" w:rsidRDefault="000D56E2">
            <w:pPr>
              <w:jc w:val="right"/>
              <w:textAlignment w:val="bottom"/>
            </w:pPr>
            <w:r>
              <w:rPr>
                <w:rFonts w:ascii="Arial" w:eastAsia="宋体" w:hAnsi="Arial" w:cs="Arial"/>
                <w:color w:val="0071C5"/>
                <w:sz w:val="18"/>
                <w:szCs w:val="18"/>
              </w:rPr>
              <w:t>765 </w:t>
            </w:r>
          </w:p>
        </w:tc>
        <w:tc>
          <w:tcPr>
            <w:tcW w:w="0" w:type="auto"/>
            <w:shd w:val="clear" w:color="auto" w:fill="auto"/>
            <w:tcMar>
              <w:top w:w="40" w:type="dxa"/>
              <w:bottom w:w="40" w:type="dxa"/>
              <w:right w:w="20" w:type="dxa"/>
            </w:tcMar>
            <w:vAlign w:val="bottom"/>
          </w:tcPr>
          <w:p w14:paraId="36CA51EA"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51EB" w14:textId="77777777" w:rsidR="00787570" w:rsidRDefault="00787570">
            <w:pPr>
              <w:rPr>
                <w:rFonts w:ascii="宋体"/>
              </w:rPr>
            </w:pPr>
          </w:p>
        </w:tc>
        <w:tc>
          <w:tcPr>
            <w:tcW w:w="0" w:type="auto"/>
            <w:shd w:val="clear" w:color="auto" w:fill="auto"/>
            <w:tcMar>
              <w:top w:w="40" w:type="dxa"/>
              <w:left w:w="20" w:type="dxa"/>
              <w:bottom w:w="40" w:type="dxa"/>
            </w:tcMar>
            <w:vAlign w:val="bottom"/>
          </w:tcPr>
          <w:p w14:paraId="36CA51EC" w14:textId="77777777" w:rsidR="00787570" w:rsidRDefault="000D56E2">
            <w:pPr>
              <w:textAlignment w:val="bottom"/>
            </w:pPr>
            <w:r>
              <w:rPr>
                <w:rFonts w:ascii="Arial" w:eastAsia="宋体" w:hAnsi="Arial" w:cs="Arial"/>
                <w:color w:val="333333"/>
                <w:sz w:val="18"/>
                <w:szCs w:val="18"/>
              </w:rPr>
              <w:t>$</w:t>
            </w:r>
          </w:p>
        </w:tc>
        <w:tc>
          <w:tcPr>
            <w:tcW w:w="0" w:type="auto"/>
            <w:shd w:val="clear" w:color="auto" w:fill="auto"/>
            <w:tcMar>
              <w:top w:w="40" w:type="dxa"/>
              <w:bottom w:w="40" w:type="dxa"/>
              <w:right w:w="0" w:type="dxa"/>
            </w:tcMar>
            <w:vAlign w:val="bottom"/>
          </w:tcPr>
          <w:p w14:paraId="36CA51ED" w14:textId="77777777" w:rsidR="00787570" w:rsidRDefault="000D56E2">
            <w:pPr>
              <w:jc w:val="right"/>
              <w:textAlignment w:val="bottom"/>
            </w:pPr>
            <w:r>
              <w:rPr>
                <w:rFonts w:ascii="Arial" w:eastAsia="宋体" w:hAnsi="Arial" w:cs="Arial"/>
                <w:color w:val="333333"/>
                <w:sz w:val="18"/>
                <w:szCs w:val="18"/>
              </w:rPr>
              <w:t>729 </w:t>
            </w:r>
          </w:p>
        </w:tc>
        <w:tc>
          <w:tcPr>
            <w:tcW w:w="0" w:type="auto"/>
            <w:shd w:val="clear" w:color="auto" w:fill="auto"/>
            <w:tcMar>
              <w:top w:w="40" w:type="dxa"/>
              <w:bottom w:w="40" w:type="dxa"/>
              <w:right w:w="20" w:type="dxa"/>
            </w:tcMar>
            <w:vAlign w:val="bottom"/>
          </w:tcPr>
          <w:p w14:paraId="36CA51EE"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51EF" w14:textId="77777777" w:rsidR="00787570" w:rsidRDefault="00787570">
            <w:pPr>
              <w:rPr>
                <w:rFonts w:ascii="宋体"/>
              </w:rPr>
            </w:pPr>
          </w:p>
        </w:tc>
        <w:tc>
          <w:tcPr>
            <w:tcW w:w="0" w:type="auto"/>
            <w:shd w:val="clear" w:color="auto" w:fill="auto"/>
            <w:tcMar>
              <w:top w:w="40" w:type="dxa"/>
              <w:left w:w="20" w:type="dxa"/>
              <w:bottom w:w="40" w:type="dxa"/>
            </w:tcMar>
            <w:vAlign w:val="bottom"/>
          </w:tcPr>
          <w:p w14:paraId="36CA51F0" w14:textId="77777777" w:rsidR="00787570" w:rsidRDefault="000D56E2">
            <w:pPr>
              <w:textAlignment w:val="bottom"/>
            </w:pPr>
            <w:r>
              <w:rPr>
                <w:rFonts w:ascii="Arial" w:eastAsia="宋体" w:hAnsi="Arial" w:cs="Arial"/>
                <w:color w:val="0071C5"/>
                <w:sz w:val="18"/>
                <w:szCs w:val="18"/>
              </w:rPr>
              <w:t>$</w:t>
            </w:r>
          </w:p>
        </w:tc>
        <w:tc>
          <w:tcPr>
            <w:tcW w:w="0" w:type="auto"/>
            <w:shd w:val="clear" w:color="auto" w:fill="auto"/>
            <w:tcMar>
              <w:top w:w="40" w:type="dxa"/>
              <w:bottom w:w="40" w:type="dxa"/>
              <w:right w:w="0" w:type="dxa"/>
            </w:tcMar>
            <w:vAlign w:val="bottom"/>
          </w:tcPr>
          <w:p w14:paraId="36CA51F1" w14:textId="77777777" w:rsidR="00787570" w:rsidRDefault="000D56E2">
            <w:pPr>
              <w:jc w:val="right"/>
              <w:textAlignment w:val="bottom"/>
            </w:pPr>
            <w:r>
              <w:rPr>
                <w:rFonts w:ascii="Arial" w:eastAsia="宋体" w:hAnsi="Arial" w:cs="Arial"/>
                <w:color w:val="0071C5"/>
                <w:sz w:val="18"/>
                <w:szCs w:val="18"/>
              </w:rPr>
              <w:t>2,548 </w:t>
            </w:r>
          </w:p>
        </w:tc>
        <w:tc>
          <w:tcPr>
            <w:tcW w:w="0" w:type="auto"/>
            <w:shd w:val="clear" w:color="auto" w:fill="auto"/>
            <w:tcMar>
              <w:top w:w="40" w:type="dxa"/>
              <w:bottom w:w="40" w:type="dxa"/>
              <w:right w:w="20" w:type="dxa"/>
            </w:tcMar>
            <w:vAlign w:val="bottom"/>
          </w:tcPr>
          <w:p w14:paraId="36CA51F2"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51F3" w14:textId="77777777" w:rsidR="00787570" w:rsidRDefault="00787570">
            <w:pPr>
              <w:rPr>
                <w:rFonts w:ascii="宋体"/>
              </w:rPr>
            </w:pPr>
          </w:p>
        </w:tc>
        <w:tc>
          <w:tcPr>
            <w:tcW w:w="0" w:type="auto"/>
            <w:shd w:val="clear" w:color="auto" w:fill="auto"/>
            <w:tcMar>
              <w:top w:w="40" w:type="dxa"/>
              <w:left w:w="20" w:type="dxa"/>
              <w:bottom w:w="40" w:type="dxa"/>
            </w:tcMar>
            <w:vAlign w:val="bottom"/>
          </w:tcPr>
          <w:p w14:paraId="36CA51F4" w14:textId="77777777" w:rsidR="00787570" w:rsidRDefault="000D56E2">
            <w:pPr>
              <w:textAlignment w:val="bottom"/>
            </w:pPr>
            <w:r>
              <w:rPr>
                <w:rFonts w:ascii="Arial" w:eastAsia="宋体" w:hAnsi="Arial" w:cs="Arial"/>
                <w:color w:val="333333"/>
                <w:sz w:val="18"/>
                <w:szCs w:val="18"/>
              </w:rPr>
              <w:t>$</w:t>
            </w:r>
          </w:p>
        </w:tc>
        <w:tc>
          <w:tcPr>
            <w:tcW w:w="0" w:type="auto"/>
            <w:shd w:val="clear" w:color="auto" w:fill="auto"/>
            <w:tcMar>
              <w:top w:w="40" w:type="dxa"/>
              <w:bottom w:w="40" w:type="dxa"/>
              <w:right w:w="0" w:type="dxa"/>
            </w:tcMar>
            <w:vAlign w:val="bottom"/>
          </w:tcPr>
          <w:p w14:paraId="36CA51F5" w14:textId="77777777" w:rsidR="00787570" w:rsidRDefault="000D56E2">
            <w:pPr>
              <w:jc w:val="right"/>
              <w:textAlignment w:val="bottom"/>
            </w:pPr>
            <w:r>
              <w:rPr>
                <w:rFonts w:ascii="Arial" w:eastAsia="宋体" w:hAnsi="Arial" w:cs="Arial"/>
                <w:color w:val="333333"/>
                <w:sz w:val="18"/>
                <w:szCs w:val="18"/>
              </w:rPr>
              <w:t>1,847 </w:t>
            </w:r>
          </w:p>
        </w:tc>
        <w:tc>
          <w:tcPr>
            <w:tcW w:w="0" w:type="auto"/>
            <w:shd w:val="clear" w:color="auto" w:fill="auto"/>
            <w:tcMar>
              <w:top w:w="40" w:type="dxa"/>
              <w:bottom w:w="40" w:type="dxa"/>
              <w:right w:w="20" w:type="dxa"/>
            </w:tcMar>
            <w:vAlign w:val="bottom"/>
          </w:tcPr>
          <w:p w14:paraId="36CA51F6" w14:textId="77777777" w:rsidR="00787570" w:rsidRDefault="00787570">
            <w:pPr>
              <w:jc w:val="right"/>
              <w:rPr>
                <w:rFonts w:ascii="宋体"/>
              </w:rPr>
            </w:pPr>
          </w:p>
        </w:tc>
      </w:tr>
      <w:tr w:rsidR="00787570" w14:paraId="36CA5205" w14:textId="77777777">
        <w:tc>
          <w:tcPr>
            <w:tcW w:w="0" w:type="auto"/>
            <w:gridSpan w:val="3"/>
            <w:shd w:val="clear" w:color="auto" w:fill="auto"/>
            <w:tcMar>
              <w:top w:w="40" w:type="dxa"/>
              <w:left w:w="20" w:type="dxa"/>
              <w:bottom w:w="40" w:type="dxa"/>
              <w:right w:w="20" w:type="dxa"/>
            </w:tcMar>
          </w:tcPr>
          <w:p w14:paraId="36CA51F8" w14:textId="77777777" w:rsidR="00787570" w:rsidRDefault="000D56E2">
            <w:pPr>
              <w:ind w:hanging="180"/>
              <w:textAlignment w:val="top"/>
            </w:pPr>
            <w:r>
              <w:rPr>
                <w:rFonts w:ascii="Arial" w:eastAsia="宋体" w:hAnsi="Arial" w:cs="Arial"/>
                <w:color w:val="333333"/>
                <w:sz w:val="18"/>
                <w:szCs w:val="18"/>
              </w:rPr>
              <w:t>Effective tax rate</w:t>
            </w:r>
          </w:p>
        </w:tc>
        <w:tc>
          <w:tcPr>
            <w:tcW w:w="0" w:type="auto"/>
            <w:gridSpan w:val="3"/>
            <w:shd w:val="clear" w:color="auto" w:fill="auto"/>
            <w:tcMar>
              <w:left w:w="20" w:type="dxa"/>
              <w:right w:w="20" w:type="dxa"/>
            </w:tcMar>
            <w:vAlign w:val="bottom"/>
          </w:tcPr>
          <w:p w14:paraId="36CA51F9"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51FA" w14:textId="77777777" w:rsidR="00787570" w:rsidRDefault="000D56E2">
            <w:pPr>
              <w:jc w:val="right"/>
              <w:textAlignment w:val="bottom"/>
            </w:pPr>
            <w:r>
              <w:rPr>
                <w:rFonts w:ascii="Arial" w:eastAsia="宋体" w:hAnsi="Arial" w:cs="Arial"/>
                <w:color w:val="0071C5"/>
                <w:sz w:val="18"/>
                <w:szCs w:val="18"/>
              </w:rPr>
              <w:t>15.2 </w:t>
            </w:r>
          </w:p>
        </w:tc>
        <w:tc>
          <w:tcPr>
            <w:tcW w:w="0" w:type="auto"/>
            <w:shd w:val="clear" w:color="auto" w:fill="auto"/>
            <w:tcMar>
              <w:top w:w="40" w:type="dxa"/>
              <w:bottom w:w="40" w:type="dxa"/>
              <w:right w:w="20" w:type="dxa"/>
            </w:tcMar>
            <w:vAlign w:val="bottom"/>
          </w:tcPr>
          <w:p w14:paraId="36CA51FB" w14:textId="77777777" w:rsidR="00787570" w:rsidRDefault="000D56E2">
            <w:pPr>
              <w:jc w:val="right"/>
              <w:textAlignment w:val="bottom"/>
            </w:pPr>
            <w:r>
              <w:rPr>
                <w:rFonts w:ascii="Arial" w:eastAsia="宋体" w:hAnsi="Arial" w:cs="Arial"/>
                <w:color w:val="0071C5"/>
                <w:sz w:val="18"/>
                <w:szCs w:val="18"/>
              </w:rPr>
              <w:t>%</w:t>
            </w:r>
          </w:p>
        </w:tc>
        <w:tc>
          <w:tcPr>
            <w:tcW w:w="0" w:type="auto"/>
            <w:gridSpan w:val="3"/>
            <w:shd w:val="clear" w:color="auto" w:fill="auto"/>
            <w:tcMar>
              <w:left w:w="20" w:type="dxa"/>
              <w:right w:w="20" w:type="dxa"/>
            </w:tcMar>
            <w:vAlign w:val="bottom"/>
          </w:tcPr>
          <w:p w14:paraId="36CA51FC"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51FD" w14:textId="77777777" w:rsidR="00787570" w:rsidRDefault="000D56E2">
            <w:pPr>
              <w:jc w:val="right"/>
              <w:textAlignment w:val="bottom"/>
            </w:pPr>
            <w:r>
              <w:rPr>
                <w:rFonts w:ascii="Arial" w:eastAsia="宋体" w:hAnsi="Arial" w:cs="Arial"/>
                <w:color w:val="333333"/>
                <w:sz w:val="18"/>
                <w:szCs w:val="18"/>
              </w:rPr>
              <w:t>10.8 </w:t>
            </w:r>
          </w:p>
        </w:tc>
        <w:tc>
          <w:tcPr>
            <w:tcW w:w="0" w:type="auto"/>
            <w:shd w:val="clear" w:color="auto" w:fill="auto"/>
            <w:tcMar>
              <w:top w:w="40" w:type="dxa"/>
              <w:bottom w:w="40" w:type="dxa"/>
              <w:right w:w="20" w:type="dxa"/>
            </w:tcMar>
            <w:vAlign w:val="bottom"/>
          </w:tcPr>
          <w:p w14:paraId="36CA51FE" w14:textId="77777777" w:rsidR="00787570" w:rsidRDefault="000D56E2">
            <w:pPr>
              <w:jc w:val="right"/>
              <w:textAlignment w:val="bottom"/>
            </w:pPr>
            <w:r>
              <w:rPr>
                <w:rFonts w:ascii="Arial" w:eastAsia="宋体" w:hAnsi="Arial" w:cs="Arial"/>
                <w:color w:val="333333"/>
                <w:sz w:val="18"/>
                <w:szCs w:val="18"/>
              </w:rPr>
              <w:t>%</w:t>
            </w:r>
          </w:p>
        </w:tc>
        <w:tc>
          <w:tcPr>
            <w:tcW w:w="0" w:type="auto"/>
            <w:gridSpan w:val="3"/>
            <w:shd w:val="clear" w:color="auto" w:fill="auto"/>
            <w:tcMar>
              <w:left w:w="20" w:type="dxa"/>
              <w:right w:w="20" w:type="dxa"/>
            </w:tcMar>
            <w:vAlign w:val="bottom"/>
          </w:tcPr>
          <w:p w14:paraId="36CA51FF"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5200" w14:textId="77777777" w:rsidR="00787570" w:rsidRDefault="000D56E2">
            <w:pPr>
              <w:jc w:val="right"/>
              <w:textAlignment w:val="bottom"/>
            </w:pPr>
            <w:r>
              <w:rPr>
                <w:rFonts w:ascii="Arial" w:eastAsia="宋体" w:hAnsi="Arial" w:cs="Arial"/>
                <w:color w:val="0071C5"/>
                <w:sz w:val="18"/>
                <w:szCs w:val="18"/>
              </w:rPr>
              <w:t>14.5 </w:t>
            </w:r>
          </w:p>
        </w:tc>
        <w:tc>
          <w:tcPr>
            <w:tcW w:w="0" w:type="auto"/>
            <w:shd w:val="clear" w:color="auto" w:fill="auto"/>
            <w:tcMar>
              <w:top w:w="40" w:type="dxa"/>
              <w:bottom w:w="40" w:type="dxa"/>
              <w:right w:w="20" w:type="dxa"/>
            </w:tcMar>
            <w:vAlign w:val="bottom"/>
          </w:tcPr>
          <w:p w14:paraId="36CA5201" w14:textId="77777777" w:rsidR="00787570" w:rsidRDefault="000D56E2">
            <w:pPr>
              <w:jc w:val="right"/>
              <w:textAlignment w:val="bottom"/>
            </w:pPr>
            <w:r>
              <w:rPr>
                <w:rFonts w:ascii="Arial" w:eastAsia="宋体" w:hAnsi="Arial" w:cs="Arial"/>
                <w:color w:val="0071C5"/>
                <w:sz w:val="18"/>
                <w:szCs w:val="18"/>
              </w:rPr>
              <w:t>%</w:t>
            </w:r>
          </w:p>
        </w:tc>
        <w:tc>
          <w:tcPr>
            <w:tcW w:w="0" w:type="auto"/>
            <w:gridSpan w:val="3"/>
            <w:shd w:val="clear" w:color="auto" w:fill="auto"/>
            <w:tcMar>
              <w:left w:w="20" w:type="dxa"/>
              <w:right w:w="20" w:type="dxa"/>
            </w:tcMar>
            <w:vAlign w:val="bottom"/>
          </w:tcPr>
          <w:p w14:paraId="36CA5202"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5203" w14:textId="77777777" w:rsidR="00787570" w:rsidRDefault="000D56E2">
            <w:pPr>
              <w:jc w:val="right"/>
              <w:textAlignment w:val="bottom"/>
            </w:pPr>
            <w:r>
              <w:rPr>
                <w:rFonts w:ascii="Arial" w:eastAsia="宋体" w:hAnsi="Arial" w:cs="Arial"/>
                <w:color w:val="333333"/>
                <w:sz w:val="18"/>
                <w:szCs w:val="18"/>
              </w:rPr>
              <w:t>11.6 </w:t>
            </w:r>
          </w:p>
        </w:tc>
        <w:tc>
          <w:tcPr>
            <w:tcW w:w="0" w:type="auto"/>
            <w:shd w:val="clear" w:color="auto" w:fill="auto"/>
            <w:tcMar>
              <w:top w:w="40" w:type="dxa"/>
              <w:bottom w:w="40" w:type="dxa"/>
              <w:right w:w="20" w:type="dxa"/>
            </w:tcMar>
            <w:vAlign w:val="bottom"/>
          </w:tcPr>
          <w:p w14:paraId="36CA5204" w14:textId="77777777" w:rsidR="00787570" w:rsidRDefault="000D56E2">
            <w:pPr>
              <w:jc w:val="right"/>
              <w:textAlignment w:val="bottom"/>
            </w:pPr>
            <w:r>
              <w:rPr>
                <w:rFonts w:ascii="Arial" w:eastAsia="宋体" w:hAnsi="Arial" w:cs="Arial"/>
                <w:color w:val="333333"/>
                <w:sz w:val="18"/>
                <w:szCs w:val="18"/>
              </w:rPr>
              <w:t>%</w:t>
            </w:r>
          </w:p>
        </w:tc>
      </w:tr>
    </w:tbl>
    <w:p w14:paraId="36CA5206" w14:textId="77777777" w:rsidR="00787570" w:rsidRDefault="000D56E2">
      <w:pPr>
        <w:spacing w:before="180" w:after="180"/>
      </w:pPr>
      <w:r>
        <w:rPr>
          <w:rFonts w:ascii="Arial" w:eastAsia="宋体" w:hAnsi="Arial" w:cs="Arial"/>
          <w:color w:val="333333"/>
          <w:sz w:val="18"/>
          <w:szCs w:val="18"/>
        </w:rPr>
        <w:t>For the first nine months of 2020, the increase in effective tax rate was driven by a lower U.S. tax benefit derived from sales to non-U.S. customers, lower foreign tax credits, a one-time tax charge associated with a valuation allowance against a net op</w:t>
      </w:r>
      <w:r>
        <w:rPr>
          <w:rFonts w:ascii="Arial" w:eastAsia="宋体" w:hAnsi="Arial" w:cs="Arial"/>
          <w:color w:val="333333"/>
          <w:sz w:val="18"/>
          <w:szCs w:val="18"/>
        </w:rPr>
        <w:t>erating loss deferred tax asset, and a one-time tax charge due to a new interpretation of a tax law in a non-U.S. jurisdiction.</w:t>
      </w:r>
    </w:p>
    <w:p w14:paraId="36CA5207" w14:textId="77777777" w:rsidR="00787570" w:rsidRDefault="00787570">
      <w:pPr>
        <w:spacing w:after="180"/>
      </w:pPr>
    </w:p>
    <w:p w14:paraId="36CA5208" w14:textId="77777777" w:rsidR="00787570" w:rsidRDefault="00787570">
      <w:pPr>
        <w:spacing w:after="180"/>
      </w:pPr>
    </w:p>
    <w:tbl>
      <w:tblPr>
        <w:tblW w:w="5000" w:type="pct"/>
        <w:tblCellMar>
          <w:top w:w="15" w:type="dxa"/>
          <w:left w:w="15" w:type="dxa"/>
          <w:bottom w:w="15" w:type="dxa"/>
          <w:right w:w="15" w:type="dxa"/>
        </w:tblCellMar>
        <w:tblLook w:val="04A0" w:firstRow="1" w:lastRow="0" w:firstColumn="1" w:lastColumn="0" w:noHBand="0" w:noVBand="1"/>
      </w:tblPr>
      <w:tblGrid>
        <w:gridCol w:w="95"/>
        <w:gridCol w:w="416"/>
        <w:gridCol w:w="36"/>
        <w:gridCol w:w="47"/>
        <w:gridCol w:w="4254"/>
        <w:gridCol w:w="36"/>
        <w:gridCol w:w="47"/>
        <w:gridCol w:w="3369"/>
        <w:gridCol w:w="36"/>
      </w:tblGrid>
      <w:tr w:rsidR="00787570" w14:paraId="36CA5212" w14:textId="77777777">
        <w:tc>
          <w:tcPr>
            <w:tcW w:w="50" w:type="pct"/>
            <w:shd w:val="clear" w:color="auto" w:fill="auto"/>
            <w:vAlign w:val="bottom"/>
          </w:tcPr>
          <w:p w14:paraId="36CA5209" w14:textId="77777777" w:rsidR="00787570" w:rsidRDefault="00787570">
            <w:pPr>
              <w:rPr>
                <w:rFonts w:ascii="宋体"/>
              </w:rPr>
            </w:pPr>
          </w:p>
        </w:tc>
        <w:tc>
          <w:tcPr>
            <w:tcW w:w="220" w:type="pct"/>
            <w:shd w:val="clear" w:color="auto" w:fill="auto"/>
            <w:vAlign w:val="bottom"/>
          </w:tcPr>
          <w:p w14:paraId="36CA520A" w14:textId="77777777" w:rsidR="00787570" w:rsidRDefault="00787570">
            <w:pPr>
              <w:rPr>
                <w:rFonts w:ascii="宋体"/>
              </w:rPr>
            </w:pPr>
          </w:p>
        </w:tc>
        <w:tc>
          <w:tcPr>
            <w:tcW w:w="5" w:type="pct"/>
            <w:shd w:val="clear" w:color="auto" w:fill="auto"/>
            <w:vAlign w:val="bottom"/>
          </w:tcPr>
          <w:p w14:paraId="36CA520B" w14:textId="77777777" w:rsidR="00787570" w:rsidRDefault="00787570">
            <w:pPr>
              <w:rPr>
                <w:rFonts w:ascii="宋体"/>
              </w:rPr>
            </w:pPr>
          </w:p>
        </w:tc>
        <w:tc>
          <w:tcPr>
            <w:tcW w:w="50" w:type="pct"/>
            <w:shd w:val="clear" w:color="auto" w:fill="auto"/>
            <w:vAlign w:val="bottom"/>
          </w:tcPr>
          <w:p w14:paraId="36CA520C" w14:textId="77777777" w:rsidR="00787570" w:rsidRDefault="00787570">
            <w:pPr>
              <w:rPr>
                <w:rFonts w:ascii="宋体"/>
              </w:rPr>
            </w:pPr>
          </w:p>
        </w:tc>
        <w:tc>
          <w:tcPr>
            <w:tcW w:w="2572" w:type="pct"/>
            <w:shd w:val="clear" w:color="auto" w:fill="auto"/>
            <w:vAlign w:val="bottom"/>
          </w:tcPr>
          <w:p w14:paraId="36CA520D" w14:textId="77777777" w:rsidR="00787570" w:rsidRDefault="00787570">
            <w:pPr>
              <w:rPr>
                <w:rFonts w:ascii="宋体"/>
              </w:rPr>
            </w:pPr>
          </w:p>
        </w:tc>
        <w:tc>
          <w:tcPr>
            <w:tcW w:w="5" w:type="pct"/>
            <w:shd w:val="clear" w:color="auto" w:fill="auto"/>
            <w:vAlign w:val="bottom"/>
          </w:tcPr>
          <w:p w14:paraId="36CA520E" w14:textId="77777777" w:rsidR="00787570" w:rsidRDefault="00787570">
            <w:pPr>
              <w:rPr>
                <w:rFonts w:ascii="宋体"/>
              </w:rPr>
            </w:pPr>
          </w:p>
        </w:tc>
        <w:tc>
          <w:tcPr>
            <w:tcW w:w="50" w:type="pct"/>
            <w:shd w:val="clear" w:color="auto" w:fill="auto"/>
            <w:vAlign w:val="bottom"/>
          </w:tcPr>
          <w:p w14:paraId="36CA520F" w14:textId="77777777" w:rsidR="00787570" w:rsidRDefault="00787570">
            <w:pPr>
              <w:rPr>
                <w:rFonts w:ascii="宋体"/>
              </w:rPr>
            </w:pPr>
          </w:p>
        </w:tc>
        <w:tc>
          <w:tcPr>
            <w:tcW w:w="2042" w:type="pct"/>
            <w:shd w:val="clear" w:color="auto" w:fill="auto"/>
            <w:vAlign w:val="bottom"/>
          </w:tcPr>
          <w:p w14:paraId="36CA5210" w14:textId="77777777" w:rsidR="00787570" w:rsidRDefault="00787570">
            <w:pPr>
              <w:rPr>
                <w:rFonts w:ascii="宋体"/>
              </w:rPr>
            </w:pPr>
          </w:p>
        </w:tc>
        <w:tc>
          <w:tcPr>
            <w:tcW w:w="5" w:type="pct"/>
            <w:shd w:val="clear" w:color="auto" w:fill="auto"/>
            <w:vAlign w:val="bottom"/>
          </w:tcPr>
          <w:p w14:paraId="36CA5211" w14:textId="77777777" w:rsidR="00787570" w:rsidRDefault="00787570">
            <w:pPr>
              <w:rPr>
                <w:rFonts w:ascii="宋体"/>
              </w:rPr>
            </w:pPr>
          </w:p>
        </w:tc>
      </w:tr>
      <w:tr w:rsidR="00787570" w14:paraId="36CA5216" w14:textId="77777777">
        <w:tc>
          <w:tcPr>
            <w:tcW w:w="0" w:type="auto"/>
            <w:gridSpan w:val="3"/>
            <w:tcBorders>
              <w:top w:val="single" w:sz="8" w:space="0" w:color="0071C5"/>
            </w:tcBorders>
            <w:shd w:val="clear" w:color="auto" w:fill="auto"/>
            <w:tcMar>
              <w:left w:w="20" w:type="dxa"/>
              <w:right w:w="20" w:type="dxa"/>
            </w:tcMar>
            <w:vAlign w:val="center"/>
          </w:tcPr>
          <w:p w14:paraId="36CA5213" w14:textId="77777777" w:rsidR="00787570" w:rsidRDefault="000D56E2">
            <w:pPr>
              <w:textAlignment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Viewer9_files/intc-20200926_g2.jpg"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36CA5C7E" wp14:editId="36CA5C7F">
                  <wp:extent cx="304800" cy="304800"/>
                  <wp:effectExtent l="0" t="0" r="0" b="0"/>
                  <wp:docPr id="53" name="图片 135" descr="IMG_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135" descr="IMG_329"/>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8" w:space="0" w:color="0071C5"/>
            </w:tcBorders>
            <w:shd w:val="clear" w:color="auto" w:fill="auto"/>
            <w:tcMar>
              <w:top w:w="40" w:type="dxa"/>
              <w:left w:w="20" w:type="dxa"/>
              <w:bottom w:w="40" w:type="dxa"/>
              <w:right w:w="20" w:type="dxa"/>
            </w:tcMar>
            <w:vAlign w:val="center"/>
          </w:tcPr>
          <w:p w14:paraId="36CA5214" w14:textId="77777777" w:rsidR="00787570" w:rsidRDefault="000D56E2">
            <w:pPr>
              <w:textAlignment w:val="center"/>
            </w:pPr>
            <w:r>
              <w:rPr>
                <w:rFonts w:ascii="Arial" w:eastAsia="宋体" w:hAnsi="Arial" w:cs="Arial"/>
                <w:color w:val="333333"/>
                <w:sz w:val="16"/>
                <w:szCs w:val="16"/>
              </w:rPr>
              <w:t>MD&amp;A</w:t>
            </w:r>
          </w:p>
        </w:tc>
        <w:tc>
          <w:tcPr>
            <w:tcW w:w="0" w:type="auto"/>
            <w:gridSpan w:val="3"/>
            <w:tcBorders>
              <w:top w:val="single" w:sz="8" w:space="0" w:color="0071C5"/>
            </w:tcBorders>
            <w:shd w:val="clear" w:color="auto" w:fill="auto"/>
            <w:tcMar>
              <w:top w:w="40" w:type="dxa"/>
              <w:left w:w="20" w:type="dxa"/>
              <w:bottom w:w="40" w:type="dxa"/>
              <w:right w:w="20" w:type="dxa"/>
            </w:tcMar>
            <w:vAlign w:val="center"/>
          </w:tcPr>
          <w:p w14:paraId="36CA5215" w14:textId="77777777" w:rsidR="00787570" w:rsidRDefault="000D56E2">
            <w:pPr>
              <w:jc w:val="right"/>
              <w:textAlignment w:val="center"/>
            </w:pPr>
            <w:r>
              <w:rPr>
                <w:rFonts w:ascii="Arial" w:eastAsia="宋体" w:hAnsi="Arial" w:cs="Arial"/>
                <w:color w:val="333333"/>
                <w:sz w:val="16"/>
                <w:szCs w:val="16"/>
              </w:rPr>
              <w:t>39</w:t>
            </w:r>
          </w:p>
        </w:tc>
      </w:tr>
    </w:tbl>
    <w:p w14:paraId="36CA5217" w14:textId="77777777" w:rsidR="00787570" w:rsidRDefault="000D56E2">
      <w:r>
        <w:pict w14:anchorId="36CA5C80">
          <v:rect id="_x0000_i1065" style="width:415.3pt;height:1.5pt" o:hralign="center" o:hrstd="t" o:hr="t" fillcolor="#a0a0a0" stroked="f"/>
        </w:pict>
      </w:r>
    </w:p>
    <w:p w14:paraId="36CA5218" w14:textId="77777777" w:rsidR="00787570" w:rsidRDefault="000D56E2">
      <w:pPr>
        <w:spacing w:after="180"/>
        <w:jc w:val="right"/>
      </w:pPr>
      <w:hyperlink r:id="rId67" w:anchor="i32771df14e9449d2bec5be911426bf04_7" w:history="1">
        <w:r>
          <w:rPr>
            <w:rStyle w:val="a5"/>
            <w:rFonts w:ascii="Arial" w:eastAsia="宋体" w:hAnsi="Arial" w:cs="Arial"/>
            <w:b/>
            <w:bCs/>
            <w:sz w:val="16"/>
            <w:szCs w:val="16"/>
          </w:rPr>
          <w:t>Table of Contents</w:t>
        </w:r>
      </w:hyperlink>
    </w:p>
    <w:p w14:paraId="36CA5219" w14:textId="77777777" w:rsidR="00787570" w:rsidRDefault="00787570">
      <w:pPr>
        <w:spacing w:after="180"/>
        <w:jc w:val="right"/>
      </w:pPr>
    </w:p>
    <w:p w14:paraId="36CA521A" w14:textId="77777777" w:rsidR="00787570" w:rsidRDefault="000D56E2">
      <w:pPr>
        <w:spacing w:after="180"/>
      </w:pPr>
      <w:r>
        <w:rPr>
          <w:rFonts w:ascii="Arial" w:eastAsia="宋体" w:hAnsi="Arial" w:cs="Arial"/>
          <w:b/>
          <w:bCs/>
          <w:color w:val="0071C5"/>
          <w:sz w:val="28"/>
          <w:szCs w:val="28"/>
        </w:rPr>
        <w:t>LIQUIDITY AND CAPITAL RESOURCES</w:t>
      </w:r>
    </w:p>
    <w:p w14:paraId="36CA521B" w14:textId="77777777" w:rsidR="00787570" w:rsidRDefault="000D56E2">
      <w:pPr>
        <w:spacing w:after="120"/>
      </w:pPr>
      <w:r>
        <w:rPr>
          <w:rFonts w:ascii="Arial" w:eastAsia="宋体" w:hAnsi="Arial" w:cs="Arial"/>
          <w:color w:val="333333"/>
          <w:sz w:val="18"/>
          <w:szCs w:val="18"/>
        </w:rPr>
        <w:t>We consider the following when assessing our liquidi</w:t>
      </w:r>
      <w:r>
        <w:rPr>
          <w:rFonts w:ascii="Arial" w:eastAsia="宋体" w:hAnsi="Arial" w:cs="Arial"/>
          <w:color w:val="333333"/>
          <w:sz w:val="18"/>
          <w:szCs w:val="18"/>
        </w:rPr>
        <w:t>ty and capital resources:</w:t>
      </w:r>
    </w:p>
    <w:tbl>
      <w:tblPr>
        <w:tblW w:w="5000" w:type="pct"/>
        <w:tblCellMar>
          <w:top w:w="15" w:type="dxa"/>
          <w:left w:w="15" w:type="dxa"/>
          <w:bottom w:w="15" w:type="dxa"/>
          <w:right w:w="15" w:type="dxa"/>
        </w:tblCellMar>
        <w:tblLook w:val="04A0" w:firstRow="1" w:lastRow="0" w:firstColumn="1" w:lastColumn="0" w:noHBand="0" w:noVBand="1"/>
      </w:tblPr>
      <w:tblGrid>
        <w:gridCol w:w="38"/>
        <w:gridCol w:w="6091"/>
        <w:gridCol w:w="37"/>
        <w:gridCol w:w="36"/>
        <w:gridCol w:w="36"/>
        <w:gridCol w:w="36"/>
        <w:gridCol w:w="136"/>
        <w:gridCol w:w="799"/>
        <w:gridCol w:w="41"/>
        <w:gridCol w:w="36"/>
        <w:gridCol w:w="36"/>
        <w:gridCol w:w="36"/>
        <w:gridCol w:w="136"/>
        <w:gridCol w:w="801"/>
        <w:gridCol w:w="41"/>
      </w:tblGrid>
      <w:tr w:rsidR="00787570" w14:paraId="36CA522B" w14:textId="77777777">
        <w:tc>
          <w:tcPr>
            <w:tcW w:w="50" w:type="pct"/>
            <w:shd w:val="clear" w:color="auto" w:fill="auto"/>
          </w:tcPr>
          <w:p w14:paraId="36CA521C" w14:textId="77777777" w:rsidR="00787570" w:rsidRDefault="00787570">
            <w:pPr>
              <w:rPr>
                <w:rFonts w:ascii="宋体"/>
              </w:rPr>
            </w:pPr>
          </w:p>
        </w:tc>
        <w:tc>
          <w:tcPr>
            <w:tcW w:w="3688" w:type="pct"/>
            <w:shd w:val="clear" w:color="auto" w:fill="auto"/>
          </w:tcPr>
          <w:p w14:paraId="36CA521D" w14:textId="77777777" w:rsidR="00787570" w:rsidRDefault="00787570">
            <w:pPr>
              <w:rPr>
                <w:rFonts w:ascii="宋体"/>
              </w:rPr>
            </w:pPr>
          </w:p>
        </w:tc>
        <w:tc>
          <w:tcPr>
            <w:tcW w:w="5" w:type="pct"/>
            <w:shd w:val="clear" w:color="auto" w:fill="auto"/>
          </w:tcPr>
          <w:p w14:paraId="36CA521E" w14:textId="77777777" w:rsidR="00787570" w:rsidRDefault="00787570">
            <w:pPr>
              <w:rPr>
                <w:rFonts w:ascii="宋体"/>
              </w:rPr>
            </w:pPr>
          </w:p>
        </w:tc>
        <w:tc>
          <w:tcPr>
            <w:tcW w:w="5" w:type="pct"/>
            <w:shd w:val="clear" w:color="auto" w:fill="auto"/>
          </w:tcPr>
          <w:p w14:paraId="36CA521F" w14:textId="77777777" w:rsidR="00787570" w:rsidRDefault="00787570">
            <w:pPr>
              <w:rPr>
                <w:rFonts w:ascii="宋体"/>
              </w:rPr>
            </w:pPr>
          </w:p>
        </w:tc>
        <w:tc>
          <w:tcPr>
            <w:tcW w:w="24" w:type="pct"/>
            <w:shd w:val="clear" w:color="auto" w:fill="auto"/>
          </w:tcPr>
          <w:p w14:paraId="36CA5220" w14:textId="77777777" w:rsidR="00787570" w:rsidRDefault="00787570">
            <w:pPr>
              <w:rPr>
                <w:rFonts w:ascii="宋体"/>
              </w:rPr>
            </w:pPr>
          </w:p>
        </w:tc>
        <w:tc>
          <w:tcPr>
            <w:tcW w:w="5" w:type="pct"/>
            <w:shd w:val="clear" w:color="auto" w:fill="auto"/>
          </w:tcPr>
          <w:p w14:paraId="36CA5221" w14:textId="77777777" w:rsidR="00787570" w:rsidRDefault="00787570">
            <w:pPr>
              <w:rPr>
                <w:rFonts w:ascii="宋体"/>
              </w:rPr>
            </w:pPr>
          </w:p>
        </w:tc>
        <w:tc>
          <w:tcPr>
            <w:tcW w:w="50" w:type="pct"/>
            <w:shd w:val="clear" w:color="auto" w:fill="auto"/>
          </w:tcPr>
          <w:p w14:paraId="36CA5222" w14:textId="77777777" w:rsidR="00787570" w:rsidRDefault="00787570">
            <w:pPr>
              <w:rPr>
                <w:rFonts w:ascii="宋体"/>
              </w:rPr>
            </w:pPr>
          </w:p>
        </w:tc>
        <w:tc>
          <w:tcPr>
            <w:tcW w:w="539" w:type="pct"/>
            <w:shd w:val="clear" w:color="auto" w:fill="auto"/>
          </w:tcPr>
          <w:p w14:paraId="36CA5223" w14:textId="77777777" w:rsidR="00787570" w:rsidRDefault="00787570">
            <w:pPr>
              <w:rPr>
                <w:rFonts w:ascii="宋体"/>
              </w:rPr>
            </w:pPr>
          </w:p>
        </w:tc>
        <w:tc>
          <w:tcPr>
            <w:tcW w:w="5" w:type="pct"/>
            <w:shd w:val="clear" w:color="auto" w:fill="auto"/>
          </w:tcPr>
          <w:p w14:paraId="36CA5224" w14:textId="77777777" w:rsidR="00787570" w:rsidRDefault="00787570">
            <w:pPr>
              <w:rPr>
                <w:rFonts w:ascii="宋体"/>
              </w:rPr>
            </w:pPr>
          </w:p>
        </w:tc>
        <w:tc>
          <w:tcPr>
            <w:tcW w:w="5" w:type="pct"/>
            <w:shd w:val="clear" w:color="auto" w:fill="auto"/>
          </w:tcPr>
          <w:p w14:paraId="36CA5225" w14:textId="77777777" w:rsidR="00787570" w:rsidRDefault="00787570">
            <w:pPr>
              <w:rPr>
                <w:rFonts w:ascii="宋体"/>
              </w:rPr>
            </w:pPr>
          </w:p>
        </w:tc>
        <w:tc>
          <w:tcPr>
            <w:tcW w:w="24" w:type="pct"/>
            <w:shd w:val="clear" w:color="auto" w:fill="auto"/>
          </w:tcPr>
          <w:p w14:paraId="36CA5226" w14:textId="77777777" w:rsidR="00787570" w:rsidRDefault="00787570">
            <w:pPr>
              <w:rPr>
                <w:rFonts w:ascii="宋体"/>
              </w:rPr>
            </w:pPr>
          </w:p>
        </w:tc>
        <w:tc>
          <w:tcPr>
            <w:tcW w:w="5" w:type="pct"/>
            <w:shd w:val="clear" w:color="auto" w:fill="auto"/>
          </w:tcPr>
          <w:p w14:paraId="36CA5227" w14:textId="77777777" w:rsidR="00787570" w:rsidRDefault="00787570">
            <w:pPr>
              <w:rPr>
                <w:rFonts w:ascii="宋体"/>
              </w:rPr>
            </w:pPr>
          </w:p>
        </w:tc>
        <w:tc>
          <w:tcPr>
            <w:tcW w:w="50" w:type="pct"/>
            <w:shd w:val="clear" w:color="auto" w:fill="auto"/>
          </w:tcPr>
          <w:p w14:paraId="36CA5228" w14:textId="77777777" w:rsidR="00787570" w:rsidRDefault="00787570">
            <w:pPr>
              <w:rPr>
                <w:rFonts w:ascii="宋体"/>
              </w:rPr>
            </w:pPr>
          </w:p>
        </w:tc>
        <w:tc>
          <w:tcPr>
            <w:tcW w:w="539" w:type="pct"/>
            <w:shd w:val="clear" w:color="auto" w:fill="auto"/>
          </w:tcPr>
          <w:p w14:paraId="36CA5229" w14:textId="77777777" w:rsidR="00787570" w:rsidRDefault="00787570">
            <w:pPr>
              <w:rPr>
                <w:rFonts w:ascii="宋体"/>
              </w:rPr>
            </w:pPr>
          </w:p>
        </w:tc>
        <w:tc>
          <w:tcPr>
            <w:tcW w:w="5" w:type="pct"/>
            <w:shd w:val="clear" w:color="auto" w:fill="auto"/>
          </w:tcPr>
          <w:p w14:paraId="36CA522A" w14:textId="77777777" w:rsidR="00787570" w:rsidRDefault="00787570">
            <w:pPr>
              <w:rPr>
                <w:rFonts w:ascii="宋体"/>
              </w:rPr>
            </w:pPr>
          </w:p>
        </w:tc>
      </w:tr>
      <w:tr w:rsidR="00787570" w14:paraId="36CA5231" w14:textId="77777777">
        <w:tc>
          <w:tcPr>
            <w:tcW w:w="0" w:type="auto"/>
            <w:gridSpan w:val="3"/>
            <w:shd w:val="clear" w:color="auto" w:fill="auto"/>
            <w:tcMar>
              <w:top w:w="40" w:type="dxa"/>
              <w:left w:w="20" w:type="dxa"/>
              <w:bottom w:w="40" w:type="dxa"/>
              <w:right w:w="20" w:type="dxa"/>
            </w:tcMar>
            <w:vAlign w:val="bottom"/>
          </w:tcPr>
          <w:p w14:paraId="36CA522C" w14:textId="77777777" w:rsidR="00787570" w:rsidRDefault="000D56E2">
            <w:pPr>
              <w:textAlignment w:val="bottom"/>
            </w:pPr>
            <w:r>
              <w:rPr>
                <w:rFonts w:ascii="Arial" w:eastAsia="宋体" w:hAnsi="Arial" w:cs="Arial"/>
                <w:b/>
                <w:bCs/>
                <w:color w:val="333333"/>
                <w:sz w:val="18"/>
                <w:szCs w:val="18"/>
              </w:rPr>
              <w:t>(In Millions)</w:t>
            </w:r>
          </w:p>
        </w:tc>
        <w:tc>
          <w:tcPr>
            <w:tcW w:w="0" w:type="auto"/>
            <w:gridSpan w:val="3"/>
            <w:shd w:val="clear" w:color="auto" w:fill="auto"/>
            <w:tcMar>
              <w:left w:w="20" w:type="dxa"/>
              <w:right w:w="20" w:type="dxa"/>
            </w:tcMar>
            <w:vAlign w:val="bottom"/>
          </w:tcPr>
          <w:p w14:paraId="36CA522D" w14:textId="77777777" w:rsidR="00787570" w:rsidRDefault="00787570">
            <w:pPr>
              <w:rPr>
                <w:rFonts w:ascii="宋体"/>
              </w:rPr>
            </w:pPr>
          </w:p>
        </w:tc>
        <w:tc>
          <w:tcPr>
            <w:tcW w:w="0" w:type="auto"/>
            <w:gridSpan w:val="3"/>
            <w:shd w:val="clear" w:color="auto" w:fill="auto"/>
            <w:tcMar>
              <w:top w:w="40" w:type="dxa"/>
              <w:left w:w="20" w:type="dxa"/>
              <w:bottom w:w="40" w:type="dxa"/>
              <w:right w:w="20" w:type="dxa"/>
            </w:tcMar>
            <w:vAlign w:val="bottom"/>
          </w:tcPr>
          <w:p w14:paraId="36CA522E" w14:textId="77777777" w:rsidR="00787570" w:rsidRDefault="000D56E2">
            <w:pPr>
              <w:jc w:val="center"/>
              <w:textAlignment w:val="bottom"/>
            </w:pPr>
            <w:r>
              <w:rPr>
                <w:rFonts w:ascii="Arial" w:eastAsia="宋体" w:hAnsi="Arial" w:cs="Arial"/>
                <w:b/>
                <w:bCs/>
                <w:color w:val="333333"/>
                <w:sz w:val="18"/>
                <w:szCs w:val="18"/>
              </w:rPr>
              <w:t>Sep 26, 2020</w:t>
            </w:r>
          </w:p>
        </w:tc>
        <w:tc>
          <w:tcPr>
            <w:tcW w:w="0" w:type="auto"/>
            <w:gridSpan w:val="3"/>
            <w:shd w:val="clear" w:color="auto" w:fill="auto"/>
            <w:tcMar>
              <w:left w:w="20" w:type="dxa"/>
              <w:right w:w="20" w:type="dxa"/>
            </w:tcMar>
            <w:vAlign w:val="bottom"/>
          </w:tcPr>
          <w:p w14:paraId="36CA522F" w14:textId="77777777" w:rsidR="00787570" w:rsidRDefault="00787570">
            <w:pPr>
              <w:rPr>
                <w:rFonts w:ascii="宋体"/>
              </w:rPr>
            </w:pPr>
          </w:p>
        </w:tc>
        <w:tc>
          <w:tcPr>
            <w:tcW w:w="0" w:type="auto"/>
            <w:gridSpan w:val="3"/>
            <w:shd w:val="clear" w:color="auto" w:fill="auto"/>
            <w:tcMar>
              <w:top w:w="40" w:type="dxa"/>
              <w:left w:w="20" w:type="dxa"/>
              <w:bottom w:w="40" w:type="dxa"/>
              <w:right w:w="20" w:type="dxa"/>
            </w:tcMar>
            <w:vAlign w:val="bottom"/>
          </w:tcPr>
          <w:p w14:paraId="36CA5230" w14:textId="77777777" w:rsidR="00787570" w:rsidRDefault="000D56E2">
            <w:pPr>
              <w:jc w:val="center"/>
              <w:textAlignment w:val="bottom"/>
            </w:pPr>
            <w:r>
              <w:rPr>
                <w:rFonts w:ascii="Arial" w:eastAsia="宋体" w:hAnsi="Arial" w:cs="Arial"/>
                <w:b/>
                <w:bCs/>
                <w:color w:val="333333"/>
                <w:sz w:val="18"/>
                <w:szCs w:val="18"/>
              </w:rPr>
              <w:t>Dec 28, 2019</w:t>
            </w:r>
          </w:p>
        </w:tc>
      </w:tr>
      <w:tr w:rsidR="00787570" w14:paraId="36CA523B" w14:textId="77777777">
        <w:tc>
          <w:tcPr>
            <w:tcW w:w="0" w:type="auto"/>
            <w:gridSpan w:val="3"/>
            <w:tcBorders>
              <w:top w:val="single" w:sz="8" w:space="0" w:color="0071C5"/>
            </w:tcBorders>
            <w:shd w:val="clear" w:color="auto" w:fill="auto"/>
            <w:tcMar>
              <w:top w:w="40" w:type="dxa"/>
              <w:left w:w="20" w:type="dxa"/>
              <w:bottom w:w="40" w:type="dxa"/>
              <w:right w:w="20" w:type="dxa"/>
            </w:tcMar>
          </w:tcPr>
          <w:p w14:paraId="36CA5232" w14:textId="77777777" w:rsidR="00787570" w:rsidRDefault="000D56E2">
            <w:pPr>
              <w:ind w:hanging="180"/>
              <w:textAlignment w:val="top"/>
            </w:pPr>
            <w:r>
              <w:rPr>
                <w:rFonts w:ascii="Arial" w:eastAsia="宋体" w:hAnsi="Arial" w:cs="Arial"/>
                <w:color w:val="333333"/>
                <w:sz w:val="18"/>
                <w:szCs w:val="18"/>
              </w:rPr>
              <w:t>Cash and cash equivalents, short-term investments, and trading assets</w:t>
            </w:r>
          </w:p>
        </w:tc>
        <w:tc>
          <w:tcPr>
            <w:tcW w:w="0" w:type="auto"/>
            <w:gridSpan w:val="3"/>
            <w:shd w:val="clear" w:color="auto" w:fill="auto"/>
            <w:tcMar>
              <w:left w:w="20" w:type="dxa"/>
              <w:right w:w="20" w:type="dxa"/>
            </w:tcMar>
            <w:vAlign w:val="bottom"/>
          </w:tcPr>
          <w:p w14:paraId="36CA5233" w14:textId="77777777" w:rsidR="00787570" w:rsidRDefault="00787570">
            <w:pPr>
              <w:rPr>
                <w:rFonts w:ascii="宋体"/>
              </w:rPr>
            </w:pPr>
          </w:p>
        </w:tc>
        <w:tc>
          <w:tcPr>
            <w:tcW w:w="0" w:type="auto"/>
            <w:tcBorders>
              <w:top w:val="single" w:sz="8" w:space="0" w:color="0071C5"/>
            </w:tcBorders>
            <w:shd w:val="clear" w:color="auto" w:fill="auto"/>
            <w:tcMar>
              <w:top w:w="40" w:type="dxa"/>
              <w:left w:w="20" w:type="dxa"/>
              <w:bottom w:w="40" w:type="dxa"/>
            </w:tcMar>
            <w:vAlign w:val="bottom"/>
          </w:tcPr>
          <w:p w14:paraId="36CA5234" w14:textId="77777777" w:rsidR="00787570" w:rsidRDefault="000D56E2">
            <w:pPr>
              <w:textAlignment w:val="bottom"/>
            </w:pPr>
            <w:r>
              <w:rPr>
                <w:rFonts w:ascii="Arial" w:eastAsia="宋体" w:hAnsi="Arial" w:cs="Arial"/>
                <w:color w:val="026DCE"/>
                <w:sz w:val="18"/>
                <w:szCs w:val="18"/>
              </w:rPr>
              <w:t>$</w:t>
            </w:r>
          </w:p>
        </w:tc>
        <w:tc>
          <w:tcPr>
            <w:tcW w:w="0" w:type="auto"/>
            <w:tcBorders>
              <w:top w:val="single" w:sz="8" w:space="0" w:color="0071C5"/>
            </w:tcBorders>
            <w:shd w:val="clear" w:color="auto" w:fill="auto"/>
            <w:tcMar>
              <w:top w:w="40" w:type="dxa"/>
              <w:bottom w:w="40" w:type="dxa"/>
              <w:right w:w="0" w:type="dxa"/>
            </w:tcMar>
            <w:vAlign w:val="bottom"/>
          </w:tcPr>
          <w:p w14:paraId="36CA5235" w14:textId="77777777" w:rsidR="00787570" w:rsidRDefault="000D56E2">
            <w:pPr>
              <w:jc w:val="right"/>
              <w:textAlignment w:val="bottom"/>
            </w:pPr>
            <w:r>
              <w:rPr>
                <w:rFonts w:ascii="Arial" w:eastAsia="宋体" w:hAnsi="Arial" w:cs="Arial"/>
                <w:color w:val="026DCE"/>
                <w:sz w:val="18"/>
                <w:szCs w:val="18"/>
              </w:rPr>
              <w:t>18,253 </w:t>
            </w:r>
          </w:p>
        </w:tc>
        <w:tc>
          <w:tcPr>
            <w:tcW w:w="0" w:type="auto"/>
            <w:tcBorders>
              <w:top w:val="single" w:sz="8" w:space="0" w:color="0071C5"/>
            </w:tcBorders>
            <w:shd w:val="clear" w:color="auto" w:fill="auto"/>
            <w:tcMar>
              <w:top w:w="40" w:type="dxa"/>
              <w:bottom w:w="40" w:type="dxa"/>
              <w:right w:w="20" w:type="dxa"/>
            </w:tcMar>
            <w:vAlign w:val="bottom"/>
          </w:tcPr>
          <w:p w14:paraId="36CA5236"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5237" w14:textId="77777777" w:rsidR="00787570" w:rsidRDefault="00787570">
            <w:pPr>
              <w:rPr>
                <w:rFonts w:ascii="宋体"/>
              </w:rPr>
            </w:pPr>
          </w:p>
        </w:tc>
        <w:tc>
          <w:tcPr>
            <w:tcW w:w="0" w:type="auto"/>
            <w:tcBorders>
              <w:top w:val="single" w:sz="8" w:space="0" w:color="0071C5"/>
            </w:tcBorders>
            <w:shd w:val="clear" w:color="auto" w:fill="auto"/>
            <w:tcMar>
              <w:top w:w="40" w:type="dxa"/>
              <w:left w:w="20" w:type="dxa"/>
              <w:bottom w:w="40" w:type="dxa"/>
            </w:tcMar>
            <w:vAlign w:val="bottom"/>
          </w:tcPr>
          <w:p w14:paraId="36CA5238" w14:textId="77777777" w:rsidR="00787570" w:rsidRDefault="000D56E2">
            <w:pPr>
              <w:textAlignment w:val="bottom"/>
            </w:pPr>
            <w:r>
              <w:rPr>
                <w:rFonts w:ascii="Arial" w:eastAsia="宋体" w:hAnsi="Arial" w:cs="Arial"/>
                <w:color w:val="333333"/>
                <w:sz w:val="18"/>
                <w:szCs w:val="18"/>
              </w:rPr>
              <w:t>$</w:t>
            </w:r>
          </w:p>
        </w:tc>
        <w:tc>
          <w:tcPr>
            <w:tcW w:w="0" w:type="auto"/>
            <w:tcBorders>
              <w:top w:val="single" w:sz="8" w:space="0" w:color="0071C5"/>
            </w:tcBorders>
            <w:shd w:val="clear" w:color="auto" w:fill="auto"/>
            <w:tcMar>
              <w:top w:w="40" w:type="dxa"/>
              <w:bottom w:w="40" w:type="dxa"/>
              <w:right w:w="0" w:type="dxa"/>
            </w:tcMar>
            <w:vAlign w:val="bottom"/>
          </w:tcPr>
          <w:p w14:paraId="36CA5239" w14:textId="77777777" w:rsidR="00787570" w:rsidRDefault="000D56E2">
            <w:pPr>
              <w:jc w:val="right"/>
              <w:textAlignment w:val="bottom"/>
            </w:pPr>
            <w:r>
              <w:rPr>
                <w:rFonts w:ascii="Arial" w:eastAsia="宋体" w:hAnsi="Arial" w:cs="Arial"/>
                <w:color w:val="333333"/>
                <w:sz w:val="18"/>
                <w:szCs w:val="18"/>
              </w:rPr>
              <w:t>13,123 </w:t>
            </w:r>
          </w:p>
        </w:tc>
        <w:tc>
          <w:tcPr>
            <w:tcW w:w="0" w:type="auto"/>
            <w:tcBorders>
              <w:top w:val="single" w:sz="8" w:space="0" w:color="0071C5"/>
            </w:tcBorders>
            <w:shd w:val="clear" w:color="auto" w:fill="auto"/>
            <w:tcMar>
              <w:top w:w="40" w:type="dxa"/>
              <w:bottom w:w="40" w:type="dxa"/>
              <w:right w:w="20" w:type="dxa"/>
            </w:tcMar>
            <w:vAlign w:val="bottom"/>
          </w:tcPr>
          <w:p w14:paraId="36CA523A" w14:textId="77777777" w:rsidR="00787570" w:rsidRDefault="00787570">
            <w:pPr>
              <w:jc w:val="right"/>
              <w:rPr>
                <w:rFonts w:ascii="宋体"/>
              </w:rPr>
            </w:pPr>
          </w:p>
        </w:tc>
      </w:tr>
      <w:tr w:rsidR="00787570" w14:paraId="36CA5245" w14:textId="77777777">
        <w:tc>
          <w:tcPr>
            <w:tcW w:w="0" w:type="auto"/>
            <w:gridSpan w:val="3"/>
            <w:shd w:val="clear" w:color="auto" w:fill="auto"/>
            <w:tcMar>
              <w:top w:w="40" w:type="dxa"/>
              <w:left w:w="20" w:type="dxa"/>
              <w:bottom w:w="40" w:type="dxa"/>
              <w:right w:w="20" w:type="dxa"/>
            </w:tcMar>
          </w:tcPr>
          <w:p w14:paraId="36CA523C" w14:textId="77777777" w:rsidR="00787570" w:rsidRDefault="000D56E2">
            <w:pPr>
              <w:ind w:hanging="180"/>
              <w:textAlignment w:val="top"/>
            </w:pPr>
            <w:r>
              <w:rPr>
                <w:rFonts w:ascii="Arial" w:eastAsia="宋体" w:hAnsi="Arial" w:cs="Arial"/>
                <w:color w:val="333333"/>
                <w:sz w:val="18"/>
                <w:szCs w:val="18"/>
              </w:rPr>
              <w:t>Other long-term investments</w:t>
            </w:r>
          </w:p>
        </w:tc>
        <w:tc>
          <w:tcPr>
            <w:tcW w:w="0" w:type="auto"/>
            <w:gridSpan w:val="3"/>
            <w:shd w:val="clear" w:color="auto" w:fill="auto"/>
            <w:tcMar>
              <w:left w:w="20" w:type="dxa"/>
              <w:right w:w="20" w:type="dxa"/>
            </w:tcMar>
            <w:vAlign w:val="bottom"/>
          </w:tcPr>
          <w:p w14:paraId="36CA523D" w14:textId="77777777" w:rsidR="00787570" w:rsidRDefault="00787570">
            <w:pPr>
              <w:rPr>
                <w:rFonts w:ascii="宋体"/>
              </w:rPr>
            </w:pPr>
          </w:p>
        </w:tc>
        <w:tc>
          <w:tcPr>
            <w:tcW w:w="0" w:type="auto"/>
            <w:shd w:val="clear" w:color="auto" w:fill="auto"/>
            <w:tcMar>
              <w:top w:w="40" w:type="dxa"/>
              <w:left w:w="20" w:type="dxa"/>
              <w:bottom w:w="40" w:type="dxa"/>
            </w:tcMar>
            <w:vAlign w:val="bottom"/>
          </w:tcPr>
          <w:p w14:paraId="36CA523E" w14:textId="77777777" w:rsidR="00787570" w:rsidRDefault="000D56E2">
            <w:pPr>
              <w:textAlignment w:val="bottom"/>
            </w:pPr>
            <w:r>
              <w:rPr>
                <w:rFonts w:ascii="Arial" w:eastAsia="宋体" w:hAnsi="Arial" w:cs="Arial"/>
                <w:color w:val="026DCE"/>
                <w:sz w:val="18"/>
                <w:szCs w:val="18"/>
              </w:rPr>
              <w:t>$</w:t>
            </w:r>
          </w:p>
        </w:tc>
        <w:tc>
          <w:tcPr>
            <w:tcW w:w="0" w:type="auto"/>
            <w:shd w:val="clear" w:color="auto" w:fill="auto"/>
            <w:tcMar>
              <w:top w:w="40" w:type="dxa"/>
              <w:bottom w:w="40" w:type="dxa"/>
              <w:right w:w="0" w:type="dxa"/>
            </w:tcMar>
            <w:vAlign w:val="bottom"/>
          </w:tcPr>
          <w:p w14:paraId="36CA523F" w14:textId="77777777" w:rsidR="00787570" w:rsidRDefault="000D56E2">
            <w:pPr>
              <w:jc w:val="right"/>
              <w:textAlignment w:val="bottom"/>
            </w:pPr>
            <w:r>
              <w:rPr>
                <w:rFonts w:ascii="Arial" w:eastAsia="宋体" w:hAnsi="Arial" w:cs="Arial"/>
                <w:color w:val="026DCE"/>
                <w:sz w:val="18"/>
                <w:szCs w:val="18"/>
              </w:rPr>
              <w:t>2,720 </w:t>
            </w:r>
          </w:p>
        </w:tc>
        <w:tc>
          <w:tcPr>
            <w:tcW w:w="0" w:type="auto"/>
            <w:shd w:val="clear" w:color="auto" w:fill="auto"/>
            <w:tcMar>
              <w:top w:w="40" w:type="dxa"/>
              <w:bottom w:w="40" w:type="dxa"/>
              <w:right w:w="20" w:type="dxa"/>
            </w:tcMar>
            <w:vAlign w:val="bottom"/>
          </w:tcPr>
          <w:p w14:paraId="36CA5240"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5241" w14:textId="77777777" w:rsidR="00787570" w:rsidRDefault="00787570">
            <w:pPr>
              <w:rPr>
                <w:rFonts w:ascii="宋体"/>
              </w:rPr>
            </w:pPr>
          </w:p>
        </w:tc>
        <w:tc>
          <w:tcPr>
            <w:tcW w:w="0" w:type="auto"/>
            <w:shd w:val="clear" w:color="auto" w:fill="auto"/>
            <w:tcMar>
              <w:top w:w="40" w:type="dxa"/>
              <w:left w:w="20" w:type="dxa"/>
              <w:bottom w:w="40" w:type="dxa"/>
            </w:tcMar>
            <w:vAlign w:val="bottom"/>
          </w:tcPr>
          <w:p w14:paraId="36CA5242" w14:textId="77777777" w:rsidR="00787570" w:rsidRDefault="000D56E2">
            <w:pPr>
              <w:textAlignment w:val="bottom"/>
            </w:pPr>
            <w:r>
              <w:rPr>
                <w:rFonts w:ascii="Arial" w:eastAsia="宋体" w:hAnsi="Arial" w:cs="Arial"/>
                <w:color w:val="333333"/>
                <w:sz w:val="18"/>
                <w:szCs w:val="18"/>
              </w:rPr>
              <w:t>$</w:t>
            </w:r>
          </w:p>
        </w:tc>
        <w:tc>
          <w:tcPr>
            <w:tcW w:w="0" w:type="auto"/>
            <w:shd w:val="clear" w:color="auto" w:fill="auto"/>
            <w:tcMar>
              <w:top w:w="40" w:type="dxa"/>
              <w:bottom w:w="40" w:type="dxa"/>
              <w:right w:w="0" w:type="dxa"/>
            </w:tcMar>
            <w:vAlign w:val="bottom"/>
          </w:tcPr>
          <w:p w14:paraId="36CA5243" w14:textId="77777777" w:rsidR="00787570" w:rsidRDefault="000D56E2">
            <w:pPr>
              <w:jc w:val="right"/>
              <w:textAlignment w:val="bottom"/>
            </w:pPr>
            <w:r>
              <w:rPr>
                <w:rFonts w:ascii="Arial" w:eastAsia="宋体" w:hAnsi="Arial" w:cs="Arial"/>
                <w:color w:val="333333"/>
                <w:sz w:val="18"/>
                <w:szCs w:val="18"/>
              </w:rPr>
              <w:t>3,276 </w:t>
            </w:r>
          </w:p>
        </w:tc>
        <w:tc>
          <w:tcPr>
            <w:tcW w:w="0" w:type="auto"/>
            <w:shd w:val="clear" w:color="auto" w:fill="auto"/>
            <w:tcMar>
              <w:top w:w="40" w:type="dxa"/>
              <w:bottom w:w="40" w:type="dxa"/>
              <w:right w:w="20" w:type="dxa"/>
            </w:tcMar>
            <w:vAlign w:val="bottom"/>
          </w:tcPr>
          <w:p w14:paraId="36CA5244" w14:textId="77777777" w:rsidR="00787570" w:rsidRDefault="00787570">
            <w:pPr>
              <w:jc w:val="right"/>
              <w:rPr>
                <w:rFonts w:ascii="宋体"/>
              </w:rPr>
            </w:pPr>
          </w:p>
        </w:tc>
      </w:tr>
      <w:tr w:rsidR="00787570" w14:paraId="36CA524F" w14:textId="77777777">
        <w:tc>
          <w:tcPr>
            <w:tcW w:w="0" w:type="auto"/>
            <w:gridSpan w:val="3"/>
            <w:shd w:val="clear" w:color="auto" w:fill="auto"/>
            <w:tcMar>
              <w:top w:w="40" w:type="dxa"/>
              <w:left w:w="20" w:type="dxa"/>
              <w:bottom w:w="40" w:type="dxa"/>
              <w:right w:w="20" w:type="dxa"/>
            </w:tcMar>
          </w:tcPr>
          <w:p w14:paraId="36CA5246" w14:textId="77777777" w:rsidR="00787570" w:rsidRDefault="000D56E2">
            <w:pPr>
              <w:ind w:hanging="180"/>
              <w:textAlignment w:val="top"/>
            </w:pPr>
            <w:r>
              <w:rPr>
                <w:rFonts w:ascii="Arial" w:eastAsia="宋体" w:hAnsi="Arial" w:cs="Arial"/>
                <w:color w:val="333333"/>
                <w:sz w:val="18"/>
                <w:szCs w:val="18"/>
              </w:rPr>
              <w:t xml:space="preserve">Loans </w:t>
            </w:r>
            <w:r>
              <w:rPr>
                <w:rFonts w:ascii="Arial" w:eastAsia="宋体" w:hAnsi="Arial" w:cs="Arial"/>
                <w:color w:val="333333"/>
                <w:sz w:val="18"/>
                <w:szCs w:val="18"/>
              </w:rPr>
              <w:t>receivable and other</w:t>
            </w:r>
          </w:p>
        </w:tc>
        <w:tc>
          <w:tcPr>
            <w:tcW w:w="0" w:type="auto"/>
            <w:gridSpan w:val="3"/>
            <w:shd w:val="clear" w:color="auto" w:fill="auto"/>
            <w:tcMar>
              <w:left w:w="20" w:type="dxa"/>
              <w:right w:w="20" w:type="dxa"/>
            </w:tcMar>
            <w:vAlign w:val="bottom"/>
          </w:tcPr>
          <w:p w14:paraId="36CA5247" w14:textId="77777777" w:rsidR="00787570" w:rsidRDefault="00787570">
            <w:pPr>
              <w:rPr>
                <w:rFonts w:ascii="宋体"/>
              </w:rPr>
            </w:pPr>
          </w:p>
        </w:tc>
        <w:tc>
          <w:tcPr>
            <w:tcW w:w="0" w:type="auto"/>
            <w:shd w:val="clear" w:color="auto" w:fill="auto"/>
            <w:tcMar>
              <w:top w:w="40" w:type="dxa"/>
              <w:left w:w="20" w:type="dxa"/>
              <w:bottom w:w="40" w:type="dxa"/>
            </w:tcMar>
            <w:vAlign w:val="bottom"/>
          </w:tcPr>
          <w:p w14:paraId="36CA5248" w14:textId="77777777" w:rsidR="00787570" w:rsidRDefault="000D56E2">
            <w:pPr>
              <w:textAlignment w:val="bottom"/>
            </w:pPr>
            <w:r>
              <w:rPr>
                <w:rFonts w:ascii="Arial" w:eastAsia="宋体" w:hAnsi="Arial" w:cs="Arial"/>
                <w:color w:val="026DCE"/>
                <w:sz w:val="18"/>
                <w:szCs w:val="18"/>
              </w:rPr>
              <w:t>$</w:t>
            </w:r>
          </w:p>
        </w:tc>
        <w:tc>
          <w:tcPr>
            <w:tcW w:w="0" w:type="auto"/>
            <w:shd w:val="clear" w:color="auto" w:fill="auto"/>
            <w:tcMar>
              <w:top w:w="40" w:type="dxa"/>
              <w:bottom w:w="40" w:type="dxa"/>
              <w:right w:w="0" w:type="dxa"/>
            </w:tcMar>
            <w:vAlign w:val="bottom"/>
          </w:tcPr>
          <w:p w14:paraId="36CA5249" w14:textId="77777777" w:rsidR="00787570" w:rsidRDefault="000D56E2">
            <w:pPr>
              <w:jc w:val="right"/>
              <w:textAlignment w:val="bottom"/>
            </w:pPr>
            <w:r>
              <w:rPr>
                <w:rFonts w:ascii="Arial" w:eastAsia="宋体" w:hAnsi="Arial" w:cs="Arial"/>
                <w:color w:val="026DCE"/>
                <w:sz w:val="18"/>
                <w:szCs w:val="18"/>
              </w:rPr>
              <w:t>1,298 </w:t>
            </w:r>
          </w:p>
        </w:tc>
        <w:tc>
          <w:tcPr>
            <w:tcW w:w="0" w:type="auto"/>
            <w:shd w:val="clear" w:color="auto" w:fill="auto"/>
            <w:tcMar>
              <w:top w:w="40" w:type="dxa"/>
              <w:bottom w:w="40" w:type="dxa"/>
              <w:right w:w="20" w:type="dxa"/>
            </w:tcMar>
            <w:vAlign w:val="bottom"/>
          </w:tcPr>
          <w:p w14:paraId="36CA524A"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524B" w14:textId="77777777" w:rsidR="00787570" w:rsidRDefault="00787570">
            <w:pPr>
              <w:rPr>
                <w:rFonts w:ascii="宋体"/>
              </w:rPr>
            </w:pPr>
          </w:p>
        </w:tc>
        <w:tc>
          <w:tcPr>
            <w:tcW w:w="0" w:type="auto"/>
            <w:shd w:val="clear" w:color="auto" w:fill="auto"/>
            <w:tcMar>
              <w:top w:w="40" w:type="dxa"/>
              <w:left w:w="20" w:type="dxa"/>
              <w:bottom w:w="40" w:type="dxa"/>
            </w:tcMar>
            <w:vAlign w:val="bottom"/>
          </w:tcPr>
          <w:p w14:paraId="36CA524C" w14:textId="77777777" w:rsidR="00787570" w:rsidRDefault="000D56E2">
            <w:pPr>
              <w:textAlignment w:val="bottom"/>
            </w:pPr>
            <w:r>
              <w:rPr>
                <w:rFonts w:ascii="Arial" w:eastAsia="宋体" w:hAnsi="Arial" w:cs="Arial"/>
                <w:color w:val="333333"/>
                <w:sz w:val="18"/>
                <w:szCs w:val="18"/>
              </w:rPr>
              <w:t>$</w:t>
            </w:r>
          </w:p>
        </w:tc>
        <w:tc>
          <w:tcPr>
            <w:tcW w:w="0" w:type="auto"/>
            <w:shd w:val="clear" w:color="auto" w:fill="auto"/>
            <w:tcMar>
              <w:top w:w="40" w:type="dxa"/>
              <w:bottom w:w="40" w:type="dxa"/>
              <w:right w:w="0" w:type="dxa"/>
            </w:tcMar>
            <w:vAlign w:val="bottom"/>
          </w:tcPr>
          <w:p w14:paraId="36CA524D" w14:textId="77777777" w:rsidR="00787570" w:rsidRDefault="000D56E2">
            <w:pPr>
              <w:jc w:val="right"/>
              <w:textAlignment w:val="bottom"/>
            </w:pPr>
            <w:r>
              <w:rPr>
                <w:rFonts w:ascii="Arial" w:eastAsia="宋体" w:hAnsi="Arial" w:cs="Arial"/>
                <w:color w:val="333333"/>
                <w:sz w:val="18"/>
                <w:szCs w:val="18"/>
              </w:rPr>
              <w:t>1,239 </w:t>
            </w:r>
          </w:p>
        </w:tc>
        <w:tc>
          <w:tcPr>
            <w:tcW w:w="0" w:type="auto"/>
            <w:shd w:val="clear" w:color="auto" w:fill="auto"/>
            <w:tcMar>
              <w:top w:w="40" w:type="dxa"/>
              <w:bottom w:w="40" w:type="dxa"/>
              <w:right w:w="20" w:type="dxa"/>
            </w:tcMar>
            <w:vAlign w:val="bottom"/>
          </w:tcPr>
          <w:p w14:paraId="36CA524E" w14:textId="77777777" w:rsidR="00787570" w:rsidRDefault="00787570">
            <w:pPr>
              <w:jc w:val="right"/>
              <w:rPr>
                <w:rFonts w:ascii="宋体"/>
              </w:rPr>
            </w:pPr>
          </w:p>
        </w:tc>
      </w:tr>
      <w:tr w:rsidR="00787570" w14:paraId="36CA5259" w14:textId="77777777">
        <w:tc>
          <w:tcPr>
            <w:tcW w:w="0" w:type="auto"/>
            <w:gridSpan w:val="3"/>
            <w:shd w:val="clear" w:color="auto" w:fill="auto"/>
            <w:tcMar>
              <w:top w:w="40" w:type="dxa"/>
              <w:left w:w="20" w:type="dxa"/>
              <w:bottom w:w="40" w:type="dxa"/>
              <w:right w:w="20" w:type="dxa"/>
            </w:tcMar>
          </w:tcPr>
          <w:p w14:paraId="36CA5250" w14:textId="77777777" w:rsidR="00787570" w:rsidRDefault="000D56E2">
            <w:pPr>
              <w:ind w:hanging="180"/>
              <w:textAlignment w:val="top"/>
            </w:pPr>
            <w:r>
              <w:rPr>
                <w:rFonts w:ascii="Arial" w:eastAsia="宋体" w:hAnsi="Arial" w:cs="Arial"/>
                <w:color w:val="333333"/>
                <w:sz w:val="18"/>
                <w:szCs w:val="18"/>
              </w:rPr>
              <w:t>Reverse repurchase agreements with original maturities greater than three months</w:t>
            </w:r>
          </w:p>
        </w:tc>
        <w:tc>
          <w:tcPr>
            <w:tcW w:w="0" w:type="auto"/>
            <w:gridSpan w:val="3"/>
            <w:shd w:val="clear" w:color="auto" w:fill="auto"/>
            <w:tcMar>
              <w:left w:w="20" w:type="dxa"/>
              <w:right w:w="20" w:type="dxa"/>
            </w:tcMar>
            <w:vAlign w:val="bottom"/>
          </w:tcPr>
          <w:p w14:paraId="36CA5251" w14:textId="77777777" w:rsidR="00787570" w:rsidRDefault="00787570">
            <w:pPr>
              <w:rPr>
                <w:rFonts w:ascii="宋体"/>
              </w:rPr>
            </w:pPr>
          </w:p>
        </w:tc>
        <w:tc>
          <w:tcPr>
            <w:tcW w:w="0" w:type="auto"/>
            <w:shd w:val="clear" w:color="auto" w:fill="auto"/>
            <w:tcMar>
              <w:top w:w="40" w:type="dxa"/>
              <w:left w:w="20" w:type="dxa"/>
              <w:bottom w:w="40" w:type="dxa"/>
            </w:tcMar>
            <w:vAlign w:val="bottom"/>
          </w:tcPr>
          <w:p w14:paraId="36CA5252" w14:textId="77777777" w:rsidR="00787570" w:rsidRDefault="000D56E2">
            <w:pPr>
              <w:textAlignment w:val="bottom"/>
            </w:pPr>
            <w:r>
              <w:rPr>
                <w:rFonts w:ascii="Arial" w:eastAsia="宋体" w:hAnsi="Arial" w:cs="Arial"/>
                <w:color w:val="026DCE"/>
                <w:sz w:val="18"/>
                <w:szCs w:val="18"/>
              </w:rPr>
              <w:t>$</w:t>
            </w:r>
          </w:p>
        </w:tc>
        <w:tc>
          <w:tcPr>
            <w:tcW w:w="0" w:type="auto"/>
            <w:shd w:val="clear" w:color="auto" w:fill="auto"/>
            <w:tcMar>
              <w:top w:w="40" w:type="dxa"/>
              <w:bottom w:w="40" w:type="dxa"/>
              <w:right w:w="0" w:type="dxa"/>
            </w:tcMar>
            <w:vAlign w:val="bottom"/>
          </w:tcPr>
          <w:p w14:paraId="36CA5253" w14:textId="77777777" w:rsidR="00787570" w:rsidRDefault="000D56E2">
            <w:pPr>
              <w:jc w:val="right"/>
              <w:textAlignment w:val="bottom"/>
            </w:pPr>
            <w:r>
              <w:rPr>
                <w:rFonts w:ascii="Arial" w:eastAsia="宋体" w:hAnsi="Arial" w:cs="Arial"/>
                <w:color w:val="026DCE"/>
                <w:sz w:val="18"/>
                <w:szCs w:val="18"/>
              </w:rPr>
              <w:t>— </w:t>
            </w:r>
          </w:p>
        </w:tc>
        <w:tc>
          <w:tcPr>
            <w:tcW w:w="0" w:type="auto"/>
            <w:shd w:val="clear" w:color="auto" w:fill="auto"/>
            <w:tcMar>
              <w:top w:w="40" w:type="dxa"/>
              <w:bottom w:w="40" w:type="dxa"/>
              <w:right w:w="20" w:type="dxa"/>
            </w:tcMar>
            <w:vAlign w:val="bottom"/>
          </w:tcPr>
          <w:p w14:paraId="36CA5254"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5255" w14:textId="77777777" w:rsidR="00787570" w:rsidRDefault="00787570">
            <w:pPr>
              <w:rPr>
                <w:rFonts w:ascii="宋体"/>
              </w:rPr>
            </w:pPr>
          </w:p>
        </w:tc>
        <w:tc>
          <w:tcPr>
            <w:tcW w:w="0" w:type="auto"/>
            <w:shd w:val="clear" w:color="auto" w:fill="auto"/>
            <w:tcMar>
              <w:top w:w="40" w:type="dxa"/>
              <w:left w:w="20" w:type="dxa"/>
              <w:bottom w:w="40" w:type="dxa"/>
            </w:tcMar>
            <w:vAlign w:val="bottom"/>
          </w:tcPr>
          <w:p w14:paraId="36CA5256" w14:textId="77777777" w:rsidR="00787570" w:rsidRDefault="000D56E2">
            <w:pPr>
              <w:textAlignment w:val="bottom"/>
            </w:pPr>
            <w:r>
              <w:rPr>
                <w:rFonts w:ascii="Arial" w:eastAsia="宋体" w:hAnsi="Arial" w:cs="Arial"/>
                <w:color w:val="333333"/>
                <w:sz w:val="18"/>
                <w:szCs w:val="18"/>
              </w:rPr>
              <w:t>$</w:t>
            </w:r>
          </w:p>
        </w:tc>
        <w:tc>
          <w:tcPr>
            <w:tcW w:w="0" w:type="auto"/>
            <w:shd w:val="clear" w:color="auto" w:fill="auto"/>
            <w:tcMar>
              <w:top w:w="40" w:type="dxa"/>
              <w:bottom w:w="40" w:type="dxa"/>
              <w:right w:w="0" w:type="dxa"/>
            </w:tcMar>
            <w:vAlign w:val="bottom"/>
          </w:tcPr>
          <w:p w14:paraId="36CA5257" w14:textId="77777777" w:rsidR="00787570" w:rsidRDefault="000D56E2">
            <w:pPr>
              <w:jc w:val="right"/>
              <w:textAlignment w:val="bottom"/>
            </w:pPr>
            <w:r>
              <w:rPr>
                <w:rFonts w:ascii="Arial" w:eastAsia="宋体" w:hAnsi="Arial" w:cs="Arial"/>
                <w:color w:val="333333"/>
                <w:sz w:val="18"/>
                <w:szCs w:val="18"/>
              </w:rPr>
              <w:t>350 </w:t>
            </w:r>
          </w:p>
        </w:tc>
        <w:tc>
          <w:tcPr>
            <w:tcW w:w="0" w:type="auto"/>
            <w:shd w:val="clear" w:color="auto" w:fill="auto"/>
            <w:tcMar>
              <w:top w:w="40" w:type="dxa"/>
              <w:bottom w:w="40" w:type="dxa"/>
              <w:right w:w="20" w:type="dxa"/>
            </w:tcMar>
            <w:vAlign w:val="bottom"/>
          </w:tcPr>
          <w:p w14:paraId="36CA5258" w14:textId="77777777" w:rsidR="00787570" w:rsidRDefault="00787570">
            <w:pPr>
              <w:jc w:val="right"/>
              <w:rPr>
                <w:rFonts w:ascii="宋体"/>
              </w:rPr>
            </w:pPr>
          </w:p>
        </w:tc>
      </w:tr>
      <w:tr w:rsidR="00787570" w14:paraId="36CA525F" w14:textId="77777777">
        <w:trPr>
          <w:hidden/>
        </w:trPr>
        <w:tc>
          <w:tcPr>
            <w:tcW w:w="0" w:type="auto"/>
            <w:gridSpan w:val="3"/>
            <w:shd w:val="clear" w:color="auto" w:fill="auto"/>
          </w:tcPr>
          <w:p w14:paraId="36CA525A" w14:textId="77777777" w:rsidR="00787570" w:rsidRDefault="00787570">
            <w:pPr>
              <w:rPr>
                <w:rFonts w:ascii="宋体"/>
                <w:vanish/>
              </w:rPr>
            </w:pPr>
          </w:p>
        </w:tc>
        <w:tc>
          <w:tcPr>
            <w:tcW w:w="0" w:type="auto"/>
            <w:gridSpan w:val="3"/>
            <w:shd w:val="clear" w:color="auto" w:fill="auto"/>
          </w:tcPr>
          <w:p w14:paraId="36CA525B" w14:textId="77777777" w:rsidR="00787570" w:rsidRDefault="00787570">
            <w:pPr>
              <w:rPr>
                <w:rFonts w:ascii="宋体"/>
                <w:vanish/>
              </w:rPr>
            </w:pPr>
          </w:p>
        </w:tc>
        <w:tc>
          <w:tcPr>
            <w:tcW w:w="0" w:type="auto"/>
            <w:gridSpan w:val="3"/>
            <w:shd w:val="clear" w:color="auto" w:fill="auto"/>
          </w:tcPr>
          <w:p w14:paraId="36CA525C" w14:textId="77777777" w:rsidR="00787570" w:rsidRDefault="00787570">
            <w:pPr>
              <w:rPr>
                <w:rFonts w:ascii="宋体"/>
                <w:vanish/>
              </w:rPr>
            </w:pPr>
          </w:p>
        </w:tc>
        <w:tc>
          <w:tcPr>
            <w:tcW w:w="0" w:type="auto"/>
            <w:gridSpan w:val="3"/>
            <w:shd w:val="clear" w:color="auto" w:fill="auto"/>
          </w:tcPr>
          <w:p w14:paraId="36CA525D" w14:textId="77777777" w:rsidR="00787570" w:rsidRDefault="00787570">
            <w:pPr>
              <w:rPr>
                <w:rFonts w:ascii="宋体"/>
                <w:vanish/>
              </w:rPr>
            </w:pPr>
          </w:p>
        </w:tc>
        <w:tc>
          <w:tcPr>
            <w:tcW w:w="0" w:type="auto"/>
            <w:gridSpan w:val="3"/>
            <w:shd w:val="clear" w:color="auto" w:fill="auto"/>
          </w:tcPr>
          <w:p w14:paraId="36CA525E" w14:textId="77777777" w:rsidR="00787570" w:rsidRDefault="00787570">
            <w:pPr>
              <w:rPr>
                <w:rFonts w:ascii="宋体"/>
                <w:vanish/>
              </w:rPr>
            </w:pPr>
          </w:p>
        </w:tc>
      </w:tr>
      <w:tr w:rsidR="00787570" w14:paraId="36CA5269" w14:textId="77777777">
        <w:tc>
          <w:tcPr>
            <w:tcW w:w="0" w:type="auto"/>
            <w:gridSpan w:val="3"/>
            <w:shd w:val="clear" w:color="auto" w:fill="auto"/>
            <w:tcMar>
              <w:top w:w="40" w:type="dxa"/>
              <w:left w:w="20" w:type="dxa"/>
              <w:bottom w:w="40" w:type="dxa"/>
              <w:right w:w="20" w:type="dxa"/>
            </w:tcMar>
          </w:tcPr>
          <w:p w14:paraId="36CA5260" w14:textId="77777777" w:rsidR="00787570" w:rsidRDefault="000D56E2">
            <w:pPr>
              <w:ind w:hanging="180"/>
              <w:textAlignment w:val="top"/>
            </w:pPr>
            <w:r>
              <w:rPr>
                <w:rFonts w:ascii="Arial" w:eastAsia="宋体" w:hAnsi="Arial" w:cs="Arial"/>
                <w:color w:val="333333"/>
                <w:sz w:val="18"/>
                <w:szCs w:val="18"/>
              </w:rPr>
              <w:t>Total debt</w:t>
            </w:r>
          </w:p>
        </w:tc>
        <w:tc>
          <w:tcPr>
            <w:tcW w:w="0" w:type="auto"/>
            <w:gridSpan w:val="3"/>
            <w:shd w:val="clear" w:color="auto" w:fill="auto"/>
            <w:tcMar>
              <w:left w:w="20" w:type="dxa"/>
              <w:right w:w="20" w:type="dxa"/>
            </w:tcMar>
            <w:vAlign w:val="bottom"/>
          </w:tcPr>
          <w:p w14:paraId="36CA5261" w14:textId="77777777" w:rsidR="00787570" w:rsidRDefault="00787570">
            <w:pPr>
              <w:rPr>
                <w:rFonts w:ascii="宋体"/>
              </w:rPr>
            </w:pPr>
          </w:p>
        </w:tc>
        <w:tc>
          <w:tcPr>
            <w:tcW w:w="0" w:type="auto"/>
            <w:shd w:val="clear" w:color="auto" w:fill="auto"/>
            <w:tcMar>
              <w:top w:w="40" w:type="dxa"/>
              <w:left w:w="20" w:type="dxa"/>
              <w:bottom w:w="40" w:type="dxa"/>
            </w:tcMar>
            <w:vAlign w:val="bottom"/>
          </w:tcPr>
          <w:p w14:paraId="36CA5262" w14:textId="77777777" w:rsidR="00787570" w:rsidRDefault="000D56E2">
            <w:pPr>
              <w:textAlignment w:val="bottom"/>
            </w:pPr>
            <w:r>
              <w:rPr>
                <w:rFonts w:ascii="Arial" w:eastAsia="宋体" w:hAnsi="Arial" w:cs="Arial"/>
                <w:color w:val="026DCE"/>
                <w:sz w:val="18"/>
                <w:szCs w:val="18"/>
              </w:rPr>
              <w:t>$</w:t>
            </w:r>
          </w:p>
        </w:tc>
        <w:tc>
          <w:tcPr>
            <w:tcW w:w="0" w:type="auto"/>
            <w:shd w:val="clear" w:color="auto" w:fill="auto"/>
            <w:tcMar>
              <w:top w:w="40" w:type="dxa"/>
              <w:bottom w:w="40" w:type="dxa"/>
              <w:right w:w="0" w:type="dxa"/>
            </w:tcMar>
            <w:vAlign w:val="bottom"/>
          </w:tcPr>
          <w:p w14:paraId="36CA5263" w14:textId="77777777" w:rsidR="00787570" w:rsidRDefault="000D56E2">
            <w:pPr>
              <w:jc w:val="right"/>
              <w:textAlignment w:val="bottom"/>
            </w:pPr>
            <w:r>
              <w:rPr>
                <w:rFonts w:ascii="Arial" w:eastAsia="宋体" w:hAnsi="Arial" w:cs="Arial"/>
                <w:color w:val="026DCE"/>
                <w:sz w:val="18"/>
                <w:szCs w:val="18"/>
              </w:rPr>
              <w:t>36,563 </w:t>
            </w:r>
          </w:p>
        </w:tc>
        <w:tc>
          <w:tcPr>
            <w:tcW w:w="0" w:type="auto"/>
            <w:shd w:val="clear" w:color="auto" w:fill="auto"/>
            <w:tcMar>
              <w:top w:w="40" w:type="dxa"/>
              <w:bottom w:w="40" w:type="dxa"/>
              <w:right w:w="20" w:type="dxa"/>
            </w:tcMar>
            <w:vAlign w:val="bottom"/>
          </w:tcPr>
          <w:p w14:paraId="36CA5264"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5265" w14:textId="77777777" w:rsidR="00787570" w:rsidRDefault="00787570">
            <w:pPr>
              <w:rPr>
                <w:rFonts w:ascii="宋体"/>
              </w:rPr>
            </w:pPr>
          </w:p>
        </w:tc>
        <w:tc>
          <w:tcPr>
            <w:tcW w:w="0" w:type="auto"/>
            <w:shd w:val="clear" w:color="auto" w:fill="auto"/>
            <w:tcMar>
              <w:top w:w="40" w:type="dxa"/>
              <w:left w:w="20" w:type="dxa"/>
              <w:bottom w:w="40" w:type="dxa"/>
            </w:tcMar>
            <w:vAlign w:val="bottom"/>
          </w:tcPr>
          <w:p w14:paraId="36CA5266" w14:textId="77777777" w:rsidR="00787570" w:rsidRDefault="000D56E2">
            <w:pPr>
              <w:textAlignment w:val="bottom"/>
            </w:pPr>
            <w:r>
              <w:rPr>
                <w:rFonts w:ascii="Arial" w:eastAsia="宋体" w:hAnsi="Arial" w:cs="Arial"/>
                <w:color w:val="333333"/>
                <w:sz w:val="18"/>
                <w:szCs w:val="18"/>
              </w:rPr>
              <w:t>$</w:t>
            </w:r>
          </w:p>
        </w:tc>
        <w:tc>
          <w:tcPr>
            <w:tcW w:w="0" w:type="auto"/>
            <w:shd w:val="clear" w:color="auto" w:fill="auto"/>
            <w:tcMar>
              <w:top w:w="40" w:type="dxa"/>
              <w:bottom w:w="40" w:type="dxa"/>
              <w:right w:w="0" w:type="dxa"/>
            </w:tcMar>
            <w:vAlign w:val="bottom"/>
          </w:tcPr>
          <w:p w14:paraId="36CA5267" w14:textId="77777777" w:rsidR="00787570" w:rsidRDefault="000D56E2">
            <w:pPr>
              <w:jc w:val="right"/>
              <w:textAlignment w:val="bottom"/>
            </w:pPr>
            <w:r>
              <w:rPr>
                <w:rFonts w:ascii="Arial" w:eastAsia="宋体" w:hAnsi="Arial" w:cs="Arial"/>
                <w:color w:val="333333"/>
                <w:sz w:val="18"/>
                <w:szCs w:val="18"/>
              </w:rPr>
              <w:t>29,001 </w:t>
            </w:r>
          </w:p>
        </w:tc>
        <w:tc>
          <w:tcPr>
            <w:tcW w:w="0" w:type="auto"/>
            <w:shd w:val="clear" w:color="auto" w:fill="auto"/>
            <w:tcMar>
              <w:top w:w="40" w:type="dxa"/>
              <w:bottom w:w="40" w:type="dxa"/>
              <w:right w:w="20" w:type="dxa"/>
            </w:tcMar>
            <w:vAlign w:val="bottom"/>
          </w:tcPr>
          <w:p w14:paraId="36CA5268" w14:textId="77777777" w:rsidR="00787570" w:rsidRDefault="00787570">
            <w:pPr>
              <w:jc w:val="right"/>
              <w:rPr>
                <w:rFonts w:ascii="宋体"/>
              </w:rPr>
            </w:pPr>
          </w:p>
        </w:tc>
      </w:tr>
      <w:tr w:rsidR="00787570" w14:paraId="36CA5273" w14:textId="77777777">
        <w:tc>
          <w:tcPr>
            <w:tcW w:w="0" w:type="auto"/>
            <w:gridSpan w:val="3"/>
            <w:shd w:val="clear" w:color="auto" w:fill="auto"/>
            <w:tcMar>
              <w:top w:w="40" w:type="dxa"/>
              <w:left w:w="20" w:type="dxa"/>
              <w:bottom w:w="40" w:type="dxa"/>
              <w:right w:w="20" w:type="dxa"/>
            </w:tcMar>
          </w:tcPr>
          <w:p w14:paraId="36CA526A" w14:textId="77777777" w:rsidR="00787570" w:rsidRDefault="000D56E2">
            <w:pPr>
              <w:ind w:hanging="180"/>
              <w:textAlignment w:val="top"/>
            </w:pPr>
            <w:r>
              <w:rPr>
                <w:rFonts w:ascii="Arial" w:eastAsia="宋体" w:hAnsi="Arial" w:cs="Arial"/>
                <w:color w:val="333333"/>
                <w:sz w:val="18"/>
                <w:szCs w:val="18"/>
              </w:rPr>
              <w:t>Temporary equity</w:t>
            </w:r>
          </w:p>
        </w:tc>
        <w:tc>
          <w:tcPr>
            <w:tcW w:w="0" w:type="auto"/>
            <w:gridSpan w:val="3"/>
            <w:shd w:val="clear" w:color="auto" w:fill="auto"/>
            <w:tcMar>
              <w:left w:w="20" w:type="dxa"/>
              <w:right w:w="20" w:type="dxa"/>
            </w:tcMar>
            <w:vAlign w:val="bottom"/>
          </w:tcPr>
          <w:p w14:paraId="36CA526B" w14:textId="77777777" w:rsidR="00787570" w:rsidRDefault="00787570">
            <w:pPr>
              <w:rPr>
                <w:rFonts w:ascii="宋体"/>
              </w:rPr>
            </w:pPr>
          </w:p>
        </w:tc>
        <w:tc>
          <w:tcPr>
            <w:tcW w:w="0" w:type="auto"/>
            <w:shd w:val="clear" w:color="auto" w:fill="auto"/>
            <w:tcMar>
              <w:top w:w="40" w:type="dxa"/>
              <w:left w:w="20" w:type="dxa"/>
              <w:bottom w:w="40" w:type="dxa"/>
            </w:tcMar>
            <w:vAlign w:val="bottom"/>
          </w:tcPr>
          <w:p w14:paraId="36CA526C" w14:textId="77777777" w:rsidR="00787570" w:rsidRDefault="000D56E2">
            <w:pPr>
              <w:textAlignment w:val="bottom"/>
            </w:pPr>
            <w:r>
              <w:rPr>
                <w:rFonts w:ascii="Arial" w:eastAsia="宋体" w:hAnsi="Arial" w:cs="Arial"/>
                <w:color w:val="026DCE"/>
                <w:sz w:val="18"/>
                <w:szCs w:val="18"/>
              </w:rPr>
              <w:t>$</w:t>
            </w:r>
          </w:p>
        </w:tc>
        <w:tc>
          <w:tcPr>
            <w:tcW w:w="0" w:type="auto"/>
            <w:shd w:val="clear" w:color="auto" w:fill="auto"/>
            <w:tcMar>
              <w:top w:w="40" w:type="dxa"/>
              <w:bottom w:w="40" w:type="dxa"/>
              <w:right w:w="0" w:type="dxa"/>
            </w:tcMar>
            <w:vAlign w:val="bottom"/>
          </w:tcPr>
          <w:p w14:paraId="36CA526D" w14:textId="77777777" w:rsidR="00787570" w:rsidRDefault="000D56E2">
            <w:pPr>
              <w:jc w:val="right"/>
              <w:textAlignment w:val="bottom"/>
            </w:pPr>
            <w:r>
              <w:rPr>
                <w:rFonts w:ascii="Arial" w:eastAsia="宋体" w:hAnsi="Arial" w:cs="Arial"/>
                <w:color w:val="026DCE"/>
                <w:sz w:val="18"/>
                <w:szCs w:val="18"/>
              </w:rPr>
              <w:t>— </w:t>
            </w:r>
          </w:p>
        </w:tc>
        <w:tc>
          <w:tcPr>
            <w:tcW w:w="0" w:type="auto"/>
            <w:shd w:val="clear" w:color="auto" w:fill="auto"/>
            <w:tcMar>
              <w:top w:w="40" w:type="dxa"/>
              <w:bottom w:w="40" w:type="dxa"/>
              <w:right w:w="20" w:type="dxa"/>
            </w:tcMar>
            <w:vAlign w:val="bottom"/>
          </w:tcPr>
          <w:p w14:paraId="36CA526E"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526F" w14:textId="77777777" w:rsidR="00787570" w:rsidRDefault="00787570">
            <w:pPr>
              <w:rPr>
                <w:rFonts w:ascii="宋体"/>
              </w:rPr>
            </w:pPr>
          </w:p>
        </w:tc>
        <w:tc>
          <w:tcPr>
            <w:tcW w:w="0" w:type="auto"/>
            <w:shd w:val="clear" w:color="auto" w:fill="auto"/>
            <w:tcMar>
              <w:top w:w="40" w:type="dxa"/>
              <w:left w:w="20" w:type="dxa"/>
              <w:bottom w:w="40" w:type="dxa"/>
            </w:tcMar>
            <w:vAlign w:val="bottom"/>
          </w:tcPr>
          <w:p w14:paraId="36CA5270" w14:textId="77777777" w:rsidR="00787570" w:rsidRDefault="000D56E2">
            <w:pPr>
              <w:textAlignment w:val="bottom"/>
            </w:pPr>
            <w:r>
              <w:rPr>
                <w:rFonts w:ascii="Arial" w:eastAsia="宋体" w:hAnsi="Arial" w:cs="Arial"/>
                <w:color w:val="333333"/>
                <w:sz w:val="18"/>
                <w:szCs w:val="18"/>
              </w:rPr>
              <w:t>$</w:t>
            </w:r>
          </w:p>
        </w:tc>
        <w:tc>
          <w:tcPr>
            <w:tcW w:w="0" w:type="auto"/>
            <w:shd w:val="clear" w:color="auto" w:fill="auto"/>
            <w:tcMar>
              <w:top w:w="40" w:type="dxa"/>
              <w:bottom w:w="40" w:type="dxa"/>
              <w:right w:w="0" w:type="dxa"/>
            </w:tcMar>
            <w:vAlign w:val="bottom"/>
          </w:tcPr>
          <w:p w14:paraId="36CA5271" w14:textId="77777777" w:rsidR="00787570" w:rsidRDefault="000D56E2">
            <w:pPr>
              <w:jc w:val="right"/>
              <w:textAlignment w:val="bottom"/>
            </w:pPr>
            <w:r>
              <w:rPr>
                <w:rFonts w:ascii="Arial" w:eastAsia="宋体" w:hAnsi="Arial" w:cs="Arial"/>
                <w:color w:val="333333"/>
                <w:sz w:val="18"/>
                <w:szCs w:val="18"/>
              </w:rPr>
              <w:t>155 </w:t>
            </w:r>
          </w:p>
        </w:tc>
        <w:tc>
          <w:tcPr>
            <w:tcW w:w="0" w:type="auto"/>
            <w:shd w:val="clear" w:color="auto" w:fill="auto"/>
            <w:tcMar>
              <w:top w:w="40" w:type="dxa"/>
              <w:bottom w:w="40" w:type="dxa"/>
              <w:right w:w="20" w:type="dxa"/>
            </w:tcMar>
            <w:vAlign w:val="bottom"/>
          </w:tcPr>
          <w:p w14:paraId="36CA5272" w14:textId="77777777" w:rsidR="00787570" w:rsidRDefault="00787570">
            <w:pPr>
              <w:jc w:val="right"/>
              <w:rPr>
                <w:rFonts w:ascii="宋体"/>
              </w:rPr>
            </w:pPr>
          </w:p>
        </w:tc>
      </w:tr>
    </w:tbl>
    <w:p w14:paraId="36CA5274" w14:textId="77777777" w:rsidR="00787570" w:rsidRDefault="000D56E2">
      <w:pPr>
        <w:spacing w:before="180" w:after="180"/>
      </w:pPr>
      <w:r>
        <w:rPr>
          <w:rFonts w:ascii="Arial" w:eastAsia="宋体" w:hAnsi="Arial" w:cs="Arial"/>
          <w:color w:val="333333"/>
          <w:sz w:val="18"/>
          <w:szCs w:val="18"/>
        </w:rPr>
        <w:t xml:space="preserve">Cash generated by operations is our </w:t>
      </w:r>
      <w:r>
        <w:rPr>
          <w:rFonts w:ascii="Arial" w:eastAsia="宋体" w:hAnsi="Arial" w:cs="Arial"/>
          <w:color w:val="333333"/>
          <w:sz w:val="18"/>
          <w:szCs w:val="18"/>
        </w:rPr>
        <w:t>primary source of liquidity. When assessing our sources of liquidity, we include investments as shown in the preceding table. We maintain a diverse investment portfolio that we continually analyze based on issuer, industry, and country. Substantially all o</w:t>
      </w:r>
      <w:r>
        <w:rPr>
          <w:rFonts w:ascii="Arial" w:eastAsia="宋体" w:hAnsi="Arial" w:cs="Arial"/>
          <w:color w:val="333333"/>
          <w:sz w:val="18"/>
          <w:szCs w:val="18"/>
        </w:rPr>
        <w:t>f our investments in debt instruments and financing receivables are in investment-grade securities.</w:t>
      </w:r>
    </w:p>
    <w:p w14:paraId="36CA5275" w14:textId="77777777" w:rsidR="00787570" w:rsidRDefault="000D56E2">
      <w:pPr>
        <w:spacing w:after="180"/>
      </w:pPr>
      <w:r>
        <w:rPr>
          <w:rFonts w:ascii="Arial" w:eastAsia="宋体" w:hAnsi="Arial" w:cs="Arial"/>
          <w:color w:val="333333"/>
          <w:sz w:val="18"/>
          <w:szCs w:val="18"/>
        </w:rPr>
        <w:t>Other potential sources of liquidity include our commercial paper program and our automatic shelf registration statement on file with the SEC, pursuant to w</w:t>
      </w:r>
      <w:r>
        <w:rPr>
          <w:rFonts w:ascii="Arial" w:eastAsia="宋体" w:hAnsi="Arial" w:cs="Arial"/>
          <w:color w:val="333333"/>
          <w:sz w:val="18"/>
          <w:szCs w:val="18"/>
        </w:rPr>
        <w:t>hich we may offer an unspecified amount of debt, equity, and other securities. Under our commercial paper program, we have an ongoing authorization from our Board of Directors to borrow up to $10.0 billion. As of September 26, 2020, we had no outstanding c</w:t>
      </w:r>
      <w:r>
        <w:rPr>
          <w:rFonts w:ascii="Arial" w:eastAsia="宋体" w:hAnsi="Arial" w:cs="Arial"/>
          <w:color w:val="333333"/>
          <w:sz w:val="18"/>
          <w:szCs w:val="18"/>
        </w:rPr>
        <w:t xml:space="preserve">ommercial paper. </w:t>
      </w:r>
    </w:p>
    <w:p w14:paraId="36CA5276" w14:textId="77777777" w:rsidR="00787570" w:rsidRDefault="000D56E2">
      <w:pPr>
        <w:spacing w:after="180"/>
      </w:pPr>
      <w:r>
        <w:rPr>
          <w:rFonts w:ascii="Arial" w:eastAsia="宋体" w:hAnsi="Arial" w:cs="Arial"/>
          <w:color w:val="333333"/>
          <w:sz w:val="18"/>
          <w:szCs w:val="18"/>
        </w:rPr>
        <w:t>We believe we have sufficient financial resources to meet our business requirements in the next 12 months, including capital expenditures for worldwide manufacturing and assembly and test; working capital requirements; and potential acqui</w:t>
      </w:r>
      <w:r>
        <w:rPr>
          <w:rFonts w:ascii="Arial" w:eastAsia="宋体" w:hAnsi="Arial" w:cs="Arial"/>
          <w:color w:val="333333"/>
          <w:sz w:val="18"/>
          <w:szCs w:val="18"/>
        </w:rPr>
        <w:t>sitions, strategic investments, and dividends. On March 24, 2020, we suspended the use of our financial resources for stock repurchases. On August 19, 2020, in response to our belief that our stock was trading well below its intrinsic valuation at that tim</w:t>
      </w:r>
      <w:r>
        <w:rPr>
          <w:rFonts w:ascii="Arial" w:eastAsia="宋体" w:hAnsi="Arial" w:cs="Arial"/>
          <w:color w:val="333333"/>
          <w:sz w:val="18"/>
          <w:szCs w:val="18"/>
        </w:rPr>
        <w:t>e, we entered into ASR agreements to repurchase an aggregate of $10.0 billion of our common stock. Following settlement of these agreements by the end of 2020, we will have repurchased a total of approximately $17.6 billion in shares as part of our planned</w:t>
      </w:r>
      <w:r>
        <w:rPr>
          <w:rFonts w:ascii="Arial" w:eastAsia="宋体" w:hAnsi="Arial" w:cs="Arial"/>
          <w:color w:val="333333"/>
          <w:sz w:val="18"/>
          <w:szCs w:val="18"/>
        </w:rPr>
        <w:t xml:space="preserve"> $20.0 billion share repurchases announced in October 2019. We intend to complete the remaining $2.4 billion balance of these planned repurchases and return to our historical capital return practices when markets stabilize.</w:t>
      </w:r>
    </w:p>
    <w:tbl>
      <w:tblPr>
        <w:tblW w:w="10875" w:type="dxa"/>
        <w:tblCellMar>
          <w:top w:w="15" w:type="dxa"/>
          <w:left w:w="15" w:type="dxa"/>
          <w:bottom w:w="15" w:type="dxa"/>
          <w:right w:w="15" w:type="dxa"/>
        </w:tblCellMar>
        <w:tblLook w:val="04A0" w:firstRow="1" w:lastRow="0" w:firstColumn="1" w:lastColumn="0" w:noHBand="0" w:noVBand="1"/>
      </w:tblPr>
      <w:tblGrid>
        <w:gridCol w:w="36"/>
        <w:gridCol w:w="93"/>
        <w:gridCol w:w="36"/>
        <w:gridCol w:w="36"/>
        <w:gridCol w:w="3096"/>
        <w:gridCol w:w="36"/>
        <w:gridCol w:w="36"/>
        <w:gridCol w:w="355"/>
        <w:gridCol w:w="36"/>
        <w:gridCol w:w="36"/>
        <w:gridCol w:w="3321"/>
        <w:gridCol w:w="36"/>
        <w:gridCol w:w="36"/>
        <w:gridCol w:w="312"/>
        <w:gridCol w:w="36"/>
        <w:gridCol w:w="36"/>
        <w:gridCol w:w="3266"/>
        <w:gridCol w:w="36"/>
      </w:tblGrid>
      <w:tr w:rsidR="00787570" w14:paraId="36CA5289" w14:textId="77777777">
        <w:tc>
          <w:tcPr>
            <w:tcW w:w="20" w:type="dxa"/>
            <w:shd w:val="clear" w:color="auto" w:fill="auto"/>
          </w:tcPr>
          <w:p w14:paraId="36CA5277" w14:textId="77777777" w:rsidR="00787570" w:rsidRDefault="00787570">
            <w:pPr>
              <w:rPr>
                <w:rFonts w:ascii="宋体"/>
              </w:rPr>
            </w:pPr>
          </w:p>
        </w:tc>
        <w:tc>
          <w:tcPr>
            <w:tcW w:w="95" w:type="dxa"/>
            <w:shd w:val="clear" w:color="auto" w:fill="auto"/>
          </w:tcPr>
          <w:p w14:paraId="36CA5278" w14:textId="77777777" w:rsidR="00787570" w:rsidRDefault="00787570">
            <w:pPr>
              <w:rPr>
                <w:rFonts w:ascii="宋体"/>
              </w:rPr>
            </w:pPr>
          </w:p>
        </w:tc>
        <w:tc>
          <w:tcPr>
            <w:tcW w:w="20" w:type="dxa"/>
            <w:shd w:val="clear" w:color="auto" w:fill="auto"/>
          </w:tcPr>
          <w:p w14:paraId="36CA5279" w14:textId="77777777" w:rsidR="00787570" w:rsidRDefault="00787570">
            <w:pPr>
              <w:rPr>
                <w:rFonts w:ascii="宋体"/>
              </w:rPr>
            </w:pPr>
          </w:p>
        </w:tc>
        <w:tc>
          <w:tcPr>
            <w:tcW w:w="20" w:type="dxa"/>
            <w:shd w:val="clear" w:color="auto" w:fill="auto"/>
          </w:tcPr>
          <w:p w14:paraId="36CA527A" w14:textId="77777777" w:rsidR="00787570" w:rsidRDefault="00787570">
            <w:pPr>
              <w:rPr>
                <w:rFonts w:ascii="宋体"/>
              </w:rPr>
            </w:pPr>
          </w:p>
        </w:tc>
        <w:tc>
          <w:tcPr>
            <w:tcW w:w="3155" w:type="dxa"/>
            <w:shd w:val="clear" w:color="auto" w:fill="auto"/>
          </w:tcPr>
          <w:p w14:paraId="36CA527B" w14:textId="77777777" w:rsidR="00787570" w:rsidRDefault="00787570">
            <w:pPr>
              <w:rPr>
                <w:rFonts w:ascii="宋体"/>
              </w:rPr>
            </w:pPr>
          </w:p>
        </w:tc>
        <w:tc>
          <w:tcPr>
            <w:tcW w:w="20" w:type="dxa"/>
            <w:shd w:val="clear" w:color="auto" w:fill="auto"/>
          </w:tcPr>
          <w:p w14:paraId="36CA527C" w14:textId="77777777" w:rsidR="00787570" w:rsidRDefault="00787570">
            <w:pPr>
              <w:rPr>
                <w:rFonts w:ascii="宋体"/>
              </w:rPr>
            </w:pPr>
          </w:p>
        </w:tc>
        <w:tc>
          <w:tcPr>
            <w:tcW w:w="20" w:type="dxa"/>
            <w:shd w:val="clear" w:color="auto" w:fill="auto"/>
          </w:tcPr>
          <w:p w14:paraId="36CA527D" w14:textId="77777777" w:rsidR="00787570" w:rsidRDefault="00787570">
            <w:pPr>
              <w:rPr>
                <w:rFonts w:ascii="宋体"/>
              </w:rPr>
            </w:pPr>
          </w:p>
        </w:tc>
        <w:tc>
          <w:tcPr>
            <w:tcW w:w="365" w:type="dxa"/>
            <w:shd w:val="clear" w:color="auto" w:fill="auto"/>
          </w:tcPr>
          <w:p w14:paraId="36CA527E" w14:textId="77777777" w:rsidR="00787570" w:rsidRDefault="00787570">
            <w:pPr>
              <w:rPr>
                <w:rFonts w:ascii="宋体"/>
              </w:rPr>
            </w:pPr>
          </w:p>
        </w:tc>
        <w:tc>
          <w:tcPr>
            <w:tcW w:w="20" w:type="dxa"/>
            <w:shd w:val="clear" w:color="auto" w:fill="auto"/>
          </w:tcPr>
          <w:p w14:paraId="36CA527F" w14:textId="77777777" w:rsidR="00787570" w:rsidRDefault="00787570">
            <w:pPr>
              <w:rPr>
                <w:rFonts w:ascii="宋体"/>
              </w:rPr>
            </w:pPr>
          </w:p>
        </w:tc>
        <w:tc>
          <w:tcPr>
            <w:tcW w:w="20" w:type="dxa"/>
            <w:shd w:val="clear" w:color="auto" w:fill="auto"/>
          </w:tcPr>
          <w:p w14:paraId="36CA5280" w14:textId="77777777" w:rsidR="00787570" w:rsidRDefault="00787570">
            <w:pPr>
              <w:rPr>
                <w:rFonts w:ascii="宋体"/>
              </w:rPr>
            </w:pPr>
          </w:p>
        </w:tc>
        <w:tc>
          <w:tcPr>
            <w:tcW w:w="3380" w:type="dxa"/>
            <w:shd w:val="clear" w:color="auto" w:fill="auto"/>
          </w:tcPr>
          <w:p w14:paraId="36CA5281" w14:textId="77777777" w:rsidR="00787570" w:rsidRDefault="00787570">
            <w:pPr>
              <w:rPr>
                <w:rFonts w:ascii="宋体"/>
              </w:rPr>
            </w:pPr>
          </w:p>
        </w:tc>
        <w:tc>
          <w:tcPr>
            <w:tcW w:w="20" w:type="dxa"/>
            <w:shd w:val="clear" w:color="auto" w:fill="auto"/>
          </w:tcPr>
          <w:p w14:paraId="36CA5282" w14:textId="77777777" w:rsidR="00787570" w:rsidRDefault="00787570">
            <w:pPr>
              <w:rPr>
                <w:rFonts w:ascii="宋体"/>
              </w:rPr>
            </w:pPr>
          </w:p>
        </w:tc>
        <w:tc>
          <w:tcPr>
            <w:tcW w:w="20" w:type="dxa"/>
            <w:shd w:val="clear" w:color="auto" w:fill="auto"/>
          </w:tcPr>
          <w:p w14:paraId="36CA5283" w14:textId="77777777" w:rsidR="00787570" w:rsidRDefault="00787570">
            <w:pPr>
              <w:rPr>
                <w:rFonts w:ascii="宋体"/>
              </w:rPr>
            </w:pPr>
          </w:p>
        </w:tc>
        <w:tc>
          <w:tcPr>
            <w:tcW w:w="320" w:type="dxa"/>
            <w:shd w:val="clear" w:color="auto" w:fill="auto"/>
          </w:tcPr>
          <w:p w14:paraId="36CA5284" w14:textId="77777777" w:rsidR="00787570" w:rsidRDefault="00787570">
            <w:pPr>
              <w:rPr>
                <w:rFonts w:ascii="宋体"/>
              </w:rPr>
            </w:pPr>
          </w:p>
        </w:tc>
        <w:tc>
          <w:tcPr>
            <w:tcW w:w="20" w:type="dxa"/>
            <w:shd w:val="clear" w:color="auto" w:fill="auto"/>
          </w:tcPr>
          <w:p w14:paraId="36CA5285" w14:textId="77777777" w:rsidR="00787570" w:rsidRDefault="00787570">
            <w:pPr>
              <w:rPr>
                <w:rFonts w:ascii="宋体"/>
              </w:rPr>
            </w:pPr>
          </w:p>
        </w:tc>
        <w:tc>
          <w:tcPr>
            <w:tcW w:w="20" w:type="dxa"/>
            <w:shd w:val="clear" w:color="auto" w:fill="auto"/>
          </w:tcPr>
          <w:p w14:paraId="36CA5286" w14:textId="77777777" w:rsidR="00787570" w:rsidRDefault="00787570">
            <w:pPr>
              <w:rPr>
                <w:rFonts w:ascii="宋体"/>
              </w:rPr>
            </w:pPr>
          </w:p>
        </w:tc>
        <w:tc>
          <w:tcPr>
            <w:tcW w:w="3320" w:type="dxa"/>
            <w:shd w:val="clear" w:color="auto" w:fill="auto"/>
          </w:tcPr>
          <w:p w14:paraId="36CA5287" w14:textId="77777777" w:rsidR="00787570" w:rsidRDefault="00787570">
            <w:pPr>
              <w:rPr>
                <w:rFonts w:ascii="宋体"/>
              </w:rPr>
            </w:pPr>
          </w:p>
        </w:tc>
        <w:tc>
          <w:tcPr>
            <w:tcW w:w="20" w:type="dxa"/>
            <w:shd w:val="clear" w:color="auto" w:fill="auto"/>
          </w:tcPr>
          <w:p w14:paraId="36CA5288" w14:textId="77777777" w:rsidR="00787570" w:rsidRDefault="00787570">
            <w:pPr>
              <w:rPr>
                <w:rFonts w:ascii="宋体"/>
              </w:rPr>
            </w:pPr>
          </w:p>
        </w:tc>
      </w:tr>
      <w:tr w:rsidR="00787570" w14:paraId="36CA5290" w14:textId="77777777">
        <w:tc>
          <w:tcPr>
            <w:tcW w:w="0" w:type="auto"/>
            <w:gridSpan w:val="3"/>
            <w:shd w:val="clear" w:color="auto" w:fill="auto"/>
            <w:tcMar>
              <w:left w:w="20" w:type="dxa"/>
              <w:right w:w="20" w:type="dxa"/>
            </w:tcMar>
            <w:vAlign w:val="bottom"/>
          </w:tcPr>
          <w:p w14:paraId="36CA528A" w14:textId="77777777" w:rsidR="00787570" w:rsidRDefault="00787570">
            <w:pPr>
              <w:rPr>
                <w:rFonts w:ascii="宋体"/>
              </w:rPr>
            </w:pPr>
          </w:p>
        </w:tc>
        <w:tc>
          <w:tcPr>
            <w:tcW w:w="0" w:type="auto"/>
            <w:gridSpan w:val="3"/>
            <w:tcBorders>
              <w:bottom w:val="single" w:sz="8" w:space="0" w:color="333333"/>
            </w:tcBorders>
            <w:shd w:val="clear" w:color="auto" w:fill="auto"/>
            <w:tcMar>
              <w:top w:w="40" w:type="dxa"/>
              <w:left w:w="20" w:type="dxa"/>
              <w:bottom w:w="40" w:type="dxa"/>
              <w:right w:w="20" w:type="dxa"/>
            </w:tcMar>
            <w:vAlign w:val="bottom"/>
          </w:tcPr>
          <w:p w14:paraId="36CA528B" w14:textId="77777777" w:rsidR="00787570" w:rsidRDefault="000D56E2">
            <w:pPr>
              <w:jc w:val="center"/>
              <w:textAlignment w:val="bottom"/>
            </w:pPr>
            <w:r>
              <w:rPr>
                <w:rFonts w:ascii="Arial" w:eastAsia="宋体" w:hAnsi="Arial" w:cs="Arial"/>
                <w:b/>
                <w:bCs/>
                <w:color w:val="0071C5"/>
                <w:sz w:val="18"/>
                <w:szCs w:val="18"/>
              </w:rPr>
              <w:t xml:space="preserve">CASH </w:t>
            </w:r>
            <w:r>
              <w:rPr>
                <w:rFonts w:ascii="Arial" w:eastAsia="宋体" w:hAnsi="Arial" w:cs="Arial"/>
                <w:b/>
                <w:bCs/>
                <w:color w:val="0071C5"/>
                <w:sz w:val="18"/>
                <w:szCs w:val="18"/>
              </w:rPr>
              <w:t>FROM OPERATIONS $B</w:t>
            </w:r>
          </w:p>
        </w:tc>
        <w:tc>
          <w:tcPr>
            <w:tcW w:w="0" w:type="auto"/>
            <w:gridSpan w:val="3"/>
            <w:shd w:val="clear" w:color="auto" w:fill="auto"/>
            <w:tcMar>
              <w:left w:w="20" w:type="dxa"/>
              <w:right w:w="20" w:type="dxa"/>
            </w:tcMar>
            <w:vAlign w:val="bottom"/>
          </w:tcPr>
          <w:p w14:paraId="36CA528C" w14:textId="77777777" w:rsidR="00787570" w:rsidRDefault="00787570">
            <w:pPr>
              <w:rPr>
                <w:rFonts w:ascii="宋体"/>
              </w:rPr>
            </w:pPr>
          </w:p>
        </w:tc>
        <w:tc>
          <w:tcPr>
            <w:tcW w:w="0" w:type="auto"/>
            <w:gridSpan w:val="3"/>
            <w:tcBorders>
              <w:bottom w:val="single" w:sz="8" w:space="0" w:color="333333"/>
            </w:tcBorders>
            <w:shd w:val="clear" w:color="auto" w:fill="auto"/>
            <w:tcMar>
              <w:top w:w="40" w:type="dxa"/>
              <w:left w:w="20" w:type="dxa"/>
              <w:bottom w:w="40" w:type="dxa"/>
              <w:right w:w="20" w:type="dxa"/>
            </w:tcMar>
            <w:vAlign w:val="bottom"/>
          </w:tcPr>
          <w:p w14:paraId="36CA528D" w14:textId="77777777" w:rsidR="00787570" w:rsidRDefault="000D56E2">
            <w:pPr>
              <w:jc w:val="center"/>
              <w:textAlignment w:val="bottom"/>
            </w:pPr>
            <w:r>
              <w:rPr>
                <w:rFonts w:ascii="Arial" w:eastAsia="宋体" w:hAnsi="Arial" w:cs="Arial"/>
                <w:b/>
                <w:bCs/>
                <w:color w:val="0071C5"/>
                <w:sz w:val="18"/>
                <w:szCs w:val="18"/>
              </w:rPr>
              <w:t>CAPITAL EXPENDITURES $B</w:t>
            </w:r>
          </w:p>
        </w:tc>
        <w:tc>
          <w:tcPr>
            <w:tcW w:w="0" w:type="auto"/>
            <w:gridSpan w:val="3"/>
            <w:shd w:val="clear" w:color="auto" w:fill="auto"/>
            <w:tcMar>
              <w:left w:w="20" w:type="dxa"/>
              <w:right w:w="20" w:type="dxa"/>
            </w:tcMar>
            <w:vAlign w:val="bottom"/>
          </w:tcPr>
          <w:p w14:paraId="36CA528E" w14:textId="77777777" w:rsidR="00787570" w:rsidRDefault="00787570">
            <w:pPr>
              <w:rPr>
                <w:rFonts w:ascii="宋体"/>
              </w:rPr>
            </w:pPr>
          </w:p>
        </w:tc>
        <w:tc>
          <w:tcPr>
            <w:tcW w:w="0" w:type="auto"/>
            <w:gridSpan w:val="3"/>
            <w:tcBorders>
              <w:bottom w:val="single" w:sz="8" w:space="0" w:color="333333"/>
            </w:tcBorders>
            <w:shd w:val="clear" w:color="auto" w:fill="auto"/>
            <w:tcMar>
              <w:top w:w="40" w:type="dxa"/>
              <w:left w:w="20" w:type="dxa"/>
              <w:bottom w:w="40" w:type="dxa"/>
              <w:right w:w="20" w:type="dxa"/>
            </w:tcMar>
            <w:vAlign w:val="bottom"/>
          </w:tcPr>
          <w:p w14:paraId="36CA528F" w14:textId="77777777" w:rsidR="00787570" w:rsidRDefault="000D56E2">
            <w:pPr>
              <w:jc w:val="center"/>
              <w:textAlignment w:val="bottom"/>
            </w:pPr>
            <w:r>
              <w:rPr>
                <w:rFonts w:ascii="Arial" w:eastAsia="宋体" w:hAnsi="Arial" w:cs="Arial"/>
                <w:b/>
                <w:bCs/>
                <w:color w:val="0071C5"/>
                <w:sz w:val="18"/>
                <w:szCs w:val="18"/>
              </w:rPr>
              <w:t>CASH TO STOCKHOLDERS $B</w:t>
            </w:r>
          </w:p>
        </w:tc>
      </w:tr>
    </w:tbl>
    <w:p w14:paraId="36CA5291" w14:textId="77777777" w:rsidR="00787570" w:rsidRDefault="000D56E2">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Viewer9_files/intc-20200926_g25.jpg"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36CA5C81" wp14:editId="36CA5C82">
            <wp:extent cx="304800" cy="304800"/>
            <wp:effectExtent l="0" t="0" r="0" b="0"/>
            <wp:docPr id="89" name="图片 137" descr="IMG_3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图片 137" descr="IMG_318"/>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r>
        <w:rPr>
          <w:rFonts w:ascii="宋体" w:eastAsia="宋体" w:hAnsi="宋体" w:cs="宋体"/>
        </w:rPr>
        <w:fldChar w:fldCharType="begin"/>
      </w:r>
      <w:r>
        <w:rPr>
          <w:rFonts w:ascii="宋体" w:eastAsia="宋体" w:hAnsi="宋体" w:cs="宋体"/>
        </w:rPr>
        <w:instrText>INCLUDEPICTURE \d "/Users/xuxinrun/Docum</w:instrText>
      </w:r>
      <w:r>
        <w:rPr>
          <w:rFonts w:ascii="宋体" w:eastAsia="宋体" w:hAnsi="宋体" w:cs="宋体"/>
        </w:rPr>
        <w:instrText xml:space="preserve">ent/04 msra/20230209 </w:instrText>
      </w:r>
      <w:r>
        <w:rPr>
          <w:rFonts w:ascii="宋体" w:eastAsia="宋体" w:hAnsi="宋体" w:cs="宋体"/>
        </w:rPr>
        <w:instrText>公司财报</w:instrText>
      </w:r>
      <w:r>
        <w:rPr>
          <w:rFonts w:ascii="宋体" w:eastAsia="宋体" w:hAnsi="宋体" w:cs="宋体"/>
        </w:rPr>
        <w:instrText xml:space="preserve">/INTEL/./Inline XBRL Viewer9_files/intc-20200926_g26.jpg"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36CA5C83" wp14:editId="36CA5C84">
            <wp:extent cx="304800" cy="304800"/>
            <wp:effectExtent l="0" t="0" r="0" b="0"/>
            <wp:docPr id="90" name="图片 138" descr="IMG_3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图片 138" descr="IMG_319"/>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Viewer9_files/intc-20200926_g27.jpg"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36CA5C85" wp14:editId="36CA5C86">
            <wp:extent cx="304800" cy="304800"/>
            <wp:effectExtent l="0" t="0" r="0" b="0"/>
            <wp:docPr id="91" name="图片 139" descr="IMG_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图片 139" descr="IMG_320"/>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bl>
      <w:tblPr>
        <w:tblW w:w="10995" w:type="dxa"/>
        <w:tblCellMar>
          <w:top w:w="15" w:type="dxa"/>
          <w:left w:w="15" w:type="dxa"/>
          <w:bottom w:w="15" w:type="dxa"/>
          <w:right w:w="15" w:type="dxa"/>
        </w:tblCellMar>
        <w:tblLook w:val="04A0" w:firstRow="1" w:lastRow="0" w:firstColumn="1" w:lastColumn="0" w:noHBand="0" w:noVBand="1"/>
      </w:tblPr>
      <w:tblGrid>
        <w:gridCol w:w="37"/>
        <w:gridCol w:w="3488"/>
        <w:gridCol w:w="36"/>
        <w:gridCol w:w="36"/>
        <w:gridCol w:w="65"/>
        <w:gridCol w:w="36"/>
        <w:gridCol w:w="36"/>
        <w:gridCol w:w="3488"/>
        <w:gridCol w:w="36"/>
        <w:gridCol w:w="36"/>
        <w:gridCol w:w="94"/>
        <w:gridCol w:w="36"/>
        <w:gridCol w:w="36"/>
        <w:gridCol w:w="3499"/>
        <w:gridCol w:w="36"/>
      </w:tblGrid>
      <w:tr w:rsidR="00787570" w14:paraId="36CA52A1" w14:textId="77777777">
        <w:tc>
          <w:tcPr>
            <w:tcW w:w="20" w:type="dxa"/>
            <w:shd w:val="clear" w:color="auto" w:fill="auto"/>
          </w:tcPr>
          <w:p w14:paraId="36CA5292" w14:textId="77777777" w:rsidR="00787570" w:rsidRDefault="00787570">
            <w:pPr>
              <w:rPr>
                <w:rFonts w:ascii="宋体"/>
              </w:rPr>
            </w:pPr>
          </w:p>
        </w:tc>
        <w:tc>
          <w:tcPr>
            <w:tcW w:w="3545" w:type="dxa"/>
            <w:shd w:val="clear" w:color="auto" w:fill="auto"/>
          </w:tcPr>
          <w:p w14:paraId="36CA5293" w14:textId="77777777" w:rsidR="00787570" w:rsidRDefault="00787570">
            <w:pPr>
              <w:rPr>
                <w:rFonts w:ascii="宋体"/>
              </w:rPr>
            </w:pPr>
          </w:p>
        </w:tc>
        <w:tc>
          <w:tcPr>
            <w:tcW w:w="20" w:type="dxa"/>
            <w:shd w:val="clear" w:color="auto" w:fill="auto"/>
          </w:tcPr>
          <w:p w14:paraId="36CA5294" w14:textId="77777777" w:rsidR="00787570" w:rsidRDefault="00787570">
            <w:pPr>
              <w:rPr>
                <w:rFonts w:ascii="宋体"/>
              </w:rPr>
            </w:pPr>
          </w:p>
        </w:tc>
        <w:tc>
          <w:tcPr>
            <w:tcW w:w="20" w:type="dxa"/>
            <w:shd w:val="clear" w:color="auto" w:fill="auto"/>
          </w:tcPr>
          <w:p w14:paraId="36CA5295" w14:textId="77777777" w:rsidR="00787570" w:rsidRDefault="00787570">
            <w:pPr>
              <w:rPr>
                <w:rFonts w:ascii="宋体"/>
              </w:rPr>
            </w:pPr>
          </w:p>
        </w:tc>
        <w:tc>
          <w:tcPr>
            <w:tcW w:w="65" w:type="dxa"/>
            <w:shd w:val="clear" w:color="auto" w:fill="auto"/>
          </w:tcPr>
          <w:p w14:paraId="36CA5296" w14:textId="77777777" w:rsidR="00787570" w:rsidRDefault="00787570">
            <w:pPr>
              <w:rPr>
                <w:rFonts w:ascii="宋体"/>
              </w:rPr>
            </w:pPr>
          </w:p>
        </w:tc>
        <w:tc>
          <w:tcPr>
            <w:tcW w:w="20" w:type="dxa"/>
            <w:shd w:val="clear" w:color="auto" w:fill="auto"/>
          </w:tcPr>
          <w:p w14:paraId="36CA5297" w14:textId="77777777" w:rsidR="00787570" w:rsidRDefault="00787570">
            <w:pPr>
              <w:rPr>
                <w:rFonts w:ascii="宋体"/>
              </w:rPr>
            </w:pPr>
          </w:p>
        </w:tc>
        <w:tc>
          <w:tcPr>
            <w:tcW w:w="20" w:type="dxa"/>
            <w:shd w:val="clear" w:color="auto" w:fill="auto"/>
          </w:tcPr>
          <w:p w14:paraId="36CA5298" w14:textId="77777777" w:rsidR="00787570" w:rsidRDefault="00787570">
            <w:pPr>
              <w:rPr>
                <w:rFonts w:ascii="宋体"/>
              </w:rPr>
            </w:pPr>
          </w:p>
        </w:tc>
        <w:tc>
          <w:tcPr>
            <w:tcW w:w="3545" w:type="dxa"/>
            <w:shd w:val="clear" w:color="auto" w:fill="auto"/>
          </w:tcPr>
          <w:p w14:paraId="36CA5299" w14:textId="77777777" w:rsidR="00787570" w:rsidRDefault="00787570">
            <w:pPr>
              <w:rPr>
                <w:rFonts w:ascii="宋体"/>
              </w:rPr>
            </w:pPr>
          </w:p>
        </w:tc>
        <w:tc>
          <w:tcPr>
            <w:tcW w:w="20" w:type="dxa"/>
            <w:shd w:val="clear" w:color="auto" w:fill="auto"/>
          </w:tcPr>
          <w:p w14:paraId="36CA529A" w14:textId="77777777" w:rsidR="00787570" w:rsidRDefault="00787570">
            <w:pPr>
              <w:rPr>
                <w:rFonts w:ascii="宋体"/>
              </w:rPr>
            </w:pPr>
          </w:p>
        </w:tc>
        <w:tc>
          <w:tcPr>
            <w:tcW w:w="20" w:type="dxa"/>
            <w:shd w:val="clear" w:color="auto" w:fill="auto"/>
          </w:tcPr>
          <w:p w14:paraId="36CA529B" w14:textId="77777777" w:rsidR="00787570" w:rsidRDefault="00787570">
            <w:pPr>
              <w:rPr>
                <w:rFonts w:ascii="宋体"/>
              </w:rPr>
            </w:pPr>
          </w:p>
        </w:tc>
        <w:tc>
          <w:tcPr>
            <w:tcW w:w="95" w:type="dxa"/>
            <w:shd w:val="clear" w:color="auto" w:fill="auto"/>
          </w:tcPr>
          <w:p w14:paraId="36CA529C" w14:textId="77777777" w:rsidR="00787570" w:rsidRDefault="00787570">
            <w:pPr>
              <w:rPr>
                <w:rFonts w:ascii="宋体"/>
              </w:rPr>
            </w:pPr>
          </w:p>
        </w:tc>
        <w:tc>
          <w:tcPr>
            <w:tcW w:w="20" w:type="dxa"/>
            <w:shd w:val="clear" w:color="auto" w:fill="auto"/>
          </w:tcPr>
          <w:p w14:paraId="36CA529D" w14:textId="77777777" w:rsidR="00787570" w:rsidRDefault="00787570">
            <w:pPr>
              <w:rPr>
                <w:rFonts w:ascii="宋体"/>
              </w:rPr>
            </w:pPr>
          </w:p>
        </w:tc>
        <w:tc>
          <w:tcPr>
            <w:tcW w:w="20" w:type="dxa"/>
            <w:shd w:val="clear" w:color="auto" w:fill="auto"/>
          </w:tcPr>
          <w:p w14:paraId="36CA529E" w14:textId="77777777" w:rsidR="00787570" w:rsidRDefault="00787570">
            <w:pPr>
              <w:rPr>
                <w:rFonts w:ascii="宋体"/>
              </w:rPr>
            </w:pPr>
          </w:p>
        </w:tc>
        <w:tc>
          <w:tcPr>
            <w:tcW w:w="3545" w:type="dxa"/>
            <w:shd w:val="clear" w:color="auto" w:fill="auto"/>
          </w:tcPr>
          <w:p w14:paraId="36CA529F" w14:textId="77777777" w:rsidR="00787570" w:rsidRDefault="00787570">
            <w:pPr>
              <w:rPr>
                <w:rFonts w:ascii="宋体"/>
              </w:rPr>
            </w:pPr>
          </w:p>
        </w:tc>
        <w:tc>
          <w:tcPr>
            <w:tcW w:w="20" w:type="dxa"/>
            <w:shd w:val="clear" w:color="auto" w:fill="auto"/>
          </w:tcPr>
          <w:p w14:paraId="36CA52A0" w14:textId="77777777" w:rsidR="00787570" w:rsidRDefault="00787570">
            <w:pPr>
              <w:rPr>
                <w:rFonts w:ascii="宋体"/>
              </w:rPr>
            </w:pPr>
          </w:p>
        </w:tc>
      </w:tr>
      <w:tr w:rsidR="00787570" w14:paraId="36CA52A7" w14:textId="77777777">
        <w:tc>
          <w:tcPr>
            <w:tcW w:w="0" w:type="auto"/>
            <w:gridSpan w:val="3"/>
            <w:shd w:val="clear" w:color="auto" w:fill="auto"/>
            <w:tcMar>
              <w:left w:w="20" w:type="dxa"/>
              <w:right w:w="20" w:type="dxa"/>
            </w:tcMar>
            <w:vAlign w:val="bottom"/>
          </w:tcPr>
          <w:p w14:paraId="36CA52A2"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52A3"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52A4"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52A5" w14:textId="77777777" w:rsidR="00787570" w:rsidRDefault="00787570">
            <w:pPr>
              <w:rPr>
                <w:rFonts w:ascii="宋体"/>
              </w:rPr>
            </w:pPr>
          </w:p>
        </w:tc>
        <w:tc>
          <w:tcPr>
            <w:tcW w:w="0" w:type="auto"/>
            <w:gridSpan w:val="3"/>
            <w:shd w:val="clear" w:color="auto" w:fill="auto"/>
            <w:tcMar>
              <w:top w:w="40" w:type="dxa"/>
              <w:left w:w="20" w:type="dxa"/>
              <w:bottom w:w="40" w:type="dxa"/>
              <w:right w:w="20" w:type="dxa"/>
            </w:tcMar>
            <w:vAlign w:val="center"/>
          </w:tcPr>
          <w:p w14:paraId="36CA52A6" w14:textId="77777777" w:rsidR="00787570" w:rsidRDefault="000D56E2">
            <w:pPr>
              <w:jc w:val="center"/>
              <w:textAlignment w:val="center"/>
            </w:pPr>
            <w:r>
              <w:rPr>
                <w:rFonts w:ascii="Arial" w:eastAsia="宋体" w:hAnsi="Arial" w:cs="Arial"/>
                <w:color w:val="003C71"/>
                <w:sz w:val="16"/>
                <w:szCs w:val="16"/>
              </w:rPr>
              <w:t>■</w:t>
            </w:r>
            <w:r>
              <w:rPr>
                <w:rFonts w:ascii="Arial" w:eastAsia="宋体" w:hAnsi="Arial" w:cs="Arial"/>
                <w:color w:val="0071C5"/>
                <w:sz w:val="16"/>
                <w:szCs w:val="16"/>
              </w:rPr>
              <w:t xml:space="preserve"> </w:t>
            </w:r>
            <w:r>
              <w:rPr>
                <w:rFonts w:ascii="Arial" w:eastAsia="宋体" w:hAnsi="Arial" w:cs="Arial"/>
                <w:color w:val="333333"/>
                <w:sz w:val="16"/>
                <w:szCs w:val="16"/>
              </w:rPr>
              <w:t xml:space="preserve">Dividends </w:t>
            </w:r>
            <w:r>
              <w:rPr>
                <w:rFonts w:ascii="Arial" w:eastAsia="宋体" w:hAnsi="Arial" w:cs="Arial"/>
                <w:color w:val="0094FF"/>
                <w:sz w:val="16"/>
                <w:szCs w:val="16"/>
              </w:rPr>
              <w:t>■</w:t>
            </w:r>
            <w:r>
              <w:rPr>
                <w:rFonts w:ascii="Arial" w:eastAsia="宋体" w:hAnsi="Arial" w:cs="Arial"/>
                <w:color w:val="333333"/>
                <w:sz w:val="16"/>
                <w:szCs w:val="16"/>
              </w:rPr>
              <w:t xml:space="preserve"> Buybacks</w:t>
            </w:r>
            <w:r>
              <w:rPr>
                <w:rFonts w:ascii="Arial" w:eastAsia="宋体" w:hAnsi="Arial" w:cs="Arial"/>
                <w:color w:val="333333"/>
                <w:sz w:val="10"/>
                <w:szCs w:val="10"/>
              </w:rPr>
              <w:t>1</w:t>
            </w:r>
          </w:p>
        </w:tc>
      </w:tr>
    </w:tbl>
    <w:p w14:paraId="36CA52A8" w14:textId="77777777" w:rsidR="00787570" w:rsidRDefault="00787570">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38"/>
        <w:gridCol w:w="5929"/>
        <w:gridCol w:w="37"/>
        <w:gridCol w:w="36"/>
        <w:gridCol w:w="36"/>
        <w:gridCol w:w="36"/>
        <w:gridCol w:w="136"/>
        <w:gridCol w:w="773"/>
        <w:gridCol w:w="41"/>
        <w:gridCol w:w="36"/>
        <w:gridCol w:w="36"/>
        <w:gridCol w:w="36"/>
        <w:gridCol w:w="136"/>
        <w:gridCol w:w="773"/>
        <w:gridCol w:w="41"/>
        <w:gridCol w:w="36"/>
        <w:gridCol w:w="36"/>
        <w:gridCol w:w="36"/>
        <w:gridCol w:w="36"/>
        <w:gridCol w:w="36"/>
        <w:gridCol w:w="36"/>
      </w:tblGrid>
      <w:tr w:rsidR="00787570" w14:paraId="36CA52B8" w14:textId="77777777">
        <w:trPr>
          <w:gridAfter w:val="6"/>
        </w:trPr>
        <w:tc>
          <w:tcPr>
            <w:tcW w:w="50" w:type="pct"/>
            <w:shd w:val="clear" w:color="auto" w:fill="auto"/>
          </w:tcPr>
          <w:p w14:paraId="36CA52A9" w14:textId="77777777" w:rsidR="00787570" w:rsidRDefault="00787570">
            <w:pPr>
              <w:rPr>
                <w:rFonts w:ascii="宋体"/>
              </w:rPr>
            </w:pPr>
          </w:p>
        </w:tc>
        <w:tc>
          <w:tcPr>
            <w:tcW w:w="3688" w:type="pct"/>
            <w:shd w:val="clear" w:color="auto" w:fill="auto"/>
          </w:tcPr>
          <w:p w14:paraId="36CA52AA" w14:textId="77777777" w:rsidR="00787570" w:rsidRDefault="00787570">
            <w:pPr>
              <w:rPr>
                <w:rFonts w:ascii="宋体"/>
              </w:rPr>
            </w:pPr>
          </w:p>
        </w:tc>
        <w:tc>
          <w:tcPr>
            <w:tcW w:w="5" w:type="pct"/>
            <w:shd w:val="clear" w:color="auto" w:fill="auto"/>
          </w:tcPr>
          <w:p w14:paraId="36CA52AB" w14:textId="77777777" w:rsidR="00787570" w:rsidRDefault="00787570">
            <w:pPr>
              <w:rPr>
                <w:rFonts w:ascii="宋体"/>
              </w:rPr>
            </w:pPr>
          </w:p>
        </w:tc>
        <w:tc>
          <w:tcPr>
            <w:tcW w:w="5" w:type="pct"/>
            <w:shd w:val="clear" w:color="auto" w:fill="auto"/>
          </w:tcPr>
          <w:p w14:paraId="36CA52AC" w14:textId="77777777" w:rsidR="00787570" w:rsidRDefault="00787570">
            <w:pPr>
              <w:rPr>
                <w:rFonts w:ascii="宋体"/>
              </w:rPr>
            </w:pPr>
          </w:p>
        </w:tc>
        <w:tc>
          <w:tcPr>
            <w:tcW w:w="24" w:type="pct"/>
            <w:shd w:val="clear" w:color="auto" w:fill="auto"/>
          </w:tcPr>
          <w:p w14:paraId="36CA52AD" w14:textId="77777777" w:rsidR="00787570" w:rsidRDefault="00787570">
            <w:pPr>
              <w:rPr>
                <w:rFonts w:ascii="宋体"/>
              </w:rPr>
            </w:pPr>
          </w:p>
        </w:tc>
        <w:tc>
          <w:tcPr>
            <w:tcW w:w="5" w:type="pct"/>
            <w:shd w:val="clear" w:color="auto" w:fill="auto"/>
          </w:tcPr>
          <w:p w14:paraId="36CA52AE" w14:textId="77777777" w:rsidR="00787570" w:rsidRDefault="00787570">
            <w:pPr>
              <w:rPr>
                <w:rFonts w:ascii="宋体"/>
              </w:rPr>
            </w:pPr>
          </w:p>
        </w:tc>
        <w:tc>
          <w:tcPr>
            <w:tcW w:w="50" w:type="pct"/>
            <w:shd w:val="clear" w:color="auto" w:fill="auto"/>
          </w:tcPr>
          <w:p w14:paraId="36CA52AF" w14:textId="77777777" w:rsidR="00787570" w:rsidRDefault="00787570">
            <w:pPr>
              <w:rPr>
                <w:rFonts w:ascii="宋体"/>
              </w:rPr>
            </w:pPr>
          </w:p>
        </w:tc>
        <w:tc>
          <w:tcPr>
            <w:tcW w:w="539" w:type="pct"/>
            <w:shd w:val="clear" w:color="auto" w:fill="auto"/>
          </w:tcPr>
          <w:p w14:paraId="36CA52B0" w14:textId="77777777" w:rsidR="00787570" w:rsidRDefault="00787570">
            <w:pPr>
              <w:rPr>
                <w:rFonts w:ascii="宋体"/>
              </w:rPr>
            </w:pPr>
          </w:p>
        </w:tc>
        <w:tc>
          <w:tcPr>
            <w:tcW w:w="5" w:type="pct"/>
            <w:shd w:val="clear" w:color="auto" w:fill="auto"/>
          </w:tcPr>
          <w:p w14:paraId="36CA52B1" w14:textId="77777777" w:rsidR="00787570" w:rsidRDefault="00787570">
            <w:pPr>
              <w:rPr>
                <w:rFonts w:ascii="宋体"/>
              </w:rPr>
            </w:pPr>
          </w:p>
        </w:tc>
        <w:tc>
          <w:tcPr>
            <w:tcW w:w="5" w:type="pct"/>
            <w:shd w:val="clear" w:color="auto" w:fill="auto"/>
          </w:tcPr>
          <w:p w14:paraId="36CA52B2" w14:textId="77777777" w:rsidR="00787570" w:rsidRDefault="00787570">
            <w:pPr>
              <w:rPr>
                <w:rFonts w:ascii="宋体"/>
              </w:rPr>
            </w:pPr>
          </w:p>
        </w:tc>
        <w:tc>
          <w:tcPr>
            <w:tcW w:w="24" w:type="pct"/>
            <w:shd w:val="clear" w:color="auto" w:fill="auto"/>
          </w:tcPr>
          <w:p w14:paraId="36CA52B3" w14:textId="77777777" w:rsidR="00787570" w:rsidRDefault="00787570">
            <w:pPr>
              <w:rPr>
                <w:rFonts w:ascii="宋体"/>
              </w:rPr>
            </w:pPr>
          </w:p>
        </w:tc>
        <w:tc>
          <w:tcPr>
            <w:tcW w:w="5" w:type="pct"/>
            <w:shd w:val="clear" w:color="auto" w:fill="auto"/>
          </w:tcPr>
          <w:p w14:paraId="36CA52B4" w14:textId="77777777" w:rsidR="00787570" w:rsidRDefault="00787570">
            <w:pPr>
              <w:rPr>
                <w:rFonts w:ascii="宋体"/>
              </w:rPr>
            </w:pPr>
          </w:p>
        </w:tc>
        <w:tc>
          <w:tcPr>
            <w:tcW w:w="50" w:type="pct"/>
            <w:shd w:val="clear" w:color="auto" w:fill="auto"/>
          </w:tcPr>
          <w:p w14:paraId="36CA52B5" w14:textId="77777777" w:rsidR="00787570" w:rsidRDefault="00787570">
            <w:pPr>
              <w:rPr>
                <w:rFonts w:ascii="宋体"/>
              </w:rPr>
            </w:pPr>
          </w:p>
        </w:tc>
        <w:tc>
          <w:tcPr>
            <w:tcW w:w="539" w:type="pct"/>
            <w:shd w:val="clear" w:color="auto" w:fill="auto"/>
          </w:tcPr>
          <w:p w14:paraId="36CA52B6" w14:textId="77777777" w:rsidR="00787570" w:rsidRDefault="00787570">
            <w:pPr>
              <w:rPr>
                <w:rFonts w:ascii="宋体"/>
              </w:rPr>
            </w:pPr>
          </w:p>
        </w:tc>
        <w:tc>
          <w:tcPr>
            <w:tcW w:w="5" w:type="pct"/>
            <w:shd w:val="clear" w:color="auto" w:fill="auto"/>
          </w:tcPr>
          <w:p w14:paraId="36CA52B7" w14:textId="77777777" w:rsidR="00787570" w:rsidRDefault="00787570">
            <w:pPr>
              <w:rPr>
                <w:rFonts w:ascii="宋体"/>
              </w:rPr>
            </w:pPr>
          </w:p>
        </w:tc>
      </w:tr>
      <w:tr w:rsidR="00787570" w14:paraId="36CA52BE" w14:textId="77777777">
        <w:tc>
          <w:tcPr>
            <w:tcW w:w="0" w:type="auto"/>
            <w:gridSpan w:val="3"/>
            <w:shd w:val="clear" w:color="auto" w:fill="auto"/>
            <w:tcMar>
              <w:left w:w="20" w:type="dxa"/>
              <w:right w:w="20" w:type="dxa"/>
            </w:tcMar>
            <w:vAlign w:val="bottom"/>
          </w:tcPr>
          <w:p w14:paraId="36CA52B9"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52BA" w14:textId="77777777" w:rsidR="00787570" w:rsidRDefault="00787570">
            <w:pPr>
              <w:rPr>
                <w:rFonts w:ascii="宋体"/>
              </w:rPr>
            </w:pPr>
          </w:p>
        </w:tc>
        <w:tc>
          <w:tcPr>
            <w:tcW w:w="0" w:type="auto"/>
            <w:gridSpan w:val="9"/>
            <w:shd w:val="clear" w:color="auto" w:fill="auto"/>
            <w:tcMar>
              <w:top w:w="40" w:type="dxa"/>
              <w:left w:w="20" w:type="dxa"/>
              <w:bottom w:w="40" w:type="dxa"/>
              <w:right w:w="20" w:type="dxa"/>
            </w:tcMar>
            <w:vAlign w:val="bottom"/>
          </w:tcPr>
          <w:p w14:paraId="36CA52BB" w14:textId="77777777" w:rsidR="00787570" w:rsidRDefault="000D56E2">
            <w:pPr>
              <w:jc w:val="center"/>
              <w:textAlignment w:val="bottom"/>
            </w:pPr>
            <w:r>
              <w:rPr>
                <w:rFonts w:ascii="Arial" w:eastAsia="宋体" w:hAnsi="Arial" w:cs="Arial"/>
                <w:b/>
                <w:bCs/>
                <w:color w:val="333333"/>
                <w:sz w:val="18"/>
                <w:szCs w:val="18"/>
              </w:rPr>
              <w:t>Nine Months Ended</w:t>
            </w:r>
          </w:p>
        </w:tc>
        <w:tc>
          <w:tcPr>
            <w:tcW w:w="0" w:type="auto"/>
            <w:gridSpan w:val="3"/>
            <w:shd w:val="clear" w:color="auto" w:fill="auto"/>
          </w:tcPr>
          <w:p w14:paraId="36CA52BC" w14:textId="77777777" w:rsidR="00787570" w:rsidRDefault="00787570">
            <w:pPr>
              <w:rPr>
                <w:rFonts w:ascii="宋体"/>
                <w:vanish/>
              </w:rPr>
            </w:pPr>
          </w:p>
        </w:tc>
        <w:tc>
          <w:tcPr>
            <w:tcW w:w="0" w:type="auto"/>
            <w:gridSpan w:val="3"/>
            <w:shd w:val="clear" w:color="auto" w:fill="auto"/>
          </w:tcPr>
          <w:p w14:paraId="36CA52BD" w14:textId="77777777" w:rsidR="00787570" w:rsidRDefault="00787570">
            <w:pPr>
              <w:rPr>
                <w:rFonts w:ascii="宋体"/>
                <w:vanish/>
              </w:rPr>
            </w:pPr>
          </w:p>
        </w:tc>
      </w:tr>
      <w:tr w:rsidR="00787570" w14:paraId="36CA52CA" w14:textId="77777777">
        <w:tc>
          <w:tcPr>
            <w:tcW w:w="0" w:type="auto"/>
            <w:gridSpan w:val="3"/>
            <w:shd w:val="clear" w:color="auto" w:fill="auto"/>
            <w:tcMar>
              <w:top w:w="40" w:type="dxa"/>
              <w:left w:w="20" w:type="dxa"/>
              <w:bottom w:w="40" w:type="dxa"/>
              <w:right w:w="20" w:type="dxa"/>
            </w:tcMar>
            <w:vAlign w:val="bottom"/>
          </w:tcPr>
          <w:p w14:paraId="36CA52BF" w14:textId="77777777" w:rsidR="00787570" w:rsidRDefault="000D56E2">
            <w:pPr>
              <w:ind w:hanging="180"/>
              <w:textAlignment w:val="bottom"/>
            </w:pPr>
            <w:r>
              <w:rPr>
                <w:rFonts w:ascii="Arial" w:eastAsia="宋体" w:hAnsi="Arial" w:cs="Arial"/>
                <w:b/>
                <w:bCs/>
                <w:color w:val="333333"/>
                <w:sz w:val="18"/>
                <w:szCs w:val="18"/>
              </w:rPr>
              <w:t>(In Millions)</w:t>
            </w:r>
          </w:p>
        </w:tc>
        <w:tc>
          <w:tcPr>
            <w:tcW w:w="0" w:type="auto"/>
            <w:gridSpan w:val="3"/>
            <w:shd w:val="clear" w:color="auto" w:fill="auto"/>
            <w:tcMar>
              <w:left w:w="20" w:type="dxa"/>
              <w:right w:w="20" w:type="dxa"/>
            </w:tcMar>
            <w:vAlign w:val="bottom"/>
          </w:tcPr>
          <w:p w14:paraId="36CA52C0" w14:textId="77777777" w:rsidR="00787570" w:rsidRDefault="00787570">
            <w:pPr>
              <w:rPr>
                <w:rFonts w:ascii="宋体"/>
              </w:rPr>
            </w:pPr>
          </w:p>
        </w:tc>
        <w:tc>
          <w:tcPr>
            <w:tcW w:w="0" w:type="auto"/>
            <w:gridSpan w:val="3"/>
            <w:tcBorders>
              <w:top w:val="single" w:sz="8" w:space="0" w:color="0071C5"/>
            </w:tcBorders>
            <w:shd w:val="clear" w:color="auto" w:fill="auto"/>
            <w:tcMar>
              <w:top w:w="40" w:type="dxa"/>
              <w:left w:w="20" w:type="dxa"/>
              <w:bottom w:w="40" w:type="dxa"/>
              <w:right w:w="20" w:type="dxa"/>
            </w:tcMar>
            <w:vAlign w:val="bottom"/>
          </w:tcPr>
          <w:p w14:paraId="36CA52C1" w14:textId="77777777" w:rsidR="00787570" w:rsidRDefault="000D56E2">
            <w:pPr>
              <w:jc w:val="center"/>
              <w:textAlignment w:val="bottom"/>
            </w:pPr>
            <w:r>
              <w:rPr>
                <w:rFonts w:ascii="Arial" w:eastAsia="宋体" w:hAnsi="Arial" w:cs="Arial"/>
                <w:b/>
                <w:bCs/>
                <w:color w:val="333333"/>
                <w:sz w:val="18"/>
                <w:szCs w:val="18"/>
              </w:rPr>
              <w:t>Sep 26, 2020</w:t>
            </w:r>
          </w:p>
        </w:tc>
        <w:tc>
          <w:tcPr>
            <w:tcW w:w="0" w:type="auto"/>
            <w:gridSpan w:val="3"/>
            <w:tcBorders>
              <w:top w:val="single" w:sz="8" w:space="0" w:color="0071C5"/>
            </w:tcBorders>
            <w:shd w:val="clear" w:color="auto" w:fill="auto"/>
            <w:tcMar>
              <w:left w:w="20" w:type="dxa"/>
              <w:right w:w="20" w:type="dxa"/>
            </w:tcMar>
            <w:vAlign w:val="bottom"/>
          </w:tcPr>
          <w:p w14:paraId="36CA52C2" w14:textId="77777777" w:rsidR="00787570" w:rsidRDefault="00787570">
            <w:pPr>
              <w:rPr>
                <w:rFonts w:ascii="宋体"/>
              </w:rPr>
            </w:pPr>
          </w:p>
        </w:tc>
        <w:tc>
          <w:tcPr>
            <w:tcW w:w="0" w:type="auto"/>
            <w:gridSpan w:val="3"/>
            <w:tcBorders>
              <w:top w:val="single" w:sz="8" w:space="0" w:color="0071C5"/>
            </w:tcBorders>
            <w:shd w:val="clear" w:color="auto" w:fill="auto"/>
            <w:tcMar>
              <w:top w:w="40" w:type="dxa"/>
              <w:left w:w="20" w:type="dxa"/>
              <w:bottom w:w="40" w:type="dxa"/>
              <w:right w:w="20" w:type="dxa"/>
            </w:tcMar>
            <w:vAlign w:val="bottom"/>
          </w:tcPr>
          <w:p w14:paraId="36CA52C3" w14:textId="77777777" w:rsidR="00787570" w:rsidRDefault="000D56E2">
            <w:pPr>
              <w:jc w:val="center"/>
              <w:textAlignment w:val="bottom"/>
            </w:pPr>
            <w:r>
              <w:rPr>
                <w:rFonts w:ascii="Arial" w:eastAsia="宋体" w:hAnsi="Arial" w:cs="Arial"/>
                <w:b/>
                <w:bCs/>
                <w:color w:val="333333"/>
                <w:sz w:val="18"/>
                <w:szCs w:val="18"/>
              </w:rPr>
              <w:t>Sep 28, 2019</w:t>
            </w:r>
          </w:p>
        </w:tc>
        <w:tc>
          <w:tcPr>
            <w:tcW w:w="0" w:type="auto"/>
            <w:shd w:val="clear" w:color="auto" w:fill="auto"/>
          </w:tcPr>
          <w:p w14:paraId="36CA52C4" w14:textId="77777777" w:rsidR="00787570" w:rsidRDefault="00787570">
            <w:pPr>
              <w:rPr>
                <w:rFonts w:ascii="宋体"/>
              </w:rPr>
            </w:pPr>
          </w:p>
        </w:tc>
        <w:tc>
          <w:tcPr>
            <w:tcW w:w="0" w:type="auto"/>
            <w:shd w:val="clear" w:color="auto" w:fill="auto"/>
          </w:tcPr>
          <w:p w14:paraId="36CA52C5" w14:textId="77777777" w:rsidR="00787570" w:rsidRDefault="00787570">
            <w:pPr>
              <w:rPr>
                <w:rFonts w:ascii="宋体"/>
              </w:rPr>
            </w:pPr>
          </w:p>
        </w:tc>
        <w:tc>
          <w:tcPr>
            <w:tcW w:w="0" w:type="auto"/>
            <w:shd w:val="clear" w:color="auto" w:fill="auto"/>
          </w:tcPr>
          <w:p w14:paraId="36CA52C6" w14:textId="77777777" w:rsidR="00787570" w:rsidRDefault="00787570">
            <w:pPr>
              <w:rPr>
                <w:rFonts w:ascii="宋体"/>
              </w:rPr>
            </w:pPr>
          </w:p>
        </w:tc>
        <w:tc>
          <w:tcPr>
            <w:tcW w:w="0" w:type="auto"/>
            <w:shd w:val="clear" w:color="auto" w:fill="auto"/>
          </w:tcPr>
          <w:p w14:paraId="36CA52C7" w14:textId="77777777" w:rsidR="00787570" w:rsidRDefault="00787570">
            <w:pPr>
              <w:rPr>
                <w:rFonts w:ascii="宋体"/>
              </w:rPr>
            </w:pPr>
          </w:p>
        </w:tc>
        <w:tc>
          <w:tcPr>
            <w:tcW w:w="0" w:type="auto"/>
            <w:shd w:val="clear" w:color="auto" w:fill="auto"/>
          </w:tcPr>
          <w:p w14:paraId="36CA52C8" w14:textId="77777777" w:rsidR="00787570" w:rsidRDefault="00787570">
            <w:pPr>
              <w:rPr>
                <w:rFonts w:ascii="宋体"/>
              </w:rPr>
            </w:pPr>
          </w:p>
        </w:tc>
        <w:tc>
          <w:tcPr>
            <w:tcW w:w="0" w:type="auto"/>
            <w:shd w:val="clear" w:color="auto" w:fill="auto"/>
          </w:tcPr>
          <w:p w14:paraId="36CA52C9" w14:textId="77777777" w:rsidR="00787570" w:rsidRDefault="00787570">
            <w:pPr>
              <w:rPr>
                <w:rFonts w:ascii="宋体"/>
              </w:rPr>
            </w:pPr>
          </w:p>
        </w:tc>
      </w:tr>
      <w:tr w:rsidR="00787570" w14:paraId="36CA52DA" w14:textId="77777777">
        <w:tc>
          <w:tcPr>
            <w:tcW w:w="0" w:type="auto"/>
            <w:gridSpan w:val="3"/>
            <w:tcBorders>
              <w:top w:val="single" w:sz="8" w:space="0" w:color="0071C5"/>
            </w:tcBorders>
            <w:shd w:val="clear" w:color="auto" w:fill="auto"/>
            <w:tcMar>
              <w:top w:w="40" w:type="dxa"/>
              <w:left w:w="20" w:type="dxa"/>
              <w:bottom w:w="40" w:type="dxa"/>
              <w:right w:w="20" w:type="dxa"/>
            </w:tcMar>
          </w:tcPr>
          <w:p w14:paraId="36CA52CB" w14:textId="77777777" w:rsidR="00787570" w:rsidRDefault="000D56E2">
            <w:pPr>
              <w:ind w:hanging="180"/>
              <w:textAlignment w:val="top"/>
            </w:pPr>
            <w:r>
              <w:rPr>
                <w:rFonts w:ascii="Arial" w:eastAsia="宋体" w:hAnsi="Arial" w:cs="Arial"/>
                <w:color w:val="333333"/>
                <w:sz w:val="18"/>
                <w:szCs w:val="18"/>
              </w:rPr>
              <w:t>Net cash provided by operating activities</w:t>
            </w:r>
          </w:p>
        </w:tc>
        <w:tc>
          <w:tcPr>
            <w:tcW w:w="0" w:type="auto"/>
            <w:gridSpan w:val="3"/>
            <w:shd w:val="clear" w:color="auto" w:fill="auto"/>
            <w:tcMar>
              <w:left w:w="20" w:type="dxa"/>
              <w:right w:w="20" w:type="dxa"/>
            </w:tcMar>
            <w:vAlign w:val="bottom"/>
          </w:tcPr>
          <w:p w14:paraId="36CA52CC" w14:textId="77777777" w:rsidR="00787570" w:rsidRDefault="00787570">
            <w:pPr>
              <w:rPr>
                <w:rFonts w:ascii="宋体"/>
              </w:rPr>
            </w:pPr>
          </w:p>
        </w:tc>
        <w:tc>
          <w:tcPr>
            <w:tcW w:w="0" w:type="auto"/>
            <w:tcBorders>
              <w:top w:val="single" w:sz="8" w:space="0" w:color="0071C5"/>
            </w:tcBorders>
            <w:shd w:val="clear" w:color="auto" w:fill="auto"/>
            <w:tcMar>
              <w:top w:w="40" w:type="dxa"/>
              <w:left w:w="20" w:type="dxa"/>
              <w:bottom w:w="40" w:type="dxa"/>
            </w:tcMar>
            <w:vAlign w:val="bottom"/>
          </w:tcPr>
          <w:p w14:paraId="36CA52CD" w14:textId="77777777" w:rsidR="00787570" w:rsidRDefault="000D56E2">
            <w:pPr>
              <w:textAlignment w:val="bottom"/>
            </w:pPr>
            <w:r>
              <w:rPr>
                <w:rFonts w:ascii="Arial" w:eastAsia="宋体" w:hAnsi="Arial" w:cs="Arial"/>
                <w:color w:val="0071C5"/>
                <w:sz w:val="18"/>
                <w:szCs w:val="18"/>
              </w:rPr>
              <w:t>$</w:t>
            </w:r>
          </w:p>
        </w:tc>
        <w:tc>
          <w:tcPr>
            <w:tcW w:w="0" w:type="auto"/>
            <w:tcBorders>
              <w:top w:val="single" w:sz="8" w:space="0" w:color="0071C5"/>
            </w:tcBorders>
            <w:shd w:val="clear" w:color="auto" w:fill="auto"/>
            <w:tcMar>
              <w:top w:w="40" w:type="dxa"/>
              <w:bottom w:w="40" w:type="dxa"/>
              <w:right w:w="0" w:type="dxa"/>
            </w:tcMar>
            <w:vAlign w:val="bottom"/>
          </w:tcPr>
          <w:p w14:paraId="36CA52CE" w14:textId="77777777" w:rsidR="00787570" w:rsidRDefault="000D56E2">
            <w:pPr>
              <w:jc w:val="right"/>
              <w:textAlignment w:val="bottom"/>
            </w:pPr>
            <w:r>
              <w:rPr>
                <w:rFonts w:ascii="Arial" w:eastAsia="宋体" w:hAnsi="Arial" w:cs="Arial"/>
                <w:color w:val="0071C5"/>
                <w:sz w:val="18"/>
                <w:szCs w:val="18"/>
              </w:rPr>
              <w:t>25,494 </w:t>
            </w:r>
          </w:p>
        </w:tc>
        <w:tc>
          <w:tcPr>
            <w:tcW w:w="0" w:type="auto"/>
            <w:tcBorders>
              <w:top w:val="single" w:sz="8" w:space="0" w:color="0071C5"/>
            </w:tcBorders>
            <w:shd w:val="clear" w:color="auto" w:fill="auto"/>
            <w:tcMar>
              <w:top w:w="40" w:type="dxa"/>
              <w:bottom w:w="40" w:type="dxa"/>
              <w:right w:w="20" w:type="dxa"/>
            </w:tcMar>
            <w:vAlign w:val="bottom"/>
          </w:tcPr>
          <w:p w14:paraId="36CA52CF"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52D0" w14:textId="77777777" w:rsidR="00787570" w:rsidRDefault="00787570">
            <w:pPr>
              <w:rPr>
                <w:rFonts w:ascii="宋体"/>
              </w:rPr>
            </w:pPr>
          </w:p>
        </w:tc>
        <w:tc>
          <w:tcPr>
            <w:tcW w:w="0" w:type="auto"/>
            <w:tcBorders>
              <w:top w:val="single" w:sz="8" w:space="0" w:color="0071C5"/>
            </w:tcBorders>
            <w:shd w:val="clear" w:color="auto" w:fill="auto"/>
            <w:tcMar>
              <w:top w:w="40" w:type="dxa"/>
              <w:left w:w="20" w:type="dxa"/>
              <w:bottom w:w="40" w:type="dxa"/>
            </w:tcMar>
            <w:vAlign w:val="bottom"/>
          </w:tcPr>
          <w:p w14:paraId="36CA52D1" w14:textId="77777777" w:rsidR="00787570" w:rsidRDefault="000D56E2">
            <w:pPr>
              <w:textAlignment w:val="bottom"/>
            </w:pPr>
            <w:r>
              <w:rPr>
                <w:rFonts w:ascii="Arial" w:eastAsia="宋体" w:hAnsi="Arial" w:cs="Arial"/>
                <w:color w:val="333333"/>
                <w:sz w:val="18"/>
                <w:szCs w:val="18"/>
              </w:rPr>
              <w:t>$</w:t>
            </w:r>
          </w:p>
        </w:tc>
        <w:tc>
          <w:tcPr>
            <w:tcW w:w="0" w:type="auto"/>
            <w:tcBorders>
              <w:top w:val="single" w:sz="8" w:space="0" w:color="0071C5"/>
            </w:tcBorders>
            <w:shd w:val="clear" w:color="auto" w:fill="auto"/>
            <w:tcMar>
              <w:top w:w="40" w:type="dxa"/>
              <w:bottom w:w="40" w:type="dxa"/>
              <w:right w:w="0" w:type="dxa"/>
            </w:tcMar>
            <w:vAlign w:val="bottom"/>
          </w:tcPr>
          <w:p w14:paraId="36CA52D2" w14:textId="77777777" w:rsidR="00787570" w:rsidRDefault="000D56E2">
            <w:pPr>
              <w:jc w:val="right"/>
              <w:textAlignment w:val="bottom"/>
            </w:pPr>
            <w:r>
              <w:rPr>
                <w:rFonts w:ascii="Arial" w:eastAsia="宋体" w:hAnsi="Arial" w:cs="Arial"/>
                <w:color w:val="333333"/>
                <w:sz w:val="18"/>
                <w:szCs w:val="18"/>
              </w:rPr>
              <w:t>23,257 </w:t>
            </w:r>
          </w:p>
        </w:tc>
        <w:tc>
          <w:tcPr>
            <w:tcW w:w="0" w:type="auto"/>
            <w:tcBorders>
              <w:top w:val="single" w:sz="8" w:space="0" w:color="0071C5"/>
            </w:tcBorders>
            <w:shd w:val="clear" w:color="auto" w:fill="auto"/>
            <w:tcMar>
              <w:top w:w="40" w:type="dxa"/>
              <w:bottom w:w="40" w:type="dxa"/>
              <w:right w:w="20" w:type="dxa"/>
            </w:tcMar>
            <w:vAlign w:val="bottom"/>
          </w:tcPr>
          <w:p w14:paraId="36CA52D3" w14:textId="77777777" w:rsidR="00787570" w:rsidRDefault="00787570">
            <w:pPr>
              <w:jc w:val="right"/>
              <w:rPr>
                <w:rFonts w:ascii="宋体"/>
              </w:rPr>
            </w:pPr>
          </w:p>
        </w:tc>
        <w:tc>
          <w:tcPr>
            <w:tcW w:w="0" w:type="auto"/>
            <w:shd w:val="clear" w:color="auto" w:fill="auto"/>
          </w:tcPr>
          <w:p w14:paraId="36CA52D4" w14:textId="77777777" w:rsidR="00787570" w:rsidRDefault="00787570">
            <w:pPr>
              <w:rPr>
                <w:rFonts w:ascii="宋体"/>
              </w:rPr>
            </w:pPr>
          </w:p>
        </w:tc>
        <w:tc>
          <w:tcPr>
            <w:tcW w:w="0" w:type="auto"/>
            <w:shd w:val="clear" w:color="auto" w:fill="auto"/>
          </w:tcPr>
          <w:p w14:paraId="36CA52D5" w14:textId="77777777" w:rsidR="00787570" w:rsidRDefault="00787570">
            <w:pPr>
              <w:rPr>
                <w:rFonts w:ascii="宋体"/>
              </w:rPr>
            </w:pPr>
          </w:p>
        </w:tc>
        <w:tc>
          <w:tcPr>
            <w:tcW w:w="0" w:type="auto"/>
            <w:shd w:val="clear" w:color="auto" w:fill="auto"/>
          </w:tcPr>
          <w:p w14:paraId="36CA52D6" w14:textId="77777777" w:rsidR="00787570" w:rsidRDefault="00787570">
            <w:pPr>
              <w:rPr>
                <w:rFonts w:ascii="宋体"/>
              </w:rPr>
            </w:pPr>
          </w:p>
        </w:tc>
        <w:tc>
          <w:tcPr>
            <w:tcW w:w="0" w:type="auto"/>
            <w:shd w:val="clear" w:color="auto" w:fill="auto"/>
          </w:tcPr>
          <w:p w14:paraId="36CA52D7" w14:textId="77777777" w:rsidR="00787570" w:rsidRDefault="00787570">
            <w:pPr>
              <w:rPr>
                <w:rFonts w:ascii="宋体"/>
              </w:rPr>
            </w:pPr>
          </w:p>
        </w:tc>
        <w:tc>
          <w:tcPr>
            <w:tcW w:w="0" w:type="auto"/>
            <w:shd w:val="clear" w:color="auto" w:fill="auto"/>
          </w:tcPr>
          <w:p w14:paraId="36CA52D8" w14:textId="77777777" w:rsidR="00787570" w:rsidRDefault="00787570">
            <w:pPr>
              <w:rPr>
                <w:rFonts w:ascii="宋体"/>
              </w:rPr>
            </w:pPr>
          </w:p>
        </w:tc>
        <w:tc>
          <w:tcPr>
            <w:tcW w:w="0" w:type="auto"/>
            <w:shd w:val="clear" w:color="auto" w:fill="auto"/>
          </w:tcPr>
          <w:p w14:paraId="36CA52D9" w14:textId="77777777" w:rsidR="00787570" w:rsidRDefault="00787570">
            <w:pPr>
              <w:rPr>
                <w:rFonts w:ascii="宋体"/>
              </w:rPr>
            </w:pPr>
          </w:p>
        </w:tc>
      </w:tr>
      <w:tr w:rsidR="00787570" w14:paraId="36CA52E8" w14:textId="77777777">
        <w:tc>
          <w:tcPr>
            <w:tcW w:w="0" w:type="auto"/>
            <w:gridSpan w:val="3"/>
            <w:shd w:val="clear" w:color="auto" w:fill="auto"/>
            <w:tcMar>
              <w:top w:w="40" w:type="dxa"/>
              <w:left w:w="20" w:type="dxa"/>
              <w:bottom w:w="40" w:type="dxa"/>
              <w:right w:w="20" w:type="dxa"/>
            </w:tcMar>
          </w:tcPr>
          <w:p w14:paraId="36CA52DB" w14:textId="77777777" w:rsidR="00787570" w:rsidRDefault="000D56E2">
            <w:pPr>
              <w:ind w:hanging="180"/>
              <w:textAlignment w:val="top"/>
            </w:pPr>
            <w:r>
              <w:rPr>
                <w:rFonts w:ascii="Arial" w:eastAsia="宋体" w:hAnsi="Arial" w:cs="Arial"/>
                <w:color w:val="333333"/>
                <w:sz w:val="18"/>
                <w:szCs w:val="18"/>
              </w:rPr>
              <w:t>Net cash used for investing activities</w:t>
            </w:r>
          </w:p>
        </w:tc>
        <w:tc>
          <w:tcPr>
            <w:tcW w:w="0" w:type="auto"/>
            <w:gridSpan w:val="3"/>
            <w:shd w:val="clear" w:color="auto" w:fill="auto"/>
            <w:tcMar>
              <w:left w:w="20" w:type="dxa"/>
              <w:right w:w="20" w:type="dxa"/>
            </w:tcMar>
            <w:vAlign w:val="bottom"/>
          </w:tcPr>
          <w:p w14:paraId="36CA52DC"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52DD" w14:textId="77777777" w:rsidR="00787570" w:rsidRDefault="000D56E2">
            <w:pPr>
              <w:jc w:val="right"/>
              <w:textAlignment w:val="bottom"/>
            </w:pPr>
            <w:r>
              <w:rPr>
                <w:rFonts w:ascii="Arial" w:eastAsia="宋体" w:hAnsi="Arial" w:cs="Arial"/>
                <w:color w:val="0071C5"/>
                <w:sz w:val="18"/>
                <w:szCs w:val="18"/>
              </w:rPr>
              <w:t>(15,112)</w:t>
            </w:r>
          </w:p>
        </w:tc>
        <w:tc>
          <w:tcPr>
            <w:tcW w:w="0" w:type="auto"/>
            <w:shd w:val="clear" w:color="auto" w:fill="auto"/>
            <w:tcMar>
              <w:top w:w="40" w:type="dxa"/>
              <w:bottom w:w="40" w:type="dxa"/>
              <w:right w:w="20" w:type="dxa"/>
            </w:tcMar>
            <w:vAlign w:val="bottom"/>
          </w:tcPr>
          <w:p w14:paraId="36CA52DE"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52DF"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52E0" w14:textId="77777777" w:rsidR="00787570" w:rsidRDefault="000D56E2">
            <w:pPr>
              <w:jc w:val="right"/>
              <w:textAlignment w:val="bottom"/>
            </w:pPr>
            <w:r>
              <w:rPr>
                <w:rFonts w:ascii="Arial" w:eastAsia="宋体" w:hAnsi="Arial" w:cs="Arial"/>
                <w:color w:val="333333"/>
                <w:sz w:val="18"/>
                <w:szCs w:val="18"/>
              </w:rPr>
              <w:t>(9,920)</w:t>
            </w:r>
          </w:p>
        </w:tc>
        <w:tc>
          <w:tcPr>
            <w:tcW w:w="0" w:type="auto"/>
            <w:shd w:val="clear" w:color="auto" w:fill="auto"/>
            <w:tcMar>
              <w:top w:w="40" w:type="dxa"/>
              <w:bottom w:w="40" w:type="dxa"/>
              <w:right w:w="20" w:type="dxa"/>
            </w:tcMar>
            <w:vAlign w:val="bottom"/>
          </w:tcPr>
          <w:p w14:paraId="36CA52E1" w14:textId="77777777" w:rsidR="00787570" w:rsidRDefault="00787570">
            <w:pPr>
              <w:jc w:val="right"/>
              <w:rPr>
                <w:rFonts w:ascii="宋体"/>
              </w:rPr>
            </w:pPr>
          </w:p>
        </w:tc>
        <w:tc>
          <w:tcPr>
            <w:tcW w:w="0" w:type="auto"/>
            <w:shd w:val="clear" w:color="auto" w:fill="auto"/>
          </w:tcPr>
          <w:p w14:paraId="36CA52E2" w14:textId="77777777" w:rsidR="00787570" w:rsidRDefault="00787570">
            <w:pPr>
              <w:rPr>
                <w:rFonts w:ascii="宋体"/>
              </w:rPr>
            </w:pPr>
          </w:p>
        </w:tc>
        <w:tc>
          <w:tcPr>
            <w:tcW w:w="0" w:type="auto"/>
            <w:shd w:val="clear" w:color="auto" w:fill="auto"/>
          </w:tcPr>
          <w:p w14:paraId="36CA52E3" w14:textId="77777777" w:rsidR="00787570" w:rsidRDefault="00787570">
            <w:pPr>
              <w:rPr>
                <w:rFonts w:ascii="宋体"/>
              </w:rPr>
            </w:pPr>
          </w:p>
        </w:tc>
        <w:tc>
          <w:tcPr>
            <w:tcW w:w="0" w:type="auto"/>
            <w:shd w:val="clear" w:color="auto" w:fill="auto"/>
          </w:tcPr>
          <w:p w14:paraId="36CA52E4" w14:textId="77777777" w:rsidR="00787570" w:rsidRDefault="00787570">
            <w:pPr>
              <w:rPr>
                <w:rFonts w:ascii="宋体"/>
              </w:rPr>
            </w:pPr>
          </w:p>
        </w:tc>
        <w:tc>
          <w:tcPr>
            <w:tcW w:w="0" w:type="auto"/>
            <w:shd w:val="clear" w:color="auto" w:fill="auto"/>
          </w:tcPr>
          <w:p w14:paraId="36CA52E5" w14:textId="77777777" w:rsidR="00787570" w:rsidRDefault="00787570">
            <w:pPr>
              <w:rPr>
                <w:rFonts w:ascii="宋体"/>
              </w:rPr>
            </w:pPr>
          </w:p>
        </w:tc>
        <w:tc>
          <w:tcPr>
            <w:tcW w:w="0" w:type="auto"/>
            <w:shd w:val="clear" w:color="auto" w:fill="auto"/>
          </w:tcPr>
          <w:p w14:paraId="36CA52E6" w14:textId="77777777" w:rsidR="00787570" w:rsidRDefault="00787570">
            <w:pPr>
              <w:rPr>
                <w:rFonts w:ascii="宋体"/>
              </w:rPr>
            </w:pPr>
          </w:p>
        </w:tc>
        <w:tc>
          <w:tcPr>
            <w:tcW w:w="0" w:type="auto"/>
            <w:shd w:val="clear" w:color="auto" w:fill="auto"/>
          </w:tcPr>
          <w:p w14:paraId="36CA52E7" w14:textId="77777777" w:rsidR="00787570" w:rsidRDefault="00787570">
            <w:pPr>
              <w:rPr>
                <w:rFonts w:ascii="宋体"/>
              </w:rPr>
            </w:pPr>
          </w:p>
        </w:tc>
      </w:tr>
      <w:tr w:rsidR="00787570" w14:paraId="36CA52F6" w14:textId="77777777">
        <w:tc>
          <w:tcPr>
            <w:tcW w:w="0" w:type="auto"/>
            <w:gridSpan w:val="3"/>
            <w:shd w:val="clear" w:color="auto" w:fill="auto"/>
            <w:tcMar>
              <w:top w:w="40" w:type="dxa"/>
              <w:left w:w="20" w:type="dxa"/>
              <w:bottom w:w="40" w:type="dxa"/>
              <w:right w:w="20" w:type="dxa"/>
            </w:tcMar>
          </w:tcPr>
          <w:p w14:paraId="36CA52E9" w14:textId="77777777" w:rsidR="00787570" w:rsidRDefault="000D56E2">
            <w:pPr>
              <w:ind w:hanging="180"/>
              <w:textAlignment w:val="top"/>
            </w:pPr>
            <w:r>
              <w:rPr>
                <w:rFonts w:ascii="Arial" w:eastAsia="宋体" w:hAnsi="Arial" w:cs="Arial"/>
                <w:color w:val="333333"/>
                <w:sz w:val="18"/>
                <w:szCs w:val="18"/>
              </w:rPr>
              <w:t>Net cash provided by (used for) financing activities</w:t>
            </w:r>
          </w:p>
        </w:tc>
        <w:tc>
          <w:tcPr>
            <w:tcW w:w="0" w:type="auto"/>
            <w:gridSpan w:val="3"/>
            <w:shd w:val="clear" w:color="auto" w:fill="auto"/>
            <w:tcMar>
              <w:left w:w="20" w:type="dxa"/>
              <w:right w:w="20" w:type="dxa"/>
            </w:tcMar>
            <w:vAlign w:val="bottom"/>
          </w:tcPr>
          <w:p w14:paraId="36CA52EA"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52EB" w14:textId="77777777" w:rsidR="00787570" w:rsidRDefault="000D56E2">
            <w:pPr>
              <w:jc w:val="right"/>
              <w:textAlignment w:val="bottom"/>
            </w:pPr>
            <w:r>
              <w:rPr>
                <w:rFonts w:ascii="Arial" w:eastAsia="宋体" w:hAnsi="Arial" w:cs="Arial"/>
                <w:color w:val="0071C5"/>
                <w:sz w:val="18"/>
                <w:szCs w:val="18"/>
              </w:rPr>
              <w:t>(11,220)</w:t>
            </w:r>
          </w:p>
        </w:tc>
        <w:tc>
          <w:tcPr>
            <w:tcW w:w="0" w:type="auto"/>
            <w:shd w:val="clear" w:color="auto" w:fill="auto"/>
            <w:tcMar>
              <w:top w:w="40" w:type="dxa"/>
              <w:bottom w:w="40" w:type="dxa"/>
              <w:right w:w="20" w:type="dxa"/>
            </w:tcMar>
            <w:vAlign w:val="bottom"/>
          </w:tcPr>
          <w:p w14:paraId="36CA52EC"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52ED"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52EE" w14:textId="77777777" w:rsidR="00787570" w:rsidRDefault="000D56E2">
            <w:pPr>
              <w:jc w:val="right"/>
              <w:textAlignment w:val="bottom"/>
            </w:pPr>
            <w:r>
              <w:rPr>
                <w:rFonts w:ascii="Arial" w:eastAsia="宋体" w:hAnsi="Arial" w:cs="Arial"/>
                <w:color w:val="333333"/>
                <w:sz w:val="18"/>
                <w:szCs w:val="18"/>
              </w:rPr>
              <w:t>(12,421)</w:t>
            </w:r>
          </w:p>
        </w:tc>
        <w:tc>
          <w:tcPr>
            <w:tcW w:w="0" w:type="auto"/>
            <w:shd w:val="clear" w:color="auto" w:fill="auto"/>
            <w:tcMar>
              <w:top w:w="40" w:type="dxa"/>
              <w:bottom w:w="40" w:type="dxa"/>
              <w:right w:w="20" w:type="dxa"/>
            </w:tcMar>
            <w:vAlign w:val="bottom"/>
          </w:tcPr>
          <w:p w14:paraId="36CA52EF" w14:textId="77777777" w:rsidR="00787570" w:rsidRDefault="00787570">
            <w:pPr>
              <w:jc w:val="right"/>
              <w:rPr>
                <w:rFonts w:ascii="宋体"/>
              </w:rPr>
            </w:pPr>
          </w:p>
        </w:tc>
        <w:tc>
          <w:tcPr>
            <w:tcW w:w="0" w:type="auto"/>
            <w:shd w:val="clear" w:color="auto" w:fill="auto"/>
          </w:tcPr>
          <w:p w14:paraId="36CA52F0" w14:textId="77777777" w:rsidR="00787570" w:rsidRDefault="00787570">
            <w:pPr>
              <w:rPr>
                <w:rFonts w:ascii="宋体"/>
              </w:rPr>
            </w:pPr>
          </w:p>
        </w:tc>
        <w:tc>
          <w:tcPr>
            <w:tcW w:w="0" w:type="auto"/>
            <w:shd w:val="clear" w:color="auto" w:fill="auto"/>
          </w:tcPr>
          <w:p w14:paraId="36CA52F1" w14:textId="77777777" w:rsidR="00787570" w:rsidRDefault="00787570">
            <w:pPr>
              <w:rPr>
                <w:rFonts w:ascii="宋体"/>
              </w:rPr>
            </w:pPr>
          </w:p>
        </w:tc>
        <w:tc>
          <w:tcPr>
            <w:tcW w:w="0" w:type="auto"/>
            <w:shd w:val="clear" w:color="auto" w:fill="auto"/>
          </w:tcPr>
          <w:p w14:paraId="36CA52F2" w14:textId="77777777" w:rsidR="00787570" w:rsidRDefault="00787570">
            <w:pPr>
              <w:rPr>
                <w:rFonts w:ascii="宋体"/>
              </w:rPr>
            </w:pPr>
          </w:p>
        </w:tc>
        <w:tc>
          <w:tcPr>
            <w:tcW w:w="0" w:type="auto"/>
            <w:shd w:val="clear" w:color="auto" w:fill="auto"/>
          </w:tcPr>
          <w:p w14:paraId="36CA52F3" w14:textId="77777777" w:rsidR="00787570" w:rsidRDefault="00787570">
            <w:pPr>
              <w:rPr>
                <w:rFonts w:ascii="宋体"/>
              </w:rPr>
            </w:pPr>
          </w:p>
        </w:tc>
        <w:tc>
          <w:tcPr>
            <w:tcW w:w="0" w:type="auto"/>
            <w:shd w:val="clear" w:color="auto" w:fill="auto"/>
          </w:tcPr>
          <w:p w14:paraId="36CA52F4" w14:textId="77777777" w:rsidR="00787570" w:rsidRDefault="00787570">
            <w:pPr>
              <w:rPr>
                <w:rFonts w:ascii="宋体"/>
              </w:rPr>
            </w:pPr>
          </w:p>
        </w:tc>
        <w:tc>
          <w:tcPr>
            <w:tcW w:w="0" w:type="auto"/>
            <w:shd w:val="clear" w:color="auto" w:fill="auto"/>
          </w:tcPr>
          <w:p w14:paraId="36CA52F5" w14:textId="77777777" w:rsidR="00787570" w:rsidRDefault="00787570">
            <w:pPr>
              <w:rPr>
                <w:rFonts w:ascii="宋体"/>
              </w:rPr>
            </w:pPr>
          </w:p>
        </w:tc>
      </w:tr>
      <w:tr w:rsidR="00787570" w14:paraId="36CA5302" w14:textId="77777777">
        <w:trPr>
          <w:hidden/>
        </w:trPr>
        <w:tc>
          <w:tcPr>
            <w:tcW w:w="0" w:type="auto"/>
            <w:gridSpan w:val="3"/>
            <w:shd w:val="clear" w:color="auto" w:fill="auto"/>
          </w:tcPr>
          <w:p w14:paraId="36CA52F7" w14:textId="77777777" w:rsidR="00787570" w:rsidRDefault="00787570">
            <w:pPr>
              <w:rPr>
                <w:rFonts w:ascii="宋体"/>
                <w:vanish/>
              </w:rPr>
            </w:pPr>
          </w:p>
        </w:tc>
        <w:tc>
          <w:tcPr>
            <w:tcW w:w="0" w:type="auto"/>
            <w:gridSpan w:val="3"/>
            <w:shd w:val="clear" w:color="auto" w:fill="auto"/>
          </w:tcPr>
          <w:p w14:paraId="36CA52F8" w14:textId="77777777" w:rsidR="00787570" w:rsidRDefault="00787570">
            <w:pPr>
              <w:rPr>
                <w:rFonts w:ascii="宋体"/>
                <w:vanish/>
              </w:rPr>
            </w:pPr>
          </w:p>
        </w:tc>
        <w:tc>
          <w:tcPr>
            <w:tcW w:w="0" w:type="auto"/>
            <w:gridSpan w:val="3"/>
            <w:shd w:val="clear" w:color="auto" w:fill="auto"/>
          </w:tcPr>
          <w:p w14:paraId="36CA52F9" w14:textId="77777777" w:rsidR="00787570" w:rsidRDefault="00787570">
            <w:pPr>
              <w:rPr>
                <w:rFonts w:ascii="宋体"/>
                <w:vanish/>
              </w:rPr>
            </w:pPr>
          </w:p>
        </w:tc>
        <w:tc>
          <w:tcPr>
            <w:tcW w:w="0" w:type="auto"/>
            <w:gridSpan w:val="3"/>
            <w:shd w:val="clear" w:color="auto" w:fill="auto"/>
          </w:tcPr>
          <w:p w14:paraId="36CA52FA" w14:textId="77777777" w:rsidR="00787570" w:rsidRDefault="00787570">
            <w:pPr>
              <w:rPr>
                <w:rFonts w:ascii="宋体"/>
                <w:vanish/>
              </w:rPr>
            </w:pPr>
          </w:p>
        </w:tc>
        <w:tc>
          <w:tcPr>
            <w:tcW w:w="0" w:type="auto"/>
            <w:gridSpan w:val="3"/>
            <w:shd w:val="clear" w:color="auto" w:fill="auto"/>
          </w:tcPr>
          <w:p w14:paraId="36CA52FB" w14:textId="77777777" w:rsidR="00787570" w:rsidRDefault="00787570">
            <w:pPr>
              <w:rPr>
                <w:rFonts w:ascii="宋体"/>
                <w:vanish/>
              </w:rPr>
            </w:pPr>
          </w:p>
        </w:tc>
        <w:tc>
          <w:tcPr>
            <w:tcW w:w="0" w:type="auto"/>
            <w:shd w:val="clear" w:color="auto" w:fill="auto"/>
          </w:tcPr>
          <w:p w14:paraId="36CA52FC" w14:textId="77777777" w:rsidR="00787570" w:rsidRDefault="00787570">
            <w:pPr>
              <w:rPr>
                <w:rFonts w:ascii="宋体"/>
              </w:rPr>
            </w:pPr>
          </w:p>
        </w:tc>
        <w:tc>
          <w:tcPr>
            <w:tcW w:w="0" w:type="auto"/>
            <w:shd w:val="clear" w:color="auto" w:fill="auto"/>
          </w:tcPr>
          <w:p w14:paraId="36CA52FD" w14:textId="77777777" w:rsidR="00787570" w:rsidRDefault="00787570">
            <w:pPr>
              <w:rPr>
                <w:rFonts w:ascii="宋体"/>
              </w:rPr>
            </w:pPr>
          </w:p>
        </w:tc>
        <w:tc>
          <w:tcPr>
            <w:tcW w:w="0" w:type="auto"/>
            <w:shd w:val="clear" w:color="auto" w:fill="auto"/>
          </w:tcPr>
          <w:p w14:paraId="36CA52FE" w14:textId="77777777" w:rsidR="00787570" w:rsidRDefault="00787570">
            <w:pPr>
              <w:rPr>
                <w:rFonts w:ascii="宋体"/>
              </w:rPr>
            </w:pPr>
          </w:p>
        </w:tc>
        <w:tc>
          <w:tcPr>
            <w:tcW w:w="0" w:type="auto"/>
            <w:shd w:val="clear" w:color="auto" w:fill="auto"/>
          </w:tcPr>
          <w:p w14:paraId="36CA52FF" w14:textId="77777777" w:rsidR="00787570" w:rsidRDefault="00787570">
            <w:pPr>
              <w:rPr>
                <w:rFonts w:ascii="宋体"/>
              </w:rPr>
            </w:pPr>
          </w:p>
        </w:tc>
        <w:tc>
          <w:tcPr>
            <w:tcW w:w="0" w:type="auto"/>
            <w:shd w:val="clear" w:color="auto" w:fill="auto"/>
          </w:tcPr>
          <w:p w14:paraId="36CA5300" w14:textId="77777777" w:rsidR="00787570" w:rsidRDefault="00787570">
            <w:pPr>
              <w:rPr>
                <w:rFonts w:ascii="宋体"/>
              </w:rPr>
            </w:pPr>
          </w:p>
        </w:tc>
        <w:tc>
          <w:tcPr>
            <w:tcW w:w="0" w:type="auto"/>
            <w:shd w:val="clear" w:color="auto" w:fill="auto"/>
          </w:tcPr>
          <w:p w14:paraId="36CA5301" w14:textId="77777777" w:rsidR="00787570" w:rsidRDefault="00787570">
            <w:pPr>
              <w:rPr>
                <w:rFonts w:ascii="宋体"/>
              </w:rPr>
            </w:pPr>
          </w:p>
        </w:tc>
      </w:tr>
      <w:tr w:rsidR="00787570" w14:paraId="36CA5312" w14:textId="77777777">
        <w:tc>
          <w:tcPr>
            <w:tcW w:w="0" w:type="auto"/>
            <w:gridSpan w:val="3"/>
            <w:shd w:val="clear" w:color="auto" w:fill="auto"/>
            <w:tcMar>
              <w:top w:w="40" w:type="dxa"/>
              <w:left w:w="20" w:type="dxa"/>
              <w:bottom w:w="40" w:type="dxa"/>
              <w:right w:w="20" w:type="dxa"/>
            </w:tcMar>
          </w:tcPr>
          <w:p w14:paraId="36CA5303" w14:textId="77777777" w:rsidR="00787570" w:rsidRDefault="000D56E2">
            <w:pPr>
              <w:ind w:hanging="180"/>
              <w:textAlignment w:val="top"/>
            </w:pPr>
            <w:r>
              <w:rPr>
                <w:rFonts w:ascii="Arial" w:eastAsia="宋体" w:hAnsi="Arial" w:cs="Arial"/>
                <w:b/>
                <w:bCs/>
                <w:color w:val="333333"/>
                <w:sz w:val="18"/>
                <w:szCs w:val="18"/>
              </w:rPr>
              <w:t>Net increase (decrease) in cash and cash equivalents</w:t>
            </w:r>
          </w:p>
        </w:tc>
        <w:tc>
          <w:tcPr>
            <w:tcW w:w="0" w:type="auto"/>
            <w:gridSpan w:val="3"/>
            <w:shd w:val="clear" w:color="auto" w:fill="auto"/>
            <w:tcMar>
              <w:left w:w="20" w:type="dxa"/>
              <w:right w:w="20" w:type="dxa"/>
            </w:tcMar>
            <w:vAlign w:val="bottom"/>
          </w:tcPr>
          <w:p w14:paraId="36CA5304" w14:textId="77777777" w:rsidR="00787570" w:rsidRDefault="00787570">
            <w:pPr>
              <w:rPr>
                <w:rFonts w:ascii="宋体"/>
              </w:rPr>
            </w:pPr>
          </w:p>
        </w:tc>
        <w:tc>
          <w:tcPr>
            <w:tcW w:w="0" w:type="auto"/>
            <w:tcBorders>
              <w:top w:val="single" w:sz="8" w:space="0" w:color="333333"/>
              <w:bottom w:val="double" w:sz="6" w:space="0" w:color="333333"/>
            </w:tcBorders>
            <w:shd w:val="clear" w:color="auto" w:fill="auto"/>
            <w:tcMar>
              <w:top w:w="40" w:type="dxa"/>
              <w:left w:w="20" w:type="dxa"/>
              <w:bottom w:w="40" w:type="dxa"/>
            </w:tcMar>
            <w:vAlign w:val="bottom"/>
          </w:tcPr>
          <w:p w14:paraId="36CA5305" w14:textId="77777777" w:rsidR="00787570" w:rsidRDefault="000D56E2">
            <w:pPr>
              <w:textAlignment w:val="bottom"/>
            </w:pPr>
            <w:r>
              <w:rPr>
                <w:rFonts w:ascii="Arial" w:eastAsia="宋体" w:hAnsi="Arial" w:cs="Arial"/>
                <w:b/>
                <w:bCs/>
                <w:color w:val="0071C5"/>
                <w:sz w:val="18"/>
                <w:szCs w:val="18"/>
              </w:rPr>
              <w:t>$</w:t>
            </w:r>
          </w:p>
        </w:tc>
        <w:tc>
          <w:tcPr>
            <w:tcW w:w="0" w:type="auto"/>
            <w:tcBorders>
              <w:top w:val="single" w:sz="8" w:space="0" w:color="333333"/>
              <w:bottom w:val="double" w:sz="6" w:space="0" w:color="333333"/>
            </w:tcBorders>
            <w:shd w:val="clear" w:color="auto" w:fill="auto"/>
            <w:tcMar>
              <w:top w:w="40" w:type="dxa"/>
              <w:bottom w:w="40" w:type="dxa"/>
              <w:right w:w="0" w:type="dxa"/>
            </w:tcMar>
            <w:vAlign w:val="bottom"/>
          </w:tcPr>
          <w:p w14:paraId="36CA5306" w14:textId="77777777" w:rsidR="00787570" w:rsidRDefault="000D56E2">
            <w:pPr>
              <w:jc w:val="right"/>
              <w:textAlignment w:val="bottom"/>
            </w:pPr>
            <w:r>
              <w:rPr>
                <w:rFonts w:ascii="Arial" w:eastAsia="宋体" w:hAnsi="Arial" w:cs="Arial"/>
                <w:b/>
                <w:bCs/>
                <w:color w:val="0071C5"/>
                <w:sz w:val="18"/>
                <w:szCs w:val="18"/>
              </w:rPr>
              <w:t>(838)</w:t>
            </w:r>
          </w:p>
        </w:tc>
        <w:tc>
          <w:tcPr>
            <w:tcW w:w="0" w:type="auto"/>
            <w:tcBorders>
              <w:top w:val="single" w:sz="8" w:space="0" w:color="333333"/>
              <w:bottom w:val="double" w:sz="6" w:space="0" w:color="333333"/>
            </w:tcBorders>
            <w:shd w:val="clear" w:color="auto" w:fill="auto"/>
            <w:tcMar>
              <w:top w:w="40" w:type="dxa"/>
              <w:bottom w:w="40" w:type="dxa"/>
              <w:right w:w="20" w:type="dxa"/>
            </w:tcMar>
            <w:vAlign w:val="bottom"/>
          </w:tcPr>
          <w:p w14:paraId="36CA5307"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5308" w14:textId="77777777" w:rsidR="00787570" w:rsidRDefault="00787570">
            <w:pPr>
              <w:rPr>
                <w:rFonts w:ascii="宋体"/>
              </w:rPr>
            </w:pPr>
          </w:p>
        </w:tc>
        <w:tc>
          <w:tcPr>
            <w:tcW w:w="0" w:type="auto"/>
            <w:tcBorders>
              <w:top w:val="single" w:sz="8" w:space="0" w:color="333333"/>
              <w:bottom w:val="double" w:sz="6" w:space="0" w:color="333333"/>
            </w:tcBorders>
            <w:shd w:val="clear" w:color="auto" w:fill="auto"/>
            <w:tcMar>
              <w:top w:w="40" w:type="dxa"/>
              <w:left w:w="20" w:type="dxa"/>
              <w:bottom w:w="40" w:type="dxa"/>
            </w:tcMar>
            <w:vAlign w:val="bottom"/>
          </w:tcPr>
          <w:p w14:paraId="36CA5309" w14:textId="77777777" w:rsidR="00787570" w:rsidRDefault="000D56E2">
            <w:pPr>
              <w:textAlignment w:val="bottom"/>
            </w:pPr>
            <w:r>
              <w:rPr>
                <w:rFonts w:ascii="Arial" w:eastAsia="宋体" w:hAnsi="Arial" w:cs="Arial"/>
                <w:b/>
                <w:bCs/>
                <w:color w:val="333333"/>
                <w:sz w:val="18"/>
                <w:szCs w:val="18"/>
              </w:rPr>
              <w:t>$</w:t>
            </w:r>
          </w:p>
        </w:tc>
        <w:tc>
          <w:tcPr>
            <w:tcW w:w="0" w:type="auto"/>
            <w:tcBorders>
              <w:top w:val="single" w:sz="8" w:space="0" w:color="333333"/>
              <w:bottom w:val="double" w:sz="6" w:space="0" w:color="333333"/>
            </w:tcBorders>
            <w:shd w:val="clear" w:color="auto" w:fill="auto"/>
            <w:tcMar>
              <w:top w:w="40" w:type="dxa"/>
              <w:bottom w:w="40" w:type="dxa"/>
              <w:right w:w="0" w:type="dxa"/>
            </w:tcMar>
            <w:vAlign w:val="bottom"/>
          </w:tcPr>
          <w:p w14:paraId="36CA530A" w14:textId="77777777" w:rsidR="00787570" w:rsidRDefault="000D56E2">
            <w:pPr>
              <w:jc w:val="right"/>
              <w:textAlignment w:val="bottom"/>
            </w:pPr>
            <w:r>
              <w:rPr>
                <w:rFonts w:ascii="Arial" w:eastAsia="宋体" w:hAnsi="Arial" w:cs="Arial"/>
                <w:b/>
                <w:bCs/>
                <w:color w:val="333333"/>
                <w:sz w:val="18"/>
                <w:szCs w:val="18"/>
              </w:rPr>
              <w:t>916</w:t>
            </w:r>
            <w:r>
              <w:rPr>
                <w:rFonts w:ascii="Arial" w:eastAsia="宋体" w:hAnsi="Arial" w:cs="Arial"/>
                <w:color w:val="333333"/>
                <w:sz w:val="18"/>
                <w:szCs w:val="18"/>
              </w:rPr>
              <w:t> </w:t>
            </w:r>
          </w:p>
        </w:tc>
        <w:tc>
          <w:tcPr>
            <w:tcW w:w="0" w:type="auto"/>
            <w:tcBorders>
              <w:top w:val="single" w:sz="8" w:space="0" w:color="333333"/>
              <w:bottom w:val="double" w:sz="6" w:space="0" w:color="333333"/>
            </w:tcBorders>
            <w:shd w:val="clear" w:color="auto" w:fill="auto"/>
            <w:tcMar>
              <w:top w:w="40" w:type="dxa"/>
              <w:bottom w:w="40" w:type="dxa"/>
              <w:right w:w="20" w:type="dxa"/>
            </w:tcMar>
            <w:vAlign w:val="bottom"/>
          </w:tcPr>
          <w:p w14:paraId="36CA530B" w14:textId="77777777" w:rsidR="00787570" w:rsidRDefault="00787570">
            <w:pPr>
              <w:jc w:val="right"/>
              <w:rPr>
                <w:rFonts w:ascii="宋体"/>
              </w:rPr>
            </w:pPr>
          </w:p>
        </w:tc>
        <w:tc>
          <w:tcPr>
            <w:tcW w:w="0" w:type="auto"/>
            <w:shd w:val="clear" w:color="auto" w:fill="auto"/>
          </w:tcPr>
          <w:p w14:paraId="36CA530C" w14:textId="77777777" w:rsidR="00787570" w:rsidRDefault="00787570">
            <w:pPr>
              <w:rPr>
                <w:rFonts w:ascii="宋体"/>
              </w:rPr>
            </w:pPr>
          </w:p>
        </w:tc>
        <w:tc>
          <w:tcPr>
            <w:tcW w:w="0" w:type="auto"/>
            <w:shd w:val="clear" w:color="auto" w:fill="auto"/>
          </w:tcPr>
          <w:p w14:paraId="36CA530D" w14:textId="77777777" w:rsidR="00787570" w:rsidRDefault="00787570">
            <w:pPr>
              <w:rPr>
                <w:rFonts w:ascii="宋体"/>
              </w:rPr>
            </w:pPr>
          </w:p>
        </w:tc>
        <w:tc>
          <w:tcPr>
            <w:tcW w:w="0" w:type="auto"/>
            <w:shd w:val="clear" w:color="auto" w:fill="auto"/>
          </w:tcPr>
          <w:p w14:paraId="36CA530E" w14:textId="77777777" w:rsidR="00787570" w:rsidRDefault="00787570">
            <w:pPr>
              <w:rPr>
                <w:rFonts w:ascii="宋体"/>
              </w:rPr>
            </w:pPr>
          </w:p>
        </w:tc>
        <w:tc>
          <w:tcPr>
            <w:tcW w:w="0" w:type="auto"/>
            <w:shd w:val="clear" w:color="auto" w:fill="auto"/>
          </w:tcPr>
          <w:p w14:paraId="36CA530F" w14:textId="77777777" w:rsidR="00787570" w:rsidRDefault="00787570">
            <w:pPr>
              <w:rPr>
                <w:rFonts w:ascii="宋体"/>
              </w:rPr>
            </w:pPr>
          </w:p>
        </w:tc>
        <w:tc>
          <w:tcPr>
            <w:tcW w:w="0" w:type="auto"/>
            <w:shd w:val="clear" w:color="auto" w:fill="auto"/>
          </w:tcPr>
          <w:p w14:paraId="36CA5310" w14:textId="77777777" w:rsidR="00787570" w:rsidRDefault="00787570">
            <w:pPr>
              <w:rPr>
                <w:rFonts w:ascii="宋体"/>
              </w:rPr>
            </w:pPr>
          </w:p>
        </w:tc>
        <w:tc>
          <w:tcPr>
            <w:tcW w:w="0" w:type="auto"/>
            <w:shd w:val="clear" w:color="auto" w:fill="auto"/>
          </w:tcPr>
          <w:p w14:paraId="36CA5311" w14:textId="77777777" w:rsidR="00787570" w:rsidRDefault="00787570">
            <w:pPr>
              <w:rPr>
                <w:rFonts w:ascii="宋体"/>
              </w:rPr>
            </w:pPr>
          </w:p>
        </w:tc>
      </w:tr>
    </w:tbl>
    <w:p w14:paraId="36CA5313" w14:textId="77777777" w:rsidR="00787570" w:rsidRDefault="00787570">
      <w:pPr>
        <w:spacing w:after="180"/>
      </w:pPr>
    </w:p>
    <w:p w14:paraId="36CA5314" w14:textId="77777777" w:rsidR="00787570" w:rsidRDefault="00787570">
      <w:pPr>
        <w:spacing w:after="180"/>
      </w:pPr>
    </w:p>
    <w:p w14:paraId="36CA5315" w14:textId="77777777" w:rsidR="00787570" w:rsidRDefault="000D56E2">
      <w:pPr>
        <w:spacing w:after="180"/>
        <w:ind w:hanging="180"/>
      </w:pPr>
      <w:r>
        <w:rPr>
          <w:rFonts w:ascii="Arial" w:eastAsia="宋体" w:hAnsi="Arial" w:cs="Arial"/>
          <w:i/>
          <w:iCs/>
          <w:color w:val="333333"/>
          <w:sz w:val="10"/>
          <w:szCs w:val="10"/>
        </w:rPr>
        <w:t>1</w:t>
      </w:r>
      <w:r>
        <w:rPr>
          <w:rFonts w:ascii="Arial" w:eastAsia="宋体" w:hAnsi="Arial" w:cs="Arial"/>
          <w:i/>
          <w:iCs/>
          <w:color w:val="333333"/>
          <w:sz w:val="16"/>
          <w:szCs w:val="16"/>
        </w:rPr>
        <w:t>Buybacks</w:t>
      </w:r>
      <w:r>
        <w:rPr>
          <w:rFonts w:ascii="Arial" w:eastAsia="宋体" w:hAnsi="Arial" w:cs="Arial"/>
          <w:i/>
          <w:iCs/>
          <w:color w:val="333333"/>
          <w:sz w:val="16"/>
          <w:szCs w:val="16"/>
        </w:rPr>
        <w:t xml:space="preserve"> include those repurchased under ASR agreements entered into in Q3 2020, of which $2.0 billion remains to be settled by the end of 2020.</w:t>
      </w:r>
    </w:p>
    <w:tbl>
      <w:tblPr>
        <w:tblW w:w="5000" w:type="pct"/>
        <w:tblCellMar>
          <w:top w:w="15" w:type="dxa"/>
          <w:left w:w="15" w:type="dxa"/>
          <w:bottom w:w="15" w:type="dxa"/>
          <w:right w:w="15" w:type="dxa"/>
        </w:tblCellMar>
        <w:tblLook w:val="04A0" w:firstRow="1" w:lastRow="0" w:firstColumn="1" w:lastColumn="0" w:noHBand="0" w:noVBand="1"/>
      </w:tblPr>
      <w:tblGrid>
        <w:gridCol w:w="95"/>
        <w:gridCol w:w="416"/>
        <w:gridCol w:w="36"/>
        <w:gridCol w:w="47"/>
        <w:gridCol w:w="4254"/>
        <w:gridCol w:w="36"/>
        <w:gridCol w:w="47"/>
        <w:gridCol w:w="3369"/>
        <w:gridCol w:w="36"/>
      </w:tblGrid>
      <w:tr w:rsidR="00787570" w14:paraId="36CA531F" w14:textId="77777777">
        <w:tc>
          <w:tcPr>
            <w:tcW w:w="50" w:type="pct"/>
            <w:shd w:val="clear" w:color="auto" w:fill="auto"/>
            <w:vAlign w:val="bottom"/>
          </w:tcPr>
          <w:p w14:paraId="36CA5316" w14:textId="77777777" w:rsidR="00787570" w:rsidRDefault="00787570">
            <w:pPr>
              <w:rPr>
                <w:rFonts w:ascii="宋体"/>
              </w:rPr>
            </w:pPr>
          </w:p>
        </w:tc>
        <w:tc>
          <w:tcPr>
            <w:tcW w:w="220" w:type="pct"/>
            <w:shd w:val="clear" w:color="auto" w:fill="auto"/>
            <w:vAlign w:val="bottom"/>
          </w:tcPr>
          <w:p w14:paraId="36CA5317" w14:textId="77777777" w:rsidR="00787570" w:rsidRDefault="00787570">
            <w:pPr>
              <w:rPr>
                <w:rFonts w:ascii="宋体"/>
              </w:rPr>
            </w:pPr>
          </w:p>
        </w:tc>
        <w:tc>
          <w:tcPr>
            <w:tcW w:w="5" w:type="pct"/>
            <w:shd w:val="clear" w:color="auto" w:fill="auto"/>
            <w:vAlign w:val="bottom"/>
          </w:tcPr>
          <w:p w14:paraId="36CA5318" w14:textId="77777777" w:rsidR="00787570" w:rsidRDefault="00787570">
            <w:pPr>
              <w:rPr>
                <w:rFonts w:ascii="宋体"/>
              </w:rPr>
            </w:pPr>
          </w:p>
        </w:tc>
        <w:tc>
          <w:tcPr>
            <w:tcW w:w="50" w:type="pct"/>
            <w:shd w:val="clear" w:color="auto" w:fill="auto"/>
            <w:vAlign w:val="bottom"/>
          </w:tcPr>
          <w:p w14:paraId="36CA5319" w14:textId="77777777" w:rsidR="00787570" w:rsidRDefault="00787570">
            <w:pPr>
              <w:rPr>
                <w:rFonts w:ascii="宋体"/>
              </w:rPr>
            </w:pPr>
          </w:p>
        </w:tc>
        <w:tc>
          <w:tcPr>
            <w:tcW w:w="2572" w:type="pct"/>
            <w:shd w:val="clear" w:color="auto" w:fill="auto"/>
            <w:vAlign w:val="bottom"/>
          </w:tcPr>
          <w:p w14:paraId="36CA531A" w14:textId="77777777" w:rsidR="00787570" w:rsidRDefault="00787570">
            <w:pPr>
              <w:rPr>
                <w:rFonts w:ascii="宋体"/>
              </w:rPr>
            </w:pPr>
          </w:p>
        </w:tc>
        <w:tc>
          <w:tcPr>
            <w:tcW w:w="5" w:type="pct"/>
            <w:shd w:val="clear" w:color="auto" w:fill="auto"/>
            <w:vAlign w:val="bottom"/>
          </w:tcPr>
          <w:p w14:paraId="36CA531B" w14:textId="77777777" w:rsidR="00787570" w:rsidRDefault="00787570">
            <w:pPr>
              <w:rPr>
                <w:rFonts w:ascii="宋体"/>
              </w:rPr>
            </w:pPr>
          </w:p>
        </w:tc>
        <w:tc>
          <w:tcPr>
            <w:tcW w:w="50" w:type="pct"/>
            <w:shd w:val="clear" w:color="auto" w:fill="auto"/>
            <w:vAlign w:val="bottom"/>
          </w:tcPr>
          <w:p w14:paraId="36CA531C" w14:textId="77777777" w:rsidR="00787570" w:rsidRDefault="00787570">
            <w:pPr>
              <w:rPr>
                <w:rFonts w:ascii="宋体"/>
              </w:rPr>
            </w:pPr>
          </w:p>
        </w:tc>
        <w:tc>
          <w:tcPr>
            <w:tcW w:w="2042" w:type="pct"/>
            <w:shd w:val="clear" w:color="auto" w:fill="auto"/>
            <w:vAlign w:val="bottom"/>
          </w:tcPr>
          <w:p w14:paraId="36CA531D" w14:textId="77777777" w:rsidR="00787570" w:rsidRDefault="00787570">
            <w:pPr>
              <w:rPr>
                <w:rFonts w:ascii="宋体"/>
              </w:rPr>
            </w:pPr>
          </w:p>
        </w:tc>
        <w:tc>
          <w:tcPr>
            <w:tcW w:w="5" w:type="pct"/>
            <w:shd w:val="clear" w:color="auto" w:fill="auto"/>
            <w:vAlign w:val="bottom"/>
          </w:tcPr>
          <w:p w14:paraId="36CA531E" w14:textId="77777777" w:rsidR="00787570" w:rsidRDefault="00787570">
            <w:pPr>
              <w:rPr>
                <w:rFonts w:ascii="宋体"/>
              </w:rPr>
            </w:pPr>
          </w:p>
        </w:tc>
      </w:tr>
      <w:tr w:rsidR="00787570" w14:paraId="36CA5323" w14:textId="77777777">
        <w:tc>
          <w:tcPr>
            <w:tcW w:w="0" w:type="auto"/>
            <w:gridSpan w:val="3"/>
            <w:tcBorders>
              <w:top w:val="single" w:sz="8" w:space="0" w:color="0071C5"/>
            </w:tcBorders>
            <w:shd w:val="clear" w:color="auto" w:fill="auto"/>
            <w:tcMar>
              <w:left w:w="20" w:type="dxa"/>
              <w:right w:w="20" w:type="dxa"/>
            </w:tcMar>
            <w:vAlign w:val="center"/>
          </w:tcPr>
          <w:p w14:paraId="36CA5320" w14:textId="77777777" w:rsidR="00787570" w:rsidRDefault="000D56E2">
            <w:pPr>
              <w:textAlignment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Viewer9_files/intc-20200926_g2.jpg"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36CA5C87" wp14:editId="36CA5C88">
                  <wp:extent cx="304800" cy="304800"/>
                  <wp:effectExtent l="0" t="0" r="0" b="0"/>
                  <wp:docPr id="47" name="图片 140" descr="IMG_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140" descr="IMG_329"/>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8" w:space="0" w:color="0071C5"/>
            </w:tcBorders>
            <w:shd w:val="clear" w:color="auto" w:fill="auto"/>
            <w:tcMar>
              <w:top w:w="40" w:type="dxa"/>
              <w:left w:w="20" w:type="dxa"/>
              <w:bottom w:w="40" w:type="dxa"/>
              <w:right w:w="20" w:type="dxa"/>
            </w:tcMar>
            <w:vAlign w:val="center"/>
          </w:tcPr>
          <w:p w14:paraId="36CA5321" w14:textId="77777777" w:rsidR="00787570" w:rsidRDefault="000D56E2">
            <w:pPr>
              <w:textAlignment w:val="center"/>
            </w:pPr>
            <w:r>
              <w:rPr>
                <w:rFonts w:ascii="Arial" w:eastAsia="宋体" w:hAnsi="Arial" w:cs="Arial"/>
                <w:color w:val="333333"/>
                <w:sz w:val="16"/>
                <w:szCs w:val="16"/>
              </w:rPr>
              <w:t>MD&amp;A</w:t>
            </w:r>
          </w:p>
        </w:tc>
        <w:tc>
          <w:tcPr>
            <w:tcW w:w="0" w:type="auto"/>
            <w:gridSpan w:val="3"/>
            <w:tcBorders>
              <w:top w:val="single" w:sz="8" w:space="0" w:color="0071C5"/>
            </w:tcBorders>
            <w:shd w:val="clear" w:color="auto" w:fill="auto"/>
            <w:tcMar>
              <w:top w:w="40" w:type="dxa"/>
              <w:left w:w="20" w:type="dxa"/>
              <w:bottom w:w="40" w:type="dxa"/>
              <w:right w:w="20" w:type="dxa"/>
            </w:tcMar>
            <w:vAlign w:val="center"/>
          </w:tcPr>
          <w:p w14:paraId="36CA5322" w14:textId="77777777" w:rsidR="00787570" w:rsidRDefault="000D56E2">
            <w:pPr>
              <w:jc w:val="right"/>
              <w:textAlignment w:val="center"/>
            </w:pPr>
            <w:r>
              <w:rPr>
                <w:rFonts w:ascii="Arial" w:eastAsia="宋体" w:hAnsi="Arial" w:cs="Arial"/>
                <w:color w:val="333333"/>
                <w:sz w:val="16"/>
                <w:szCs w:val="16"/>
              </w:rPr>
              <w:t>40</w:t>
            </w:r>
          </w:p>
        </w:tc>
      </w:tr>
    </w:tbl>
    <w:p w14:paraId="36CA5324" w14:textId="77777777" w:rsidR="00787570" w:rsidRDefault="000D56E2">
      <w:r>
        <w:pict w14:anchorId="36CA5C89">
          <v:rect id="_x0000_i1066" style="width:415.3pt;height:1.5pt" o:hralign="center" o:hrstd="t" o:hr="t" fillcolor="#a0a0a0" stroked="f"/>
        </w:pict>
      </w:r>
    </w:p>
    <w:p w14:paraId="36CA5325" w14:textId="77777777" w:rsidR="00787570" w:rsidRDefault="000D56E2">
      <w:pPr>
        <w:spacing w:after="180"/>
        <w:jc w:val="right"/>
      </w:pPr>
      <w:hyperlink r:id="rId68" w:anchor="i32771df14e9449d2bec5be911426bf04_7" w:history="1">
        <w:r>
          <w:rPr>
            <w:rStyle w:val="a5"/>
            <w:rFonts w:ascii="Arial" w:eastAsia="宋体" w:hAnsi="Arial" w:cs="Arial"/>
            <w:b/>
            <w:bCs/>
            <w:sz w:val="16"/>
            <w:szCs w:val="16"/>
          </w:rPr>
          <w:t>Table of Contents</w:t>
        </w:r>
      </w:hyperlink>
    </w:p>
    <w:p w14:paraId="36CA5326" w14:textId="77777777" w:rsidR="00787570" w:rsidRDefault="00787570">
      <w:pPr>
        <w:spacing w:after="180"/>
        <w:jc w:val="right"/>
      </w:pPr>
    </w:p>
    <w:p w14:paraId="36CA5327" w14:textId="77777777" w:rsidR="00787570" w:rsidRDefault="000D56E2">
      <w:pPr>
        <w:spacing w:after="120"/>
      </w:pPr>
      <w:r>
        <w:rPr>
          <w:rFonts w:ascii="Arial" w:eastAsia="宋体" w:hAnsi="Arial" w:cs="Arial"/>
          <w:b/>
          <w:bCs/>
          <w:color w:val="333333"/>
          <w:sz w:val="20"/>
          <w:szCs w:val="20"/>
        </w:rPr>
        <w:t>Operating Activities</w:t>
      </w:r>
    </w:p>
    <w:p w14:paraId="36CA5328" w14:textId="77777777" w:rsidR="00787570" w:rsidRDefault="000D56E2">
      <w:pPr>
        <w:spacing w:after="180"/>
      </w:pPr>
      <w:r>
        <w:rPr>
          <w:rFonts w:ascii="Arial" w:eastAsia="宋体" w:hAnsi="Arial" w:cs="Arial"/>
          <w:color w:val="333333"/>
          <w:sz w:val="18"/>
          <w:szCs w:val="18"/>
        </w:rPr>
        <w:t>Cash provided by operating activities is net income adjusted fo</w:t>
      </w:r>
      <w:r>
        <w:rPr>
          <w:rFonts w:ascii="Arial" w:eastAsia="宋体" w:hAnsi="Arial" w:cs="Arial"/>
          <w:color w:val="333333"/>
          <w:sz w:val="18"/>
          <w:szCs w:val="18"/>
        </w:rPr>
        <w:t>r certain non-cash items and changes in assets and liabilities.</w:t>
      </w:r>
    </w:p>
    <w:p w14:paraId="36CA5329" w14:textId="77777777" w:rsidR="00787570" w:rsidRDefault="000D56E2">
      <w:pPr>
        <w:spacing w:after="180"/>
      </w:pPr>
      <w:r>
        <w:rPr>
          <w:rFonts w:ascii="Arial" w:eastAsia="宋体" w:hAnsi="Arial" w:cs="Arial"/>
          <w:color w:val="333333"/>
          <w:sz w:val="18"/>
          <w:szCs w:val="18"/>
        </w:rPr>
        <w:t>For the first nine months of 2020 compared to the first nine months of 2019, the increase in cash provided by operations was primarily due to higher net income, net of non-cash adjustments, of</w:t>
      </w:r>
      <w:r>
        <w:rPr>
          <w:rFonts w:ascii="Arial" w:eastAsia="宋体" w:hAnsi="Arial" w:cs="Arial"/>
          <w:color w:val="333333"/>
          <w:sz w:val="18"/>
          <w:szCs w:val="18"/>
        </w:rPr>
        <w:t>fset by a decrease in working capital. Changes in working capital were driven by accounts payable and other assets and liabilities.</w:t>
      </w:r>
    </w:p>
    <w:p w14:paraId="36CA532A" w14:textId="77777777" w:rsidR="00787570" w:rsidRDefault="000D56E2">
      <w:pPr>
        <w:spacing w:after="120"/>
      </w:pPr>
      <w:r>
        <w:rPr>
          <w:rFonts w:ascii="Arial" w:eastAsia="宋体" w:hAnsi="Arial" w:cs="Arial"/>
          <w:b/>
          <w:bCs/>
          <w:color w:val="333333"/>
          <w:sz w:val="20"/>
          <w:szCs w:val="20"/>
        </w:rPr>
        <w:t>Investing Activities</w:t>
      </w:r>
    </w:p>
    <w:p w14:paraId="36CA532B" w14:textId="77777777" w:rsidR="00787570" w:rsidRDefault="000D56E2">
      <w:pPr>
        <w:spacing w:after="180"/>
      </w:pPr>
      <w:r>
        <w:rPr>
          <w:rFonts w:ascii="Arial" w:eastAsia="宋体" w:hAnsi="Arial" w:cs="Arial"/>
          <w:color w:val="333333"/>
          <w:sz w:val="18"/>
          <w:szCs w:val="18"/>
        </w:rPr>
        <w:t>Investing cash flows consist primarily of capital expenditures, investment purchases, sales, maturities</w:t>
      </w:r>
      <w:r>
        <w:rPr>
          <w:rFonts w:ascii="Arial" w:eastAsia="宋体" w:hAnsi="Arial" w:cs="Arial"/>
          <w:color w:val="333333"/>
          <w:sz w:val="18"/>
          <w:szCs w:val="18"/>
        </w:rPr>
        <w:t>, and disposals, and proceeds from divestitures and cash used for acquisitions.</w:t>
      </w:r>
    </w:p>
    <w:p w14:paraId="36CA532C" w14:textId="77777777" w:rsidR="00787570" w:rsidRDefault="000D56E2">
      <w:pPr>
        <w:spacing w:after="180"/>
      </w:pPr>
      <w:r>
        <w:rPr>
          <w:rFonts w:ascii="Arial" w:eastAsia="宋体" w:hAnsi="Arial" w:cs="Arial"/>
          <w:color w:val="333333"/>
          <w:sz w:val="18"/>
          <w:szCs w:val="18"/>
        </w:rPr>
        <w:t>Cash used for investing activities was higher in the first nine months of 2020 compared to the first nine months of 2019 primarily due to an increase in purchases of available-</w:t>
      </w:r>
      <w:r>
        <w:rPr>
          <w:rFonts w:ascii="Arial" w:eastAsia="宋体" w:hAnsi="Arial" w:cs="Arial"/>
          <w:color w:val="333333"/>
          <w:sz w:val="18"/>
          <w:szCs w:val="18"/>
        </w:rPr>
        <w:t>for-sale debt investments and trading assets, offset by an increase in maturities and sales of available-for-sale debt investments and trading assets, and a decrease in capital expenditures.</w:t>
      </w:r>
    </w:p>
    <w:p w14:paraId="36CA532D" w14:textId="77777777" w:rsidR="00787570" w:rsidRDefault="000D56E2">
      <w:pPr>
        <w:spacing w:after="120"/>
      </w:pPr>
      <w:r>
        <w:rPr>
          <w:rFonts w:ascii="Arial" w:eastAsia="宋体" w:hAnsi="Arial" w:cs="Arial"/>
          <w:b/>
          <w:bCs/>
          <w:color w:val="333333"/>
          <w:sz w:val="20"/>
          <w:szCs w:val="20"/>
        </w:rPr>
        <w:t>Financing Activities</w:t>
      </w:r>
    </w:p>
    <w:p w14:paraId="36CA532E" w14:textId="77777777" w:rsidR="00787570" w:rsidRDefault="000D56E2">
      <w:pPr>
        <w:spacing w:after="180"/>
      </w:pPr>
      <w:r>
        <w:rPr>
          <w:rFonts w:ascii="Arial" w:eastAsia="宋体" w:hAnsi="Arial" w:cs="Arial"/>
          <w:color w:val="333333"/>
          <w:sz w:val="18"/>
          <w:szCs w:val="18"/>
        </w:rPr>
        <w:t>Financing cash flows consist primarily of re</w:t>
      </w:r>
      <w:r>
        <w:rPr>
          <w:rFonts w:ascii="Arial" w:eastAsia="宋体" w:hAnsi="Arial" w:cs="Arial"/>
          <w:color w:val="333333"/>
          <w:sz w:val="18"/>
          <w:szCs w:val="18"/>
        </w:rPr>
        <w:t>purchases of common stock, payment of dividends to stockholders, issuance and repayment of short-term and long-term debt, and proceeds from the sale of shares of common stock through employee equity incentive plans.</w:t>
      </w:r>
    </w:p>
    <w:p w14:paraId="36CA532F" w14:textId="77777777" w:rsidR="00787570" w:rsidRDefault="000D56E2">
      <w:pPr>
        <w:spacing w:after="180"/>
      </w:pPr>
      <w:r>
        <w:rPr>
          <w:rFonts w:ascii="Arial" w:eastAsia="宋体" w:hAnsi="Arial" w:cs="Arial"/>
          <w:color w:val="333333"/>
          <w:sz w:val="18"/>
          <w:szCs w:val="18"/>
        </w:rPr>
        <w:t>Cash used for financing activities was l</w:t>
      </w:r>
      <w:r>
        <w:rPr>
          <w:rFonts w:ascii="Arial" w:eastAsia="宋体" w:hAnsi="Arial" w:cs="Arial"/>
          <w:color w:val="333333"/>
          <w:sz w:val="18"/>
          <w:szCs w:val="18"/>
        </w:rPr>
        <w:t>ower in the first nine months of 2020 compared to the first nine months of 2019 primarily due to an increase in long-term debt issuances offset by an increase in repurchases of common stock and debt repayments.</w:t>
      </w:r>
    </w:p>
    <w:p w14:paraId="36CA5330" w14:textId="77777777" w:rsidR="00787570" w:rsidRDefault="000D56E2">
      <w:pPr>
        <w:spacing w:before="300" w:after="180"/>
      </w:pPr>
      <w:r>
        <w:rPr>
          <w:rFonts w:ascii="Arial" w:eastAsia="宋体" w:hAnsi="Arial" w:cs="Arial"/>
          <w:b/>
          <w:bCs/>
          <w:color w:val="0071C5"/>
          <w:sz w:val="28"/>
          <w:szCs w:val="28"/>
        </w:rPr>
        <w:t>CONTRACTUAL OBLIGATIONS</w:t>
      </w:r>
    </w:p>
    <w:p w14:paraId="36CA5331" w14:textId="77777777" w:rsidR="00787570" w:rsidRDefault="000D56E2">
      <w:pPr>
        <w:spacing w:after="180"/>
      </w:pPr>
      <w:r>
        <w:rPr>
          <w:rFonts w:ascii="Arial" w:eastAsia="宋体" w:hAnsi="Arial" w:cs="Arial"/>
          <w:color w:val="333333"/>
          <w:sz w:val="18"/>
          <w:szCs w:val="18"/>
        </w:rPr>
        <w:t xml:space="preserve">In the first nine </w:t>
      </w:r>
      <w:r>
        <w:rPr>
          <w:rFonts w:ascii="Arial" w:eastAsia="宋体" w:hAnsi="Arial" w:cs="Arial"/>
          <w:color w:val="333333"/>
          <w:sz w:val="18"/>
          <w:szCs w:val="18"/>
        </w:rPr>
        <w:t>months of 2020, we issued a total of $10.3 billion aggregate principal amount of senior notes. Our remaining total cash payments over the life of these long-term debt obligations are expected to be approximately $18.9 billion. These payments include antici</w:t>
      </w:r>
      <w:r>
        <w:rPr>
          <w:rFonts w:ascii="Arial" w:eastAsia="宋体" w:hAnsi="Arial" w:cs="Arial"/>
          <w:color w:val="333333"/>
          <w:sz w:val="18"/>
          <w:szCs w:val="18"/>
        </w:rPr>
        <w:t>pated interest on fixed rate debt that is not recorded on the Consolidated Condensed Balance Sheets. For further information, see "Note 9: Borrowings" within the Consolidated Condensed Financial Statements and Supplemental Details.</w:t>
      </w:r>
    </w:p>
    <w:p w14:paraId="36CA5332" w14:textId="77777777" w:rsidR="00787570" w:rsidRDefault="000D56E2">
      <w:pPr>
        <w:spacing w:before="300" w:after="180"/>
      </w:pPr>
      <w:r>
        <w:rPr>
          <w:rFonts w:ascii="Arial" w:eastAsia="宋体" w:hAnsi="Arial" w:cs="Arial"/>
          <w:b/>
          <w:bCs/>
          <w:color w:val="0071C5"/>
          <w:sz w:val="28"/>
          <w:szCs w:val="28"/>
        </w:rPr>
        <w:t>QUANTITATIVE AND QUALITA</w:t>
      </w:r>
      <w:r>
        <w:rPr>
          <w:rFonts w:ascii="Arial" w:eastAsia="宋体" w:hAnsi="Arial" w:cs="Arial"/>
          <w:b/>
          <w:bCs/>
          <w:color w:val="0071C5"/>
          <w:sz w:val="28"/>
          <w:szCs w:val="28"/>
        </w:rPr>
        <w:t>TIVE DISCLOSURES ABOUT MARKET RISK</w:t>
      </w:r>
    </w:p>
    <w:p w14:paraId="36CA5333" w14:textId="77777777" w:rsidR="00787570" w:rsidRDefault="000D56E2">
      <w:pPr>
        <w:spacing w:after="180"/>
      </w:pPr>
      <w:r>
        <w:rPr>
          <w:rFonts w:ascii="Arial" w:eastAsia="宋体" w:hAnsi="Arial" w:cs="Arial"/>
          <w:color w:val="333333"/>
          <w:sz w:val="18"/>
          <w:szCs w:val="18"/>
        </w:rPr>
        <w:t xml:space="preserve">We are affected by changes in currency exchange and interest rates, as well as equity and commodity prices. Our risk management programs are designed to reduce, but may not entirely eliminate, the impacts of these risks. </w:t>
      </w:r>
      <w:r>
        <w:rPr>
          <w:rFonts w:ascii="Arial" w:eastAsia="宋体" w:hAnsi="Arial" w:cs="Arial"/>
          <w:color w:val="333333"/>
          <w:sz w:val="18"/>
          <w:szCs w:val="18"/>
        </w:rPr>
        <w:t>We performed sensitivity analyses of these risks to our financial positions as of December 28, 2019, and updated that sensitivity analysis as of September 26, 2020, to determine whether material changes in market risks pertaining to currency exchange and i</w:t>
      </w:r>
      <w:r>
        <w:rPr>
          <w:rFonts w:ascii="Arial" w:eastAsia="宋体" w:hAnsi="Arial" w:cs="Arial"/>
          <w:color w:val="333333"/>
          <w:sz w:val="18"/>
          <w:szCs w:val="18"/>
        </w:rPr>
        <w:t xml:space="preserve">nterest rates or equity and commodity prices have occurred as a result of the ongoing economic uncertainty resulting from the COVID-19 pandemic. No material revisions were noted since disclosing "Quantitative and Qualitative Disclosures About Market Risk" </w:t>
      </w:r>
      <w:r>
        <w:rPr>
          <w:rFonts w:ascii="Arial" w:eastAsia="宋体" w:hAnsi="Arial" w:cs="Arial"/>
          <w:color w:val="333333"/>
          <w:sz w:val="18"/>
          <w:szCs w:val="18"/>
        </w:rPr>
        <w:t xml:space="preserve">within MD&amp;A in our 2019 Form 10-K. </w:t>
      </w:r>
    </w:p>
    <w:p w14:paraId="36CA5334" w14:textId="77777777" w:rsidR="00787570" w:rsidRDefault="00787570">
      <w:pPr>
        <w:spacing w:after="180"/>
      </w:pPr>
    </w:p>
    <w:tbl>
      <w:tblPr>
        <w:tblW w:w="5000" w:type="pct"/>
        <w:tblCellMar>
          <w:top w:w="15" w:type="dxa"/>
          <w:left w:w="15" w:type="dxa"/>
          <w:bottom w:w="15" w:type="dxa"/>
          <w:right w:w="15" w:type="dxa"/>
        </w:tblCellMar>
        <w:tblLook w:val="04A0" w:firstRow="1" w:lastRow="0" w:firstColumn="1" w:lastColumn="0" w:noHBand="0" w:noVBand="1"/>
      </w:tblPr>
      <w:tblGrid>
        <w:gridCol w:w="95"/>
        <w:gridCol w:w="416"/>
        <w:gridCol w:w="36"/>
        <w:gridCol w:w="47"/>
        <w:gridCol w:w="4254"/>
        <w:gridCol w:w="36"/>
        <w:gridCol w:w="47"/>
        <w:gridCol w:w="3369"/>
        <w:gridCol w:w="36"/>
      </w:tblGrid>
      <w:tr w:rsidR="00787570" w14:paraId="36CA533E" w14:textId="77777777">
        <w:tc>
          <w:tcPr>
            <w:tcW w:w="50" w:type="pct"/>
            <w:shd w:val="clear" w:color="auto" w:fill="auto"/>
            <w:vAlign w:val="bottom"/>
          </w:tcPr>
          <w:p w14:paraId="36CA5335" w14:textId="77777777" w:rsidR="00787570" w:rsidRDefault="00787570">
            <w:pPr>
              <w:rPr>
                <w:rFonts w:ascii="宋体"/>
              </w:rPr>
            </w:pPr>
          </w:p>
        </w:tc>
        <w:tc>
          <w:tcPr>
            <w:tcW w:w="220" w:type="pct"/>
            <w:shd w:val="clear" w:color="auto" w:fill="auto"/>
            <w:vAlign w:val="bottom"/>
          </w:tcPr>
          <w:p w14:paraId="36CA5336" w14:textId="77777777" w:rsidR="00787570" w:rsidRDefault="00787570">
            <w:pPr>
              <w:rPr>
                <w:rFonts w:ascii="宋体"/>
              </w:rPr>
            </w:pPr>
          </w:p>
        </w:tc>
        <w:tc>
          <w:tcPr>
            <w:tcW w:w="5" w:type="pct"/>
            <w:shd w:val="clear" w:color="auto" w:fill="auto"/>
            <w:vAlign w:val="bottom"/>
          </w:tcPr>
          <w:p w14:paraId="36CA5337" w14:textId="77777777" w:rsidR="00787570" w:rsidRDefault="00787570">
            <w:pPr>
              <w:rPr>
                <w:rFonts w:ascii="宋体"/>
              </w:rPr>
            </w:pPr>
          </w:p>
        </w:tc>
        <w:tc>
          <w:tcPr>
            <w:tcW w:w="50" w:type="pct"/>
            <w:shd w:val="clear" w:color="auto" w:fill="auto"/>
            <w:vAlign w:val="bottom"/>
          </w:tcPr>
          <w:p w14:paraId="36CA5338" w14:textId="77777777" w:rsidR="00787570" w:rsidRDefault="00787570">
            <w:pPr>
              <w:rPr>
                <w:rFonts w:ascii="宋体"/>
              </w:rPr>
            </w:pPr>
          </w:p>
        </w:tc>
        <w:tc>
          <w:tcPr>
            <w:tcW w:w="2572" w:type="pct"/>
            <w:shd w:val="clear" w:color="auto" w:fill="auto"/>
            <w:vAlign w:val="bottom"/>
          </w:tcPr>
          <w:p w14:paraId="36CA5339" w14:textId="77777777" w:rsidR="00787570" w:rsidRDefault="00787570">
            <w:pPr>
              <w:rPr>
                <w:rFonts w:ascii="宋体"/>
              </w:rPr>
            </w:pPr>
          </w:p>
        </w:tc>
        <w:tc>
          <w:tcPr>
            <w:tcW w:w="5" w:type="pct"/>
            <w:shd w:val="clear" w:color="auto" w:fill="auto"/>
            <w:vAlign w:val="bottom"/>
          </w:tcPr>
          <w:p w14:paraId="36CA533A" w14:textId="77777777" w:rsidR="00787570" w:rsidRDefault="00787570">
            <w:pPr>
              <w:rPr>
                <w:rFonts w:ascii="宋体"/>
              </w:rPr>
            </w:pPr>
          </w:p>
        </w:tc>
        <w:tc>
          <w:tcPr>
            <w:tcW w:w="50" w:type="pct"/>
            <w:shd w:val="clear" w:color="auto" w:fill="auto"/>
            <w:vAlign w:val="bottom"/>
          </w:tcPr>
          <w:p w14:paraId="36CA533B" w14:textId="77777777" w:rsidR="00787570" w:rsidRDefault="00787570">
            <w:pPr>
              <w:rPr>
                <w:rFonts w:ascii="宋体"/>
              </w:rPr>
            </w:pPr>
          </w:p>
        </w:tc>
        <w:tc>
          <w:tcPr>
            <w:tcW w:w="2042" w:type="pct"/>
            <w:shd w:val="clear" w:color="auto" w:fill="auto"/>
            <w:vAlign w:val="bottom"/>
          </w:tcPr>
          <w:p w14:paraId="36CA533C" w14:textId="77777777" w:rsidR="00787570" w:rsidRDefault="00787570">
            <w:pPr>
              <w:rPr>
                <w:rFonts w:ascii="宋体"/>
              </w:rPr>
            </w:pPr>
          </w:p>
        </w:tc>
        <w:tc>
          <w:tcPr>
            <w:tcW w:w="5" w:type="pct"/>
            <w:shd w:val="clear" w:color="auto" w:fill="auto"/>
            <w:vAlign w:val="bottom"/>
          </w:tcPr>
          <w:p w14:paraId="36CA533D" w14:textId="77777777" w:rsidR="00787570" w:rsidRDefault="00787570">
            <w:pPr>
              <w:rPr>
                <w:rFonts w:ascii="宋体"/>
              </w:rPr>
            </w:pPr>
          </w:p>
        </w:tc>
      </w:tr>
      <w:tr w:rsidR="00787570" w14:paraId="36CA5342" w14:textId="77777777">
        <w:tc>
          <w:tcPr>
            <w:tcW w:w="0" w:type="auto"/>
            <w:gridSpan w:val="3"/>
            <w:tcBorders>
              <w:top w:val="single" w:sz="8" w:space="0" w:color="0071C5"/>
            </w:tcBorders>
            <w:shd w:val="clear" w:color="auto" w:fill="auto"/>
            <w:tcMar>
              <w:left w:w="20" w:type="dxa"/>
              <w:right w:w="20" w:type="dxa"/>
            </w:tcMar>
            <w:vAlign w:val="center"/>
          </w:tcPr>
          <w:p w14:paraId="36CA533F" w14:textId="77777777" w:rsidR="00787570" w:rsidRDefault="000D56E2">
            <w:pPr>
              <w:textAlignment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Viewer9_files/intc-20200926_g2.jpg"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36CA5C8A" wp14:editId="36CA5C8B">
                  <wp:extent cx="304800" cy="304800"/>
                  <wp:effectExtent l="0" t="0" r="0" b="0"/>
                  <wp:docPr id="49" name="图片 142" descr="IMG_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142" descr="IMG_329"/>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8" w:space="0" w:color="0071C5"/>
            </w:tcBorders>
            <w:shd w:val="clear" w:color="auto" w:fill="auto"/>
            <w:tcMar>
              <w:top w:w="40" w:type="dxa"/>
              <w:left w:w="20" w:type="dxa"/>
              <w:bottom w:w="40" w:type="dxa"/>
              <w:right w:w="20" w:type="dxa"/>
            </w:tcMar>
            <w:vAlign w:val="center"/>
          </w:tcPr>
          <w:p w14:paraId="36CA5340" w14:textId="77777777" w:rsidR="00787570" w:rsidRDefault="000D56E2">
            <w:pPr>
              <w:textAlignment w:val="center"/>
            </w:pPr>
            <w:r>
              <w:rPr>
                <w:rFonts w:ascii="Arial" w:eastAsia="宋体" w:hAnsi="Arial" w:cs="Arial"/>
                <w:color w:val="333333"/>
                <w:sz w:val="16"/>
                <w:szCs w:val="16"/>
              </w:rPr>
              <w:t>MD&amp;A</w:t>
            </w:r>
          </w:p>
        </w:tc>
        <w:tc>
          <w:tcPr>
            <w:tcW w:w="0" w:type="auto"/>
            <w:gridSpan w:val="3"/>
            <w:tcBorders>
              <w:top w:val="single" w:sz="8" w:space="0" w:color="0071C5"/>
            </w:tcBorders>
            <w:shd w:val="clear" w:color="auto" w:fill="auto"/>
            <w:tcMar>
              <w:top w:w="40" w:type="dxa"/>
              <w:left w:w="20" w:type="dxa"/>
              <w:bottom w:w="40" w:type="dxa"/>
              <w:right w:w="20" w:type="dxa"/>
            </w:tcMar>
            <w:vAlign w:val="center"/>
          </w:tcPr>
          <w:p w14:paraId="36CA5341" w14:textId="77777777" w:rsidR="00787570" w:rsidRDefault="000D56E2">
            <w:pPr>
              <w:jc w:val="right"/>
              <w:textAlignment w:val="center"/>
            </w:pPr>
            <w:r>
              <w:rPr>
                <w:rFonts w:ascii="Arial" w:eastAsia="宋体" w:hAnsi="Arial" w:cs="Arial"/>
                <w:color w:val="333333"/>
                <w:sz w:val="16"/>
                <w:szCs w:val="16"/>
              </w:rPr>
              <w:t>41</w:t>
            </w:r>
          </w:p>
        </w:tc>
      </w:tr>
    </w:tbl>
    <w:p w14:paraId="36CA5343" w14:textId="77777777" w:rsidR="00787570" w:rsidRDefault="000D56E2">
      <w:r>
        <w:pict w14:anchorId="36CA5C8C">
          <v:rect id="_x0000_i1067" style="width:415.3pt;height:1.5pt" o:hralign="center" o:hrstd="t" o:hr="t" fillcolor="#a0a0a0" stroked="f"/>
        </w:pict>
      </w:r>
    </w:p>
    <w:p w14:paraId="36CA5344" w14:textId="77777777" w:rsidR="00787570" w:rsidRDefault="000D56E2">
      <w:pPr>
        <w:spacing w:after="180"/>
        <w:jc w:val="right"/>
      </w:pPr>
      <w:hyperlink r:id="rId69" w:anchor="i32771df14e9449d2bec5be911426bf04_7" w:history="1">
        <w:r>
          <w:rPr>
            <w:rStyle w:val="a5"/>
            <w:rFonts w:ascii="Arial" w:eastAsia="宋体" w:hAnsi="Arial" w:cs="Arial"/>
            <w:b/>
            <w:bCs/>
            <w:sz w:val="16"/>
            <w:szCs w:val="16"/>
          </w:rPr>
          <w:t>Table of Contents</w:t>
        </w:r>
      </w:hyperlink>
    </w:p>
    <w:p w14:paraId="36CA5345" w14:textId="77777777" w:rsidR="00787570" w:rsidRDefault="00787570">
      <w:pPr>
        <w:spacing w:after="180"/>
        <w:jc w:val="right"/>
      </w:pPr>
    </w:p>
    <w:p w14:paraId="36CA5346" w14:textId="77777777" w:rsidR="00787570" w:rsidRDefault="000D56E2">
      <w:pPr>
        <w:spacing w:before="300" w:after="180"/>
      </w:pPr>
      <w:r>
        <w:rPr>
          <w:rFonts w:ascii="Arial" w:eastAsia="宋体" w:hAnsi="Arial" w:cs="Arial"/>
          <w:b/>
          <w:bCs/>
          <w:color w:val="0071C5"/>
          <w:sz w:val="28"/>
          <w:szCs w:val="28"/>
        </w:rPr>
        <w:t>NON-GAAP FINANCIAL MEASURES</w:t>
      </w:r>
    </w:p>
    <w:p w14:paraId="36CA5347" w14:textId="77777777" w:rsidR="00787570" w:rsidRDefault="000D56E2">
      <w:pPr>
        <w:spacing w:after="180"/>
      </w:pPr>
      <w:r>
        <w:rPr>
          <w:rFonts w:ascii="Arial" w:eastAsia="宋体" w:hAnsi="Arial" w:cs="Arial"/>
          <w:color w:val="333333"/>
          <w:sz w:val="18"/>
          <w:szCs w:val="18"/>
        </w:rPr>
        <w:t xml:space="preserve">In addition to disclosing financial results in accordance with U.S. GAAP, this document contains references to the non-GAAP financial measures below. We </w:t>
      </w:r>
      <w:r>
        <w:rPr>
          <w:rFonts w:ascii="Arial" w:eastAsia="宋体" w:hAnsi="Arial" w:cs="Arial"/>
          <w:color w:val="333333"/>
          <w:sz w:val="18"/>
          <w:szCs w:val="18"/>
        </w:rPr>
        <w:t>believe these non-GAAP financial measures provide investors with useful supplemental information about our operating performance, enable comparison of financial trends and results between periods where certain items may vary independent of business perform</w:t>
      </w:r>
      <w:r>
        <w:rPr>
          <w:rFonts w:ascii="Arial" w:eastAsia="宋体" w:hAnsi="Arial" w:cs="Arial"/>
          <w:color w:val="333333"/>
          <w:sz w:val="18"/>
          <w:szCs w:val="18"/>
        </w:rPr>
        <w:t>ance, and allow for greater transparency with respect to key metrics used by management in operating our business and measuring our performance.</w:t>
      </w:r>
    </w:p>
    <w:p w14:paraId="36CA5348" w14:textId="77777777" w:rsidR="00787570" w:rsidRDefault="000D56E2">
      <w:pPr>
        <w:spacing w:after="180"/>
      </w:pPr>
      <w:r>
        <w:rPr>
          <w:rFonts w:ascii="Arial" w:eastAsia="宋体" w:hAnsi="Arial" w:cs="Arial"/>
          <w:color w:val="333333"/>
          <w:sz w:val="18"/>
          <w:szCs w:val="18"/>
        </w:rPr>
        <w:t>Our non-GAAP financial measures reflect adjustments based on one or more of the following items, as well as the</w:t>
      </w:r>
      <w:r>
        <w:rPr>
          <w:rFonts w:ascii="Arial" w:eastAsia="宋体" w:hAnsi="Arial" w:cs="Arial"/>
          <w:color w:val="333333"/>
          <w:sz w:val="18"/>
          <w:szCs w:val="18"/>
        </w:rPr>
        <w:t xml:space="preserve"> related income tax effects where applicable. Income tax effects have been calculated using an appropriate tax rate for each adjustment. These non-GAAP financial measures should not be considered a substitute for, or superior to, financial measures calcula</w:t>
      </w:r>
      <w:r>
        <w:rPr>
          <w:rFonts w:ascii="Arial" w:eastAsia="宋体" w:hAnsi="Arial" w:cs="Arial"/>
          <w:color w:val="333333"/>
          <w:sz w:val="18"/>
          <w:szCs w:val="18"/>
        </w:rPr>
        <w:t xml:space="preserve">ted in accordance with U.S. GAAP, and the financial results calculated in accordance with U.S. GAAP and reconciliations from these results should be carefully evaluated. </w:t>
      </w:r>
    </w:p>
    <w:tbl>
      <w:tblPr>
        <w:tblW w:w="4993" w:type="pct"/>
        <w:tblCellMar>
          <w:top w:w="15" w:type="dxa"/>
          <w:left w:w="15" w:type="dxa"/>
          <w:bottom w:w="15" w:type="dxa"/>
          <w:right w:w="15" w:type="dxa"/>
        </w:tblCellMar>
        <w:tblLook w:val="04A0" w:firstRow="1" w:lastRow="0" w:firstColumn="1" w:lastColumn="0" w:noHBand="0" w:noVBand="1"/>
      </w:tblPr>
      <w:tblGrid>
        <w:gridCol w:w="82"/>
        <w:gridCol w:w="1441"/>
        <w:gridCol w:w="37"/>
        <w:gridCol w:w="69"/>
        <w:gridCol w:w="3276"/>
        <w:gridCol w:w="36"/>
        <w:gridCol w:w="69"/>
        <w:gridCol w:w="3277"/>
        <w:gridCol w:w="37"/>
      </w:tblGrid>
      <w:tr w:rsidR="00787570" w14:paraId="36CA5352" w14:textId="77777777">
        <w:tc>
          <w:tcPr>
            <w:tcW w:w="50" w:type="pct"/>
            <w:shd w:val="clear" w:color="auto" w:fill="auto"/>
          </w:tcPr>
          <w:p w14:paraId="36CA5349" w14:textId="77777777" w:rsidR="00787570" w:rsidRDefault="00787570">
            <w:pPr>
              <w:rPr>
                <w:rFonts w:ascii="宋体"/>
              </w:rPr>
            </w:pPr>
          </w:p>
        </w:tc>
        <w:tc>
          <w:tcPr>
            <w:tcW w:w="882" w:type="pct"/>
            <w:shd w:val="clear" w:color="auto" w:fill="auto"/>
          </w:tcPr>
          <w:p w14:paraId="36CA534A" w14:textId="77777777" w:rsidR="00787570" w:rsidRDefault="00787570">
            <w:pPr>
              <w:rPr>
                <w:rFonts w:ascii="宋体"/>
              </w:rPr>
            </w:pPr>
          </w:p>
        </w:tc>
        <w:tc>
          <w:tcPr>
            <w:tcW w:w="5" w:type="pct"/>
            <w:shd w:val="clear" w:color="auto" w:fill="auto"/>
          </w:tcPr>
          <w:p w14:paraId="36CA534B" w14:textId="77777777" w:rsidR="00787570" w:rsidRDefault="00787570">
            <w:pPr>
              <w:rPr>
                <w:rFonts w:ascii="宋体"/>
              </w:rPr>
            </w:pPr>
          </w:p>
        </w:tc>
        <w:tc>
          <w:tcPr>
            <w:tcW w:w="50" w:type="pct"/>
            <w:shd w:val="clear" w:color="auto" w:fill="auto"/>
          </w:tcPr>
          <w:p w14:paraId="36CA534C" w14:textId="77777777" w:rsidR="00787570" w:rsidRDefault="00787570">
            <w:pPr>
              <w:rPr>
                <w:rFonts w:ascii="宋体"/>
              </w:rPr>
            </w:pPr>
          </w:p>
        </w:tc>
        <w:tc>
          <w:tcPr>
            <w:tcW w:w="1976" w:type="pct"/>
            <w:shd w:val="clear" w:color="auto" w:fill="auto"/>
          </w:tcPr>
          <w:p w14:paraId="36CA534D" w14:textId="77777777" w:rsidR="00787570" w:rsidRDefault="00787570">
            <w:pPr>
              <w:rPr>
                <w:rFonts w:ascii="宋体"/>
              </w:rPr>
            </w:pPr>
          </w:p>
        </w:tc>
        <w:tc>
          <w:tcPr>
            <w:tcW w:w="5" w:type="pct"/>
            <w:shd w:val="clear" w:color="auto" w:fill="auto"/>
          </w:tcPr>
          <w:p w14:paraId="36CA534E" w14:textId="77777777" w:rsidR="00787570" w:rsidRDefault="00787570">
            <w:pPr>
              <w:rPr>
                <w:rFonts w:ascii="宋体"/>
              </w:rPr>
            </w:pPr>
          </w:p>
        </w:tc>
        <w:tc>
          <w:tcPr>
            <w:tcW w:w="50" w:type="pct"/>
            <w:shd w:val="clear" w:color="auto" w:fill="auto"/>
          </w:tcPr>
          <w:p w14:paraId="36CA534F" w14:textId="77777777" w:rsidR="00787570" w:rsidRDefault="00787570">
            <w:pPr>
              <w:rPr>
                <w:rFonts w:ascii="宋体"/>
              </w:rPr>
            </w:pPr>
          </w:p>
        </w:tc>
        <w:tc>
          <w:tcPr>
            <w:tcW w:w="1976" w:type="pct"/>
            <w:shd w:val="clear" w:color="auto" w:fill="auto"/>
          </w:tcPr>
          <w:p w14:paraId="36CA5350" w14:textId="77777777" w:rsidR="00787570" w:rsidRDefault="00787570">
            <w:pPr>
              <w:rPr>
                <w:rFonts w:ascii="宋体"/>
              </w:rPr>
            </w:pPr>
          </w:p>
        </w:tc>
        <w:tc>
          <w:tcPr>
            <w:tcW w:w="5" w:type="pct"/>
            <w:shd w:val="clear" w:color="auto" w:fill="auto"/>
          </w:tcPr>
          <w:p w14:paraId="36CA5351" w14:textId="77777777" w:rsidR="00787570" w:rsidRDefault="00787570">
            <w:pPr>
              <w:rPr>
                <w:rFonts w:ascii="宋体"/>
              </w:rPr>
            </w:pPr>
          </w:p>
        </w:tc>
      </w:tr>
      <w:tr w:rsidR="00787570" w14:paraId="36CA5356" w14:textId="77777777">
        <w:tc>
          <w:tcPr>
            <w:tcW w:w="0" w:type="auto"/>
            <w:gridSpan w:val="3"/>
            <w:tcBorders>
              <w:top w:val="single" w:sz="8" w:space="0" w:color="333333"/>
              <w:left w:val="single" w:sz="8" w:space="0" w:color="333333"/>
            </w:tcBorders>
            <w:shd w:val="clear" w:color="auto" w:fill="auto"/>
            <w:tcMar>
              <w:top w:w="40" w:type="dxa"/>
              <w:left w:w="20" w:type="dxa"/>
              <w:bottom w:w="40" w:type="dxa"/>
              <w:right w:w="20" w:type="dxa"/>
            </w:tcMar>
            <w:vAlign w:val="bottom"/>
          </w:tcPr>
          <w:p w14:paraId="36CA5353" w14:textId="77777777" w:rsidR="00787570" w:rsidRDefault="000D56E2">
            <w:pPr>
              <w:jc w:val="center"/>
              <w:textAlignment w:val="bottom"/>
            </w:pPr>
            <w:r>
              <w:rPr>
                <w:rFonts w:ascii="Arial" w:eastAsia="宋体" w:hAnsi="Arial" w:cs="Arial"/>
                <w:b/>
                <w:bCs/>
                <w:color w:val="333333"/>
                <w:sz w:val="18"/>
                <w:szCs w:val="18"/>
              </w:rPr>
              <w:t>Non-GAAP adjustment or measure</w:t>
            </w:r>
          </w:p>
        </w:tc>
        <w:tc>
          <w:tcPr>
            <w:tcW w:w="0" w:type="auto"/>
            <w:gridSpan w:val="3"/>
            <w:tcBorders>
              <w:top w:val="single" w:sz="8" w:space="0" w:color="000000"/>
              <w:left w:val="single" w:sz="8" w:space="0" w:color="000000"/>
            </w:tcBorders>
            <w:shd w:val="clear" w:color="auto" w:fill="auto"/>
            <w:tcMar>
              <w:top w:w="40" w:type="dxa"/>
              <w:left w:w="20" w:type="dxa"/>
              <w:bottom w:w="40" w:type="dxa"/>
              <w:right w:w="20" w:type="dxa"/>
            </w:tcMar>
            <w:vAlign w:val="bottom"/>
          </w:tcPr>
          <w:p w14:paraId="36CA5354" w14:textId="77777777" w:rsidR="00787570" w:rsidRDefault="000D56E2">
            <w:pPr>
              <w:jc w:val="center"/>
              <w:textAlignment w:val="bottom"/>
            </w:pPr>
            <w:r>
              <w:rPr>
                <w:rFonts w:ascii="Arial" w:eastAsia="宋体" w:hAnsi="Arial" w:cs="Arial"/>
                <w:b/>
                <w:bCs/>
                <w:color w:val="333333"/>
                <w:sz w:val="18"/>
                <w:szCs w:val="18"/>
              </w:rPr>
              <w:t xml:space="preserve">Definition </w:t>
            </w:r>
          </w:p>
        </w:tc>
        <w:tc>
          <w:tcPr>
            <w:tcW w:w="0" w:type="auto"/>
            <w:gridSpan w:val="3"/>
            <w:tcBorders>
              <w:top w:val="single" w:sz="8" w:space="0" w:color="000000"/>
              <w:left w:val="single" w:sz="8" w:space="0" w:color="000000"/>
              <w:right w:val="single" w:sz="8" w:space="0" w:color="000000"/>
            </w:tcBorders>
            <w:shd w:val="clear" w:color="auto" w:fill="auto"/>
            <w:tcMar>
              <w:top w:w="40" w:type="dxa"/>
              <w:left w:w="20" w:type="dxa"/>
              <w:bottom w:w="40" w:type="dxa"/>
              <w:right w:w="20" w:type="dxa"/>
            </w:tcMar>
            <w:vAlign w:val="bottom"/>
          </w:tcPr>
          <w:p w14:paraId="36CA5355" w14:textId="77777777" w:rsidR="00787570" w:rsidRDefault="000D56E2">
            <w:pPr>
              <w:jc w:val="center"/>
              <w:textAlignment w:val="bottom"/>
            </w:pPr>
            <w:r>
              <w:rPr>
                <w:rFonts w:ascii="Arial" w:eastAsia="宋体" w:hAnsi="Arial" w:cs="Arial"/>
                <w:b/>
                <w:bCs/>
                <w:color w:val="333333"/>
                <w:sz w:val="18"/>
                <w:szCs w:val="18"/>
              </w:rPr>
              <w:t xml:space="preserve">Usefulness to </w:t>
            </w:r>
            <w:r>
              <w:rPr>
                <w:rFonts w:ascii="Arial" w:eastAsia="宋体" w:hAnsi="Arial" w:cs="Arial"/>
                <w:b/>
                <w:bCs/>
                <w:color w:val="333333"/>
                <w:sz w:val="18"/>
                <w:szCs w:val="18"/>
              </w:rPr>
              <w:t>management and investors</w:t>
            </w:r>
          </w:p>
        </w:tc>
      </w:tr>
      <w:tr w:rsidR="00787570" w14:paraId="36CA535A" w14:textId="77777777">
        <w:tc>
          <w:tcPr>
            <w:tcW w:w="0" w:type="auto"/>
            <w:gridSpan w:val="3"/>
            <w:tcBorders>
              <w:top w:val="single" w:sz="8" w:space="0" w:color="333333"/>
              <w:left w:val="single" w:sz="8" w:space="0" w:color="333333"/>
            </w:tcBorders>
            <w:shd w:val="clear" w:color="auto" w:fill="auto"/>
            <w:tcMar>
              <w:top w:w="40" w:type="dxa"/>
              <w:left w:w="20" w:type="dxa"/>
              <w:bottom w:w="40" w:type="dxa"/>
              <w:right w:w="20" w:type="dxa"/>
            </w:tcMar>
          </w:tcPr>
          <w:p w14:paraId="36CA5357" w14:textId="77777777" w:rsidR="00787570" w:rsidRDefault="000D56E2">
            <w:pPr>
              <w:textAlignment w:val="top"/>
            </w:pPr>
            <w:r>
              <w:rPr>
                <w:rFonts w:ascii="Arial" w:eastAsia="宋体" w:hAnsi="Arial" w:cs="Arial"/>
                <w:color w:val="333333"/>
                <w:sz w:val="18"/>
                <w:szCs w:val="18"/>
              </w:rPr>
              <w:t>Acquisition-related adjustments</w:t>
            </w:r>
          </w:p>
        </w:tc>
        <w:tc>
          <w:tcPr>
            <w:tcW w:w="0" w:type="auto"/>
            <w:gridSpan w:val="3"/>
            <w:tcBorders>
              <w:top w:val="single" w:sz="8" w:space="0" w:color="000000"/>
              <w:left w:val="single" w:sz="8" w:space="0" w:color="333333"/>
            </w:tcBorders>
            <w:shd w:val="clear" w:color="auto" w:fill="auto"/>
            <w:tcMar>
              <w:top w:w="40" w:type="dxa"/>
              <w:left w:w="20" w:type="dxa"/>
              <w:bottom w:w="40" w:type="dxa"/>
              <w:right w:w="20" w:type="dxa"/>
            </w:tcMar>
          </w:tcPr>
          <w:p w14:paraId="36CA5358" w14:textId="77777777" w:rsidR="00787570" w:rsidRDefault="000D56E2">
            <w:pPr>
              <w:textAlignment w:val="top"/>
            </w:pPr>
            <w:r>
              <w:rPr>
                <w:rFonts w:ascii="Arial" w:eastAsia="宋体" w:hAnsi="Arial" w:cs="Arial"/>
                <w:color w:val="333333"/>
                <w:sz w:val="18"/>
                <w:szCs w:val="18"/>
              </w:rPr>
              <w:t xml:space="preserve">Amortization of acquisition-related intangible assets consists of amortization of intangible assets such as developed technology, brands, and customer relationships acquired in connection with </w:t>
            </w:r>
            <w:r>
              <w:rPr>
                <w:rFonts w:ascii="Arial" w:eastAsia="宋体" w:hAnsi="Arial" w:cs="Arial"/>
                <w:color w:val="333333"/>
                <w:sz w:val="18"/>
                <w:szCs w:val="18"/>
              </w:rPr>
              <w:t xml:space="preserve">business combinations. Charges related to the amortization of these intangibles are recorded within both cost of sales and MG&amp;A in our U.S. GAAP financial statements. Amortization charges are recorded over the estimated useful life of the related acquired </w:t>
            </w:r>
            <w:r>
              <w:rPr>
                <w:rFonts w:ascii="Arial" w:eastAsia="宋体" w:hAnsi="Arial" w:cs="Arial"/>
                <w:color w:val="333333"/>
                <w:sz w:val="18"/>
                <w:szCs w:val="18"/>
              </w:rPr>
              <w:t>intangible asset, and thus are generally recorded over multiple years.</w:t>
            </w:r>
          </w:p>
        </w:tc>
        <w:tc>
          <w:tcPr>
            <w:tcW w:w="0" w:type="auto"/>
            <w:gridSpan w:val="3"/>
            <w:tcBorders>
              <w:top w:val="single" w:sz="8" w:space="0" w:color="000000"/>
              <w:left w:val="single" w:sz="8" w:space="0" w:color="333333"/>
              <w:right w:val="single" w:sz="8" w:space="0" w:color="333333"/>
            </w:tcBorders>
            <w:shd w:val="clear" w:color="auto" w:fill="auto"/>
            <w:tcMar>
              <w:top w:w="40" w:type="dxa"/>
              <w:left w:w="20" w:type="dxa"/>
              <w:bottom w:w="40" w:type="dxa"/>
              <w:right w:w="20" w:type="dxa"/>
            </w:tcMar>
          </w:tcPr>
          <w:p w14:paraId="36CA5359" w14:textId="77777777" w:rsidR="00787570" w:rsidRDefault="000D56E2">
            <w:pPr>
              <w:textAlignment w:val="top"/>
            </w:pPr>
            <w:r>
              <w:rPr>
                <w:rFonts w:ascii="Arial" w:eastAsia="宋体" w:hAnsi="Arial" w:cs="Arial"/>
                <w:color w:val="333333"/>
                <w:sz w:val="18"/>
                <w:szCs w:val="18"/>
              </w:rPr>
              <w:t>We exclude amortization charges for our acquisition-related intangible assets for purposes of calculating certain non-GAAP measures because these charges are inconsistent in size and ar</w:t>
            </w:r>
            <w:r>
              <w:rPr>
                <w:rFonts w:ascii="Arial" w:eastAsia="宋体" w:hAnsi="Arial" w:cs="Arial"/>
                <w:color w:val="333333"/>
                <w:sz w:val="18"/>
                <w:szCs w:val="18"/>
              </w:rPr>
              <w:t xml:space="preserve">e significantly impacted by the timing and valuation of our acquisitions. These adjustments facilitate a useful evaluation of our current operating performance and comparison to our past operating performance and provide investors with additional means to </w:t>
            </w:r>
            <w:r>
              <w:rPr>
                <w:rFonts w:ascii="Arial" w:eastAsia="宋体" w:hAnsi="Arial" w:cs="Arial"/>
                <w:color w:val="333333"/>
                <w:sz w:val="18"/>
                <w:szCs w:val="18"/>
              </w:rPr>
              <w:t>evaluate cost and expense trends.</w:t>
            </w:r>
          </w:p>
        </w:tc>
      </w:tr>
      <w:tr w:rsidR="00787570" w14:paraId="36CA535E" w14:textId="77777777">
        <w:tc>
          <w:tcPr>
            <w:tcW w:w="0" w:type="auto"/>
            <w:gridSpan w:val="3"/>
            <w:tcBorders>
              <w:top w:val="single" w:sz="8" w:space="0" w:color="333333"/>
              <w:left w:val="single" w:sz="8" w:space="0" w:color="333333"/>
            </w:tcBorders>
            <w:shd w:val="clear" w:color="auto" w:fill="auto"/>
            <w:tcMar>
              <w:top w:w="40" w:type="dxa"/>
              <w:left w:w="20" w:type="dxa"/>
              <w:bottom w:w="40" w:type="dxa"/>
              <w:right w:w="20" w:type="dxa"/>
            </w:tcMar>
          </w:tcPr>
          <w:p w14:paraId="36CA535B" w14:textId="77777777" w:rsidR="00787570" w:rsidRDefault="000D56E2">
            <w:pPr>
              <w:textAlignment w:val="top"/>
            </w:pPr>
            <w:r>
              <w:rPr>
                <w:rFonts w:ascii="Arial" w:eastAsia="宋体" w:hAnsi="Arial" w:cs="Arial"/>
                <w:color w:val="333333"/>
                <w:sz w:val="18"/>
                <w:szCs w:val="18"/>
              </w:rPr>
              <w:t>Restructuring and other charges</w:t>
            </w:r>
          </w:p>
        </w:tc>
        <w:tc>
          <w:tcPr>
            <w:tcW w:w="0" w:type="auto"/>
            <w:gridSpan w:val="3"/>
            <w:tcBorders>
              <w:top w:val="single" w:sz="8" w:space="0" w:color="333333"/>
              <w:left w:val="single" w:sz="8" w:space="0" w:color="333333"/>
            </w:tcBorders>
            <w:shd w:val="clear" w:color="auto" w:fill="auto"/>
            <w:tcMar>
              <w:top w:w="40" w:type="dxa"/>
              <w:left w:w="20" w:type="dxa"/>
              <w:bottom w:w="40" w:type="dxa"/>
              <w:right w:w="20" w:type="dxa"/>
            </w:tcMar>
          </w:tcPr>
          <w:p w14:paraId="36CA535C" w14:textId="77777777" w:rsidR="00787570" w:rsidRDefault="000D56E2">
            <w:pPr>
              <w:textAlignment w:val="top"/>
            </w:pPr>
            <w:r>
              <w:rPr>
                <w:rFonts w:ascii="Arial" w:eastAsia="宋体" w:hAnsi="Arial" w:cs="Arial"/>
                <w:color w:val="333333"/>
                <w:sz w:val="18"/>
                <w:szCs w:val="18"/>
              </w:rPr>
              <w:t xml:space="preserve">Restructuring charges are costs associated with a formal restructuring plan and are primarily related to employee severance and benefit arrangements. Other charges include asset </w:t>
            </w:r>
            <w:r>
              <w:rPr>
                <w:rFonts w:ascii="Arial" w:eastAsia="宋体" w:hAnsi="Arial" w:cs="Arial"/>
                <w:color w:val="333333"/>
                <w:sz w:val="18"/>
                <w:szCs w:val="18"/>
              </w:rPr>
              <w:t>impairments, pension charges, and costs associated with restructuring activity.</w:t>
            </w:r>
          </w:p>
        </w:tc>
        <w:tc>
          <w:tcPr>
            <w:tcW w:w="0" w:type="auto"/>
            <w:gridSpan w:val="3"/>
            <w:tcBorders>
              <w:top w:val="single" w:sz="8" w:space="0" w:color="333333"/>
              <w:left w:val="single" w:sz="8" w:space="0" w:color="333333"/>
              <w:right w:val="single" w:sz="8" w:space="0" w:color="333333"/>
            </w:tcBorders>
            <w:shd w:val="clear" w:color="auto" w:fill="auto"/>
            <w:tcMar>
              <w:top w:w="40" w:type="dxa"/>
              <w:left w:w="20" w:type="dxa"/>
              <w:bottom w:w="40" w:type="dxa"/>
              <w:right w:w="20" w:type="dxa"/>
            </w:tcMar>
          </w:tcPr>
          <w:p w14:paraId="36CA535D" w14:textId="77777777" w:rsidR="00787570" w:rsidRDefault="000D56E2">
            <w:pPr>
              <w:textAlignment w:val="top"/>
            </w:pPr>
            <w:r>
              <w:rPr>
                <w:rFonts w:ascii="Arial" w:eastAsia="宋体" w:hAnsi="Arial" w:cs="Arial"/>
                <w:color w:val="333333"/>
                <w:sz w:val="18"/>
                <w:szCs w:val="18"/>
              </w:rPr>
              <w:t xml:space="preserve">We exclude restructuring and other charges, including any adjustments to charges recorded in prior periods, for purposes of calculating certain non-GAAP measures because these </w:t>
            </w:r>
            <w:r>
              <w:rPr>
                <w:rFonts w:ascii="Arial" w:eastAsia="宋体" w:hAnsi="Arial" w:cs="Arial"/>
                <w:color w:val="333333"/>
                <w:sz w:val="18"/>
                <w:szCs w:val="18"/>
              </w:rPr>
              <w:t>costs do not reflect our current operating performance and are impacted by the timing of restructuring activity. These adjustments facilitate a useful evaluation of our current operating performance and comparisons to past operating results and provide inv</w:t>
            </w:r>
            <w:r>
              <w:rPr>
                <w:rFonts w:ascii="Arial" w:eastAsia="宋体" w:hAnsi="Arial" w:cs="Arial"/>
                <w:color w:val="333333"/>
                <w:sz w:val="18"/>
                <w:szCs w:val="18"/>
              </w:rPr>
              <w:t>estors with additional means to evaluate expense trends.</w:t>
            </w:r>
          </w:p>
        </w:tc>
      </w:tr>
      <w:tr w:rsidR="00787570" w14:paraId="36CA5362" w14:textId="77777777">
        <w:tc>
          <w:tcPr>
            <w:tcW w:w="0" w:type="auto"/>
            <w:gridSpan w:val="3"/>
            <w:tcBorders>
              <w:top w:val="single" w:sz="8" w:space="0" w:color="333333"/>
              <w:left w:val="single" w:sz="8" w:space="0" w:color="333333"/>
            </w:tcBorders>
            <w:shd w:val="clear" w:color="auto" w:fill="auto"/>
            <w:tcMar>
              <w:top w:w="40" w:type="dxa"/>
              <w:left w:w="20" w:type="dxa"/>
              <w:bottom w:w="40" w:type="dxa"/>
              <w:right w:w="20" w:type="dxa"/>
            </w:tcMar>
          </w:tcPr>
          <w:p w14:paraId="36CA535F" w14:textId="77777777" w:rsidR="00787570" w:rsidRDefault="000D56E2">
            <w:pPr>
              <w:textAlignment w:val="top"/>
            </w:pPr>
            <w:r>
              <w:rPr>
                <w:rFonts w:ascii="Arial" w:eastAsia="宋体" w:hAnsi="Arial" w:cs="Arial"/>
                <w:color w:val="333333"/>
                <w:sz w:val="18"/>
                <w:szCs w:val="18"/>
              </w:rPr>
              <w:t>Gains (losses) from divestiture</w:t>
            </w:r>
          </w:p>
        </w:tc>
        <w:tc>
          <w:tcPr>
            <w:tcW w:w="0" w:type="auto"/>
            <w:gridSpan w:val="3"/>
            <w:tcBorders>
              <w:top w:val="single" w:sz="8" w:space="0" w:color="333333"/>
              <w:left w:val="single" w:sz="8" w:space="0" w:color="333333"/>
            </w:tcBorders>
            <w:shd w:val="clear" w:color="auto" w:fill="auto"/>
            <w:tcMar>
              <w:top w:w="40" w:type="dxa"/>
              <w:left w:w="20" w:type="dxa"/>
              <w:bottom w:w="40" w:type="dxa"/>
              <w:right w:w="20" w:type="dxa"/>
            </w:tcMar>
          </w:tcPr>
          <w:p w14:paraId="36CA5360" w14:textId="77777777" w:rsidR="00787570" w:rsidRDefault="000D56E2">
            <w:pPr>
              <w:textAlignment w:val="top"/>
            </w:pPr>
            <w:r>
              <w:rPr>
                <w:rFonts w:ascii="Arial" w:eastAsia="宋体" w:hAnsi="Arial" w:cs="Arial"/>
                <w:color w:val="333333"/>
                <w:sz w:val="18"/>
                <w:szCs w:val="18"/>
              </w:rPr>
              <w:t>Gains or losses are recognized at the close of a divestiture.</w:t>
            </w:r>
          </w:p>
        </w:tc>
        <w:tc>
          <w:tcPr>
            <w:tcW w:w="0" w:type="auto"/>
            <w:gridSpan w:val="3"/>
            <w:tcBorders>
              <w:top w:val="single" w:sz="8" w:space="0" w:color="333333"/>
              <w:left w:val="single" w:sz="8" w:space="0" w:color="333333"/>
              <w:right w:val="single" w:sz="8" w:space="0" w:color="333333"/>
            </w:tcBorders>
            <w:shd w:val="clear" w:color="auto" w:fill="auto"/>
            <w:tcMar>
              <w:top w:w="40" w:type="dxa"/>
              <w:left w:w="20" w:type="dxa"/>
              <w:bottom w:w="40" w:type="dxa"/>
              <w:right w:w="20" w:type="dxa"/>
            </w:tcMar>
          </w:tcPr>
          <w:p w14:paraId="36CA5361" w14:textId="77777777" w:rsidR="00787570" w:rsidRDefault="000D56E2">
            <w:pPr>
              <w:textAlignment w:val="top"/>
            </w:pPr>
            <w:r>
              <w:rPr>
                <w:rFonts w:ascii="Arial" w:eastAsia="宋体" w:hAnsi="Arial" w:cs="Arial"/>
                <w:color w:val="333333"/>
                <w:sz w:val="18"/>
                <w:szCs w:val="18"/>
              </w:rPr>
              <w:t>We exclude gains or losses resulting from divestitures for purposes of calculating certain non-GAAP meas</w:t>
            </w:r>
            <w:r>
              <w:rPr>
                <w:rFonts w:ascii="Arial" w:eastAsia="宋体" w:hAnsi="Arial" w:cs="Arial"/>
                <w:color w:val="333333"/>
                <w:sz w:val="18"/>
                <w:szCs w:val="18"/>
              </w:rPr>
              <w:t>ures because they do not reflect our current operating performance and are impacted by the timing of our divestitures. These adjustments facilitate a useful evaluation of our current operating performance and comparisons to past operating results.</w:t>
            </w:r>
          </w:p>
        </w:tc>
      </w:tr>
      <w:tr w:rsidR="00787570" w14:paraId="36CA5366" w14:textId="77777777">
        <w:tc>
          <w:tcPr>
            <w:tcW w:w="0" w:type="auto"/>
            <w:gridSpan w:val="3"/>
            <w:tcBorders>
              <w:top w:val="single" w:sz="8" w:space="0" w:color="333333"/>
              <w:left w:val="single" w:sz="8" w:space="0" w:color="333333"/>
            </w:tcBorders>
            <w:shd w:val="clear" w:color="auto" w:fill="auto"/>
            <w:tcMar>
              <w:top w:w="40" w:type="dxa"/>
              <w:left w:w="20" w:type="dxa"/>
              <w:bottom w:w="40" w:type="dxa"/>
              <w:right w:w="20" w:type="dxa"/>
            </w:tcMar>
          </w:tcPr>
          <w:p w14:paraId="36CA5363" w14:textId="77777777" w:rsidR="00787570" w:rsidRDefault="000D56E2">
            <w:pPr>
              <w:textAlignment w:val="top"/>
            </w:pPr>
            <w:r>
              <w:rPr>
                <w:rFonts w:ascii="Arial" w:eastAsia="宋体" w:hAnsi="Arial" w:cs="Arial"/>
                <w:color w:val="333333"/>
                <w:sz w:val="18"/>
                <w:szCs w:val="18"/>
              </w:rPr>
              <w:t>Ongoing</w:t>
            </w:r>
            <w:r>
              <w:rPr>
                <w:rFonts w:ascii="Arial" w:eastAsia="宋体" w:hAnsi="Arial" w:cs="Arial"/>
                <w:color w:val="333333"/>
                <w:sz w:val="18"/>
                <w:szCs w:val="18"/>
              </w:rPr>
              <w:t xml:space="preserve"> mark-to-market on marketable equity securities</w:t>
            </w:r>
          </w:p>
        </w:tc>
        <w:tc>
          <w:tcPr>
            <w:tcW w:w="0" w:type="auto"/>
            <w:gridSpan w:val="3"/>
            <w:tcBorders>
              <w:top w:val="single" w:sz="8" w:space="0" w:color="333333"/>
              <w:left w:val="single" w:sz="8" w:space="0" w:color="333333"/>
            </w:tcBorders>
            <w:shd w:val="clear" w:color="auto" w:fill="auto"/>
            <w:tcMar>
              <w:top w:w="40" w:type="dxa"/>
              <w:left w:w="20" w:type="dxa"/>
              <w:bottom w:w="40" w:type="dxa"/>
              <w:right w:w="20" w:type="dxa"/>
            </w:tcMar>
          </w:tcPr>
          <w:p w14:paraId="36CA5364" w14:textId="77777777" w:rsidR="00787570" w:rsidRDefault="000D56E2">
            <w:pPr>
              <w:textAlignment w:val="top"/>
            </w:pPr>
            <w:r>
              <w:rPr>
                <w:rFonts w:ascii="Arial" w:eastAsia="宋体" w:hAnsi="Arial" w:cs="Arial"/>
                <w:color w:val="333333"/>
                <w:sz w:val="18"/>
                <w:szCs w:val="18"/>
              </w:rPr>
              <w:t>After the initial mark-to-market adjustment is recorded upon a security becoming marketable, gains and losses are recognized from ongoing mark-to-market adjustments of our marketable equity securities.</w:t>
            </w:r>
          </w:p>
        </w:tc>
        <w:tc>
          <w:tcPr>
            <w:tcW w:w="0" w:type="auto"/>
            <w:gridSpan w:val="3"/>
            <w:tcBorders>
              <w:top w:val="single" w:sz="8" w:space="0" w:color="333333"/>
              <w:left w:val="single" w:sz="8" w:space="0" w:color="333333"/>
              <w:right w:val="single" w:sz="8" w:space="0" w:color="333333"/>
            </w:tcBorders>
            <w:shd w:val="clear" w:color="auto" w:fill="auto"/>
            <w:tcMar>
              <w:top w:w="40" w:type="dxa"/>
              <w:left w:w="20" w:type="dxa"/>
              <w:bottom w:w="40" w:type="dxa"/>
              <w:right w:w="20" w:type="dxa"/>
            </w:tcMar>
          </w:tcPr>
          <w:p w14:paraId="36CA5365" w14:textId="77777777" w:rsidR="00787570" w:rsidRDefault="000D56E2">
            <w:pPr>
              <w:textAlignment w:val="top"/>
            </w:pPr>
            <w:r>
              <w:rPr>
                <w:rFonts w:ascii="Arial" w:eastAsia="宋体" w:hAnsi="Arial" w:cs="Arial"/>
                <w:color w:val="333333"/>
                <w:sz w:val="18"/>
                <w:szCs w:val="18"/>
              </w:rPr>
              <w:t>We exc</w:t>
            </w:r>
            <w:r>
              <w:rPr>
                <w:rFonts w:ascii="Arial" w:eastAsia="宋体" w:hAnsi="Arial" w:cs="Arial"/>
                <w:color w:val="333333"/>
                <w:sz w:val="18"/>
                <w:szCs w:val="18"/>
              </w:rPr>
              <w:t>lude these ongoing gains and losses for purposes of calculating certain non-GAAP measures because we do not believe this volatility correlates to our core operational performance. These adjustments facilitate a useful evaluation of our current operating pe</w:t>
            </w:r>
            <w:r>
              <w:rPr>
                <w:rFonts w:ascii="Arial" w:eastAsia="宋体" w:hAnsi="Arial" w:cs="Arial"/>
                <w:color w:val="333333"/>
                <w:sz w:val="18"/>
                <w:szCs w:val="18"/>
              </w:rPr>
              <w:t>rformance and comparisons to past operating results.</w:t>
            </w:r>
          </w:p>
        </w:tc>
      </w:tr>
      <w:tr w:rsidR="00787570" w14:paraId="36CA536A" w14:textId="77777777">
        <w:tc>
          <w:tcPr>
            <w:tcW w:w="0" w:type="auto"/>
            <w:gridSpan w:val="3"/>
            <w:tcBorders>
              <w:top w:val="single" w:sz="8" w:space="0" w:color="333333"/>
              <w:left w:val="single" w:sz="8" w:space="0" w:color="333333"/>
              <w:bottom w:val="single" w:sz="8" w:space="0" w:color="333333"/>
            </w:tcBorders>
            <w:shd w:val="clear" w:color="auto" w:fill="auto"/>
            <w:tcMar>
              <w:top w:w="40" w:type="dxa"/>
              <w:left w:w="20" w:type="dxa"/>
              <w:bottom w:w="40" w:type="dxa"/>
              <w:right w:w="20" w:type="dxa"/>
            </w:tcMar>
          </w:tcPr>
          <w:p w14:paraId="36CA5367" w14:textId="77777777" w:rsidR="00787570" w:rsidRDefault="000D56E2">
            <w:pPr>
              <w:textAlignment w:val="top"/>
            </w:pPr>
            <w:r>
              <w:rPr>
                <w:rFonts w:ascii="Arial" w:eastAsia="宋体" w:hAnsi="Arial" w:cs="Arial"/>
                <w:color w:val="333333"/>
                <w:sz w:val="18"/>
                <w:szCs w:val="18"/>
              </w:rPr>
              <w:t>Free cash flow</w:t>
            </w:r>
          </w:p>
        </w:tc>
        <w:tc>
          <w:tcPr>
            <w:tcW w:w="0" w:type="auto"/>
            <w:gridSpan w:val="3"/>
            <w:tcBorders>
              <w:top w:val="single" w:sz="8" w:space="0" w:color="333333"/>
              <w:left w:val="single" w:sz="8" w:space="0" w:color="333333"/>
              <w:bottom w:val="single" w:sz="8" w:space="0" w:color="333333"/>
            </w:tcBorders>
            <w:shd w:val="clear" w:color="auto" w:fill="auto"/>
            <w:tcMar>
              <w:top w:w="40" w:type="dxa"/>
              <w:left w:w="20" w:type="dxa"/>
              <w:bottom w:w="40" w:type="dxa"/>
              <w:right w:w="20" w:type="dxa"/>
            </w:tcMar>
          </w:tcPr>
          <w:p w14:paraId="36CA5368" w14:textId="77777777" w:rsidR="00787570" w:rsidRDefault="000D56E2">
            <w:pPr>
              <w:textAlignment w:val="top"/>
            </w:pPr>
            <w:r>
              <w:rPr>
                <w:rFonts w:ascii="Arial" w:eastAsia="宋体" w:hAnsi="Arial" w:cs="Arial"/>
                <w:color w:val="333333"/>
                <w:sz w:val="18"/>
                <w:szCs w:val="18"/>
              </w:rPr>
              <w:t>We reference a non-GAAP financial measure of free cash flow, which is used by management when assessing our sources of liquidity, capital resources, and quality of earnings. Free cash flo</w:t>
            </w:r>
            <w:r>
              <w:rPr>
                <w:rFonts w:ascii="Arial" w:eastAsia="宋体" w:hAnsi="Arial" w:cs="Arial"/>
                <w:color w:val="333333"/>
                <w:sz w:val="18"/>
                <w:szCs w:val="18"/>
              </w:rPr>
              <w:t>w is operating cash flow adjusted to exclude additions to property, plant, and equipment.</w:t>
            </w:r>
          </w:p>
        </w:tc>
        <w:tc>
          <w:tcPr>
            <w:tcW w:w="0" w:type="auto"/>
            <w:gridSpan w:val="3"/>
            <w:tcBorders>
              <w:top w:val="single" w:sz="8" w:space="0" w:color="333333"/>
              <w:left w:val="single" w:sz="8" w:space="0" w:color="333333"/>
              <w:bottom w:val="single" w:sz="8" w:space="0" w:color="333333"/>
              <w:right w:val="single" w:sz="8" w:space="0" w:color="333333"/>
            </w:tcBorders>
            <w:shd w:val="clear" w:color="auto" w:fill="auto"/>
            <w:tcMar>
              <w:top w:w="40" w:type="dxa"/>
              <w:left w:w="20" w:type="dxa"/>
              <w:bottom w:w="40" w:type="dxa"/>
              <w:right w:w="20" w:type="dxa"/>
            </w:tcMar>
          </w:tcPr>
          <w:p w14:paraId="36CA5369" w14:textId="77777777" w:rsidR="00787570" w:rsidRDefault="000D56E2">
            <w:pPr>
              <w:textAlignment w:val="top"/>
            </w:pPr>
            <w:r>
              <w:rPr>
                <w:rFonts w:ascii="Arial" w:eastAsia="宋体" w:hAnsi="Arial" w:cs="Arial"/>
                <w:color w:val="333333"/>
                <w:sz w:val="18"/>
                <w:szCs w:val="18"/>
              </w:rPr>
              <w:t>This non-GAAP financial measure is helpful in understanding our capital requirements and provides an additional means to evaluate the cash flow trends of our business</w:t>
            </w:r>
            <w:r>
              <w:rPr>
                <w:rFonts w:ascii="Arial" w:eastAsia="宋体" w:hAnsi="Arial" w:cs="Arial"/>
                <w:color w:val="333333"/>
                <w:sz w:val="18"/>
                <w:szCs w:val="18"/>
              </w:rPr>
              <w:t>.</w:t>
            </w:r>
          </w:p>
        </w:tc>
      </w:tr>
    </w:tbl>
    <w:p w14:paraId="36CA536B" w14:textId="77777777" w:rsidR="00787570" w:rsidRDefault="00787570">
      <w:pPr>
        <w:spacing w:after="180"/>
      </w:pPr>
    </w:p>
    <w:tbl>
      <w:tblPr>
        <w:tblW w:w="5000" w:type="pct"/>
        <w:tblCellMar>
          <w:top w:w="15" w:type="dxa"/>
          <w:left w:w="15" w:type="dxa"/>
          <w:bottom w:w="15" w:type="dxa"/>
          <w:right w:w="15" w:type="dxa"/>
        </w:tblCellMar>
        <w:tblLook w:val="04A0" w:firstRow="1" w:lastRow="0" w:firstColumn="1" w:lastColumn="0" w:noHBand="0" w:noVBand="1"/>
      </w:tblPr>
      <w:tblGrid>
        <w:gridCol w:w="95"/>
        <w:gridCol w:w="416"/>
        <w:gridCol w:w="36"/>
        <w:gridCol w:w="47"/>
        <w:gridCol w:w="4254"/>
        <w:gridCol w:w="36"/>
        <w:gridCol w:w="47"/>
        <w:gridCol w:w="3369"/>
        <w:gridCol w:w="36"/>
      </w:tblGrid>
      <w:tr w:rsidR="00787570" w14:paraId="36CA5375" w14:textId="77777777">
        <w:tc>
          <w:tcPr>
            <w:tcW w:w="50" w:type="pct"/>
            <w:shd w:val="clear" w:color="auto" w:fill="auto"/>
            <w:vAlign w:val="bottom"/>
          </w:tcPr>
          <w:p w14:paraId="36CA536C" w14:textId="77777777" w:rsidR="00787570" w:rsidRDefault="00787570">
            <w:pPr>
              <w:rPr>
                <w:rFonts w:ascii="宋体"/>
              </w:rPr>
            </w:pPr>
          </w:p>
        </w:tc>
        <w:tc>
          <w:tcPr>
            <w:tcW w:w="220" w:type="pct"/>
            <w:shd w:val="clear" w:color="auto" w:fill="auto"/>
            <w:vAlign w:val="bottom"/>
          </w:tcPr>
          <w:p w14:paraId="36CA536D" w14:textId="77777777" w:rsidR="00787570" w:rsidRDefault="00787570">
            <w:pPr>
              <w:rPr>
                <w:rFonts w:ascii="宋体"/>
              </w:rPr>
            </w:pPr>
          </w:p>
        </w:tc>
        <w:tc>
          <w:tcPr>
            <w:tcW w:w="5" w:type="pct"/>
            <w:shd w:val="clear" w:color="auto" w:fill="auto"/>
            <w:vAlign w:val="bottom"/>
          </w:tcPr>
          <w:p w14:paraId="36CA536E" w14:textId="77777777" w:rsidR="00787570" w:rsidRDefault="00787570">
            <w:pPr>
              <w:rPr>
                <w:rFonts w:ascii="宋体"/>
              </w:rPr>
            </w:pPr>
          </w:p>
        </w:tc>
        <w:tc>
          <w:tcPr>
            <w:tcW w:w="50" w:type="pct"/>
            <w:shd w:val="clear" w:color="auto" w:fill="auto"/>
            <w:vAlign w:val="bottom"/>
          </w:tcPr>
          <w:p w14:paraId="36CA536F" w14:textId="77777777" w:rsidR="00787570" w:rsidRDefault="00787570">
            <w:pPr>
              <w:rPr>
                <w:rFonts w:ascii="宋体"/>
              </w:rPr>
            </w:pPr>
          </w:p>
        </w:tc>
        <w:tc>
          <w:tcPr>
            <w:tcW w:w="2572" w:type="pct"/>
            <w:shd w:val="clear" w:color="auto" w:fill="auto"/>
            <w:vAlign w:val="bottom"/>
          </w:tcPr>
          <w:p w14:paraId="36CA5370" w14:textId="77777777" w:rsidR="00787570" w:rsidRDefault="00787570">
            <w:pPr>
              <w:rPr>
                <w:rFonts w:ascii="宋体"/>
              </w:rPr>
            </w:pPr>
          </w:p>
        </w:tc>
        <w:tc>
          <w:tcPr>
            <w:tcW w:w="5" w:type="pct"/>
            <w:shd w:val="clear" w:color="auto" w:fill="auto"/>
            <w:vAlign w:val="bottom"/>
          </w:tcPr>
          <w:p w14:paraId="36CA5371" w14:textId="77777777" w:rsidR="00787570" w:rsidRDefault="00787570">
            <w:pPr>
              <w:rPr>
                <w:rFonts w:ascii="宋体"/>
              </w:rPr>
            </w:pPr>
          </w:p>
        </w:tc>
        <w:tc>
          <w:tcPr>
            <w:tcW w:w="50" w:type="pct"/>
            <w:shd w:val="clear" w:color="auto" w:fill="auto"/>
            <w:vAlign w:val="bottom"/>
          </w:tcPr>
          <w:p w14:paraId="36CA5372" w14:textId="77777777" w:rsidR="00787570" w:rsidRDefault="00787570">
            <w:pPr>
              <w:rPr>
                <w:rFonts w:ascii="宋体"/>
              </w:rPr>
            </w:pPr>
          </w:p>
        </w:tc>
        <w:tc>
          <w:tcPr>
            <w:tcW w:w="2042" w:type="pct"/>
            <w:shd w:val="clear" w:color="auto" w:fill="auto"/>
            <w:vAlign w:val="bottom"/>
          </w:tcPr>
          <w:p w14:paraId="36CA5373" w14:textId="77777777" w:rsidR="00787570" w:rsidRDefault="00787570">
            <w:pPr>
              <w:rPr>
                <w:rFonts w:ascii="宋体"/>
              </w:rPr>
            </w:pPr>
          </w:p>
        </w:tc>
        <w:tc>
          <w:tcPr>
            <w:tcW w:w="5" w:type="pct"/>
            <w:shd w:val="clear" w:color="auto" w:fill="auto"/>
            <w:vAlign w:val="bottom"/>
          </w:tcPr>
          <w:p w14:paraId="36CA5374" w14:textId="77777777" w:rsidR="00787570" w:rsidRDefault="00787570">
            <w:pPr>
              <w:rPr>
                <w:rFonts w:ascii="宋体"/>
              </w:rPr>
            </w:pPr>
          </w:p>
        </w:tc>
      </w:tr>
      <w:tr w:rsidR="00787570" w14:paraId="36CA5379" w14:textId="77777777">
        <w:tc>
          <w:tcPr>
            <w:tcW w:w="0" w:type="auto"/>
            <w:gridSpan w:val="3"/>
            <w:tcBorders>
              <w:top w:val="single" w:sz="8" w:space="0" w:color="0071C5"/>
            </w:tcBorders>
            <w:shd w:val="clear" w:color="auto" w:fill="auto"/>
            <w:tcMar>
              <w:left w:w="20" w:type="dxa"/>
              <w:right w:w="20" w:type="dxa"/>
            </w:tcMar>
            <w:vAlign w:val="center"/>
          </w:tcPr>
          <w:p w14:paraId="36CA5376" w14:textId="77777777" w:rsidR="00787570" w:rsidRDefault="000D56E2">
            <w:pPr>
              <w:textAlignment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Viewer9_files/intc-20200926_g2.jpg"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36CA5C8D" wp14:editId="36CA5C8E">
                  <wp:extent cx="304800" cy="304800"/>
                  <wp:effectExtent l="0" t="0" r="0" b="0"/>
                  <wp:docPr id="88" name="图片 144" descr="IMG_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图片 144" descr="IMG_329"/>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8" w:space="0" w:color="0071C5"/>
            </w:tcBorders>
            <w:shd w:val="clear" w:color="auto" w:fill="auto"/>
            <w:tcMar>
              <w:top w:w="40" w:type="dxa"/>
              <w:left w:w="20" w:type="dxa"/>
              <w:bottom w:w="40" w:type="dxa"/>
              <w:right w:w="20" w:type="dxa"/>
            </w:tcMar>
            <w:vAlign w:val="center"/>
          </w:tcPr>
          <w:p w14:paraId="36CA5377" w14:textId="77777777" w:rsidR="00787570" w:rsidRDefault="000D56E2">
            <w:pPr>
              <w:textAlignment w:val="center"/>
            </w:pPr>
            <w:r>
              <w:rPr>
                <w:rFonts w:ascii="Arial" w:eastAsia="宋体" w:hAnsi="Arial" w:cs="Arial"/>
                <w:color w:val="333333"/>
                <w:sz w:val="16"/>
                <w:szCs w:val="16"/>
              </w:rPr>
              <w:t>MD&amp;A</w:t>
            </w:r>
          </w:p>
        </w:tc>
        <w:tc>
          <w:tcPr>
            <w:tcW w:w="0" w:type="auto"/>
            <w:gridSpan w:val="3"/>
            <w:tcBorders>
              <w:top w:val="single" w:sz="8" w:space="0" w:color="0071C5"/>
            </w:tcBorders>
            <w:shd w:val="clear" w:color="auto" w:fill="auto"/>
            <w:tcMar>
              <w:top w:w="40" w:type="dxa"/>
              <w:left w:w="20" w:type="dxa"/>
              <w:bottom w:w="40" w:type="dxa"/>
              <w:right w:w="20" w:type="dxa"/>
            </w:tcMar>
            <w:vAlign w:val="center"/>
          </w:tcPr>
          <w:p w14:paraId="36CA5378" w14:textId="77777777" w:rsidR="00787570" w:rsidRDefault="000D56E2">
            <w:pPr>
              <w:jc w:val="right"/>
              <w:textAlignment w:val="center"/>
            </w:pPr>
            <w:r>
              <w:rPr>
                <w:rFonts w:ascii="Arial" w:eastAsia="宋体" w:hAnsi="Arial" w:cs="Arial"/>
                <w:color w:val="333333"/>
                <w:sz w:val="16"/>
                <w:szCs w:val="16"/>
              </w:rPr>
              <w:t>42</w:t>
            </w:r>
          </w:p>
        </w:tc>
      </w:tr>
    </w:tbl>
    <w:p w14:paraId="36CA537A" w14:textId="77777777" w:rsidR="00787570" w:rsidRDefault="000D56E2">
      <w:r>
        <w:pict w14:anchorId="36CA5C8F">
          <v:rect id="_x0000_i1068" style="width:415.3pt;height:1.5pt" o:hralign="center" o:hrstd="t" o:hr="t" fillcolor="#a0a0a0" stroked="f"/>
        </w:pict>
      </w:r>
    </w:p>
    <w:p w14:paraId="36CA537B" w14:textId="77777777" w:rsidR="00787570" w:rsidRDefault="000D56E2">
      <w:pPr>
        <w:spacing w:after="180"/>
        <w:jc w:val="right"/>
      </w:pPr>
      <w:hyperlink r:id="rId70" w:anchor="i32771df14e9449d2bec5be911426bf04_7" w:history="1">
        <w:r>
          <w:rPr>
            <w:rStyle w:val="a5"/>
            <w:rFonts w:ascii="Arial" w:eastAsia="宋体" w:hAnsi="Arial" w:cs="Arial"/>
            <w:b/>
            <w:bCs/>
            <w:sz w:val="16"/>
            <w:szCs w:val="16"/>
          </w:rPr>
          <w:t>Table of Contents</w:t>
        </w:r>
      </w:hyperlink>
    </w:p>
    <w:p w14:paraId="36CA537C" w14:textId="77777777" w:rsidR="00787570" w:rsidRDefault="00787570">
      <w:pPr>
        <w:spacing w:after="180"/>
        <w:jc w:val="right"/>
      </w:pPr>
    </w:p>
    <w:p w14:paraId="36CA537D" w14:textId="77777777" w:rsidR="00787570" w:rsidRDefault="000D56E2">
      <w:pPr>
        <w:spacing w:after="120"/>
      </w:pPr>
      <w:r>
        <w:rPr>
          <w:rFonts w:ascii="Arial" w:eastAsia="宋体" w:hAnsi="Arial" w:cs="Arial"/>
          <w:color w:val="333333"/>
          <w:sz w:val="18"/>
          <w:szCs w:val="18"/>
        </w:rPr>
        <w:t>Following are the reconciliations of our most comparable U.S. GAAP measures to our n</w:t>
      </w:r>
      <w:r>
        <w:rPr>
          <w:rFonts w:ascii="Arial" w:eastAsia="宋体" w:hAnsi="Arial" w:cs="Arial"/>
          <w:color w:val="333333"/>
          <w:sz w:val="18"/>
          <w:szCs w:val="18"/>
        </w:rPr>
        <w:t>on-GAAP measures presented:</w:t>
      </w:r>
    </w:p>
    <w:tbl>
      <w:tblPr>
        <w:tblW w:w="5000" w:type="pct"/>
        <w:tblCellMar>
          <w:top w:w="15" w:type="dxa"/>
          <w:left w:w="15" w:type="dxa"/>
          <w:bottom w:w="15" w:type="dxa"/>
          <w:right w:w="15" w:type="dxa"/>
        </w:tblCellMar>
        <w:tblLook w:val="04A0" w:firstRow="1" w:lastRow="0" w:firstColumn="1" w:lastColumn="0" w:noHBand="0" w:noVBand="1"/>
      </w:tblPr>
      <w:tblGrid>
        <w:gridCol w:w="38"/>
        <w:gridCol w:w="5649"/>
        <w:gridCol w:w="37"/>
        <w:gridCol w:w="36"/>
        <w:gridCol w:w="36"/>
        <w:gridCol w:w="36"/>
        <w:gridCol w:w="136"/>
        <w:gridCol w:w="686"/>
        <w:gridCol w:w="196"/>
        <w:gridCol w:w="36"/>
        <w:gridCol w:w="36"/>
        <w:gridCol w:w="36"/>
        <w:gridCol w:w="136"/>
        <w:gridCol w:w="686"/>
        <w:gridCol w:w="196"/>
        <w:gridCol w:w="36"/>
        <w:gridCol w:w="36"/>
        <w:gridCol w:w="36"/>
        <w:gridCol w:w="36"/>
        <w:gridCol w:w="36"/>
        <w:gridCol w:w="36"/>
        <w:gridCol w:w="36"/>
        <w:gridCol w:w="36"/>
        <w:gridCol w:w="36"/>
        <w:gridCol w:w="36"/>
      </w:tblGrid>
      <w:tr w:rsidR="00787570" w14:paraId="36CA5391" w14:textId="77777777">
        <w:trPr>
          <w:gridAfter w:val="6"/>
        </w:trPr>
        <w:tc>
          <w:tcPr>
            <w:tcW w:w="50" w:type="pct"/>
            <w:shd w:val="clear" w:color="auto" w:fill="auto"/>
          </w:tcPr>
          <w:p w14:paraId="36CA537E" w14:textId="77777777" w:rsidR="00787570" w:rsidRDefault="00787570">
            <w:pPr>
              <w:rPr>
                <w:rFonts w:ascii="宋体"/>
              </w:rPr>
            </w:pPr>
          </w:p>
        </w:tc>
        <w:tc>
          <w:tcPr>
            <w:tcW w:w="3688" w:type="pct"/>
            <w:shd w:val="clear" w:color="auto" w:fill="auto"/>
          </w:tcPr>
          <w:p w14:paraId="36CA537F" w14:textId="77777777" w:rsidR="00787570" w:rsidRDefault="00787570">
            <w:pPr>
              <w:rPr>
                <w:rFonts w:ascii="宋体"/>
              </w:rPr>
            </w:pPr>
          </w:p>
        </w:tc>
        <w:tc>
          <w:tcPr>
            <w:tcW w:w="5" w:type="pct"/>
            <w:shd w:val="clear" w:color="auto" w:fill="auto"/>
          </w:tcPr>
          <w:p w14:paraId="36CA5380" w14:textId="77777777" w:rsidR="00787570" w:rsidRDefault="00787570">
            <w:pPr>
              <w:rPr>
                <w:rFonts w:ascii="宋体"/>
              </w:rPr>
            </w:pPr>
          </w:p>
        </w:tc>
        <w:tc>
          <w:tcPr>
            <w:tcW w:w="5" w:type="pct"/>
            <w:shd w:val="clear" w:color="auto" w:fill="auto"/>
          </w:tcPr>
          <w:p w14:paraId="36CA5381" w14:textId="77777777" w:rsidR="00787570" w:rsidRDefault="00787570">
            <w:pPr>
              <w:rPr>
                <w:rFonts w:ascii="宋体"/>
              </w:rPr>
            </w:pPr>
          </w:p>
        </w:tc>
        <w:tc>
          <w:tcPr>
            <w:tcW w:w="24" w:type="pct"/>
            <w:shd w:val="clear" w:color="auto" w:fill="auto"/>
          </w:tcPr>
          <w:p w14:paraId="36CA5382" w14:textId="77777777" w:rsidR="00787570" w:rsidRDefault="00787570">
            <w:pPr>
              <w:rPr>
                <w:rFonts w:ascii="宋体"/>
              </w:rPr>
            </w:pPr>
          </w:p>
        </w:tc>
        <w:tc>
          <w:tcPr>
            <w:tcW w:w="5" w:type="pct"/>
            <w:shd w:val="clear" w:color="auto" w:fill="auto"/>
          </w:tcPr>
          <w:p w14:paraId="36CA5383" w14:textId="77777777" w:rsidR="00787570" w:rsidRDefault="00787570">
            <w:pPr>
              <w:rPr>
                <w:rFonts w:ascii="宋体"/>
              </w:rPr>
            </w:pPr>
          </w:p>
        </w:tc>
        <w:tc>
          <w:tcPr>
            <w:tcW w:w="50" w:type="pct"/>
            <w:shd w:val="clear" w:color="auto" w:fill="auto"/>
          </w:tcPr>
          <w:p w14:paraId="36CA5384" w14:textId="77777777" w:rsidR="00787570" w:rsidRDefault="00787570">
            <w:pPr>
              <w:rPr>
                <w:rFonts w:ascii="宋体"/>
              </w:rPr>
            </w:pPr>
          </w:p>
        </w:tc>
        <w:tc>
          <w:tcPr>
            <w:tcW w:w="539" w:type="pct"/>
            <w:shd w:val="clear" w:color="auto" w:fill="auto"/>
          </w:tcPr>
          <w:p w14:paraId="36CA5385" w14:textId="77777777" w:rsidR="00787570" w:rsidRDefault="00787570">
            <w:pPr>
              <w:rPr>
                <w:rFonts w:ascii="宋体"/>
              </w:rPr>
            </w:pPr>
          </w:p>
        </w:tc>
        <w:tc>
          <w:tcPr>
            <w:tcW w:w="5" w:type="pct"/>
            <w:shd w:val="clear" w:color="auto" w:fill="auto"/>
          </w:tcPr>
          <w:p w14:paraId="36CA5386" w14:textId="77777777" w:rsidR="00787570" w:rsidRDefault="00787570">
            <w:pPr>
              <w:rPr>
                <w:rFonts w:ascii="宋体"/>
              </w:rPr>
            </w:pPr>
          </w:p>
        </w:tc>
        <w:tc>
          <w:tcPr>
            <w:tcW w:w="5" w:type="pct"/>
            <w:shd w:val="clear" w:color="auto" w:fill="auto"/>
          </w:tcPr>
          <w:p w14:paraId="36CA5387" w14:textId="77777777" w:rsidR="00787570" w:rsidRDefault="00787570">
            <w:pPr>
              <w:rPr>
                <w:rFonts w:ascii="宋体"/>
              </w:rPr>
            </w:pPr>
          </w:p>
        </w:tc>
        <w:tc>
          <w:tcPr>
            <w:tcW w:w="24" w:type="pct"/>
            <w:shd w:val="clear" w:color="auto" w:fill="auto"/>
          </w:tcPr>
          <w:p w14:paraId="36CA5388" w14:textId="77777777" w:rsidR="00787570" w:rsidRDefault="00787570">
            <w:pPr>
              <w:rPr>
                <w:rFonts w:ascii="宋体"/>
              </w:rPr>
            </w:pPr>
          </w:p>
        </w:tc>
        <w:tc>
          <w:tcPr>
            <w:tcW w:w="5" w:type="pct"/>
            <w:shd w:val="clear" w:color="auto" w:fill="auto"/>
          </w:tcPr>
          <w:p w14:paraId="36CA5389" w14:textId="77777777" w:rsidR="00787570" w:rsidRDefault="00787570">
            <w:pPr>
              <w:rPr>
                <w:rFonts w:ascii="宋体"/>
              </w:rPr>
            </w:pPr>
          </w:p>
        </w:tc>
        <w:tc>
          <w:tcPr>
            <w:tcW w:w="50" w:type="pct"/>
            <w:shd w:val="clear" w:color="auto" w:fill="auto"/>
          </w:tcPr>
          <w:p w14:paraId="36CA538A" w14:textId="77777777" w:rsidR="00787570" w:rsidRDefault="00787570">
            <w:pPr>
              <w:rPr>
                <w:rFonts w:ascii="宋体"/>
              </w:rPr>
            </w:pPr>
          </w:p>
        </w:tc>
        <w:tc>
          <w:tcPr>
            <w:tcW w:w="539" w:type="pct"/>
            <w:shd w:val="clear" w:color="auto" w:fill="auto"/>
          </w:tcPr>
          <w:p w14:paraId="36CA538B" w14:textId="77777777" w:rsidR="00787570" w:rsidRDefault="00787570">
            <w:pPr>
              <w:rPr>
                <w:rFonts w:ascii="宋体"/>
              </w:rPr>
            </w:pPr>
          </w:p>
        </w:tc>
        <w:tc>
          <w:tcPr>
            <w:tcW w:w="5" w:type="pct"/>
            <w:shd w:val="clear" w:color="auto" w:fill="auto"/>
          </w:tcPr>
          <w:p w14:paraId="36CA538C" w14:textId="77777777" w:rsidR="00787570" w:rsidRDefault="00787570">
            <w:pPr>
              <w:rPr>
                <w:rFonts w:ascii="宋体"/>
              </w:rPr>
            </w:pPr>
          </w:p>
        </w:tc>
        <w:tc>
          <w:tcPr>
            <w:tcW w:w="0" w:type="auto"/>
            <w:shd w:val="clear" w:color="auto" w:fill="auto"/>
          </w:tcPr>
          <w:p w14:paraId="36CA538D" w14:textId="77777777" w:rsidR="00787570" w:rsidRDefault="00787570">
            <w:pPr>
              <w:rPr>
                <w:rFonts w:ascii="宋体"/>
                <w:vanish/>
              </w:rPr>
            </w:pPr>
          </w:p>
        </w:tc>
        <w:tc>
          <w:tcPr>
            <w:tcW w:w="0" w:type="auto"/>
            <w:shd w:val="clear" w:color="auto" w:fill="auto"/>
          </w:tcPr>
          <w:p w14:paraId="36CA538E" w14:textId="77777777" w:rsidR="00787570" w:rsidRDefault="00787570">
            <w:pPr>
              <w:rPr>
                <w:rFonts w:ascii="宋体"/>
                <w:vanish/>
              </w:rPr>
            </w:pPr>
          </w:p>
        </w:tc>
        <w:tc>
          <w:tcPr>
            <w:tcW w:w="0" w:type="auto"/>
            <w:shd w:val="clear" w:color="auto" w:fill="auto"/>
          </w:tcPr>
          <w:p w14:paraId="36CA538F" w14:textId="77777777" w:rsidR="00787570" w:rsidRDefault="00787570">
            <w:pPr>
              <w:rPr>
                <w:rFonts w:ascii="宋体"/>
                <w:vanish/>
              </w:rPr>
            </w:pPr>
          </w:p>
        </w:tc>
        <w:tc>
          <w:tcPr>
            <w:tcW w:w="0" w:type="auto"/>
            <w:shd w:val="clear" w:color="auto" w:fill="auto"/>
          </w:tcPr>
          <w:p w14:paraId="36CA5390" w14:textId="77777777" w:rsidR="00787570" w:rsidRDefault="00787570">
            <w:pPr>
              <w:rPr>
                <w:rFonts w:ascii="宋体"/>
                <w:vanish/>
              </w:rPr>
            </w:pPr>
          </w:p>
        </w:tc>
      </w:tr>
      <w:tr w:rsidR="00787570" w14:paraId="36CA539B" w14:textId="77777777">
        <w:tc>
          <w:tcPr>
            <w:tcW w:w="0" w:type="auto"/>
            <w:gridSpan w:val="3"/>
            <w:shd w:val="clear" w:color="auto" w:fill="auto"/>
            <w:tcMar>
              <w:left w:w="20" w:type="dxa"/>
              <w:right w:w="20" w:type="dxa"/>
            </w:tcMar>
            <w:vAlign w:val="bottom"/>
          </w:tcPr>
          <w:p w14:paraId="36CA5392"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5393" w14:textId="77777777" w:rsidR="00787570" w:rsidRDefault="00787570">
            <w:pPr>
              <w:rPr>
                <w:rFonts w:ascii="宋体"/>
              </w:rPr>
            </w:pPr>
          </w:p>
        </w:tc>
        <w:tc>
          <w:tcPr>
            <w:tcW w:w="0" w:type="auto"/>
            <w:gridSpan w:val="9"/>
            <w:shd w:val="clear" w:color="auto" w:fill="auto"/>
            <w:tcMar>
              <w:top w:w="40" w:type="dxa"/>
              <w:left w:w="20" w:type="dxa"/>
              <w:bottom w:w="40" w:type="dxa"/>
              <w:right w:w="20" w:type="dxa"/>
            </w:tcMar>
            <w:vAlign w:val="bottom"/>
          </w:tcPr>
          <w:p w14:paraId="36CA5394" w14:textId="77777777" w:rsidR="00787570" w:rsidRDefault="000D56E2">
            <w:pPr>
              <w:jc w:val="center"/>
              <w:textAlignment w:val="bottom"/>
            </w:pPr>
            <w:r>
              <w:rPr>
                <w:rFonts w:ascii="Arial" w:eastAsia="宋体" w:hAnsi="Arial" w:cs="Arial"/>
                <w:b/>
                <w:bCs/>
                <w:color w:val="333333"/>
                <w:sz w:val="18"/>
                <w:szCs w:val="18"/>
              </w:rPr>
              <w:t>Three Months Ended</w:t>
            </w:r>
          </w:p>
        </w:tc>
        <w:tc>
          <w:tcPr>
            <w:tcW w:w="0" w:type="auto"/>
            <w:shd w:val="clear" w:color="auto" w:fill="auto"/>
          </w:tcPr>
          <w:p w14:paraId="36CA5395" w14:textId="77777777" w:rsidR="00787570" w:rsidRDefault="00787570">
            <w:pPr>
              <w:rPr>
                <w:rFonts w:ascii="宋体"/>
                <w:vanish/>
              </w:rPr>
            </w:pPr>
          </w:p>
        </w:tc>
        <w:tc>
          <w:tcPr>
            <w:tcW w:w="0" w:type="auto"/>
            <w:shd w:val="clear" w:color="auto" w:fill="auto"/>
          </w:tcPr>
          <w:p w14:paraId="36CA5396" w14:textId="77777777" w:rsidR="00787570" w:rsidRDefault="00787570">
            <w:pPr>
              <w:rPr>
                <w:rFonts w:ascii="宋体"/>
                <w:vanish/>
              </w:rPr>
            </w:pPr>
          </w:p>
        </w:tc>
        <w:tc>
          <w:tcPr>
            <w:tcW w:w="0" w:type="auto"/>
            <w:shd w:val="clear" w:color="auto" w:fill="auto"/>
          </w:tcPr>
          <w:p w14:paraId="36CA5397" w14:textId="77777777" w:rsidR="00787570" w:rsidRDefault="00787570">
            <w:pPr>
              <w:rPr>
                <w:rFonts w:ascii="宋体"/>
                <w:vanish/>
              </w:rPr>
            </w:pPr>
          </w:p>
        </w:tc>
        <w:tc>
          <w:tcPr>
            <w:tcW w:w="0" w:type="auto"/>
            <w:shd w:val="clear" w:color="auto" w:fill="auto"/>
          </w:tcPr>
          <w:p w14:paraId="36CA5398" w14:textId="77777777" w:rsidR="00787570" w:rsidRDefault="00787570">
            <w:pPr>
              <w:rPr>
                <w:rFonts w:ascii="宋体"/>
                <w:vanish/>
              </w:rPr>
            </w:pPr>
          </w:p>
        </w:tc>
        <w:tc>
          <w:tcPr>
            <w:tcW w:w="0" w:type="auto"/>
            <w:gridSpan w:val="3"/>
            <w:shd w:val="clear" w:color="auto" w:fill="auto"/>
          </w:tcPr>
          <w:p w14:paraId="36CA5399" w14:textId="77777777" w:rsidR="00787570" w:rsidRDefault="00787570">
            <w:pPr>
              <w:rPr>
                <w:rFonts w:ascii="宋体"/>
                <w:vanish/>
              </w:rPr>
            </w:pPr>
          </w:p>
        </w:tc>
        <w:tc>
          <w:tcPr>
            <w:tcW w:w="0" w:type="auto"/>
            <w:gridSpan w:val="3"/>
            <w:shd w:val="clear" w:color="auto" w:fill="auto"/>
          </w:tcPr>
          <w:p w14:paraId="36CA539A" w14:textId="77777777" w:rsidR="00787570" w:rsidRDefault="00787570">
            <w:pPr>
              <w:rPr>
                <w:rFonts w:ascii="宋体"/>
                <w:vanish/>
              </w:rPr>
            </w:pPr>
          </w:p>
        </w:tc>
      </w:tr>
      <w:tr w:rsidR="00787570" w14:paraId="36CA53AB" w14:textId="77777777">
        <w:tc>
          <w:tcPr>
            <w:tcW w:w="0" w:type="auto"/>
            <w:gridSpan w:val="3"/>
            <w:shd w:val="clear" w:color="auto" w:fill="auto"/>
            <w:tcMar>
              <w:top w:w="40" w:type="dxa"/>
              <w:left w:w="20" w:type="dxa"/>
              <w:bottom w:w="40" w:type="dxa"/>
              <w:right w:w="20" w:type="dxa"/>
            </w:tcMar>
            <w:vAlign w:val="bottom"/>
          </w:tcPr>
          <w:p w14:paraId="36CA539C" w14:textId="77777777" w:rsidR="00787570" w:rsidRDefault="000D56E2">
            <w:pPr>
              <w:textAlignment w:val="bottom"/>
            </w:pPr>
            <w:r>
              <w:rPr>
                <w:rFonts w:ascii="Arial" w:eastAsia="宋体" w:hAnsi="Arial" w:cs="Arial"/>
                <w:b/>
                <w:bCs/>
                <w:color w:val="333333"/>
                <w:sz w:val="18"/>
                <w:szCs w:val="18"/>
              </w:rPr>
              <w:t>(In Millions, Except Per Share Amounts)</w:t>
            </w:r>
          </w:p>
        </w:tc>
        <w:tc>
          <w:tcPr>
            <w:tcW w:w="0" w:type="auto"/>
            <w:gridSpan w:val="3"/>
            <w:shd w:val="clear" w:color="auto" w:fill="auto"/>
            <w:tcMar>
              <w:left w:w="20" w:type="dxa"/>
              <w:right w:w="20" w:type="dxa"/>
            </w:tcMar>
            <w:vAlign w:val="bottom"/>
          </w:tcPr>
          <w:p w14:paraId="36CA539D" w14:textId="77777777" w:rsidR="00787570" w:rsidRDefault="00787570">
            <w:pPr>
              <w:rPr>
                <w:rFonts w:ascii="宋体"/>
              </w:rPr>
            </w:pPr>
          </w:p>
        </w:tc>
        <w:tc>
          <w:tcPr>
            <w:tcW w:w="0" w:type="auto"/>
            <w:gridSpan w:val="3"/>
            <w:tcBorders>
              <w:top w:val="single" w:sz="8" w:space="0" w:color="0071C5"/>
            </w:tcBorders>
            <w:shd w:val="clear" w:color="auto" w:fill="auto"/>
            <w:tcMar>
              <w:top w:w="40" w:type="dxa"/>
              <w:left w:w="20" w:type="dxa"/>
              <w:bottom w:w="40" w:type="dxa"/>
              <w:right w:w="20" w:type="dxa"/>
            </w:tcMar>
            <w:vAlign w:val="bottom"/>
          </w:tcPr>
          <w:p w14:paraId="36CA539E" w14:textId="77777777" w:rsidR="00787570" w:rsidRDefault="000D56E2">
            <w:pPr>
              <w:jc w:val="center"/>
              <w:textAlignment w:val="bottom"/>
            </w:pPr>
            <w:r>
              <w:rPr>
                <w:rFonts w:ascii="Arial" w:eastAsia="宋体" w:hAnsi="Arial" w:cs="Arial"/>
                <w:b/>
                <w:bCs/>
                <w:color w:val="333333"/>
                <w:sz w:val="18"/>
                <w:szCs w:val="18"/>
              </w:rPr>
              <w:t>Sep 26, 2020</w:t>
            </w:r>
          </w:p>
        </w:tc>
        <w:tc>
          <w:tcPr>
            <w:tcW w:w="0" w:type="auto"/>
            <w:gridSpan w:val="3"/>
            <w:tcBorders>
              <w:top w:val="single" w:sz="8" w:space="0" w:color="0071C5"/>
            </w:tcBorders>
            <w:shd w:val="clear" w:color="auto" w:fill="auto"/>
            <w:tcMar>
              <w:left w:w="20" w:type="dxa"/>
              <w:right w:w="20" w:type="dxa"/>
            </w:tcMar>
            <w:vAlign w:val="bottom"/>
          </w:tcPr>
          <w:p w14:paraId="36CA539F" w14:textId="77777777" w:rsidR="00787570" w:rsidRDefault="00787570">
            <w:pPr>
              <w:rPr>
                <w:rFonts w:ascii="宋体"/>
              </w:rPr>
            </w:pPr>
          </w:p>
        </w:tc>
        <w:tc>
          <w:tcPr>
            <w:tcW w:w="0" w:type="auto"/>
            <w:gridSpan w:val="3"/>
            <w:tcBorders>
              <w:top w:val="single" w:sz="8" w:space="0" w:color="0071C5"/>
            </w:tcBorders>
            <w:shd w:val="clear" w:color="auto" w:fill="auto"/>
            <w:tcMar>
              <w:top w:w="40" w:type="dxa"/>
              <w:left w:w="20" w:type="dxa"/>
              <w:bottom w:w="40" w:type="dxa"/>
              <w:right w:w="20" w:type="dxa"/>
            </w:tcMar>
            <w:vAlign w:val="bottom"/>
          </w:tcPr>
          <w:p w14:paraId="36CA53A0" w14:textId="77777777" w:rsidR="00787570" w:rsidRDefault="000D56E2">
            <w:pPr>
              <w:jc w:val="center"/>
              <w:textAlignment w:val="bottom"/>
            </w:pPr>
            <w:r>
              <w:rPr>
                <w:rFonts w:ascii="Arial" w:eastAsia="宋体" w:hAnsi="Arial" w:cs="Arial"/>
                <w:b/>
                <w:bCs/>
                <w:color w:val="333333"/>
                <w:sz w:val="18"/>
                <w:szCs w:val="18"/>
              </w:rPr>
              <w:t>Sep 28, 2019</w:t>
            </w:r>
          </w:p>
        </w:tc>
        <w:tc>
          <w:tcPr>
            <w:tcW w:w="0" w:type="auto"/>
            <w:shd w:val="clear" w:color="auto" w:fill="auto"/>
          </w:tcPr>
          <w:p w14:paraId="36CA53A1" w14:textId="77777777" w:rsidR="00787570" w:rsidRDefault="00787570">
            <w:pPr>
              <w:rPr>
                <w:rFonts w:ascii="宋体"/>
                <w:vanish/>
              </w:rPr>
            </w:pPr>
          </w:p>
        </w:tc>
        <w:tc>
          <w:tcPr>
            <w:tcW w:w="0" w:type="auto"/>
            <w:shd w:val="clear" w:color="auto" w:fill="auto"/>
          </w:tcPr>
          <w:p w14:paraId="36CA53A2" w14:textId="77777777" w:rsidR="00787570" w:rsidRDefault="00787570">
            <w:pPr>
              <w:rPr>
                <w:rFonts w:ascii="宋体"/>
                <w:vanish/>
              </w:rPr>
            </w:pPr>
          </w:p>
        </w:tc>
        <w:tc>
          <w:tcPr>
            <w:tcW w:w="0" w:type="auto"/>
            <w:shd w:val="clear" w:color="auto" w:fill="auto"/>
          </w:tcPr>
          <w:p w14:paraId="36CA53A3" w14:textId="77777777" w:rsidR="00787570" w:rsidRDefault="00787570">
            <w:pPr>
              <w:rPr>
                <w:rFonts w:ascii="宋体"/>
                <w:vanish/>
              </w:rPr>
            </w:pPr>
          </w:p>
        </w:tc>
        <w:tc>
          <w:tcPr>
            <w:tcW w:w="0" w:type="auto"/>
            <w:shd w:val="clear" w:color="auto" w:fill="auto"/>
          </w:tcPr>
          <w:p w14:paraId="36CA53A4" w14:textId="77777777" w:rsidR="00787570" w:rsidRDefault="00787570">
            <w:pPr>
              <w:rPr>
                <w:rFonts w:ascii="宋体"/>
                <w:vanish/>
              </w:rPr>
            </w:pPr>
          </w:p>
        </w:tc>
        <w:tc>
          <w:tcPr>
            <w:tcW w:w="0" w:type="auto"/>
            <w:shd w:val="clear" w:color="auto" w:fill="auto"/>
          </w:tcPr>
          <w:p w14:paraId="36CA53A5" w14:textId="77777777" w:rsidR="00787570" w:rsidRDefault="00787570">
            <w:pPr>
              <w:rPr>
                <w:rFonts w:ascii="宋体"/>
              </w:rPr>
            </w:pPr>
          </w:p>
        </w:tc>
        <w:tc>
          <w:tcPr>
            <w:tcW w:w="0" w:type="auto"/>
            <w:shd w:val="clear" w:color="auto" w:fill="auto"/>
          </w:tcPr>
          <w:p w14:paraId="36CA53A6" w14:textId="77777777" w:rsidR="00787570" w:rsidRDefault="00787570">
            <w:pPr>
              <w:rPr>
                <w:rFonts w:ascii="宋体"/>
              </w:rPr>
            </w:pPr>
          </w:p>
        </w:tc>
        <w:tc>
          <w:tcPr>
            <w:tcW w:w="0" w:type="auto"/>
            <w:shd w:val="clear" w:color="auto" w:fill="auto"/>
          </w:tcPr>
          <w:p w14:paraId="36CA53A7" w14:textId="77777777" w:rsidR="00787570" w:rsidRDefault="00787570">
            <w:pPr>
              <w:rPr>
                <w:rFonts w:ascii="宋体"/>
              </w:rPr>
            </w:pPr>
          </w:p>
        </w:tc>
        <w:tc>
          <w:tcPr>
            <w:tcW w:w="0" w:type="auto"/>
            <w:shd w:val="clear" w:color="auto" w:fill="auto"/>
          </w:tcPr>
          <w:p w14:paraId="36CA53A8" w14:textId="77777777" w:rsidR="00787570" w:rsidRDefault="00787570">
            <w:pPr>
              <w:rPr>
                <w:rFonts w:ascii="宋体"/>
              </w:rPr>
            </w:pPr>
          </w:p>
        </w:tc>
        <w:tc>
          <w:tcPr>
            <w:tcW w:w="0" w:type="auto"/>
            <w:shd w:val="clear" w:color="auto" w:fill="auto"/>
          </w:tcPr>
          <w:p w14:paraId="36CA53A9" w14:textId="77777777" w:rsidR="00787570" w:rsidRDefault="00787570">
            <w:pPr>
              <w:rPr>
                <w:rFonts w:ascii="宋体"/>
              </w:rPr>
            </w:pPr>
          </w:p>
        </w:tc>
        <w:tc>
          <w:tcPr>
            <w:tcW w:w="0" w:type="auto"/>
            <w:shd w:val="clear" w:color="auto" w:fill="auto"/>
          </w:tcPr>
          <w:p w14:paraId="36CA53AA" w14:textId="77777777" w:rsidR="00787570" w:rsidRDefault="00787570">
            <w:pPr>
              <w:rPr>
                <w:rFonts w:ascii="宋体"/>
              </w:rPr>
            </w:pPr>
          </w:p>
        </w:tc>
      </w:tr>
      <w:tr w:rsidR="00787570" w14:paraId="36CA53BB" w14:textId="77777777">
        <w:trPr>
          <w:hidden/>
        </w:trPr>
        <w:tc>
          <w:tcPr>
            <w:tcW w:w="0" w:type="auto"/>
            <w:gridSpan w:val="3"/>
            <w:shd w:val="clear" w:color="auto" w:fill="auto"/>
          </w:tcPr>
          <w:p w14:paraId="36CA53AC" w14:textId="77777777" w:rsidR="00787570" w:rsidRDefault="00787570">
            <w:pPr>
              <w:rPr>
                <w:rFonts w:ascii="宋体"/>
                <w:vanish/>
              </w:rPr>
            </w:pPr>
          </w:p>
        </w:tc>
        <w:tc>
          <w:tcPr>
            <w:tcW w:w="0" w:type="auto"/>
            <w:gridSpan w:val="3"/>
            <w:shd w:val="clear" w:color="auto" w:fill="auto"/>
          </w:tcPr>
          <w:p w14:paraId="36CA53AD" w14:textId="77777777" w:rsidR="00787570" w:rsidRDefault="00787570">
            <w:pPr>
              <w:rPr>
                <w:rFonts w:ascii="宋体"/>
                <w:vanish/>
              </w:rPr>
            </w:pPr>
          </w:p>
        </w:tc>
        <w:tc>
          <w:tcPr>
            <w:tcW w:w="0" w:type="auto"/>
            <w:gridSpan w:val="3"/>
            <w:shd w:val="clear" w:color="auto" w:fill="auto"/>
          </w:tcPr>
          <w:p w14:paraId="36CA53AE" w14:textId="77777777" w:rsidR="00787570" w:rsidRDefault="00787570">
            <w:pPr>
              <w:rPr>
                <w:rFonts w:ascii="宋体"/>
                <w:vanish/>
              </w:rPr>
            </w:pPr>
          </w:p>
        </w:tc>
        <w:tc>
          <w:tcPr>
            <w:tcW w:w="0" w:type="auto"/>
            <w:gridSpan w:val="3"/>
            <w:shd w:val="clear" w:color="auto" w:fill="auto"/>
          </w:tcPr>
          <w:p w14:paraId="36CA53AF" w14:textId="77777777" w:rsidR="00787570" w:rsidRDefault="00787570">
            <w:pPr>
              <w:rPr>
                <w:rFonts w:ascii="宋体"/>
                <w:vanish/>
              </w:rPr>
            </w:pPr>
          </w:p>
        </w:tc>
        <w:tc>
          <w:tcPr>
            <w:tcW w:w="0" w:type="auto"/>
            <w:gridSpan w:val="3"/>
            <w:shd w:val="clear" w:color="auto" w:fill="auto"/>
          </w:tcPr>
          <w:p w14:paraId="36CA53B0" w14:textId="77777777" w:rsidR="00787570" w:rsidRDefault="00787570">
            <w:pPr>
              <w:rPr>
                <w:rFonts w:ascii="宋体"/>
                <w:vanish/>
              </w:rPr>
            </w:pPr>
          </w:p>
        </w:tc>
        <w:tc>
          <w:tcPr>
            <w:tcW w:w="0" w:type="auto"/>
            <w:shd w:val="clear" w:color="auto" w:fill="auto"/>
          </w:tcPr>
          <w:p w14:paraId="36CA53B1" w14:textId="77777777" w:rsidR="00787570" w:rsidRDefault="00787570">
            <w:pPr>
              <w:rPr>
                <w:rFonts w:ascii="宋体"/>
                <w:vanish/>
              </w:rPr>
            </w:pPr>
          </w:p>
        </w:tc>
        <w:tc>
          <w:tcPr>
            <w:tcW w:w="0" w:type="auto"/>
            <w:shd w:val="clear" w:color="auto" w:fill="auto"/>
          </w:tcPr>
          <w:p w14:paraId="36CA53B2" w14:textId="77777777" w:rsidR="00787570" w:rsidRDefault="00787570">
            <w:pPr>
              <w:rPr>
                <w:rFonts w:ascii="宋体"/>
                <w:vanish/>
              </w:rPr>
            </w:pPr>
          </w:p>
        </w:tc>
        <w:tc>
          <w:tcPr>
            <w:tcW w:w="0" w:type="auto"/>
            <w:shd w:val="clear" w:color="auto" w:fill="auto"/>
          </w:tcPr>
          <w:p w14:paraId="36CA53B3" w14:textId="77777777" w:rsidR="00787570" w:rsidRDefault="00787570">
            <w:pPr>
              <w:rPr>
                <w:rFonts w:ascii="宋体"/>
                <w:vanish/>
              </w:rPr>
            </w:pPr>
          </w:p>
        </w:tc>
        <w:tc>
          <w:tcPr>
            <w:tcW w:w="0" w:type="auto"/>
            <w:shd w:val="clear" w:color="auto" w:fill="auto"/>
          </w:tcPr>
          <w:p w14:paraId="36CA53B4" w14:textId="77777777" w:rsidR="00787570" w:rsidRDefault="00787570">
            <w:pPr>
              <w:rPr>
                <w:rFonts w:ascii="宋体"/>
                <w:vanish/>
              </w:rPr>
            </w:pPr>
          </w:p>
        </w:tc>
        <w:tc>
          <w:tcPr>
            <w:tcW w:w="0" w:type="auto"/>
            <w:shd w:val="clear" w:color="auto" w:fill="auto"/>
          </w:tcPr>
          <w:p w14:paraId="36CA53B5" w14:textId="77777777" w:rsidR="00787570" w:rsidRDefault="00787570">
            <w:pPr>
              <w:rPr>
                <w:rFonts w:ascii="宋体"/>
              </w:rPr>
            </w:pPr>
          </w:p>
        </w:tc>
        <w:tc>
          <w:tcPr>
            <w:tcW w:w="0" w:type="auto"/>
            <w:shd w:val="clear" w:color="auto" w:fill="auto"/>
          </w:tcPr>
          <w:p w14:paraId="36CA53B6" w14:textId="77777777" w:rsidR="00787570" w:rsidRDefault="00787570">
            <w:pPr>
              <w:rPr>
                <w:rFonts w:ascii="宋体"/>
              </w:rPr>
            </w:pPr>
          </w:p>
        </w:tc>
        <w:tc>
          <w:tcPr>
            <w:tcW w:w="0" w:type="auto"/>
            <w:shd w:val="clear" w:color="auto" w:fill="auto"/>
          </w:tcPr>
          <w:p w14:paraId="36CA53B7" w14:textId="77777777" w:rsidR="00787570" w:rsidRDefault="00787570">
            <w:pPr>
              <w:rPr>
                <w:rFonts w:ascii="宋体"/>
              </w:rPr>
            </w:pPr>
          </w:p>
        </w:tc>
        <w:tc>
          <w:tcPr>
            <w:tcW w:w="0" w:type="auto"/>
            <w:shd w:val="clear" w:color="auto" w:fill="auto"/>
          </w:tcPr>
          <w:p w14:paraId="36CA53B8" w14:textId="77777777" w:rsidR="00787570" w:rsidRDefault="00787570">
            <w:pPr>
              <w:rPr>
                <w:rFonts w:ascii="宋体"/>
              </w:rPr>
            </w:pPr>
          </w:p>
        </w:tc>
        <w:tc>
          <w:tcPr>
            <w:tcW w:w="0" w:type="auto"/>
            <w:shd w:val="clear" w:color="auto" w:fill="auto"/>
          </w:tcPr>
          <w:p w14:paraId="36CA53B9" w14:textId="77777777" w:rsidR="00787570" w:rsidRDefault="00787570">
            <w:pPr>
              <w:rPr>
                <w:rFonts w:ascii="宋体"/>
              </w:rPr>
            </w:pPr>
          </w:p>
        </w:tc>
        <w:tc>
          <w:tcPr>
            <w:tcW w:w="0" w:type="auto"/>
            <w:shd w:val="clear" w:color="auto" w:fill="auto"/>
          </w:tcPr>
          <w:p w14:paraId="36CA53BA" w14:textId="77777777" w:rsidR="00787570" w:rsidRDefault="00787570">
            <w:pPr>
              <w:rPr>
                <w:rFonts w:ascii="宋体"/>
              </w:rPr>
            </w:pPr>
          </w:p>
        </w:tc>
      </w:tr>
      <w:tr w:rsidR="00787570" w14:paraId="36CA53CB" w14:textId="77777777">
        <w:trPr>
          <w:hidden/>
        </w:trPr>
        <w:tc>
          <w:tcPr>
            <w:tcW w:w="0" w:type="auto"/>
            <w:gridSpan w:val="3"/>
            <w:shd w:val="clear" w:color="auto" w:fill="auto"/>
          </w:tcPr>
          <w:p w14:paraId="36CA53BC" w14:textId="77777777" w:rsidR="00787570" w:rsidRDefault="00787570">
            <w:pPr>
              <w:rPr>
                <w:rFonts w:ascii="宋体"/>
                <w:vanish/>
              </w:rPr>
            </w:pPr>
          </w:p>
        </w:tc>
        <w:tc>
          <w:tcPr>
            <w:tcW w:w="0" w:type="auto"/>
            <w:gridSpan w:val="3"/>
            <w:shd w:val="clear" w:color="auto" w:fill="auto"/>
          </w:tcPr>
          <w:p w14:paraId="36CA53BD" w14:textId="77777777" w:rsidR="00787570" w:rsidRDefault="00787570">
            <w:pPr>
              <w:rPr>
                <w:rFonts w:ascii="宋体"/>
                <w:vanish/>
              </w:rPr>
            </w:pPr>
          </w:p>
        </w:tc>
        <w:tc>
          <w:tcPr>
            <w:tcW w:w="0" w:type="auto"/>
            <w:gridSpan w:val="3"/>
            <w:shd w:val="clear" w:color="auto" w:fill="auto"/>
          </w:tcPr>
          <w:p w14:paraId="36CA53BE" w14:textId="77777777" w:rsidR="00787570" w:rsidRDefault="00787570">
            <w:pPr>
              <w:rPr>
                <w:rFonts w:ascii="宋体"/>
                <w:vanish/>
              </w:rPr>
            </w:pPr>
          </w:p>
        </w:tc>
        <w:tc>
          <w:tcPr>
            <w:tcW w:w="0" w:type="auto"/>
            <w:gridSpan w:val="3"/>
            <w:shd w:val="clear" w:color="auto" w:fill="auto"/>
          </w:tcPr>
          <w:p w14:paraId="36CA53BF" w14:textId="77777777" w:rsidR="00787570" w:rsidRDefault="00787570">
            <w:pPr>
              <w:rPr>
                <w:rFonts w:ascii="宋体"/>
                <w:vanish/>
              </w:rPr>
            </w:pPr>
          </w:p>
        </w:tc>
        <w:tc>
          <w:tcPr>
            <w:tcW w:w="0" w:type="auto"/>
            <w:gridSpan w:val="3"/>
            <w:shd w:val="clear" w:color="auto" w:fill="auto"/>
          </w:tcPr>
          <w:p w14:paraId="36CA53C0" w14:textId="77777777" w:rsidR="00787570" w:rsidRDefault="00787570">
            <w:pPr>
              <w:rPr>
                <w:rFonts w:ascii="宋体"/>
                <w:vanish/>
              </w:rPr>
            </w:pPr>
          </w:p>
        </w:tc>
        <w:tc>
          <w:tcPr>
            <w:tcW w:w="0" w:type="auto"/>
            <w:shd w:val="clear" w:color="auto" w:fill="auto"/>
          </w:tcPr>
          <w:p w14:paraId="36CA53C1" w14:textId="77777777" w:rsidR="00787570" w:rsidRDefault="00787570">
            <w:pPr>
              <w:rPr>
                <w:rFonts w:ascii="宋体"/>
                <w:vanish/>
              </w:rPr>
            </w:pPr>
          </w:p>
        </w:tc>
        <w:tc>
          <w:tcPr>
            <w:tcW w:w="0" w:type="auto"/>
            <w:shd w:val="clear" w:color="auto" w:fill="auto"/>
          </w:tcPr>
          <w:p w14:paraId="36CA53C2" w14:textId="77777777" w:rsidR="00787570" w:rsidRDefault="00787570">
            <w:pPr>
              <w:rPr>
                <w:rFonts w:ascii="宋体"/>
                <w:vanish/>
              </w:rPr>
            </w:pPr>
          </w:p>
        </w:tc>
        <w:tc>
          <w:tcPr>
            <w:tcW w:w="0" w:type="auto"/>
            <w:shd w:val="clear" w:color="auto" w:fill="auto"/>
          </w:tcPr>
          <w:p w14:paraId="36CA53C3" w14:textId="77777777" w:rsidR="00787570" w:rsidRDefault="00787570">
            <w:pPr>
              <w:rPr>
                <w:rFonts w:ascii="宋体"/>
                <w:vanish/>
              </w:rPr>
            </w:pPr>
          </w:p>
        </w:tc>
        <w:tc>
          <w:tcPr>
            <w:tcW w:w="0" w:type="auto"/>
            <w:shd w:val="clear" w:color="auto" w:fill="auto"/>
          </w:tcPr>
          <w:p w14:paraId="36CA53C4" w14:textId="77777777" w:rsidR="00787570" w:rsidRDefault="00787570">
            <w:pPr>
              <w:rPr>
                <w:rFonts w:ascii="宋体"/>
                <w:vanish/>
              </w:rPr>
            </w:pPr>
          </w:p>
        </w:tc>
        <w:tc>
          <w:tcPr>
            <w:tcW w:w="0" w:type="auto"/>
            <w:shd w:val="clear" w:color="auto" w:fill="auto"/>
          </w:tcPr>
          <w:p w14:paraId="36CA53C5" w14:textId="77777777" w:rsidR="00787570" w:rsidRDefault="00787570">
            <w:pPr>
              <w:rPr>
                <w:rFonts w:ascii="宋体"/>
              </w:rPr>
            </w:pPr>
          </w:p>
        </w:tc>
        <w:tc>
          <w:tcPr>
            <w:tcW w:w="0" w:type="auto"/>
            <w:shd w:val="clear" w:color="auto" w:fill="auto"/>
          </w:tcPr>
          <w:p w14:paraId="36CA53C6" w14:textId="77777777" w:rsidR="00787570" w:rsidRDefault="00787570">
            <w:pPr>
              <w:rPr>
                <w:rFonts w:ascii="宋体"/>
              </w:rPr>
            </w:pPr>
          </w:p>
        </w:tc>
        <w:tc>
          <w:tcPr>
            <w:tcW w:w="0" w:type="auto"/>
            <w:shd w:val="clear" w:color="auto" w:fill="auto"/>
          </w:tcPr>
          <w:p w14:paraId="36CA53C7" w14:textId="77777777" w:rsidR="00787570" w:rsidRDefault="00787570">
            <w:pPr>
              <w:rPr>
                <w:rFonts w:ascii="宋体"/>
              </w:rPr>
            </w:pPr>
          </w:p>
        </w:tc>
        <w:tc>
          <w:tcPr>
            <w:tcW w:w="0" w:type="auto"/>
            <w:shd w:val="clear" w:color="auto" w:fill="auto"/>
          </w:tcPr>
          <w:p w14:paraId="36CA53C8" w14:textId="77777777" w:rsidR="00787570" w:rsidRDefault="00787570">
            <w:pPr>
              <w:rPr>
                <w:rFonts w:ascii="宋体"/>
              </w:rPr>
            </w:pPr>
          </w:p>
        </w:tc>
        <w:tc>
          <w:tcPr>
            <w:tcW w:w="0" w:type="auto"/>
            <w:shd w:val="clear" w:color="auto" w:fill="auto"/>
          </w:tcPr>
          <w:p w14:paraId="36CA53C9" w14:textId="77777777" w:rsidR="00787570" w:rsidRDefault="00787570">
            <w:pPr>
              <w:rPr>
                <w:rFonts w:ascii="宋体"/>
              </w:rPr>
            </w:pPr>
          </w:p>
        </w:tc>
        <w:tc>
          <w:tcPr>
            <w:tcW w:w="0" w:type="auto"/>
            <w:shd w:val="clear" w:color="auto" w:fill="auto"/>
          </w:tcPr>
          <w:p w14:paraId="36CA53CA" w14:textId="77777777" w:rsidR="00787570" w:rsidRDefault="00787570">
            <w:pPr>
              <w:rPr>
                <w:rFonts w:ascii="宋体"/>
              </w:rPr>
            </w:pPr>
          </w:p>
        </w:tc>
      </w:tr>
      <w:tr w:rsidR="00787570" w14:paraId="36CA53DB" w14:textId="77777777">
        <w:trPr>
          <w:hidden/>
        </w:trPr>
        <w:tc>
          <w:tcPr>
            <w:tcW w:w="0" w:type="auto"/>
            <w:gridSpan w:val="3"/>
            <w:shd w:val="clear" w:color="auto" w:fill="auto"/>
          </w:tcPr>
          <w:p w14:paraId="36CA53CC" w14:textId="77777777" w:rsidR="00787570" w:rsidRDefault="00787570">
            <w:pPr>
              <w:rPr>
                <w:rFonts w:ascii="宋体"/>
                <w:vanish/>
              </w:rPr>
            </w:pPr>
          </w:p>
        </w:tc>
        <w:tc>
          <w:tcPr>
            <w:tcW w:w="0" w:type="auto"/>
            <w:gridSpan w:val="3"/>
            <w:shd w:val="clear" w:color="auto" w:fill="auto"/>
          </w:tcPr>
          <w:p w14:paraId="36CA53CD" w14:textId="77777777" w:rsidR="00787570" w:rsidRDefault="00787570">
            <w:pPr>
              <w:rPr>
                <w:rFonts w:ascii="宋体"/>
                <w:vanish/>
              </w:rPr>
            </w:pPr>
          </w:p>
        </w:tc>
        <w:tc>
          <w:tcPr>
            <w:tcW w:w="0" w:type="auto"/>
            <w:gridSpan w:val="3"/>
            <w:shd w:val="clear" w:color="auto" w:fill="auto"/>
          </w:tcPr>
          <w:p w14:paraId="36CA53CE" w14:textId="77777777" w:rsidR="00787570" w:rsidRDefault="00787570">
            <w:pPr>
              <w:rPr>
                <w:rFonts w:ascii="宋体"/>
                <w:vanish/>
              </w:rPr>
            </w:pPr>
          </w:p>
        </w:tc>
        <w:tc>
          <w:tcPr>
            <w:tcW w:w="0" w:type="auto"/>
            <w:gridSpan w:val="3"/>
            <w:shd w:val="clear" w:color="auto" w:fill="auto"/>
          </w:tcPr>
          <w:p w14:paraId="36CA53CF" w14:textId="77777777" w:rsidR="00787570" w:rsidRDefault="00787570">
            <w:pPr>
              <w:rPr>
                <w:rFonts w:ascii="宋体"/>
                <w:vanish/>
              </w:rPr>
            </w:pPr>
          </w:p>
        </w:tc>
        <w:tc>
          <w:tcPr>
            <w:tcW w:w="0" w:type="auto"/>
            <w:gridSpan w:val="3"/>
            <w:shd w:val="clear" w:color="auto" w:fill="auto"/>
          </w:tcPr>
          <w:p w14:paraId="36CA53D0" w14:textId="77777777" w:rsidR="00787570" w:rsidRDefault="00787570">
            <w:pPr>
              <w:rPr>
                <w:rFonts w:ascii="宋体"/>
                <w:vanish/>
              </w:rPr>
            </w:pPr>
          </w:p>
        </w:tc>
        <w:tc>
          <w:tcPr>
            <w:tcW w:w="0" w:type="auto"/>
            <w:shd w:val="clear" w:color="auto" w:fill="auto"/>
          </w:tcPr>
          <w:p w14:paraId="36CA53D1" w14:textId="77777777" w:rsidR="00787570" w:rsidRDefault="00787570">
            <w:pPr>
              <w:rPr>
                <w:rFonts w:ascii="宋体"/>
                <w:vanish/>
              </w:rPr>
            </w:pPr>
          </w:p>
        </w:tc>
        <w:tc>
          <w:tcPr>
            <w:tcW w:w="0" w:type="auto"/>
            <w:shd w:val="clear" w:color="auto" w:fill="auto"/>
          </w:tcPr>
          <w:p w14:paraId="36CA53D2" w14:textId="77777777" w:rsidR="00787570" w:rsidRDefault="00787570">
            <w:pPr>
              <w:rPr>
                <w:rFonts w:ascii="宋体"/>
                <w:vanish/>
              </w:rPr>
            </w:pPr>
          </w:p>
        </w:tc>
        <w:tc>
          <w:tcPr>
            <w:tcW w:w="0" w:type="auto"/>
            <w:shd w:val="clear" w:color="auto" w:fill="auto"/>
          </w:tcPr>
          <w:p w14:paraId="36CA53D3" w14:textId="77777777" w:rsidR="00787570" w:rsidRDefault="00787570">
            <w:pPr>
              <w:rPr>
                <w:rFonts w:ascii="宋体"/>
                <w:vanish/>
              </w:rPr>
            </w:pPr>
          </w:p>
        </w:tc>
        <w:tc>
          <w:tcPr>
            <w:tcW w:w="0" w:type="auto"/>
            <w:shd w:val="clear" w:color="auto" w:fill="auto"/>
          </w:tcPr>
          <w:p w14:paraId="36CA53D4" w14:textId="77777777" w:rsidR="00787570" w:rsidRDefault="00787570">
            <w:pPr>
              <w:rPr>
                <w:rFonts w:ascii="宋体"/>
                <w:vanish/>
              </w:rPr>
            </w:pPr>
          </w:p>
        </w:tc>
        <w:tc>
          <w:tcPr>
            <w:tcW w:w="0" w:type="auto"/>
            <w:shd w:val="clear" w:color="auto" w:fill="auto"/>
          </w:tcPr>
          <w:p w14:paraId="36CA53D5" w14:textId="77777777" w:rsidR="00787570" w:rsidRDefault="00787570">
            <w:pPr>
              <w:rPr>
                <w:rFonts w:ascii="宋体"/>
              </w:rPr>
            </w:pPr>
          </w:p>
        </w:tc>
        <w:tc>
          <w:tcPr>
            <w:tcW w:w="0" w:type="auto"/>
            <w:shd w:val="clear" w:color="auto" w:fill="auto"/>
          </w:tcPr>
          <w:p w14:paraId="36CA53D6" w14:textId="77777777" w:rsidR="00787570" w:rsidRDefault="00787570">
            <w:pPr>
              <w:rPr>
                <w:rFonts w:ascii="宋体"/>
              </w:rPr>
            </w:pPr>
          </w:p>
        </w:tc>
        <w:tc>
          <w:tcPr>
            <w:tcW w:w="0" w:type="auto"/>
            <w:shd w:val="clear" w:color="auto" w:fill="auto"/>
          </w:tcPr>
          <w:p w14:paraId="36CA53D7" w14:textId="77777777" w:rsidR="00787570" w:rsidRDefault="00787570">
            <w:pPr>
              <w:rPr>
                <w:rFonts w:ascii="宋体"/>
              </w:rPr>
            </w:pPr>
          </w:p>
        </w:tc>
        <w:tc>
          <w:tcPr>
            <w:tcW w:w="0" w:type="auto"/>
            <w:shd w:val="clear" w:color="auto" w:fill="auto"/>
          </w:tcPr>
          <w:p w14:paraId="36CA53D8" w14:textId="77777777" w:rsidR="00787570" w:rsidRDefault="00787570">
            <w:pPr>
              <w:rPr>
                <w:rFonts w:ascii="宋体"/>
              </w:rPr>
            </w:pPr>
          </w:p>
        </w:tc>
        <w:tc>
          <w:tcPr>
            <w:tcW w:w="0" w:type="auto"/>
            <w:shd w:val="clear" w:color="auto" w:fill="auto"/>
          </w:tcPr>
          <w:p w14:paraId="36CA53D9" w14:textId="77777777" w:rsidR="00787570" w:rsidRDefault="00787570">
            <w:pPr>
              <w:rPr>
                <w:rFonts w:ascii="宋体"/>
              </w:rPr>
            </w:pPr>
          </w:p>
        </w:tc>
        <w:tc>
          <w:tcPr>
            <w:tcW w:w="0" w:type="auto"/>
            <w:shd w:val="clear" w:color="auto" w:fill="auto"/>
          </w:tcPr>
          <w:p w14:paraId="36CA53DA" w14:textId="77777777" w:rsidR="00787570" w:rsidRDefault="00787570">
            <w:pPr>
              <w:rPr>
                <w:rFonts w:ascii="宋体"/>
              </w:rPr>
            </w:pPr>
          </w:p>
        </w:tc>
      </w:tr>
      <w:tr w:rsidR="00787570" w14:paraId="36CA53EB" w14:textId="77777777">
        <w:trPr>
          <w:hidden/>
        </w:trPr>
        <w:tc>
          <w:tcPr>
            <w:tcW w:w="0" w:type="auto"/>
            <w:gridSpan w:val="3"/>
            <w:shd w:val="clear" w:color="auto" w:fill="auto"/>
          </w:tcPr>
          <w:p w14:paraId="36CA53DC" w14:textId="77777777" w:rsidR="00787570" w:rsidRDefault="00787570">
            <w:pPr>
              <w:rPr>
                <w:rFonts w:ascii="宋体"/>
                <w:vanish/>
              </w:rPr>
            </w:pPr>
          </w:p>
        </w:tc>
        <w:tc>
          <w:tcPr>
            <w:tcW w:w="0" w:type="auto"/>
            <w:gridSpan w:val="3"/>
            <w:shd w:val="clear" w:color="auto" w:fill="auto"/>
          </w:tcPr>
          <w:p w14:paraId="36CA53DD" w14:textId="77777777" w:rsidR="00787570" w:rsidRDefault="00787570">
            <w:pPr>
              <w:rPr>
                <w:rFonts w:ascii="宋体"/>
                <w:vanish/>
              </w:rPr>
            </w:pPr>
          </w:p>
        </w:tc>
        <w:tc>
          <w:tcPr>
            <w:tcW w:w="0" w:type="auto"/>
            <w:gridSpan w:val="3"/>
            <w:shd w:val="clear" w:color="auto" w:fill="auto"/>
          </w:tcPr>
          <w:p w14:paraId="36CA53DE" w14:textId="77777777" w:rsidR="00787570" w:rsidRDefault="00787570">
            <w:pPr>
              <w:rPr>
                <w:rFonts w:ascii="宋体"/>
                <w:vanish/>
              </w:rPr>
            </w:pPr>
          </w:p>
        </w:tc>
        <w:tc>
          <w:tcPr>
            <w:tcW w:w="0" w:type="auto"/>
            <w:gridSpan w:val="3"/>
            <w:shd w:val="clear" w:color="auto" w:fill="auto"/>
          </w:tcPr>
          <w:p w14:paraId="36CA53DF" w14:textId="77777777" w:rsidR="00787570" w:rsidRDefault="00787570">
            <w:pPr>
              <w:rPr>
                <w:rFonts w:ascii="宋体"/>
                <w:vanish/>
              </w:rPr>
            </w:pPr>
          </w:p>
        </w:tc>
        <w:tc>
          <w:tcPr>
            <w:tcW w:w="0" w:type="auto"/>
            <w:gridSpan w:val="3"/>
            <w:shd w:val="clear" w:color="auto" w:fill="auto"/>
          </w:tcPr>
          <w:p w14:paraId="36CA53E0" w14:textId="77777777" w:rsidR="00787570" w:rsidRDefault="00787570">
            <w:pPr>
              <w:rPr>
                <w:rFonts w:ascii="宋体"/>
                <w:vanish/>
              </w:rPr>
            </w:pPr>
          </w:p>
        </w:tc>
        <w:tc>
          <w:tcPr>
            <w:tcW w:w="0" w:type="auto"/>
            <w:shd w:val="clear" w:color="auto" w:fill="auto"/>
          </w:tcPr>
          <w:p w14:paraId="36CA53E1" w14:textId="77777777" w:rsidR="00787570" w:rsidRDefault="00787570">
            <w:pPr>
              <w:rPr>
                <w:rFonts w:ascii="宋体"/>
                <w:vanish/>
              </w:rPr>
            </w:pPr>
          </w:p>
        </w:tc>
        <w:tc>
          <w:tcPr>
            <w:tcW w:w="0" w:type="auto"/>
            <w:shd w:val="clear" w:color="auto" w:fill="auto"/>
          </w:tcPr>
          <w:p w14:paraId="36CA53E2" w14:textId="77777777" w:rsidR="00787570" w:rsidRDefault="00787570">
            <w:pPr>
              <w:rPr>
                <w:rFonts w:ascii="宋体"/>
                <w:vanish/>
              </w:rPr>
            </w:pPr>
          </w:p>
        </w:tc>
        <w:tc>
          <w:tcPr>
            <w:tcW w:w="0" w:type="auto"/>
            <w:shd w:val="clear" w:color="auto" w:fill="auto"/>
          </w:tcPr>
          <w:p w14:paraId="36CA53E3" w14:textId="77777777" w:rsidR="00787570" w:rsidRDefault="00787570">
            <w:pPr>
              <w:rPr>
                <w:rFonts w:ascii="宋体"/>
                <w:vanish/>
              </w:rPr>
            </w:pPr>
          </w:p>
        </w:tc>
        <w:tc>
          <w:tcPr>
            <w:tcW w:w="0" w:type="auto"/>
            <w:shd w:val="clear" w:color="auto" w:fill="auto"/>
          </w:tcPr>
          <w:p w14:paraId="36CA53E4" w14:textId="77777777" w:rsidR="00787570" w:rsidRDefault="00787570">
            <w:pPr>
              <w:rPr>
                <w:rFonts w:ascii="宋体"/>
                <w:vanish/>
              </w:rPr>
            </w:pPr>
          </w:p>
        </w:tc>
        <w:tc>
          <w:tcPr>
            <w:tcW w:w="0" w:type="auto"/>
            <w:shd w:val="clear" w:color="auto" w:fill="auto"/>
          </w:tcPr>
          <w:p w14:paraId="36CA53E5" w14:textId="77777777" w:rsidR="00787570" w:rsidRDefault="00787570">
            <w:pPr>
              <w:rPr>
                <w:rFonts w:ascii="宋体"/>
              </w:rPr>
            </w:pPr>
          </w:p>
        </w:tc>
        <w:tc>
          <w:tcPr>
            <w:tcW w:w="0" w:type="auto"/>
            <w:shd w:val="clear" w:color="auto" w:fill="auto"/>
          </w:tcPr>
          <w:p w14:paraId="36CA53E6" w14:textId="77777777" w:rsidR="00787570" w:rsidRDefault="00787570">
            <w:pPr>
              <w:rPr>
                <w:rFonts w:ascii="宋体"/>
              </w:rPr>
            </w:pPr>
          </w:p>
        </w:tc>
        <w:tc>
          <w:tcPr>
            <w:tcW w:w="0" w:type="auto"/>
            <w:shd w:val="clear" w:color="auto" w:fill="auto"/>
          </w:tcPr>
          <w:p w14:paraId="36CA53E7" w14:textId="77777777" w:rsidR="00787570" w:rsidRDefault="00787570">
            <w:pPr>
              <w:rPr>
                <w:rFonts w:ascii="宋体"/>
              </w:rPr>
            </w:pPr>
          </w:p>
        </w:tc>
        <w:tc>
          <w:tcPr>
            <w:tcW w:w="0" w:type="auto"/>
            <w:shd w:val="clear" w:color="auto" w:fill="auto"/>
          </w:tcPr>
          <w:p w14:paraId="36CA53E8" w14:textId="77777777" w:rsidR="00787570" w:rsidRDefault="00787570">
            <w:pPr>
              <w:rPr>
                <w:rFonts w:ascii="宋体"/>
              </w:rPr>
            </w:pPr>
          </w:p>
        </w:tc>
        <w:tc>
          <w:tcPr>
            <w:tcW w:w="0" w:type="auto"/>
            <w:shd w:val="clear" w:color="auto" w:fill="auto"/>
          </w:tcPr>
          <w:p w14:paraId="36CA53E9" w14:textId="77777777" w:rsidR="00787570" w:rsidRDefault="00787570">
            <w:pPr>
              <w:rPr>
                <w:rFonts w:ascii="宋体"/>
              </w:rPr>
            </w:pPr>
          </w:p>
        </w:tc>
        <w:tc>
          <w:tcPr>
            <w:tcW w:w="0" w:type="auto"/>
            <w:shd w:val="clear" w:color="auto" w:fill="auto"/>
          </w:tcPr>
          <w:p w14:paraId="36CA53EA" w14:textId="77777777" w:rsidR="00787570" w:rsidRDefault="00787570">
            <w:pPr>
              <w:rPr>
                <w:rFonts w:ascii="宋体"/>
              </w:rPr>
            </w:pPr>
          </w:p>
        </w:tc>
      </w:tr>
      <w:tr w:rsidR="00787570" w14:paraId="36CA53FB" w14:textId="77777777">
        <w:trPr>
          <w:hidden/>
        </w:trPr>
        <w:tc>
          <w:tcPr>
            <w:tcW w:w="0" w:type="auto"/>
            <w:gridSpan w:val="3"/>
            <w:shd w:val="clear" w:color="auto" w:fill="auto"/>
          </w:tcPr>
          <w:p w14:paraId="36CA53EC" w14:textId="77777777" w:rsidR="00787570" w:rsidRDefault="00787570">
            <w:pPr>
              <w:rPr>
                <w:rFonts w:ascii="宋体"/>
                <w:vanish/>
              </w:rPr>
            </w:pPr>
          </w:p>
        </w:tc>
        <w:tc>
          <w:tcPr>
            <w:tcW w:w="0" w:type="auto"/>
            <w:gridSpan w:val="3"/>
            <w:shd w:val="clear" w:color="auto" w:fill="auto"/>
          </w:tcPr>
          <w:p w14:paraId="36CA53ED" w14:textId="77777777" w:rsidR="00787570" w:rsidRDefault="00787570">
            <w:pPr>
              <w:rPr>
                <w:rFonts w:ascii="宋体"/>
                <w:vanish/>
              </w:rPr>
            </w:pPr>
          </w:p>
        </w:tc>
        <w:tc>
          <w:tcPr>
            <w:tcW w:w="0" w:type="auto"/>
            <w:gridSpan w:val="3"/>
            <w:shd w:val="clear" w:color="auto" w:fill="auto"/>
          </w:tcPr>
          <w:p w14:paraId="36CA53EE" w14:textId="77777777" w:rsidR="00787570" w:rsidRDefault="00787570">
            <w:pPr>
              <w:rPr>
                <w:rFonts w:ascii="宋体"/>
                <w:vanish/>
              </w:rPr>
            </w:pPr>
          </w:p>
        </w:tc>
        <w:tc>
          <w:tcPr>
            <w:tcW w:w="0" w:type="auto"/>
            <w:gridSpan w:val="3"/>
            <w:shd w:val="clear" w:color="auto" w:fill="auto"/>
          </w:tcPr>
          <w:p w14:paraId="36CA53EF" w14:textId="77777777" w:rsidR="00787570" w:rsidRDefault="00787570">
            <w:pPr>
              <w:rPr>
                <w:rFonts w:ascii="宋体"/>
                <w:vanish/>
              </w:rPr>
            </w:pPr>
          </w:p>
        </w:tc>
        <w:tc>
          <w:tcPr>
            <w:tcW w:w="0" w:type="auto"/>
            <w:gridSpan w:val="3"/>
            <w:shd w:val="clear" w:color="auto" w:fill="auto"/>
          </w:tcPr>
          <w:p w14:paraId="36CA53F0" w14:textId="77777777" w:rsidR="00787570" w:rsidRDefault="00787570">
            <w:pPr>
              <w:rPr>
                <w:rFonts w:ascii="宋体"/>
                <w:vanish/>
              </w:rPr>
            </w:pPr>
          </w:p>
        </w:tc>
        <w:tc>
          <w:tcPr>
            <w:tcW w:w="0" w:type="auto"/>
            <w:shd w:val="clear" w:color="auto" w:fill="auto"/>
          </w:tcPr>
          <w:p w14:paraId="36CA53F1" w14:textId="77777777" w:rsidR="00787570" w:rsidRDefault="00787570">
            <w:pPr>
              <w:rPr>
                <w:rFonts w:ascii="宋体"/>
                <w:vanish/>
              </w:rPr>
            </w:pPr>
          </w:p>
        </w:tc>
        <w:tc>
          <w:tcPr>
            <w:tcW w:w="0" w:type="auto"/>
            <w:shd w:val="clear" w:color="auto" w:fill="auto"/>
          </w:tcPr>
          <w:p w14:paraId="36CA53F2" w14:textId="77777777" w:rsidR="00787570" w:rsidRDefault="00787570">
            <w:pPr>
              <w:rPr>
                <w:rFonts w:ascii="宋体"/>
                <w:vanish/>
              </w:rPr>
            </w:pPr>
          </w:p>
        </w:tc>
        <w:tc>
          <w:tcPr>
            <w:tcW w:w="0" w:type="auto"/>
            <w:shd w:val="clear" w:color="auto" w:fill="auto"/>
          </w:tcPr>
          <w:p w14:paraId="36CA53F3" w14:textId="77777777" w:rsidR="00787570" w:rsidRDefault="00787570">
            <w:pPr>
              <w:rPr>
                <w:rFonts w:ascii="宋体"/>
                <w:vanish/>
              </w:rPr>
            </w:pPr>
          </w:p>
        </w:tc>
        <w:tc>
          <w:tcPr>
            <w:tcW w:w="0" w:type="auto"/>
            <w:shd w:val="clear" w:color="auto" w:fill="auto"/>
          </w:tcPr>
          <w:p w14:paraId="36CA53F4" w14:textId="77777777" w:rsidR="00787570" w:rsidRDefault="00787570">
            <w:pPr>
              <w:rPr>
                <w:rFonts w:ascii="宋体"/>
                <w:vanish/>
              </w:rPr>
            </w:pPr>
          </w:p>
        </w:tc>
        <w:tc>
          <w:tcPr>
            <w:tcW w:w="0" w:type="auto"/>
            <w:shd w:val="clear" w:color="auto" w:fill="auto"/>
          </w:tcPr>
          <w:p w14:paraId="36CA53F5" w14:textId="77777777" w:rsidR="00787570" w:rsidRDefault="00787570">
            <w:pPr>
              <w:rPr>
                <w:rFonts w:ascii="宋体"/>
              </w:rPr>
            </w:pPr>
          </w:p>
        </w:tc>
        <w:tc>
          <w:tcPr>
            <w:tcW w:w="0" w:type="auto"/>
            <w:shd w:val="clear" w:color="auto" w:fill="auto"/>
          </w:tcPr>
          <w:p w14:paraId="36CA53F6" w14:textId="77777777" w:rsidR="00787570" w:rsidRDefault="00787570">
            <w:pPr>
              <w:rPr>
                <w:rFonts w:ascii="宋体"/>
              </w:rPr>
            </w:pPr>
          </w:p>
        </w:tc>
        <w:tc>
          <w:tcPr>
            <w:tcW w:w="0" w:type="auto"/>
            <w:shd w:val="clear" w:color="auto" w:fill="auto"/>
          </w:tcPr>
          <w:p w14:paraId="36CA53F7" w14:textId="77777777" w:rsidR="00787570" w:rsidRDefault="00787570">
            <w:pPr>
              <w:rPr>
                <w:rFonts w:ascii="宋体"/>
              </w:rPr>
            </w:pPr>
          </w:p>
        </w:tc>
        <w:tc>
          <w:tcPr>
            <w:tcW w:w="0" w:type="auto"/>
            <w:shd w:val="clear" w:color="auto" w:fill="auto"/>
          </w:tcPr>
          <w:p w14:paraId="36CA53F8" w14:textId="77777777" w:rsidR="00787570" w:rsidRDefault="00787570">
            <w:pPr>
              <w:rPr>
                <w:rFonts w:ascii="宋体"/>
              </w:rPr>
            </w:pPr>
          </w:p>
        </w:tc>
        <w:tc>
          <w:tcPr>
            <w:tcW w:w="0" w:type="auto"/>
            <w:shd w:val="clear" w:color="auto" w:fill="auto"/>
          </w:tcPr>
          <w:p w14:paraId="36CA53F9" w14:textId="77777777" w:rsidR="00787570" w:rsidRDefault="00787570">
            <w:pPr>
              <w:rPr>
                <w:rFonts w:ascii="宋体"/>
              </w:rPr>
            </w:pPr>
          </w:p>
        </w:tc>
        <w:tc>
          <w:tcPr>
            <w:tcW w:w="0" w:type="auto"/>
            <w:shd w:val="clear" w:color="auto" w:fill="auto"/>
          </w:tcPr>
          <w:p w14:paraId="36CA53FA" w14:textId="77777777" w:rsidR="00787570" w:rsidRDefault="00787570">
            <w:pPr>
              <w:rPr>
                <w:rFonts w:ascii="宋体"/>
              </w:rPr>
            </w:pPr>
          </w:p>
        </w:tc>
      </w:tr>
      <w:tr w:rsidR="00787570" w14:paraId="36CA540B" w14:textId="77777777">
        <w:trPr>
          <w:hidden/>
        </w:trPr>
        <w:tc>
          <w:tcPr>
            <w:tcW w:w="0" w:type="auto"/>
            <w:gridSpan w:val="3"/>
            <w:shd w:val="clear" w:color="auto" w:fill="auto"/>
          </w:tcPr>
          <w:p w14:paraId="36CA53FC" w14:textId="77777777" w:rsidR="00787570" w:rsidRDefault="00787570">
            <w:pPr>
              <w:rPr>
                <w:rFonts w:ascii="宋体"/>
                <w:vanish/>
              </w:rPr>
            </w:pPr>
          </w:p>
        </w:tc>
        <w:tc>
          <w:tcPr>
            <w:tcW w:w="0" w:type="auto"/>
            <w:gridSpan w:val="3"/>
            <w:shd w:val="clear" w:color="auto" w:fill="auto"/>
          </w:tcPr>
          <w:p w14:paraId="36CA53FD" w14:textId="77777777" w:rsidR="00787570" w:rsidRDefault="00787570">
            <w:pPr>
              <w:rPr>
                <w:rFonts w:ascii="宋体"/>
                <w:vanish/>
              </w:rPr>
            </w:pPr>
          </w:p>
        </w:tc>
        <w:tc>
          <w:tcPr>
            <w:tcW w:w="0" w:type="auto"/>
            <w:gridSpan w:val="3"/>
            <w:shd w:val="clear" w:color="auto" w:fill="auto"/>
          </w:tcPr>
          <w:p w14:paraId="36CA53FE" w14:textId="77777777" w:rsidR="00787570" w:rsidRDefault="00787570">
            <w:pPr>
              <w:rPr>
                <w:rFonts w:ascii="宋体"/>
                <w:vanish/>
              </w:rPr>
            </w:pPr>
          </w:p>
        </w:tc>
        <w:tc>
          <w:tcPr>
            <w:tcW w:w="0" w:type="auto"/>
            <w:gridSpan w:val="3"/>
            <w:shd w:val="clear" w:color="auto" w:fill="auto"/>
          </w:tcPr>
          <w:p w14:paraId="36CA53FF" w14:textId="77777777" w:rsidR="00787570" w:rsidRDefault="00787570">
            <w:pPr>
              <w:rPr>
                <w:rFonts w:ascii="宋体"/>
                <w:vanish/>
              </w:rPr>
            </w:pPr>
          </w:p>
        </w:tc>
        <w:tc>
          <w:tcPr>
            <w:tcW w:w="0" w:type="auto"/>
            <w:gridSpan w:val="3"/>
            <w:shd w:val="clear" w:color="auto" w:fill="auto"/>
          </w:tcPr>
          <w:p w14:paraId="36CA5400" w14:textId="77777777" w:rsidR="00787570" w:rsidRDefault="00787570">
            <w:pPr>
              <w:rPr>
                <w:rFonts w:ascii="宋体"/>
                <w:vanish/>
              </w:rPr>
            </w:pPr>
          </w:p>
        </w:tc>
        <w:tc>
          <w:tcPr>
            <w:tcW w:w="0" w:type="auto"/>
            <w:shd w:val="clear" w:color="auto" w:fill="auto"/>
          </w:tcPr>
          <w:p w14:paraId="36CA5401" w14:textId="77777777" w:rsidR="00787570" w:rsidRDefault="00787570">
            <w:pPr>
              <w:rPr>
                <w:rFonts w:ascii="宋体"/>
                <w:vanish/>
              </w:rPr>
            </w:pPr>
          </w:p>
        </w:tc>
        <w:tc>
          <w:tcPr>
            <w:tcW w:w="0" w:type="auto"/>
            <w:shd w:val="clear" w:color="auto" w:fill="auto"/>
          </w:tcPr>
          <w:p w14:paraId="36CA5402" w14:textId="77777777" w:rsidR="00787570" w:rsidRDefault="00787570">
            <w:pPr>
              <w:rPr>
                <w:rFonts w:ascii="宋体"/>
                <w:vanish/>
              </w:rPr>
            </w:pPr>
          </w:p>
        </w:tc>
        <w:tc>
          <w:tcPr>
            <w:tcW w:w="0" w:type="auto"/>
            <w:shd w:val="clear" w:color="auto" w:fill="auto"/>
          </w:tcPr>
          <w:p w14:paraId="36CA5403" w14:textId="77777777" w:rsidR="00787570" w:rsidRDefault="00787570">
            <w:pPr>
              <w:rPr>
                <w:rFonts w:ascii="宋体"/>
                <w:vanish/>
              </w:rPr>
            </w:pPr>
          </w:p>
        </w:tc>
        <w:tc>
          <w:tcPr>
            <w:tcW w:w="0" w:type="auto"/>
            <w:shd w:val="clear" w:color="auto" w:fill="auto"/>
          </w:tcPr>
          <w:p w14:paraId="36CA5404" w14:textId="77777777" w:rsidR="00787570" w:rsidRDefault="00787570">
            <w:pPr>
              <w:rPr>
                <w:rFonts w:ascii="宋体"/>
                <w:vanish/>
              </w:rPr>
            </w:pPr>
          </w:p>
        </w:tc>
        <w:tc>
          <w:tcPr>
            <w:tcW w:w="0" w:type="auto"/>
            <w:shd w:val="clear" w:color="auto" w:fill="auto"/>
          </w:tcPr>
          <w:p w14:paraId="36CA5405" w14:textId="77777777" w:rsidR="00787570" w:rsidRDefault="00787570">
            <w:pPr>
              <w:rPr>
                <w:rFonts w:ascii="宋体"/>
              </w:rPr>
            </w:pPr>
          </w:p>
        </w:tc>
        <w:tc>
          <w:tcPr>
            <w:tcW w:w="0" w:type="auto"/>
            <w:shd w:val="clear" w:color="auto" w:fill="auto"/>
          </w:tcPr>
          <w:p w14:paraId="36CA5406" w14:textId="77777777" w:rsidR="00787570" w:rsidRDefault="00787570">
            <w:pPr>
              <w:rPr>
                <w:rFonts w:ascii="宋体"/>
              </w:rPr>
            </w:pPr>
          </w:p>
        </w:tc>
        <w:tc>
          <w:tcPr>
            <w:tcW w:w="0" w:type="auto"/>
            <w:shd w:val="clear" w:color="auto" w:fill="auto"/>
          </w:tcPr>
          <w:p w14:paraId="36CA5407" w14:textId="77777777" w:rsidR="00787570" w:rsidRDefault="00787570">
            <w:pPr>
              <w:rPr>
                <w:rFonts w:ascii="宋体"/>
              </w:rPr>
            </w:pPr>
          </w:p>
        </w:tc>
        <w:tc>
          <w:tcPr>
            <w:tcW w:w="0" w:type="auto"/>
            <w:shd w:val="clear" w:color="auto" w:fill="auto"/>
          </w:tcPr>
          <w:p w14:paraId="36CA5408" w14:textId="77777777" w:rsidR="00787570" w:rsidRDefault="00787570">
            <w:pPr>
              <w:rPr>
                <w:rFonts w:ascii="宋体"/>
              </w:rPr>
            </w:pPr>
          </w:p>
        </w:tc>
        <w:tc>
          <w:tcPr>
            <w:tcW w:w="0" w:type="auto"/>
            <w:shd w:val="clear" w:color="auto" w:fill="auto"/>
          </w:tcPr>
          <w:p w14:paraId="36CA5409" w14:textId="77777777" w:rsidR="00787570" w:rsidRDefault="00787570">
            <w:pPr>
              <w:rPr>
                <w:rFonts w:ascii="宋体"/>
              </w:rPr>
            </w:pPr>
          </w:p>
        </w:tc>
        <w:tc>
          <w:tcPr>
            <w:tcW w:w="0" w:type="auto"/>
            <w:shd w:val="clear" w:color="auto" w:fill="auto"/>
          </w:tcPr>
          <w:p w14:paraId="36CA540A" w14:textId="77777777" w:rsidR="00787570" w:rsidRDefault="00787570">
            <w:pPr>
              <w:rPr>
                <w:rFonts w:ascii="宋体"/>
              </w:rPr>
            </w:pPr>
          </w:p>
        </w:tc>
      </w:tr>
      <w:tr w:rsidR="00787570" w14:paraId="36CA541B" w14:textId="77777777">
        <w:trPr>
          <w:hidden/>
        </w:trPr>
        <w:tc>
          <w:tcPr>
            <w:tcW w:w="0" w:type="auto"/>
            <w:gridSpan w:val="3"/>
            <w:shd w:val="clear" w:color="auto" w:fill="auto"/>
          </w:tcPr>
          <w:p w14:paraId="36CA540C" w14:textId="77777777" w:rsidR="00787570" w:rsidRDefault="00787570">
            <w:pPr>
              <w:rPr>
                <w:rFonts w:ascii="宋体"/>
                <w:vanish/>
              </w:rPr>
            </w:pPr>
          </w:p>
        </w:tc>
        <w:tc>
          <w:tcPr>
            <w:tcW w:w="0" w:type="auto"/>
            <w:gridSpan w:val="3"/>
            <w:shd w:val="clear" w:color="auto" w:fill="auto"/>
          </w:tcPr>
          <w:p w14:paraId="36CA540D" w14:textId="77777777" w:rsidR="00787570" w:rsidRDefault="00787570">
            <w:pPr>
              <w:rPr>
                <w:rFonts w:ascii="宋体"/>
                <w:vanish/>
              </w:rPr>
            </w:pPr>
          </w:p>
        </w:tc>
        <w:tc>
          <w:tcPr>
            <w:tcW w:w="0" w:type="auto"/>
            <w:gridSpan w:val="3"/>
            <w:shd w:val="clear" w:color="auto" w:fill="auto"/>
          </w:tcPr>
          <w:p w14:paraId="36CA540E" w14:textId="77777777" w:rsidR="00787570" w:rsidRDefault="00787570">
            <w:pPr>
              <w:rPr>
                <w:rFonts w:ascii="宋体"/>
                <w:vanish/>
              </w:rPr>
            </w:pPr>
          </w:p>
        </w:tc>
        <w:tc>
          <w:tcPr>
            <w:tcW w:w="0" w:type="auto"/>
            <w:gridSpan w:val="3"/>
            <w:shd w:val="clear" w:color="auto" w:fill="auto"/>
          </w:tcPr>
          <w:p w14:paraId="36CA540F" w14:textId="77777777" w:rsidR="00787570" w:rsidRDefault="00787570">
            <w:pPr>
              <w:rPr>
                <w:rFonts w:ascii="宋体"/>
                <w:vanish/>
              </w:rPr>
            </w:pPr>
          </w:p>
        </w:tc>
        <w:tc>
          <w:tcPr>
            <w:tcW w:w="0" w:type="auto"/>
            <w:gridSpan w:val="3"/>
            <w:shd w:val="clear" w:color="auto" w:fill="auto"/>
          </w:tcPr>
          <w:p w14:paraId="36CA5410" w14:textId="77777777" w:rsidR="00787570" w:rsidRDefault="00787570">
            <w:pPr>
              <w:rPr>
                <w:rFonts w:ascii="宋体"/>
                <w:vanish/>
              </w:rPr>
            </w:pPr>
          </w:p>
        </w:tc>
        <w:tc>
          <w:tcPr>
            <w:tcW w:w="0" w:type="auto"/>
            <w:shd w:val="clear" w:color="auto" w:fill="auto"/>
          </w:tcPr>
          <w:p w14:paraId="36CA5411" w14:textId="77777777" w:rsidR="00787570" w:rsidRDefault="00787570">
            <w:pPr>
              <w:rPr>
                <w:rFonts w:ascii="宋体"/>
                <w:vanish/>
              </w:rPr>
            </w:pPr>
          </w:p>
        </w:tc>
        <w:tc>
          <w:tcPr>
            <w:tcW w:w="0" w:type="auto"/>
            <w:shd w:val="clear" w:color="auto" w:fill="auto"/>
          </w:tcPr>
          <w:p w14:paraId="36CA5412" w14:textId="77777777" w:rsidR="00787570" w:rsidRDefault="00787570">
            <w:pPr>
              <w:rPr>
                <w:rFonts w:ascii="宋体"/>
                <w:vanish/>
              </w:rPr>
            </w:pPr>
          </w:p>
        </w:tc>
        <w:tc>
          <w:tcPr>
            <w:tcW w:w="0" w:type="auto"/>
            <w:shd w:val="clear" w:color="auto" w:fill="auto"/>
          </w:tcPr>
          <w:p w14:paraId="36CA5413" w14:textId="77777777" w:rsidR="00787570" w:rsidRDefault="00787570">
            <w:pPr>
              <w:rPr>
                <w:rFonts w:ascii="宋体"/>
                <w:vanish/>
              </w:rPr>
            </w:pPr>
          </w:p>
        </w:tc>
        <w:tc>
          <w:tcPr>
            <w:tcW w:w="0" w:type="auto"/>
            <w:shd w:val="clear" w:color="auto" w:fill="auto"/>
          </w:tcPr>
          <w:p w14:paraId="36CA5414" w14:textId="77777777" w:rsidR="00787570" w:rsidRDefault="00787570">
            <w:pPr>
              <w:rPr>
                <w:rFonts w:ascii="宋体"/>
                <w:vanish/>
              </w:rPr>
            </w:pPr>
          </w:p>
        </w:tc>
        <w:tc>
          <w:tcPr>
            <w:tcW w:w="0" w:type="auto"/>
            <w:shd w:val="clear" w:color="auto" w:fill="auto"/>
          </w:tcPr>
          <w:p w14:paraId="36CA5415" w14:textId="77777777" w:rsidR="00787570" w:rsidRDefault="00787570">
            <w:pPr>
              <w:rPr>
                <w:rFonts w:ascii="宋体"/>
              </w:rPr>
            </w:pPr>
          </w:p>
        </w:tc>
        <w:tc>
          <w:tcPr>
            <w:tcW w:w="0" w:type="auto"/>
            <w:shd w:val="clear" w:color="auto" w:fill="auto"/>
          </w:tcPr>
          <w:p w14:paraId="36CA5416" w14:textId="77777777" w:rsidR="00787570" w:rsidRDefault="00787570">
            <w:pPr>
              <w:rPr>
                <w:rFonts w:ascii="宋体"/>
              </w:rPr>
            </w:pPr>
          </w:p>
        </w:tc>
        <w:tc>
          <w:tcPr>
            <w:tcW w:w="0" w:type="auto"/>
            <w:shd w:val="clear" w:color="auto" w:fill="auto"/>
          </w:tcPr>
          <w:p w14:paraId="36CA5417" w14:textId="77777777" w:rsidR="00787570" w:rsidRDefault="00787570">
            <w:pPr>
              <w:rPr>
                <w:rFonts w:ascii="宋体"/>
              </w:rPr>
            </w:pPr>
          </w:p>
        </w:tc>
        <w:tc>
          <w:tcPr>
            <w:tcW w:w="0" w:type="auto"/>
            <w:shd w:val="clear" w:color="auto" w:fill="auto"/>
          </w:tcPr>
          <w:p w14:paraId="36CA5418" w14:textId="77777777" w:rsidR="00787570" w:rsidRDefault="00787570">
            <w:pPr>
              <w:rPr>
                <w:rFonts w:ascii="宋体"/>
              </w:rPr>
            </w:pPr>
          </w:p>
        </w:tc>
        <w:tc>
          <w:tcPr>
            <w:tcW w:w="0" w:type="auto"/>
            <w:shd w:val="clear" w:color="auto" w:fill="auto"/>
          </w:tcPr>
          <w:p w14:paraId="36CA5419" w14:textId="77777777" w:rsidR="00787570" w:rsidRDefault="00787570">
            <w:pPr>
              <w:rPr>
                <w:rFonts w:ascii="宋体"/>
              </w:rPr>
            </w:pPr>
          </w:p>
        </w:tc>
        <w:tc>
          <w:tcPr>
            <w:tcW w:w="0" w:type="auto"/>
            <w:shd w:val="clear" w:color="auto" w:fill="auto"/>
          </w:tcPr>
          <w:p w14:paraId="36CA541A" w14:textId="77777777" w:rsidR="00787570" w:rsidRDefault="00787570">
            <w:pPr>
              <w:rPr>
                <w:rFonts w:ascii="宋体"/>
              </w:rPr>
            </w:pPr>
          </w:p>
        </w:tc>
      </w:tr>
      <w:tr w:rsidR="00787570" w14:paraId="36CA542F" w14:textId="77777777">
        <w:tc>
          <w:tcPr>
            <w:tcW w:w="0" w:type="auto"/>
            <w:gridSpan w:val="3"/>
            <w:tcBorders>
              <w:top w:val="single" w:sz="8" w:space="0" w:color="0071C5"/>
            </w:tcBorders>
            <w:shd w:val="clear" w:color="auto" w:fill="auto"/>
            <w:tcMar>
              <w:top w:w="40" w:type="dxa"/>
              <w:left w:w="20" w:type="dxa"/>
              <w:bottom w:w="40" w:type="dxa"/>
              <w:right w:w="20" w:type="dxa"/>
            </w:tcMar>
            <w:vAlign w:val="bottom"/>
          </w:tcPr>
          <w:p w14:paraId="36CA541C" w14:textId="77777777" w:rsidR="00787570" w:rsidRDefault="000D56E2">
            <w:pPr>
              <w:textAlignment w:val="bottom"/>
            </w:pPr>
            <w:r>
              <w:rPr>
                <w:rFonts w:ascii="Arial" w:eastAsia="宋体" w:hAnsi="Arial" w:cs="Arial"/>
                <w:b/>
                <w:bCs/>
                <w:color w:val="333333"/>
                <w:sz w:val="18"/>
                <w:szCs w:val="18"/>
              </w:rPr>
              <w:t>Operating income</w:t>
            </w:r>
          </w:p>
        </w:tc>
        <w:tc>
          <w:tcPr>
            <w:tcW w:w="0" w:type="auto"/>
            <w:gridSpan w:val="3"/>
            <w:shd w:val="clear" w:color="auto" w:fill="auto"/>
            <w:tcMar>
              <w:left w:w="20" w:type="dxa"/>
              <w:right w:w="20" w:type="dxa"/>
            </w:tcMar>
            <w:vAlign w:val="bottom"/>
          </w:tcPr>
          <w:p w14:paraId="36CA541D" w14:textId="77777777" w:rsidR="00787570" w:rsidRDefault="00787570">
            <w:pPr>
              <w:rPr>
                <w:rFonts w:ascii="宋体"/>
              </w:rPr>
            </w:pPr>
          </w:p>
        </w:tc>
        <w:tc>
          <w:tcPr>
            <w:tcW w:w="0" w:type="auto"/>
            <w:tcBorders>
              <w:top w:val="single" w:sz="8" w:space="0" w:color="0071C5"/>
            </w:tcBorders>
            <w:shd w:val="clear" w:color="auto" w:fill="auto"/>
            <w:tcMar>
              <w:top w:w="40" w:type="dxa"/>
              <w:left w:w="20" w:type="dxa"/>
              <w:bottom w:w="40" w:type="dxa"/>
            </w:tcMar>
            <w:vAlign w:val="bottom"/>
          </w:tcPr>
          <w:p w14:paraId="36CA541E" w14:textId="77777777" w:rsidR="00787570" w:rsidRDefault="000D56E2">
            <w:pPr>
              <w:textAlignment w:val="bottom"/>
            </w:pPr>
            <w:r>
              <w:rPr>
                <w:rFonts w:ascii="Arial" w:eastAsia="宋体" w:hAnsi="Arial" w:cs="Arial"/>
                <w:b/>
                <w:bCs/>
                <w:color w:val="0071C5"/>
                <w:sz w:val="18"/>
                <w:szCs w:val="18"/>
              </w:rPr>
              <w:t>$</w:t>
            </w:r>
          </w:p>
        </w:tc>
        <w:tc>
          <w:tcPr>
            <w:tcW w:w="0" w:type="auto"/>
            <w:tcBorders>
              <w:top w:val="single" w:sz="8" w:space="0" w:color="0071C5"/>
            </w:tcBorders>
            <w:shd w:val="clear" w:color="auto" w:fill="auto"/>
            <w:tcMar>
              <w:top w:w="40" w:type="dxa"/>
              <w:bottom w:w="40" w:type="dxa"/>
              <w:right w:w="0" w:type="dxa"/>
            </w:tcMar>
            <w:vAlign w:val="bottom"/>
          </w:tcPr>
          <w:p w14:paraId="36CA541F" w14:textId="77777777" w:rsidR="00787570" w:rsidRDefault="000D56E2">
            <w:pPr>
              <w:jc w:val="right"/>
              <w:textAlignment w:val="bottom"/>
            </w:pPr>
            <w:r>
              <w:rPr>
                <w:rFonts w:ascii="Arial" w:eastAsia="宋体" w:hAnsi="Arial" w:cs="Arial"/>
                <w:b/>
                <w:bCs/>
                <w:color w:val="0071C5"/>
                <w:sz w:val="18"/>
                <w:szCs w:val="18"/>
              </w:rPr>
              <w:t>5,059</w:t>
            </w:r>
            <w:r>
              <w:rPr>
                <w:rFonts w:ascii="Arial" w:eastAsia="宋体" w:hAnsi="Arial" w:cs="Arial"/>
                <w:color w:val="0071C5"/>
                <w:sz w:val="18"/>
                <w:szCs w:val="18"/>
              </w:rPr>
              <w:t> </w:t>
            </w:r>
          </w:p>
        </w:tc>
        <w:tc>
          <w:tcPr>
            <w:tcW w:w="0" w:type="auto"/>
            <w:tcBorders>
              <w:top w:val="single" w:sz="8" w:space="0" w:color="0071C5"/>
            </w:tcBorders>
            <w:shd w:val="clear" w:color="auto" w:fill="auto"/>
            <w:tcMar>
              <w:top w:w="40" w:type="dxa"/>
              <w:bottom w:w="40" w:type="dxa"/>
              <w:right w:w="20" w:type="dxa"/>
            </w:tcMar>
            <w:vAlign w:val="bottom"/>
          </w:tcPr>
          <w:p w14:paraId="36CA5420"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5421" w14:textId="77777777" w:rsidR="00787570" w:rsidRDefault="00787570">
            <w:pPr>
              <w:rPr>
                <w:rFonts w:ascii="宋体"/>
              </w:rPr>
            </w:pPr>
          </w:p>
        </w:tc>
        <w:tc>
          <w:tcPr>
            <w:tcW w:w="0" w:type="auto"/>
            <w:tcBorders>
              <w:top w:val="single" w:sz="8" w:space="0" w:color="0071C5"/>
            </w:tcBorders>
            <w:shd w:val="clear" w:color="auto" w:fill="auto"/>
            <w:tcMar>
              <w:top w:w="40" w:type="dxa"/>
              <w:left w:w="20" w:type="dxa"/>
              <w:bottom w:w="40" w:type="dxa"/>
            </w:tcMar>
            <w:vAlign w:val="bottom"/>
          </w:tcPr>
          <w:p w14:paraId="36CA5422" w14:textId="77777777" w:rsidR="00787570" w:rsidRDefault="000D56E2">
            <w:pPr>
              <w:textAlignment w:val="bottom"/>
            </w:pPr>
            <w:r>
              <w:rPr>
                <w:rFonts w:ascii="Arial" w:eastAsia="宋体" w:hAnsi="Arial" w:cs="Arial"/>
                <w:b/>
                <w:bCs/>
                <w:color w:val="333333"/>
                <w:sz w:val="18"/>
                <w:szCs w:val="18"/>
              </w:rPr>
              <w:t>$</w:t>
            </w:r>
          </w:p>
        </w:tc>
        <w:tc>
          <w:tcPr>
            <w:tcW w:w="0" w:type="auto"/>
            <w:tcBorders>
              <w:top w:val="single" w:sz="8" w:space="0" w:color="0071C5"/>
            </w:tcBorders>
            <w:shd w:val="clear" w:color="auto" w:fill="auto"/>
            <w:tcMar>
              <w:top w:w="40" w:type="dxa"/>
              <w:bottom w:w="40" w:type="dxa"/>
              <w:right w:w="0" w:type="dxa"/>
            </w:tcMar>
            <w:vAlign w:val="bottom"/>
          </w:tcPr>
          <w:p w14:paraId="36CA5423" w14:textId="77777777" w:rsidR="00787570" w:rsidRDefault="000D56E2">
            <w:pPr>
              <w:jc w:val="right"/>
              <w:textAlignment w:val="bottom"/>
            </w:pPr>
            <w:r>
              <w:rPr>
                <w:rFonts w:ascii="Arial" w:eastAsia="宋体" w:hAnsi="Arial" w:cs="Arial"/>
                <w:b/>
                <w:bCs/>
                <w:color w:val="333333"/>
                <w:sz w:val="18"/>
                <w:szCs w:val="18"/>
              </w:rPr>
              <w:t>6,447</w:t>
            </w:r>
            <w:r>
              <w:rPr>
                <w:rFonts w:ascii="Arial" w:eastAsia="宋体" w:hAnsi="Arial" w:cs="Arial"/>
                <w:color w:val="333333"/>
                <w:sz w:val="18"/>
                <w:szCs w:val="18"/>
              </w:rPr>
              <w:t> </w:t>
            </w:r>
          </w:p>
        </w:tc>
        <w:tc>
          <w:tcPr>
            <w:tcW w:w="0" w:type="auto"/>
            <w:tcBorders>
              <w:top w:val="single" w:sz="8" w:space="0" w:color="0071C5"/>
            </w:tcBorders>
            <w:shd w:val="clear" w:color="auto" w:fill="auto"/>
            <w:tcMar>
              <w:top w:w="40" w:type="dxa"/>
              <w:bottom w:w="40" w:type="dxa"/>
              <w:right w:w="20" w:type="dxa"/>
            </w:tcMar>
            <w:vAlign w:val="bottom"/>
          </w:tcPr>
          <w:p w14:paraId="36CA5424" w14:textId="77777777" w:rsidR="00787570" w:rsidRDefault="00787570">
            <w:pPr>
              <w:jc w:val="right"/>
              <w:rPr>
                <w:rFonts w:ascii="宋体"/>
              </w:rPr>
            </w:pPr>
          </w:p>
        </w:tc>
        <w:tc>
          <w:tcPr>
            <w:tcW w:w="0" w:type="auto"/>
            <w:shd w:val="clear" w:color="auto" w:fill="auto"/>
          </w:tcPr>
          <w:p w14:paraId="36CA5425" w14:textId="77777777" w:rsidR="00787570" w:rsidRDefault="00787570">
            <w:pPr>
              <w:rPr>
                <w:rFonts w:ascii="宋体"/>
                <w:vanish/>
              </w:rPr>
            </w:pPr>
          </w:p>
        </w:tc>
        <w:tc>
          <w:tcPr>
            <w:tcW w:w="0" w:type="auto"/>
            <w:shd w:val="clear" w:color="auto" w:fill="auto"/>
          </w:tcPr>
          <w:p w14:paraId="36CA5426" w14:textId="77777777" w:rsidR="00787570" w:rsidRDefault="00787570">
            <w:pPr>
              <w:rPr>
                <w:rFonts w:ascii="宋体"/>
                <w:vanish/>
              </w:rPr>
            </w:pPr>
          </w:p>
        </w:tc>
        <w:tc>
          <w:tcPr>
            <w:tcW w:w="0" w:type="auto"/>
            <w:shd w:val="clear" w:color="auto" w:fill="auto"/>
          </w:tcPr>
          <w:p w14:paraId="36CA5427" w14:textId="77777777" w:rsidR="00787570" w:rsidRDefault="00787570">
            <w:pPr>
              <w:rPr>
                <w:rFonts w:ascii="宋体"/>
                <w:vanish/>
              </w:rPr>
            </w:pPr>
          </w:p>
        </w:tc>
        <w:tc>
          <w:tcPr>
            <w:tcW w:w="0" w:type="auto"/>
            <w:shd w:val="clear" w:color="auto" w:fill="auto"/>
          </w:tcPr>
          <w:p w14:paraId="36CA5428" w14:textId="77777777" w:rsidR="00787570" w:rsidRDefault="00787570">
            <w:pPr>
              <w:rPr>
                <w:rFonts w:ascii="宋体"/>
                <w:vanish/>
              </w:rPr>
            </w:pPr>
          </w:p>
        </w:tc>
        <w:tc>
          <w:tcPr>
            <w:tcW w:w="0" w:type="auto"/>
            <w:shd w:val="clear" w:color="auto" w:fill="auto"/>
          </w:tcPr>
          <w:p w14:paraId="36CA5429" w14:textId="77777777" w:rsidR="00787570" w:rsidRDefault="00787570">
            <w:pPr>
              <w:rPr>
                <w:rFonts w:ascii="宋体"/>
              </w:rPr>
            </w:pPr>
          </w:p>
        </w:tc>
        <w:tc>
          <w:tcPr>
            <w:tcW w:w="0" w:type="auto"/>
            <w:shd w:val="clear" w:color="auto" w:fill="auto"/>
          </w:tcPr>
          <w:p w14:paraId="36CA542A" w14:textId="77777777" w:rsidR="00787570" w:rsidRDefault="00787570">
            <w:pPr>
              <w:rPr>
                <w:rFonts w:ascii="宋体"/>
              </w:rPr>
            </w:pPr>
          </w:p>
        </w:tc>
        <w:tc>
          <w:tcPr>
            <w:tcW w:w="0" w:type="auto"/>
            <w:shd w:val="clear" w:color="auto" w:fill="auto"/>
          </w:tcPr>
          <w:p w14:paraId="36CA542B" w14:textId="77777777" w:rsidR="00787570" w:rsidRDefault="00787570">
            <w:pPr>
              <w:rPr>
                <w:rFonts w:ascii="宋体"/>
              </w:rPr>
            </w:pPr>
          </w:p>
        </w:tc>
        <w:tc>
          <w:tcPr>
            <w:tcW w:w="0" w:type="auto"/>
            <w:shd w:val="clear" w:color="auto" w:fill="auto"/>
          </w:tcPr>
          <w:p w14:paraId="36CA542C" w14:textId="77777777" w:rsidR="00787570" w:rsidRDefault="00787570">
            <w:pPr>
              <w:rPr>
                <w:rFonts w:ascii="宋体"/>
              </w:rPr>
            </w:pPr>
          </w:p>
        </w:tc>
        <w:tc>
          <w:tcPr>
            <w:tcW w:w="0" w:type="auto"/>
            <w:shd w:val="clear" w:color="auto" w:fill="auto"/>
          </w:tcPr>
          <w:p w14:paraId="36CA542D" w14:textId="77777777" w:rsidR="00787570" w:rsidRDefault="00787570">
            <w:pPr>
              <w:rPr>
                <w:rFonts w:ascii="宋体"/>
              </w:rPr>
            </w:pPr>
          </w:p>
        </w:tc>
        <w:tc>
          <w:tcPr>
            <w:tcW w:w="0" w:type="auto"/>
            <w:shd w:val="clear" w:color="auto" w:fill="auto"/>
          </w:tcPr>
          <w:p w14:paraId="36CA542E" w14:textId="77777777" w:rsidR="00787570" w:rsidRDefault="00787570">
            <w:pPr>
              <w:rPr>
                <w:rFonts w:ascii="宋体"/>
              </w:rPr>
            </w:pPr>
          </w:p>
        </w:tc>
      </w:tr>
      <w:tr w:rsidR="00787570" w14:paraId="36CA5441" w14:textId="77777777">
        <w:tc>
          <w:tcPr>
            <w:tcW w:w="0" w:type="auto"/>
            <w:gridSpan w:val="3"/>
            <w:shd w:val="clear" w:color="auto" w:fill="auto"/>
            <w:tcMar>
              <w:top w:w="40" w:type="dxa"/>
              <w:left w:w="225" w:type="dxa"/>
              <w:bottom w:w="40" w:type="dxa"/>
              <w:right w:w="20" w:type="dxa"/>
            </w:tcMar>
            <w:vAlign w:val="bottom"/>
          </w:tcPr>
          <w:p w14:paraId="36CA5430" w14:textId="77777777" w:rsidR="00787570" w:rsidRDefault="000D56E2">
            <w:pPr>
              <w:textAlignment w:val="bottom"/>
            </w:pPr>
            <w:r>
              <w:rPr>
                <w:rFonts w:ascii="Arial" w:eastAsia="宋体" w:hAnsi="Arial" w:cs="Arial"/>
                <w:color w:val="333333"/>
                <w:sz w:val="18"/>
                <w:szCs w:val="18"/>
              </w:rPr>
              <w:t>Acquisition-related adjustments</w:t>
            </w:r>
          </w:p>
        </w:tc>
        <w:tc>
          <w:tcPr>
            <w:tcW w:w="0" w:type="auto"/>
            <w:gridSpan w:val="3"/>
            <w:shd w:val="clear" w:color="auto" w:fill="auto"/>
            <w:tcMar>
              <w:left w:w="20" w:type="dxa"/>
              <w:right w:w="20" w:type="dxa"/>
            </w:tcMar>
            <w:vAlign w:val="bottom"/>
          </w:tcPr>
          <w:p w14:paraId="36CA5431"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5432" w14:textId="77777777" w:rsidR="00787570" w:rsidRDefault="000D56E2">
            <w:pPr>
              <w:jc w:val="right"/>
              <w:textAlignment w:val="bottom"/>
            </w:pPr>
            <w:r>
              <w:rPr>
                <w:rFonts w:ascii="Arial" w:eastAsia="宋体" w:hAnsi="Arial" w:cs="Arial"/>
                <w:color w:val="0071C5"/>
                <w:sz w:val="18"/>
                <w:szCs w:val="18"/>
              </w:rPr>
              <w:t>362 </w:t>
            </w:r>
          </w:p>
        </w:tc>
        <w:tc>
          <w:tcPr>
            <w:tcW w:w="0" w:type="auto"/>
            <w:shd w:val="clear" w:color="auto" w:fill="auto"/>
            <w:tcMar>
              <w:top w:w="40" w:type="dxa"/>
              <w:bottom w:w="40" w:type="dxa"/>
              <w:right w:w="20" w:type="dxa"/>
            </w:tcMar>
            <w:vAlign w:val="bottom"/>
          </w:tcPr>
          <w:p w14:paraId="36CA5433"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5434"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5435" w14:textId="77777777" w:rsidR="00787570" w:rsidRDefault="000D56E2">
            <w:pPr>
              <w:jc w:val="right"/>
              <w:textAlignment w:val="bottom"/>
            </w:pPr>
            <w:r>
              <w:rPr>
                <w:rFonts w:ascii="Arial" w:eastAsia="宋体" w:hAnsi="Arial" w:cs="Arial"/>
                <w:color w:val="333333"/>
                <w:sz w:val="18"/>
                <w:szCs w:val="18"/>
              </w:rPr>
              <w:t>338 </w:t>
            </w:r>
          </w:p>
        </w:tc>
        <w:tc>
          <w:tcPr>
            <w:tcW w:w="0" w:type="auto"/>
            <w:shd w:val="clear" w:color="auto" w:fill="auto"/>
            <w:tcMar>
              <w:top w:w="40" w:type="dxa"/>
              <w:bottom w:w="40" w:type="dxa"/>
              <w:right w:w="20" w:type="dxa"/>
            </w:tcMar>
            <w:vAlign w:val="bottom"/>
          </w:tcPr>
          <w:p w14:paraId="36CA5436" w14:textId="77777777" w:rsidR="00787570" w:rsidRDefault="00787570">
            <w:pPr>
              <w:jc w:val="right"/>
              <w:rPr>
                <w:rFonts w:ascii="宋体"/>
              </w:rPr>
            </w:pPr>
          </w:p>
        </w:tc>
        <w:tc>
          <w:tcPr>
            <w:tcW w:w="0" w:type="auto"/>
            <w:shd w:val="clear" w:color="auto" w:fill="auto"/>
          </w:tcPr>
          <w:p w14:paraId="36CA5437" w14:textId="77777777" w:rsidR="00787570" w:rsidRDefault="00787570">
            <w:pPr>
              <w:rPr>
                <w:rFonts w:ascii="宋体"/>
                <w:vanish/>
              </w:rPr>
            </w:pPr>
          </w:p>
        </w:tc>
        <w:tc>
          <w:tcPr>
            <w:tcW w:w="0" w:type="auto"/>
            <w:shd w:val="clear" w:color="auto" w:fill="auto"/>
          </w:tcPr>
          <w:p w14:paraId="36CA5438" w14:textId="77777777" w:rsidR="00787570" w:rsidRDefault="00787570">
            <w:pPr>
              <w:rPr>
                <w:rFonts w:ascii="宋体"/>
                <w:vanish/>
              </w:rPr>
            </w:pPr>
          </w:p>
        </w:tc>
        <w:tc>
          <w:tcPr>
            <w:tcW w:w="0" w:type="auto"/>
            <w:shd w:val="clear" w:color="auto" w:fill="auto"/>
          </w:tcPr>
          <w:p w14:paraId="36CA5439" w14:textId="77777777" w:rsidR="00787570" w:rsidRDefault="00787570">
            <w:pPr>
              <w:rPr>
                <w:rFonts w:ascii="宋体"/>
                <w:vanish/>
              </w:rPr>
            </w:pPr>
          </w:p>
        </w:tc>
        <w:tc>
          <w:tcPr>
            <w:tcW w:w="0" w:type="auto"/>
            <w:shd w:val="clear" w:color="auto" w:fill="auto"/>
          </w:tcPr>
          <w:p w14:paraId="36CA543A" w14:textId="77777777" w:rsidR="00787570" w:rsidRDefault="00787570">
            <w:pPr>
              <w:rPr>
                <w:rFonts w:ascii="宋体"/>
                <w:vanish/>
              </w:rPr>
            </w:pPr>
          </w:p>
        </w:tc>
        <w:tc>
          <w:tcPr>
            <w:tcW w:w="0" w:type="auto"/>
            <w:shd w:val="clear" w:color="auto" w:fill="auto"/>
          </w:tcPr>
          <w:p w14:paraId="36CA543B" w14:textId="77777777" w:rsidR="00787570" w:rsidRDefault="00787570">
            <w:pPr>
              <w:rPr>
                <w:rFonts w:ascii="宋体"/>
              </w:rPr>
            </w:pPr>
          </w:p>
        </w:tc>
        <w:tc>
          <w:tcPr>
            <w:tcW w:w="0" w:type="auto"/>
            <w:shd w:val="clear" w:color="auto" w:fill="auto"/>
          </w:tcPr>
          <w:p w14:paraId="36CA543C" w14:textId="77777777" w:rsidR="00787570" w:rsidRDefault="00787570">
            <w:pPr>
              <w:rPr>
                <w:rFonts w:ascii="宋体"/>
              </w:rPr>
            </w:pPr>
          </w:p>
        </w:tc>
        <w:tc>
          <w:tcPr>
            <w:tcW w:w="0" w:type="auto"/>
            <w:shd w:val="clear" w:color="auto" w:fill="auto"/>
          </w:tcPr>
          <w:p w14:paraId="36CA543D" w14:textId="77777777" w:rsidR="00787570" w:rsidRDefault="00787570">
            <w:pPr>
              <w:rPr>
                <w:rFonts w:ascii="宋体"/>
              </w:rPr>
            </w:pPr>
          </w:p>
        </w:tc>
        <w:tc>
          <w:tcPr>
            <w:tcW w:w="0" w:type="auto"/>
            <w:shd w:val="clear" w:color="auto" w:fill="auto"/>
          </w:tcPr>
          <w:p w14:paraId="36CA543E" w14:textId="77777777" w:rsidR="00787570" w:rsidRDefault="00787570">
            <w:pPr>
              <w:rPr>
                <w:rFonts w:ascii="宋体"/>
              </w:rPr>
            </w:pPr>
          </w:p>
        </w:tc>
        <w:tc>
          <w:tcPr>
            <w:tcW w:w="0" w:type="auto"/>
            <w:shd w:val="clear" w:color="auto" w:fill="auto"/>
          </w:tcPr>
          <w:p w14:paraId="36CA543F" w14:textId="77777777" w:rsidR="00787570" w:rsidRDefault="00787570">
            <w:pPr>
              <w:rPr>
                <w:rFonts w:ascii="宋体"/>
              </w:rPr>
            </w:pPr>
          </w:p>
        </w:tc>
        <w:tc>
          <w:tcPr>
            <w:tcW w:w="0" w:type="auto"/>
            <w:shd w:val="clear" w:color="auto" w:fill="auto"/>
          </w:tcPr>
          <w:p w14:paraId="36CA5440" w14:textId="77777777" w:rsidR="00787570" w:rsidRDefault="00787570">
            <w:pPr>
              <w:rPr>
                <w:rFonts w:ascii="宋体"/>
              </w:rPr>
            </w:pPr>
          </w:p>
        </w:tc>
      </w:tr>
      <w:tr w:rsidR="00787570" w14:paraId="36CA5451" w14:textId="77777777">
        <w:trPr>
          <w:hidden/>
        </w:trPr>
        <w:tc>
          <w:tcPr>
            <w:tcW w:w="0" w:type="auto"/>
            <w:gridSpan w:val="3"/>
            <w:shd w:val="clear" w:color="auto" w:fill="auto"/>
          </w:tcPr>
          <w:p w14:paraId="36CA5442" w14:textId="77777777" w:rsidR="00787570" w:rsidRDefault="00787570">
            <w:pPr>
              <w:rPr>
                <w:rFonts w:ascii="宋体"/>
                <w:vanish/>
              </w:rPr>
            </w:pPr>
          </w:p>
        </w:tc>
        <w:tc>
          <w:tcPr>
            <w:tcW w:w="0" w:type="auto"/>
            <w:gridSpan w:val="3"/>
            <w:shd w:val="clear" w:color="auto" w:fill="auto"/>
          </w:tcPr>
          <w:p w14:paraId="36CA5443" w14:textId="77777777" w:rsidR="00787570" w:rsidRDefault="00787570">
            <w:pPr>
              <w:rPr>
                <w:rFonts w:ascii="宋体"/>
                <w:vanish/>
              </w:rPr>
            </w:pPr>
          </w:p>
        </w:tc>
        <w:tc>
          <w:tcPr>
            <w:tcW w:w="0" w:type="auto"/>
            <w:gridSpan w:val="3"/>
            <w:shd w:val="clear" w:color="auto" w:fill="auto"/>
          </w:tcPr>
          <w:p w14:paraId="36CA5444" w14:textId="77777777" w:rsidR="00787570" w:rsidRDefault="00787570">
            <w:pPr>
              <w:rPr>
                <w:rFonts w:ascii="宋体"/>
                <w:vanish/>
              </w:rPr>
            </w:pPr>
          </w:p>
        </w:tc>
        <w:tc>
          <w:tcPr>
            <w:tcW w:w="0" w:type="auto"/>
            <w:gridSpan w:val="3"/>
            <w:shd w:val="clear" w:color="auto" w:fill="auto"/>
          </w:tcPr>
          <w:p w14:paraId="36CA5445" w14:textId="77777777" w:rsidR="00787570" w:rsidRDefault="00787570">
            <w:pPr>
              <w:rPr>
                <w:rFonts w:ascii="宋体"/>
                <w:vanish/>
              </w:rPr>
            </w:pPr>
          </w:p>
        </w:tc>
        <w:tc>
          <w:tcPr>
            <w:tcW w:w="0" w:type="auto"/>
            <w:gridSpan w:val="3"/>
            <w:shd w:val="clear" w:color="auto" w:fill="auto"/>
          </w:tcPr>
          <w:p w14:paraId="36CA5446" w14:textId="77777777" w:rsidR="00787570" w:rsidRDefault="00787570">
            <w:pPr>
              <w:rPr>
                <w:rFonts w:ascii="宋体"/>
                <w:vanish/>
              </w:rPr>
            </w:pPr>
          </w:p>
        </w:tc>
        <w:tc>
          <w:tcPr>
            <w:tcW w:w="0" w:type="auto"/>
            <w:shd w:val="clear" w:color="auto" w:fill="auto"/>
          </w:tcPr>
          <w:p w14:paraId="36CA5447" w14:textId="77777777" w:rsidR="00787570" w:rsidRDefault="00787570">
            <w:pPr>
              <w:rPr>
                <w:rFonts w:ascii="宋体"/>
                <w:vanish/>
              </w:rPr>
            </w:pPr>
          </w:p>
        </w:tc>
        <w:tc>
          <w:tcPr>
            <w:tcW w:w="0" w:type="auto"/>
            <w:shd w:val="clear" w:color="auto" w:fill="auto"/>
          </w:tcPr>
          <w:p w14:paraId="36CA5448" w14:textId="77777777" w:rsidR="00787570" w:rsidRDefault="00787570">
            <w:pPr>
              <w:rPr>
                <w:rFonts w:ascii="宋体"/>
                <w:vanish/>
              </w:rPr>
            </w:pPr>
          </w:p>
        </w:tc>
        <w:tc>
          <w:tcPr>
            <w:tcW w:w="0" w:type="auto"/>
            <w:shd w:val="clear" w:color="auto" w:fill="auto"/>
          </w:tcPr>
          <w:p w14:paraId="36CA5449" w14:textId="77777777" w:rsidR="00787570" w:rsidRDefault="00787570">
            <w:pPr>
              <w:rPr>
                <w:rFonts w:ascii="宋体"/>
                <w:vanish/>
              </w:rPr>
            </w:pPr>
          </w:p>
        </w:tc>
        <w:tc>
          <w:tcPr>
            <w:tcW w:w="0" w:type="auto"/>
            <w:shd w:val="clear" w:color="auto" w:fill="auto"/>
          </w:tcPr>
          <w:p w14:paraId="36CA544A" w14:textId="77777777" w:rsidR="00787570" w:rsidRDefault="00787570">
            <w:pPr>
              <w:rPr>
                <w:rFonts w:ascii="宋体"/>
                <w:vanish/>
              </w:rPr>
            </w:pPr>
          </w:p>
        </w:tc>
        <w:tc>
          <w:tcPr>
            <w:tcW w:w="0" w:type="auto"/>
            <w:shd w:val="clear" w:color="auto" w:fill="auto"/>
          </w:tcPr>
          <w:p w14:paraId="36CA544B" w14:textId="77777777" w:rsidR="00787570" w:rsidRDefault="00787570">
            <w:pPr>
              <w:rPr>
                <w:rFonts w:ascii="宋体"/>
              </w:rPr>
            </w:pPr>
          </w:p>
        </w:tc>
        <w:tc>
          <w:tcPr>
            <w:tcW w:w="0" w:type="auto"/>
            <w:shd w:val="clear" w:color="auto" w:fill="auto"/>
          </w:tcPr>
          <w:p w14:paraId="36CA544C" w14:textId="77777777" w:rsidR="00787570" w:rsidRDefault="00787570">
            <w:pPr>
              <w:rPr>
                <w:rFonts w:ascii="宋体"/>
              </w:rPr>
            </w:pPr>
          </w:p>
        </w:tc>
        <w:tc>
          <w:tcPr>
            <w:tcW w:w="0" w:type="auto"/>
            <w:shd w:val="clear" w:color="auto" w:fill="auto"/>
          </w:tcPr>
          <w:p w14:paraId="36CA544D" w14:textId="77777777" w:rsidR="00787570" w:rsidRDefault="00787570">
            <w:pPr>
              <w:rPr>
                <w:rFonts w:ascii="宋体"/>
              </w:rPr>
            </w:pPr>
          </w:p>
        </w:tc>
        <w:tc>
          <w:tcPr>
            <w:tcW w:w="0" w:type="auto"/>
            <w:shd w:val="clear" w:color="auto" w:fill="auto"/>
          </w:tcPr>
          <w:p w14:paraId="36CA544E" w14:textId="77777777" w:rsidR="00787570" w:rsidRDefault="00787570">
            <w:pPr>
              <w:rPr>
                <w:rFonts w:ascii="宋体"/>
              </w:rPr>
            </w:pPr>
          </w:p>
        </w:tc>
        <w:tc>
          <w:tcPr>
            <w:tcW w:w="0" w:type="auto"/>
            <w:shd w:val="clear" w:color="auto" w:fill="auto"/>
          </w:tcPr>
          <w:p w14:paraId="36CA544F" w14:textId="77777777" w:rsidR="00787570" w:rsidRDefault="00787570">
            <w:pPr>
              <w:rPr>
                <w:rFonts w:ascii="宋体"/>
              </w:rPr>
            </w:pPr>
          </w:p>
        </w:tc>
        <w:tc>
          <w:tcPr>
            <w:tcW w:w="0" w:type="auto"/>
            <w:shd w:val="clear" w:color="auto" w:fill="auto"/>
          </w:tcPr>
          <w:p w14:paraId="36CA5450" w14:textId="77777777" w:rsidR="00787570" w:rsidRDefault="00787570">
            <w:pPr>
              <w:rPr>
                <w:rFonts w:ascii="宋体"/>
              </w:rPr>
            </w:pPr>
          </w:p>
        </w:tc>
      </w:tr>
      <w:tr w:rsidR="00787570" w14:paraId="36CA5461" w14:textId="77777777">
        <w:trPr>
          <w:hidden/>
        </w:trPr>
        <w:tc>
          <w:tcPr>
            <w:tcW w:w="0" w:type="auto"/>
            <w:gridSpan w:val="3"/>
            <w:shd w:val="clear" w:color="auto" w:fill="auto"/>
          </w:tcPr>
          <w:p w14:paraId="36CA5452" w14:textId="77777777" w:rsidR="00787570" w:rsidRDefault="00787570">
            <w:pPr>
              <w:rPr>
                <w:rFonts w:ascii="宋体"/>
                <w:vanish/>
              </w:rPr>
            </w:pPr>
          </w:p>
        </w:tc>
        <w:tc>
          <w:tcPr>
            <w:tcW w:w="0" w:type="auto"/>
            <w:gridSpan w:val="3"/>
            <w:shd w:val="clear" w:color="auto" w:fill="auto"/>
          </w:tcPr>
          <w:p w14:paraId="36CA5453" w14:textId="77777777" w:rsidR="00787570" w:rsidRDefault="00787570">
            <w:pPr>
              <w:rPr>
                <w:rFonts w:ascii="宋体"/>
                <w:vanish/>
              </w:rPr>
            </w:pPr>
          </w:p>
        </w:tc>
        <w:tc>
          <w:tcPr>
            <w:tcW w:w="0" w:type="auto"/>
            <w:gridSpan w:val="3"/>
            <w:shd w:val="clear" w:color="auto" w:fill="auto"/>
          </w:tcPr>
          <w:p w14:paraId="36CA5454" w14:textId="77777777" w:rsidR="00787570" w:rsidRDefault="00787570">
            <w:pPr>
              <w:rPr>
                <w:rFonts w:ascii="宋体"/>
                <w:vanish/>
              </w:rPr>
            </w:pPr>
          </w:p>
        </w:tc>
        <w:tc>
          <w:tcPr>
            <w:tcW w:w="0" w:type="auto"/>
            <w:gridSpan w:val="3"/>
            <w:shd w:val="clear" w:color="auto" w:fill="auto"/>
          </w:tcPr>
          <w:p w14:paraId="36CA5455" w14:textId="77777777" w:rsidR="00787570" w:rsidRDefault="00787570">
            <w:pPr>
              <w:rPr>
                <w:rFonts w:ascii="宋体"/>
                <w:vanish/>
              </w:rPr>
            </w:pPr>
          </w:p>
        </w:tc>
        <w:tc>
          <w:tcPr>
            <w:tcW w:w="0" w:type="auto"/>
            <w:gridSpan w:val="3"/>
            <w:shd w:val="clear" w:color="auto" w:fill="auto"/>
          </w:tcPr>
          <w:p w14:paraId="36CA5456" w14:textId="77777777" w:rsidR="00787570" w:rsidRDefault="00787570">
            <w:pPr>
              <w:rPr>
                <w:rFonts w:ascii="宋体"/>
                <w:vanish/>
              </w:rPr>
            </w:pPr>
          </w:p>
        </w:tc>
        <w:tc>
          <w:tcPr>
            <w:tcW w:w="0" w:type="auto"/>
            <w:shd w:val="clear" w:color="auto" w:fill="auto"/>
          </w:tcPr>
          <w:p w14:paraId="36CA5457" w14:textId="77777777" w:rsidR="00787570" w:rsidRDefault="00787570">
            <w:pPr>
              <w:rPr>
                <w:rFonts w:ascii="宋体"/>
                <w:vanish/>
              </w:rPr>
            </w:pPr>
          </w:p>
        </w:tc>
        <w:tc>
          <w:tcPr>
            <w:tcW w:w="0" w:type="auto"/>
            <w:shd w:val="clear" w:color="auto" w:fill="auto"/>
          </w:tcPr>
          <w:p w14:paraId="36CA5458" w14:textId="77777777" w:rsidR="00787570" w:rsidRDefault="00787570">
            <w:pPr>
              <w:rPr>
                <w:rFonts w:ascii="宋体"/>
                <w:vanish/>
              </w:rPr>
            </w:pPr>
          </w:p>
        </w:tc>
        <w:tc>
          <w:tcPr>
            <w:tcW w:w="0" w:type="auto"/>
            <w:shd w:val="clear" w:color="auto" w:fill="auto"/>
          </w:tcPr>
          <w:p w14:paraId="36CA5459" w14:textId="77777777" w:rsidR="00787570" w:rsidRDefault="00787570">
            <w:pPr>
              <w:rPr>
                <w:rFonts w:ascii="宋体"/>
                <w:vanish/>
              </w:rPr>
            </w:pPr>
          </w:p>
        </w:tc>
        <w:tc>
          <w:tcPr>
            <w:tcW w:w="0" w:type="auto"/>
            <w:shd w:val="clear" w:color="auto" w:fill="auto"/>
          </w:tcPr>
          <w:p w14:paraId="36CA545A" w14:textId="77777777" w:rsidR="00787570" w:rsidRDefault="00787570">
            <w:pPr>
              <w:rPr>
                <w:rFonts w:ascii="宋体"/>
                <w:vanish/>
              </w:rPr>
            </w:pPr>
          </w:p>
        </w:tc>
        <w:tc>
          <w:tcPr>
            <w:tcW w:w="0" w:type="auto"/>
            <w:shd w:val="clear" w:color="auto" w:fill="auto"/>
          </w:tcPr>
          <w:p w14:paraId="36CA545B" w14:textId="77777777" w:rsidR="00787570" w:rsidRDefault="00787570">
            <w:pPr>
              <w:rPr>
                <w:rFonts w:ascii="宋体"/>
              </w:rPr>
            </w:pPr>
          </w:p>
        </w:tc>
        <w:tc>
          <w:tcPr>
            <w:tcW w:w="0" w:type="auto"/>
            <w:shd w:val="clear" w:color="auto" w:fill="auto"/>
          </w:tcPr>
          <w:p w14:paraId="36CA545C" w14:textId="77777777" w:rsidR="00787570" w:rsidRDefault="00787570">
            <w:pPr>
              <w:rPr>
                <w:rFonts w:ascii="宋体"/>
              </w:rPr>
            </w:pPr>
          </w:p>
        </w:tc>
        <w:tc>
          <w:tcPr>
            <w:tcW w:w="0" w:type="auto"/>
            <w:shd w:val="clear" w:color="auto" w:fill="auto"/>
          </w:tcPr>
          <w:p w14:paraId="36CA545D" w14:textId="77777777" w:rsidR="00787570" w:rsidRDefault="00787570">
            <w:pPr>
              <w:rPr>
                <w:rFonts w:ascii="宋体"/>
              </w:rPr>
            </w:pPr>
          </w:p>
        </w:tc>
        <w:tc>
          <w:tcPr>
            <w:tcW w:w="0" w:type="auto"/>
            <w:shd w:val="clear" w:color="auto" w:fill="auto"/>
          </w:tcPr>
          <w:p w14:paraId="36CA545E" w14:textId="77777777" w:rsidR="00787570" w:rsidRDefault="00787570">
            <w:pPr>
              <w:rPr>
                <w:rFonts w:ascii="宋体"/>
              </w:rPr>
            </w:pPr>
          </w:p>
        </w:tc>
        <w:tc>
          <w:tcPr>
            <w:tcW w:w="0" w:type="auto"/>
            <w:shd w:val="clear" w:color="auto" w:fill="auto"/>
          </w:tcPr>
          <w:p w14:paraId="36CA545F" w14:textId="77777777" w:rsidR="00787570" w:rsidRDefault="00787570">
            <w:pPr>
              <w:rPr>
                <w:rFonts w:ascii="宋体"/>
              </w:rPr>
            </w:pPr>
          </w:p>
        </w:tc>
        <w:tc>
          <w:tcPr>
            <w:tcW w:w="0" w:type="auto"/>
            <w:shd w:val="clear" w:color="auto" w:fill="auto"/>
          </w:tcPr>
          <w:p w14:paraId="36CA5460" w14:textId="77777777" w:rsidR="00787570" w:rsidRDefault="00787570">
            <w:pPr>
              <w:rPr>
                <w:rFonts w:ascii="宋体"/>
              </w:rPr>
            </w:pPr>
          </w:p>
        </w:tc>
      </w:tr>
      <w:tr w:rsidR="00787570" w14:paraId="36CA5471" w14:textId="77777777">
        <w:trPr>
          <w:hidden/>
        </w:trPr>
        <w:tc>
          <w:tcPr>
            <w:tcW w:w="0" w:type="auto"/>
            <w:gridSpan w:val="3"/>
            <w:shd w:val="clear" w:color="auto" w:fill="auto"/>
          </w:tcPr>
          <w:p w14:paraId="36CA5462" w14:textId="77777777" w:rsidR="00787570" w:rsidRDefault="00787570">
            <w:pPr>
              <w:rPr>
                <w:rFonts w:ascii="宋体"/>
                <w:vanish/>
              </w:rPr>
            </w:pPr>
          </w:p>
        </w:tc>
        <w:tc>
          <w:tcPr>
            <w:tcW w:w="0" w:type="auto"/>
            <w:gridSpan w:val="3"/>
            <w:shd w:val="clear" w:color="auto" w:fill="auto"/>
          </w:tcPr>
          <w:p w14:paraId="36CA5463" w14:textId="77777777" w:rsidR="00787570" w:rsidRDefault="00787570">
            <w:pPr>
              <w:rPr>
                <w:rFonts w:ascii="宋体"/>
                <w:vanish/>
              </w:rPr>
            </w:pPr>
          </w:p>
        </w:tc>
        <w:tc>
          <w:tcPr>
            <w:tcW w:w="0" w:type="auto"/>
            <w:gridSpan w:val="3"/>
            <w:shd w:val="clear" w:color="auto" w:fill="auto"/>
          </w:tcPr>
          <w:p w14:paraId="36CA5464" w14:textId="77777777" w:rsidR="00787570" w:rsidRDefault="00787570">
            <w:pPr>
              <w:rPr>
                <w:rFonts w:ascii="宋体"/>
                <w:vanish/>
              </w:rPr>
            </w:pPr>
          </w:p>
        </w:tc>
        <w:tc>
          <w:tcPr>
            <w:tcW w:w="0" w:type="auto"/>
            <w:gridSpan w:val="3"/>
            <w:shd w:val="clear" w:color="auto" w:fill="auto"/>
          </w:tcPr>
          <w:p w14:paraId="36CA5465" w14:textId="77777777" w:rsidR="00787570" w:rsidRDefault="00787570">
            <w:pPr>
              <w:rPr>
                <w:rFonts w:ascii="宋体"/>
                <w:vanish/>
              </w:rPr>
            </w:pPr>
          </w:p>
        </w:tc>
        <w:tc>
          <w:tcPr>
            <w:tcW w:w="0" w:type="auto"/>
            <w:gridSpan w:val="3"/>
            <w:shd w:val="clear" w:color="auto" w:fill="auto"/>
          </w:tcPr>
          <w:p w14:paraId="36CA5466" w14:textId="77777777" w:rsidR="00787570" w:rsidRDefault="00787570">
            <w:pPr>
              <w:rPr>
                <w:rFonts w:ascii="宋体"/>
                <w:vanish/>
              </w:rPr>
            </w:pPr>
          </w:p>
        </w:tc>
        <w:tc>
          <w:tcPr>
            <w:tcW w:w="0" w:type="auto"/>
            <w:shd w:val="clear" w:color="auto" w:fill="auto"/>
          </w:tcPr>
          <w:p w14:paraId="36CA5467" w14:textId="77777777" w:rsidR="00787570" w:rsidRDefault="00787570">
            <w:pPr>
              <w:rPr>
                <w:rFonts w:ascii="宋体"/>
                <w:vanish/>
              </w:rPr>
            </w:pPr>
          </w:p>
        </w:tc>
        <w:tc>
          <w:tcPr>
            <w:tcW w:w="0" w:type="auto"/>
            <w:shd w:val="clear" w:color="auto" w:fill="auto"/>
          </w:tcPr>
          <w:p w14:paraId="36CA5468" w14:textId="77777777" w:rsidR="00787570" w:rsidRDefault="00787570">
            <w:pPr>
              <w:rPr>
                <w:rFonts w:ascii="宋体"/>
                <w:vanish/>
              </w:rPr>
            </w:pPr>
          </w:p>
        </w:tc>
        <w:tc>
          <w:tcPr>
            <w:tcW w:w="0" w:type="auto"/>
            <w:shd w:val="clear" w:color="auto" w:fill="auto"/>
          </w:tcPr>
          <w:p w14:paraId="36CA5469" w14:textId="77777777" w:rsidR="00787570" w:rsidRDefault="00787570">
            <w:pPr>
              <w:rPr>
                <w:rFonts w:ascii="宋体"/>
                <w:vanish/>
              </w:rPr>
            </w:pPr>
          </w:p>
        </w:tc>
        <w:tc>
          <w:tcPr>
            <w:tcW w:w="0" w:type="auto"/>
            <w:shd w:val="clear" w:color="auto" w:fill="auto"/>
          </w:tcPr>
          <w:p w14:paraId="36CA546A" w14:textId="77777777" w:rsidR="00787570" w:rsidRDefault="00787570">
            <w:pPr>
              <w:rPr>
                <w:rFonts w:ascii="宋体"/>
                <w:vanish/>
              </w:rPr>
            </w:pPr>
          </w:p>
        </w:tc>
        <w:tc>
          <w:tcPr>
            <w:tcW w:w="0" w:type="auto"/>
            <w:shd w:val="clear" w:color="auto" w:fill="auto"/>
          </w:tcPr>
          <w:p w14:paraId="36CA546B" w14:textId="77777777" w:rsidR="00787570" w:rsidRDefault="00787570">
            <w:pPr>
              <w:rPr>
                <w:rFonts w:ascii="宋体"/>
              </w:rPr>
            </w:pPr>
          </w:p>
        </w:tc>
        <w:tc>
          <w:tcPr>
            <w:tcW w:w="0" w:type="auto"/>
            <w:shd w:val="clear" w:color="auto" w:fill="auto"/>
          </w:tcPr>
          <w:p w14:paraId="36CA546C" w14:textId="77777777" w:rsidR="00787570" w:rsidRDefault="00787570">
            <w:pPr>
              <w:rPr>
                <w:rFonts w:ascii="宋体"/>
              </w:rPr>
            </w:pPr>
          </w:p>
        </w:tc>
        <w:tc>
          <w:tcPr>
            <w:tcW w:w="0" w:type="auto"/>
            <w:shd w:val="clear" w:color="auto" w:fill="auto"/>
          </w:tcPr>
          <w:p w14:paraId="36CA546D" w14:textId="77777777" w:rsidR="00787570" w:rsidRDefault="00787570">
            <w:pPr>
              <w:rPr>
                <w:rFonts w:ascii="宋体"/>
              </w:rPr>
            </w:pPr>
          </w:p>
        </w:tc>
        <w:tc>
          <w:tcPr>
            <w:tcW w:w="0" w:type="auto"/>
            <w:shd w:val="clear" w:color="auto" w:fill="auto"/>
          </w:tcPr>
          <w:p w14:paraId="36CA546E" w14:textId="77777777" w:rsidR="00787570" w:rsidRDefault="00787570">
            <w:pPr>
              <w:rPr>
                <w:rFonts w:ascii="宋体"/>
              </w:rPr>
            </w:pPr>
          </w:p>
        </w:tc>
        <w:tc>
          <w:tcPr>
            <w:tcW w:w="0" w:type="auto"/>
            <w:shd w:val="clear" w:color="auto" w:fill="auto"/>
          </w:tcPr>
          <w:p w14:paraId="36CA546F" w14:textId="77777777" w:rsidR="00787570" w:rsidRDefault="00787570">
            <w:pPr>
              <w:rPr>
                <w:rFonts w:ascii="宋体"/>
              </w:rPr>
            </w:pPr>
          </w:p>
        </w:tc>
        <w:tc>
          <w:tcPr>
            <w:tcW w:w="0" w:type="auto"/>
            <w:shd w:val="clear" w:color="auto" w:fill="auto"/>
          </w:tcPr>
          <w:p w14:paraId="36CA5470" w14:textId="77777777" w:rsidR="00787570" w:rsidRDefault="00787570">
            <w:pPr>
              <w:rPr>
                <w:rFonts w:ascii="宋体"/>
              </w:rPr>
            </w:pPr>
          </w:p>
        </w:tc>
      </w:tr>
      <w:tr w:rsidR="00787570" w14:paraId="36CA5481" w14:textId="77777777">
        <w:trPr>
          <w:hidden/>
        </w:trPr>
        <w:tc>
          <w:tcPr>
            <w:tcW w:w="0" w:type="auto"/>
            <w:gridSpan w:val="3"/>
            <w:shd w:val="clear" w:color="auto" w:fill="auto"/>
          </w:tcPr>
          <w:p w14:paraId="36CA5472" w14:textId="77777777" w:rsidR="00787570" w:rsidRDefault="00787570">
            <w:pPr>
              <w:rPr>
                <w:rFonts w:ascii="宋体"/>
                <w:vanish/>
              </w:rPr>
            </w:pPr>
          </w:p>
        </w:tc>
        <w:tc>
          <w:tcPr>
            <w:tcW w:w="0" w:type="auto"/>
            <w:gridSpan w:val="3"/>
            <w:shd w:val="clear" w:color="auto" w:fill="auto"/>
          </w:tcPr>
          <w:p w14:paraId="36CA5473" w14:textId="77777777" w:rsidR="00787570" w:rsidRDefault="00787570">
            <w:pPr>
              <w:rPr>
                <w:rFonts w:ascii="宋体"/>
                <w:vanish/>
              </w:rPr>
            </w:pPr>
          </w:p>
        </w:tc>
        <w:tc>
          <w:tcPr>
            <w:tcW w:w="0" w:type="auto"/>
            <w:gridSpan w:val="3"/>
            <w:shd w:val="clear" w:color="auto" w:fill="auto"/>
          </w:tcPr>
          <w:p w14:paraId="36CA5474" w14:textId="77777777" w:rsidR="00787570" w:rsidRDefault="00787570">
            <w:pPr>
              <w:rPr>
                <w:rFonts w:ascii="宋体"/>
                <w:vanish/>
              </w:rPr>
            </w:pPr>
          </w:p>
        </w:tc>
        <w:tc>
          <w:tcPr>
            <w:tcW w:w="0" w:type="auto"/>
            <w:gridSpan w:val="3"/>
            <w:shd w:val="clear" w:color="auto" w:fill="auto"/>
          </w:tcPr>
          <w:p w14:paraId="36CA5475" w14:textId="77777777" w:rsidR="00787570" w:rsidRDefault="00787570">
            <w:pPr>
              <w:rPr>
                <w:rFonts w:ascii="宋体"/>
                <w:vanish/>
              </w:rPr>
            </w:pPr>
          </w:p>
        </w:tc>
        <w:tc>
          <w:tcPr>
            <w:tcW w:w="0" w:type="auto"/>
            <w:gridSpan w:val="3"/>
            <w:shd w:val="clear" w:color="auto" w:fill="auto"/>
          </w:tcPr>
          <w:p w14:paraId="36CA5476" w14:textId="77777777" w:rsidR="00787570" w:rsidRDefault="00787570">
            <w:pPr>
              <w:rPr>
                <w:rFonts w:ascii="宋体"/>
                <w:vanish/>
              </w:rPr>
            </w:pPr>
          </w:p>
        </w:tc>
        <w:tc>
          <w:tcPr>
            <w:tcW w:w="0" w:type="auto"/>
            <w:shd w:val="clear" w:color="auto" w:fill="auto"/>
          </w:tcPr>
          <w:p w14:paraId="36CA5477" w14:textId="77777777" w:rsidR="00787570" w:rsidRDefault="00787570">
            <w:pPr>
              <w:rPr>
                <w:rFonts w:ascii="宋体"/>
                <w:vanish/>
              </w:rPr>
            </w:pPr>
          </w:p>
        </w:tc>
        <w:tc>
          <w:tcPr>
            <w:tcW w:w="0" w:type="auto"/>
            <w:shd w:val="clear" w:color="auto" w:fill="auto"/>
          </w:tcPr>
          <w:p w14:paraId="36CA5478" w14:textId="77777777" w:rsidR="00787570" w:rsidRDefault="00787570">
            <w:pPr>
              <w:rPr>
                <w:rFonts w:ascii="宋体"/>
                <w:vanish/>
              </w:rPr>
            </w:pPr>
          </w:p>
        </w:tc>
        <w:tc>
          <w:tcPr>
            <w:tcW w:w="0" w:type="auto"/>
            <w:shd w:val="clear" w:color="auto" w:fill="auto"/>
          </w:tcPr>
          <w:p w14:paraId="36CA5479" w14:textId="77777777" w:rsidR="00787570" w:rsidRDefault="00787570">
            <w:pPr>
              <w:rPr>
                <w:rFonts w:ascii="宋体"/>
                <w:vanish/>
              </w:rPr>
            </w:pPr>
          </w:p>
        </w:tc>
        <w:tc>
          <w:tcPr>
            <w:tcW w:w="0" w:type="auto"/>
            <w:shd w:val="clear" w:color="auto" w:fill="auto"/>
          </w:tcPr>
          <w:p w14:paraId="36CA547A" w14:textId="77777777" w:rsidR="00787570" w:rsidRDefault="00787570">
            <w:pPr>
              <w:rPr>
                <w:rFonts w:ascii="宋体"/>
                <w:vanish/>
              </w:rPr>
            </w:pPr>
          </w:p>
        </w:tc>
        <w:tc>
          <w:tcPr>
            <w:tcW w:w="0" w:type="auto"/>
            <w:shd w:val="clear" w:color="auto" w:fill="auto"/>
          </w:tcPr>
          <w:p w14:paraId="36CA547B" w14:textId="77777777" w:rsidR="00787570" w:rsidRDefault="00787570">
            <w:pPr>
              <w:rPr>
                <w:rFonts w:ascii="宋体"/>
              </w:rPr>
            </w:pPr>
          </w:p>
        </w:tc>
        <w:tc>
          <w:tcPr>
            <w:tcW w:w="0" w:type="auto"/>
            <w:shd w:val="clear" w:color="auto" w:fill="auto"/>
          </w:tcPr>
          <w:p w14:paraId="36CA547C" w14:textId="77777777" w:rsidR="00787570" w:rsidRDefault="00787570">
            <w:pPr>
              <w:rPr>
                <w:rFonts w:ascii="宋体"/>
              </w:rPr>
            </w:pPr>
          </w:p>
        </w:tc>
        <w:tc>
          <w:tcPr>
            <w:tcW w:w="0" w:type="auto"/>
            <w:shd w:val="clear" w:color="auto" w:fill="auto"/>
          </w:tcPr>
          <w:p w14:paraId="36CA547D" w14:textId="77777777" w:rsidR="00787570" w:rsidRDefault="00787570">
            <w:pPr>
              <w:rPr>
                <w:rFonts w:ascii="宋体"/>
              </w:rPr>
            </w:pPr>
          </w:p>
        </w:tc>
        <w:tc>
          <w:tcPr>
            <w:tcW w:w="0" w:type="auto"/>
            <w:shd w:val="clear" w:color="auto" w:fill="auto"/>
          </w:tcPr>
          <w:p w14:paraId="36CA547E" w14:textId="77777777" w:rsidR="00787570" w:rsidRDefault="00787570">
            <w:pPr>
              <w:rPr>
                <w:rFonts w:ascii="宋体"/>
              </w:rPr>
            </w:pPr>
          </w:p>
        </w:tc>
        <w:tc>
          <w:tcPr>
            <w:tcW w:w="0" w:type="auto"/>
            <w:shd w:val="clear" w:color="auto" w:fill="auto"/>
          </w:tcPr>
          <w:p w14:paraId="36CA547F" w14:textId="77777777" w:rsidR="00787570" w:rsidRDefault="00787570">
            <w:pPr>
              <w:rPr>
                <w:rFonts w:ascii="宋体"/>
              </w:rPr>
            </w:pPr>
          </w:p>
        </w:tc>
        <w:tc>
          <w:tcPr>
            <w:tcW w:w="0" w:type="auto"/>
            <w:shd w:val="clear" w:color="auto" w:fill="auto"/>
          </w:tcPr>
          <w:p w14:paraId="36CA5480" w14:textId="77777777" w:rsidR="00787570" w:rsidRDefault="00787570">
            <w:pPr>
              <w:rPr>
                <w:rFonts w:ascii="宋体"/>
              </w:rPr>
            </w:pPr>
          </w:p>
        </w:tc>
      </w:tr>
      <w:tr w:rsidR="00787570" w14:paraId="36CA5493" w14:textId="77777777">
        <w:tc>
          <w:tcPr>
            <w:tcW w:w="0" w:type="auto"/>
            <w:gridSpan w:val="3"/>
            <w:shd w:val="clear" w:color="auto" w:fill="auto"/>
            <w:tcMar>
              <w:top w:w="40" w:type="dxa"/>
              <w:left w:w="225" w:type="dxa"/>
              <w:bottom w:w="40" w:type="dxa"/>
              <w:right w:w="20" w:type="dxa"/>
            </w:tcMar>
            <w:vAlign w:val="bottom"/>
          </w:tcPr>
          <w:p w14:paraId="36CA5482" w14:textId="77777777" w:rsidR="00787570" w:rsidRDefault="000D56E2">
            <w:pPr>
              <w:textAlignment w:val="bottom"/>
            </w:pPr>
            <w:r>
              <w:rPr>
                <w:rFonts w:ascii="Arial" w:eastAsia="宋体" w:hAnsi="Arial" w:cs="Arial"/>
                <w:color w:val="333333"/>
                <w:sz w:val="18"/>
                <w:szCs w:val="18"/>
              </w:rPr>
              <w:t>Restructuring and other charges</w:t>
            </w:r>
          </w:p>
        </w:tc>
        <w:tc>
          <w:tcPr>
            <w:tcW w:w="0" w:type="auto"/>
            <w:gridSpan w:val="3"/>
            <w:shd w:val="clear" w:color="auto" w:fill="auto"/>
            <w:tcMar>
              <w:left w:w="20" w:type="dxa"/>
              <w:right w:w="20" w:type="dxa"/>
            </w:tcMar>
            <w:vAlign w:val="bottom"/>
          </w:tcPr>
          <w:p w14:paraId="36CA5483"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5484" w14:textId="77777777" w:rsidR="00787570" w:rsidRDefault="000D56E2">
            <w:pPr>
              <w:jc w:val="right"/>
              <w:textAlignment w:val="bottom"/>
            </w:pPr>
            <w:r>
              <w:rPr>
                <w:rFonts w:ascii="Arial" w:eastAsia="宋体" w:hAnsi="Arial" w:cs="Arial"/>
                <w:color w:val="0071C5"/>
                <w:sz w:val="18"/>
                <w:szCs w:val="18"/>
              </w:rPr>
              <w:t>(25)</w:t>
            </w:r>
          </w:p>
        </w:tc>
        <w:tc>
          <w:tcPr>
            <w:tcW w:w="0" w:type="auto"/>
            <w:shd w:val="clear" w:color="auto" w:fill="auto"/>
            <w:tcMar>
              <w:top w:w="40" w:type="dxa"/>
              <w:bottom w:w="40" w:type="dxa"/>
              <w:right w:w="20" w:type="dxa"/>
            </w:tcMar>
            <w:vAlign w:val="bottom"/>
          </w:tcPr>
          <w:p w14:paraId="36CA5485"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5486"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5487" w14:textId="77777777" w:rsidR="00787570" w:rsidRDefault="000D56E2">
            <w:pPr>
              <w:jc w:val="right"/>
              <w:textAlignment w:val="bottom"/>
            </w:pPr>
            <w:r>
              <w:rPr>
                <w:rFonts w:ascii="Arial" w:eastAsia="宋体" w:hAnsi="Arial" w:cs="Arial"/>
                <w:color w:val="333333"/>
                <w:sz w:val="18"/>
                <w:szCs w:val="18"/>
              </w:rPr>
              <w:t>104 </w:t>
            </w:r>
          </w:p>
        </w:tc>
        <w:tc>
          <w:tcPr>
            <w:tcW w:w="0" w:type="auto"/>
            <w:shd w:val="clear" w:color="auto" w:fill="auto"/>
            <w:tcMar>
              <w:top w:w="40" w:type="dxa"/>
              <w:bottom w:w="40" w:type="dxa"/>
              <w:right w:w="20" w:type="dxa"/>
            </w:tcMar>
            <w:vAlign w:val="bottom"/>
          </w:tcPr>
          <w:p w14:paraId="36CA5488" w14:textId="77777777" w:rsidR="00787570" w:rsidRDefault="00787570">
            <w:pPr>
              <w:jc w:val="right"/>
              <w:rPr>
                <w:rFonts w:ascii="宋体"/>
              </w:rPr>
            </w:pPr>
          </w:p>
        </w:tc>
        <w:tc>
          <w:tcPr>
            <w:tcW w:w="0" w:type="auto"/>
            <w:shd w:val="clear" w:color="auto" w:fill="auto"/>
          </w:tcPr>
          <w:p w14:paraId="36CA5489" w14:textId="77777777" w:rsidR="00787570" w:rsidRDefault="00787570">
            <w:pPr>
              <w:rPr>
                <w:rFonts w:ascii="宋体"/>
                <w:vanish/>
              </w:rPr>
            </w:pPr>
          </w:p>
        </w:tc>
        <w:tc>
          <w:tcPr>
            <w:tcW w:w="0" w:type="auto"/>
            <w:shd w:val="clear" w:color="auto" w:fill="auto"/>
          </w:tcPr>
          <w:p w14:paraId="36CA548A" w14:textId="77777777" w:rsidR="00787570" w:rsidRDefault="00787570">
            <w:pPr>
              <w:rPr>
                <w:rFonts w:ascii="宋体"/>
                <w:vanish/>
              </w:rPr>
            </w:pPr>
          </w:p>
        </w:tc>
        <w:tc>
          <w:tcPr>
            <w:tcW w:w="0" w:type="auto"/>
            <w:shd w:val="clear" w:color="auto" w:fill="auto"/>
          </w:tcPr>
          <w:p w14:paraId="36CA548B" w14:textId="77777777" w:rsidR="00787570" w:rsidRDefault="00787570">
            <w:pPr>
              <w:rPr>
                <w:rFonts w:ascii="宋体"/>
                <w:vanish/>
              </w:rPr>
            </w:pPr>
          </w:p>
        </w:tc>
        <w:tc>
          <w:tcPr>
            <w:tcW w:w="0" w:type="auto"/>
            <w:shd w:val="clear" w:color="auto" w:fill="auto"/>
          </w:tcPr>
          <w:p w14:paraId="36CA548C" w14:textId="77777777" w:rsidR="00787570" w:rsidRDefault="00787570">
            <w:pPr>
              <w:rPr>
                <w:rFonts w:ascii="宋体"/>
                <w:vanish/>
              </w:rPr>
            </w:pPr>
          </w:p>
        </w:tc>
        <w:tc>
          <w:tcPr>
            <w:tcW w:w="0" w:type="auto"/>
            <w:shd w:val="clear" w:color="auto" w:fill="auto"/>
          </w:tcPr>
          <w:p w14:paraId="36CA548D" w14:textId="77777777" w:rsidR="00787570" w:rsidRDefault="00787570">
            <w:pPr>
              <w:rPr>
                <w:rFonts w:ascii="宋体"/>
              </w:rPr>
            </w:pPr>
          </w:p>
        </w:tc>
        <w:tc>
          <w:tcPr>
            <w:tcW w:w="0" w:type="auto"/>
            <w:shd w:val="clear" w:color="auto" w:fill="auto"/>
          </w:tcPr>
          <w:p w14:paraId="36CA548E" w14:textId="77777777" w:rsidR="00787570" w:rsidRDefault="00787570">
            <w:pPr>
              <w:rPr>
                <w:rFonts w:ascii="宋体"/>
              </w:rPr>
            </w:pPr>
          </w:p>
        </w:tc>
        <w:tc>
          <w:tcPr>
            <w:tcW w:w="0" w:type="auto"/>
            <w:shd w:val="clear" w:color="auto" w:fill="auto"/>
          </w:tcPr>
          <w:p w14:paraId="36CA548F" w14:textId="77777777" w:rsidR="00787570" w:rsidRDefault="00787570">
            <w:pPr>
              <w:rPr>
                <w:rFonts w:ascii="宋体"/>
              </w:rPr>
            </w:pPr>
          </w:p>
        </w:tc>
        <w:tc>
          <w:tcPr>
            <w:tcW w:w="0" w:type="auto"/>
            <w:shd w:val="clear" w:color="auto" w:fill="auto"/>
          </w:tcPr>
          <w:p w14:paraId="36CA5490" w14:textId="77777777" w:rsidR="00787570" w:rsidRDefault="00787570">
            <w:pPr>
              <w:rPr>
                <w:rFonts w:ascii="宋体"/>
              </w:rPr>
            </w:pPr>
          </w:p>
        </w:tc>
        <w:tc>
          <w:tcPr>
            <w:tcW w:w="0" w:type="auto"/>
            <w:shd w:val="clear" w:color="auto" w:fill="auto"/>
          </w:tcPr>
          <w:p w14:paraId="36CA5491" w14:textId="77777777" w:rsidR="00787570" w:rsidRDefault="00787570">
            <w:pPr>
              <w:rPr>
                <w:rFonts w:ascii="宋体"/>
              </w:rPr>
            </w:pPr>
          </w:p>
        </w:tc>
        <w:tc>
          <w:tcPr>
            <w:tcW w:w="0" w:type="auto"/>
            <w:shd w:val="clear" w:color="auto" w:fill="auto"/>
          </w:tcPr>
          <w:p w14:paraId="36CA5492" w14:textId="77777777" w:rsidR="00787570" w:rsidRDefault="00787570">
            <w:pPr>
              <w:rPr>
                <w:rFonts w:ascii="宋体"/>
              </w:rPr>
            </w:pPr>
          </w:p>
        </w:tc>
      </w:tr>
      <w:tr w:rsidR="00787570" w14:paraId="36CA54A7" w14:textId="77777777">
        <w:tc>
          <w:tcPr>
            <w:tcW w:w="0" w:type="auto"/>
            <w:gridSpan w:val="3"/>
            <w:shd w:val="clear" w:color="auto" w:fill="auto"/>
            <w:tcMar>
              <w:top w:w="40" w:type="dxa"/>
              <w:left w:w="20" w:type="dxa"/>
              <w:bottom w:w="40" w:type="dxa"/>
              <w:right w:w="20" w:type="dxa"/>
            </w:tcMar>
            <w:vAlign w:val="bottom"/>
          </w:tcPr>
          <w:p w14:paraId="36CA5494" w14:textId="77777777" w:rsidR="00787570" w:rsidRDefault="000D56E2">
            <w:pPr>
              <w:textAlignment w:val="bottom"/>
            </w:pPr>
            <w:r>
              <w:rPr>
                <w:rFonts w:ascii="Arial" w:eastAsia="宋体" w:hAnsi="Arial" w:cs="Arial"/>
                <w:b/>
                <w:bCs/>
                <w:color w:val="333333"/>
                <w:sz w:val="18"/>
                <w:szCs w:val="18"/>
              </w:rPr>
              <w:t>Non-GAAP operating income</w:t>
            </w:r>
          </w:p>
        </w:tc>
        <w:tc>
          <w:tcPr>
            <w:tcW w:w="0" w:type="auto"/>
            <w:gridSpan w:val="3"/>
            <w:shd w:val="clear" w:color="auto" w:fill="auto"/>
            <w:tcMar>
              <w:left w:w="20" w:type="dxa"/>
              <w:right w:w="20" w:type="dxa"/>
            </w:tcMar>
            <w:vAlign w:val="bottom"/>
          </w:tcPr>
          <w:p w14:paraId="36CA5495" w14:textId="77777777" w:rsidR="00787570" w:rsidRDefault="00787570">
            <w:pPr>
              <w:rPr>
                <w:rFonts w:ascii="宋体"/>
              </w:rPr>
            </w:pPr>
          </w:p>
        </w:tc>
        <w:tc>
          <w:tcPr>
            <w:tcW w:w="0" w:type="auto"/>
            <w:tcBorders>
              <w:top w:val="single" w:sz="8" w:space="0" w:color="333333"/>
            </w:tcBorders>
            <w:shd w:val="clear" w:color="auto" w:fill="auto"/>
            <w:tcMar>
              <w:top w:w="40" w:type="dxa"/>
              <w:left w:w="20" w:type="dxa"/>
              <w:bottom w:w="40" w:type="dxa"/>
            </w:tcMar>
            <w:vAlign w:val="bottom"/>
          </w:tcPr>
          <w:p w14:paraId="36CA5496" w14:textId="77777777" w:rsidR="00787570" w:rsidRDefault="000D56E2">
            <w:pPr>
              <w:textAlignment w:val="bottom"/>
            </w:pPr>
            <w:r>
              <w:rPr>
                <w:rFonts w:ascii="Arial" w:eastAsia="宋体" w:hAnsi="Arial" w:cs="Arial"/>
                <w:b/>
                <w:bCs/>
                <w:color w:val="0071C5"/>
                <w:sz w:val="18"/>
                <w:szCs w:val="18"/>
              </w:rPr>
              <w:t>$</w:t>
            </w:r>
          </w:p>
        </w:tc>
        <w:tc>
          <w:tcPr>
            <w:tcW w:w="0" w:type="auto"/>
            <w:tcBorders>
              <w:top w:val="single" w:sz="8" w:space="0" w:color="333333"/>
            </w:tcBorders>
            <w:shd w:val="clear" w:color="auto" w:fill="auto"/>
            <w:tcMar>
              <w:top w:w="40" w:type="dxa"/>
              <w:bottom w:w="40" w:type="dxa"/>
              <w:right w:w="0" w:type="dxa"/>
            </w:tcMar>
            <w:vAlign w:val="bottom"/>
          </w:tcPr>
          <w:p w14:paraId="36CA5497" w14:textId="77777777" w:rsidR="00787570" w:rsidRDefault="000D56E2">
            <w:pPr>
              <w:jc w:val="right"/>
              <w:textAlignment w:val="bottom"/>
            </w:pPr>
            <w:r>
              <w:rPr>
                <w:rFonts w:ascii="Arial" w:eastAsia="宋体" w:hAnsi="Arial" w:cs="Arial"/>
                <w:b/>
                <w:bCs/>
                <w:color w:val="0071C5"/>
                <w:sz w:val="18"/>
                <w:szCs w:val="18"/>
              </w:rPr>
              <w:t>5,396</w:t>
            </w:r>
            <w:r>
              <w:rPr>
                <w:rFonts w:ascii="Arial" w:eastAsia="宋体" w:hAnsi="Arial" w:cs="Arial"/>
                <w:color w:val="0071C5"/>
                <w:sz w:val="18"/>
                <w:szCs w:val="18"/>
              </w:rPr>
              <w:t> </w:t>
            </w:r>
          </w:p>
        </w:tc>
        <w:tc>
          <w:tcPr>
            <w:tcW w:w="0" w:type="auto"/>
            <w:tcBorders>
              <w:top w:val="single" w:sz="8" w:space="0" w:color="333333"/>
            </w:tcBorders>
            <w:shd w:val="clear" w:color="auto" w:fill="auto"/>
            <w:tcMar>
              <w:top w:w="40" w:type="dxa"/>
              <w:bottom w:w="40" w:type="dxa"/>
              <w:right w:w="20" w:type="dxa"/>
            </w:tcMar>
            <w:vAlign w:val="bottom"/>
          </w:tcPr>
          <w:p w14:paraId="36CA5498"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5499" w14:textId="77777777" w:rsidR="00787570" w:rsidRDefault="00787570">
            <w:pPr>
              <w:rPr>
                <w:rFonts w:ascii="宋体"/>
              </w:rPr>
            </w:pPr>
          </w:p>
        </w:tc>
        <w:tc>
          <w:tcPr>
            <w:tcW w:w="0" w:type="auto"/>
            <w:tcBorders>
              <w:top w:val="single" w:sz="8" w:space="0" w:color="333333"/>
            </w:tcBorders>
            <w:shd w:val="clear" w:color="auto" w:fill="auto"/>
            <w:tcMar>
              <w:top w:w="40" w:type="dxa"/>
              <w:left w:w="20" w:type="dxa"/>
              <w:bottom w:w="40" w:type="dxa"/>
            </w:tcMar>
            <w:vAlign w:val="bottom"/>
          </w:tcPr>
          <w:p w14:paraId="36CA549A" w14:textId="77777777" w:rsidR="00787570" w:rsidRDefault="000D56E2">
            <w:pPr>
              <w:textAlignment w:val="bottom"/>
            </w:pPr>
            <w:r>
              <w:rPr>
                <w:rFonts w:ascii="Arial" w:eastAsia="宋体" w:hAnsi="Arial" w:cs="Arial"/>
                <w:b/>
                <w:bCs/>
                <w:color w:val="333333"/>
                <w:sz w:val="18"/>
                <w:szCs w:val="18"/>
              </w:rPr>
              <w:t>$</w:t>
            </w:r>
          </w:p>
        </w:tc>
        <w:tc>
          <w:tcPr>
            <w:tcW w:w="0" w:type="auto"/>
            <w:tcBorders>
              <w:top w:val="single" w:sz="8" w:space="0" w:color="333333"/>
            </w:tcBorders>
            <w:shd w:val="clear" w:color="auto" w:fill="auto"/>
            <w:tcMar>
              <w:top w:w="40" w:type="dxa"/>
              <w:bottom w:w="40" w:type="dxa"/>
              <w:right w:w="0" w:type="dxa"/>
            </w:tcMar>
            <w:vAlign w:val="bottom"/>
          </w:tcPr>
          <w:p w14:paraId="36CA549B" w14:textId="77777777" w:rsidR="00787570" w:rsidRDefault="000D56E2">
            <w:pPr>
              <w:jc w:val="right"/>
              <w:textAlignment w:val="bottom"/>
            </w:pPr>
            <w:r>
              <w:rPr>
                <w:rFonts w:ascii="Arial" w:eastAsia="宋体" w:hAnsi="Arial" w:cs="Arial"/>
                <w:b/>
                <w:bCs/>
                <w:color w:val="333333"/>
                <w:sz w:val="18"/>
                <w:szCs w:val="18"/>
              </w:rPr>
              <w:t>6,889</w:t>
            </w:r>
            <w:r>
              <w:rPr>
                <w:rFonts w:ascii="Arial" w:eastAsia="宋体" w:hAnsi="Arial" w:cs="Arial"/>
                <w:color w:val="333333"/>
                <w:sz w:val="18"/>
                <w:szCs w:val="18"/>
              </w:rPr>
              <w:t> </w:t>
            </w:r>
          </w:p>
        </w:tc>
        <w:tc>
          <w:tcPr>
            <w:tcW w:w="0" w:type="auto"/>
            <w:tcBorders>
              <w:top w:val="single" w:sz="8" w:space="0" w:color="333333"/>
            </w:tcBorders>
            <w:shd w:val="clear" w:color="auto" w:fill="auto"/>
            <w:tcMar>
              <w:top w:w="40" w:type="dxa"/>
              <w:bottom w:w="40" w:type="dxa"/>
              <w:right w:w="20" w:type="dxa"/>
            </w:tcMar>
            <w:vAlign w:val="bottom"/>
          </w:tcPr>
          <w:p w14:paraId="36CA549C" w14:textId="77777777" w:rsidR="00787570" w:rsidRDefault="00787570">
            <w:pPr>
              <w:jc w:val="right"/>
              <w:rPr>
                <w:rFonts w:ascii="宋体"/>
              </w:rPr>
            </w:pPr>
          </w:p>
        </w:tc>
        <w:tc>
          <w:tcPr>
            <w:tcW w:w="0" w:type="auto"/>
            <w:shd w:val="clear" w:color="auto" w:fill="auto"/>
          </w:tcPr>
          <w:p w14:paraId="36CA549D" w14:textId="77777777" w:rsidR="00787570" w:rsidRDefault="00787570">
            <w:pPr>
              <w:rPr>
                <w:rFonts w:ascii="宋体"/>
                <w:vanish/>
              </w:rPr>
            </w:pPr>
          </w:p>
        </w:tc>
        <w:tc>
          <w:tcPr>
            <w:tcW w:w="0" w:type="auto"/>
            <w:shd w:val="clear" w:color="auto" w:fill="auto"/>
          </w:tcPr>
          <w:p w14:paraId="36CA549E" w14:textId="77777777" w:rsidR="00787570" w:rsidRDefault="00787570">
            <w:pPr>
              <w:rPr>
                <w:rFonts w:ascii="宋体"/>
                <w:vanish/>
              </w:rPr>
            </w:pPr>
          </w:p>
        </w:tc>
        <w:tc>
          <w:tcPr>
            <w:tcW w:w="0" w:type="auto"/>
            <w:shd w:val="clear" w:color="auto" w:fill="auto"/>
          </w:tcPr>
          <w:p w14:paraId="36CA549F" w14:textId="77777777" w:rsidR="00787570" w:rsidRDefault="00787570">
            <w:pPr>
              <w:rPr>
                <w:rFonts w:ascii="宋体"/>
                <w:vanish/>
              </w:rPr>
            </w:pPr>
          </w:p>
        </w:tc>
        <w:tc>
          <w:tcPr>
            <w:tcW w:w="0" w:type="auto"/>
            <w:shd w:val="clear" w:color="auto" w:fill="auto"/>
          </w:tcPr>
          <w:p w14:paraId="36CA54A0" w14:textId="77777777" w:rsidR="00787570" w:rsidRDefault="00787570">
            <w:pPr>
              <w:rPr>
                <w:rFonts w:ascii="宋体"/>
                <w:vanish/>
              </w:rPr>
            </w:pPr>
          </w:p>
        </w:tc>
        <w:tc>
          <w:tcPr>
            <w:tcW w:w="0" w:type="auto"/>
            <w:shd w:val="clear" w:color="auto" w:fill="auto"/>
          </w:tcPr>
          <w:p w14:paraId="36CA54A1" w14:textId="77777777" w:rsidR="00787570" w:rsidRDefault="00787570">
            <w:pPr>
              <w:rPr>
                <w:rFonts w:ascii="宋体"/>
              </w:rPr>
            </w:pPr>
          </w:p>
        </w:tc>
        <w:tc>
          <w:tcPr>
            <w:tcW w:w="0" w:type="auto"/>
            <w:shd w:val="clear" w:color="auto" w:fill="auto"/>
          </w:tcPr>
          <w:p w14:paraId="36CA54A2" w14:textId="77777777" w:rsidR="00787570" w:rsidRDefault="00787570">
            <w:pPr>
              <w:rPr>
                <w:rFonts w:ascii="宋体"/>
              </w:rPr>
            </w:pPr>
          </w:p>
        </w:tc>
        <w:tc>
          <w:tcPr>
            <w:tcW w:w="0" w:type="auto"/>
            <w:shd w:val="clear" w:color="auto" w:fill="auto"/>
          </w:tcPr>
          <w:p w14:paraId="36CA54A3" w14:textId="77777777" w:rsidR="00787570" w:rsidRDefault="00787570">
            <w:pPr>
              <w:rPr>
                <w:rFonts w:ascii="宋体"/>
              </w:rPr>
            </w:pPr>
          </w:p>
        </w:tc>
        <w:tc>
          <w:tcPr>
            <w:tcW w:w="0" w:type="auto"/>
            <w:shd w:val="clear" w:color="auto" w:fill="auto"/>
          </w:tcPr>
          <w:p w14:paraId="36CA54A4" w14:textId="77777777" w:rsidR="00787570" w:rsidRDefault="00787570">
            <w:pPr>
              <w:rPr>
                <w:rFonts w:ascii="宋体"/>
              </w:rPr>
            </w:pPr>
          </w:p>
        </w:tc>
        <w:tc>
          <w:tcPr>
            <w:tcW w:w="0" w:type="auto"/>
            <w:shd w:val="clear" w:color="auto" w:fill="auto"/>
          </w:tcPr>
          <w:p w14:paraId="36CA54A5" w14:textId="77777777" w:rsidR="00787570" w:rsidRDefault="00787570">
            <w:pPr>
              <w:rPr>
                <w:rFonts w:ascii="宋体"/>
              </w:rPr>
            </w:pPr>
          </w:p>
        </w:tc>
        <w:tc>
          <w:tcPr>
            <w:tcW w:w="0" w:type="auto"/>
            <w:shd w:val="clear" w:color="auto" w:fill="auto"/>
          </w:tcPr>
          <w:p w14:paraId="36CA54A6" w14:textId="77777777" w:rsidR="00787570" w:rsidRDefault="00787570">
            <w:pPr>
              <w:rPr>
                <w:rFonts w:ascii="宋体"/>
              </w:rPr>
            </w:pPr>
          </w:p>
        </w:tc>
      </w:tr>
      <w:tr w:rsidR="00787570" w14:paraId="36CA54B7" w14:textId="77777777">
        <w:trPr>
          <w:trHeight w:val="240"/>
        </w:trPr>
        <w:tc>
          <w:tcPr>
            <w:tcW w:w="0" w:type="auto"/>
            <w:gridSpan w:val="3"/>
            <w:shd w:val="clear" w:color="auto" w:fill="auto"/>
            <w:tcMar>
              <w:left w:w="20" w:type="dxa"/>
              <w:right w:w="20" w:type="dxa"/>
            </w:tcMar>
            <w:vAlign w:val="bottom"/>
          </w:tcPr>
          <w:p w14:paraId="36CA54A8"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54A9" w14:textId="77777777" w:rsidR="00787570" w:rsidRDefault="00787570">
            <w:pPr>
              <w:rPr>
                <w:rFonts w:ascii="宋体"/>
              </w:rPr>
            </w:pPr>
          </w:p>
        </w:tc>
        <w:tc>
          <w:tcPr>
            <w:tcW w:w="0" w:type="auto"/>
            <w:gridSpan w:val="3"/>
            <w:tcBorders>
              <w:top w:val="double" w:sz="6" w:space="0" w:color="333333"/>
            </w:tcBorders>
            <w:shd w:val="clear" w:color="auto" w:fill="auto"/>
            <w:tcMar>
              <w:left w:w="20" w:type="dxa"/>
              <w:right w:w="20" w:type="dxa"/>
            </w:tcMar>
            <w:vAlign w:val="bottom"/>
          </w:tcPr>
          <w:p w14:paraId="36CA54AA"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54AB" w14:textId="77777777" w:rsidR="00787570" w:rsidRDefault="00787570">
            <w:pPr>
              <w:rPr>
                <w:rFonts w:ascii="宋体"/>
              </w:rPr>
            </w:pPr>
          </w:p>
        </w:tc>
        <w:tc>
          <w:tcPr>
            <w:tcW w:w="0" w:type="auto"/>
            <w:gridSpan w:val="3"/>
            <w:tcBorders>
              <w:top w:val="double" w:sz="6" w:space="0" w:color="333333"/>
            </w:tcBorders>
            <w:shd w:val="clear" w:color="auto" w:fill="auto"/>
            <w:tcMar>
              <w:left w:w="20" w:type="dxa"/>
              <w:right w:w="20" w:type="dxa"/>
            </w:tcMar>
            <w:vAlign w:val="bottom"/>
          </w:tcPr>
          <w:p w14:paraId="36CA54AC" w14:textId="77777777" w:rsidR="00787570" w:rsidRDefault="00787570">
            <w:pPr>
              <w:rPr>
                <w:rFonts w:ascii="宋体"/>
              </w:rPr>
            </w:pPr>
          </w:p>
        </w:tc>
        <w:tc>
          <w:tcPr>
            <w:tcW w:w="0" w:type="auto"/>
            <w:shd w:val="clear" w:color="auto" w:fill="auto"/>
          </w:tcPr>
          <w:p w14:paraId="36CA54AD" w14:textId="77777777" w:rsidR="00787570" w:rsidRDefault="00787570">
            <w:pPr>
              <w:rPr>
                <w:rFonts w:ascii="宋体"/>
                <w:vanish/>
              </w:rPr>
            </w:pPr>
          </w:p>
        </w:tc>
        <w:tc>
          <w:tcPr>
            <w:tcW w:w="0" w:type="auto"/>
            <w:shd w:val="clear" w:color="auto" w:fill="auto"/>
          </w:tcPr>
          <w:p w14:paraId="36CA54AE" w14:textId="77777777" w:rsidR="00787570" w:rsidRDefault="00787570">
            <w:pPr>
              <w:rPr>
                <w:rFonts w:ascii="宋体"/>
                <w:vanish/>
              </w:rPr>
            </w:pPr>
          </w:p>
        </w:tc>
        <w:tc>
          <w:tcPr>
            <w:tcW w:w="0" w:type="auto"/>
            <w:shd w:val="clear" w:color="auto" w:fill="auto"/>
          </w:tcPr>
          <w:p w14:paraId="36CA54AF" w14:textId="77777777" w:rsidR="00787570" w:rsidRDefault="00787570">
            <w:pPr>
              <w:rPr>
                <w:rFonts w:ascii="宋体"/>
                <w:vanish/>
              </w:rPr>
            </w:pPr>
          </w:p>
        </w:tc>
        <w:tc>
          <w:tcPr>
            <w:tcW w:w="0" w:type="auto"/>
            <w:shd w:val="clear" w:color="auto" w:fill="auto"/>
          </w:tcPr>
          <w:p w14:paraId="36CA54B0" w14:textId="77777777" w:rsidR="00787570" w:rsidRDefault="00787570">
            <w:pPr>
              <w:rPr>
                <w:rFonts w:ascii="宋体"/>
                <w:vanish/>
              </w:rPr>
            </w:pPr>
          </w:p>
        </w:tc>
        <w:tc>
          <w:tcPr>
            <w:tcW w:w="0" w:type="auto"/>
            <w:shd w:val="clear" w:color="auto" w:fill="auto"/>
          </w:tcPr>
          <w:p w14:paraId="36CA54B1" w14:textId="77777777" w:rsidR="00787570" w:rsidRDefault="00787570">
            <w:pPr>
              <w:rPr>
                <w:rFonts w:ascii="宋体"/>
              </w:rPr>
            </w:pPr>
          </w:p>
        </w:tc>
        <w:tc>
          <w:tcPr>
            <w:tcW w:w="0" w:type="auto"/>
            <w:shd w:val="clear" w:color="auto" w:fill="auto"/>
          </w:tcPr>
          <w:p w14:paraId="36CA54B2" w14:textId="77777777" w:rsidR="00787570" w:rsidRDefault="00787570">
            <w:pPr>
              <w:rPr>
                <w:rFonts w:ascii="宋体"/>
              </w:rPr>
            </w:pPr>
          </w:p>
        </w:tc>
        <w:tc>
          <w:tcPr>
            <w:tcW w:w="0" w:type="auto"/>
            <w:shd w:val="clear" w:color="auto" w:fill="auto"/>
          </w:tcPr>
          <w:p w14:paraId="36CA54B3" w14:textId="77777777" w:rsidR="00787570" w:rsidRDefault="00787570">
            <w:pPr>
              <w:rPr>
                <w:rFonts w:ascii="宋体"/>
              </w:rPr>
            </w:pPr>
          </w:p>
        </w:tc>
        <w:tc>
          <w:tcPr>
            <w:tcW w:w="0" w:type="auto"/>
            <w:shd w:val="clear" w:color="auto" w:fill="auto"/>
          </w:tcPr>
          <w:p w14:paraId="36CA54B4" w14:textId="77777777" w:rsidR="00787570" w:rsidRDefault="00787570">
            <w:pPr>
              <w:rPr>
                <w:rFonts w:ascii="宋体"/>
              </w:rPr>
            </w:pPr>
          </w:p>
        </w:tc>
        <w:tc>
          <w:tcPr>
            <w:tcW w:w="0" w:type="auto"/>
            <w:shd w:val="clear" w:color="auto" w:fill="auto"/>
          </w:tcPr>
          <w:p w14:paraId="36CA54B5" w14:textId="77777777" w:rsidR="00787570" w:rsidRDefault="00787570">
            <w:pPr>
              <w:rPr>
                <w:rFonts w:ascii="宋体"/>
              </w:rPr>
            </w:pPr>
          </w:p>
        </w:tc>
        <w:tc>
          <w:tcPr>
            <w:tcW w:w="0" w:type="auto"/>
            <w:shd w:val="clear" w:color="auto" w:fill="auto"/>
          </w:tcPr>
          <w:p w14:paraId="36CA54B6" w14:textId="77777777" w:rsidR="00787570" w:rsidRDefault="00787570">
            <w:pPr>
              <w:rPr>
                <w:rFonts w:ascii="宋体"/>
              </w:rPr>
            </w:pPr>
          </w:p>
        </w:tc>
      </w:tr>
      <w:tr w:rsidR="00787570" w14:paraId="36CA54C9" w14:textId="77777777">
        <w:tc>
          <w:tcPr>
            <w:tcW w:w="0" w:type="auto"/>
            <w:gridSpan w:val="3"/>
            <w:shd w:val="clear" w:color="auto" w:fill="auto"/>
            <w:tcMar>
              <w:top w:w="40" w:type="dxa"/>
              <w:left w:w="20" w:type="dxa"/>
              <w:bottom w:w="40" w:type="dxa"/>
              <w:right w:w="20" w:type="dxa"/>
            </w:tcMar>
            <w:vAlign w:val="bottom"/>
          </w:tcPr>
          <w:p w14:paraId="36CA54B8" w14:textId="77777777" w:rsidR="00787570" w:rsidRDefault="000D56E2">
            <w:pPr>
              <w:textAlignment w:val="bottom"/>
            </w:pPr>
            <w:r>
              <w:rPr>
                <w:rFonts w:ascii="Arial" w:eastAsia="宋体" w:hAnsi="Arial" w:cs="Arial"/>
                <w:b/>
                <w:bCs/>
                <w:color w:val="333333"/>
                <w:sz w:val="18"/>
                <w:szCs w:val="18"/>
              </w:rPr>
              <w:t>Operating margin</w:t>
            </w:r>
          </w:p>
        </w:tc>
        <w:tc>
          <w:tcPr>
            <w:tcW w:w="0" w:type="auto"/>
            <w:gridSpan w:val="3"/>
            <w:shd w:val="clear" w:color="auto" w:fill="auto"/>
            <w:tcMar>
              <w:left w:w="20" w:type="dxa"/>
              <w:right w:w="20" w:type="dxa"/>
            </w:tcMar>
            <w:vAlign w:val="bottom"/>
          </w:tcPr>
          <w:p w14:paraId="36CA54B9"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54BA" w14:textId="77777777" w:rsidR="00787570" w:rsidRDefault="000D56E2">
            <w:pPr>
              <w:jc w:val="right"/>
              <w:textAlignment w:val="bottom"/>
            </w:pPr>
            <w:r>
              <w:rPr>
                <w:rFonts w:ascii="Arial" w:eastAsia="宋体" w:hAnsi="Arial" w:cs="Arial"/>
                <w:b/>
                <w:bCs/>
                <w:color w:val="0071C5"/>
                <w:sz w:val="18"/>
                <w:szCs w:val="18"/>
              </w:rPr>
              <w:t>27.6</w:t>
            </w:r>
            <w:r>
              <w:rPr>
                <w:rFonts w:ascii="Arial" w:eastAsia="宋体" w:hAnsi="Arial" w:cs="Arial"/>
                <w:color w:val="0071C5"/>
                <w:sz w:val="18"/>
                <w:szCs w:val="18"/>
              </w:rPr>
              <w:t> </w:t>
            </w:r>
          </w:p>
        </w:tc>
        <w:tc>
          <w:tcPr>
            <w:tcW w:w="0" w:type="auto"/>
            <w:shd w:val="clear" w:color="auto" w:fill="auto"/>
            <w:tcMar>
              <w:top w:w="40" w:type="dxa"/>
              <w:bottom w:w="40" w:type="dxa"/>
              <w:right w:w="20" w:type="dxa"/>
            </w:tcMar>
            <w:vAlign w:val="bottom"/>
          </w:tcPr>
          <w:p w14:paraId="36CA54BB" w14:textId="77777777" w:rsidR="00787570" w:rsidRDefault="000D56E2">
            <w:pPr>
              <w:jc w:val="right"/>
              <w:textAlignment w:val="bottom"/>
            </w:pPr>
            <w:r>
              <w:rPr>
                <w:rFonts w:ascii="Arial" w:eastAsia="宋体" w:hAnsi="Arial" w:cs="Arial"/>
                <w:b/>
                <w:bCs/>
                <w:color w:val="0071C5"/>
                <w:sz w:val="18"/>
                <w:szCs w:val="18"/>
              </w:rPr>
              <w:t>%</w:t>
            </w:r>
          </w:p>
        </w:tc>
        <w:tc>
          <w:tcPr>
            <w:tcW w:w="0" w:type="auto"/>
            <w:gridSpan w:val="3"/>
            <w:shd w:val="clear" w:color="auto" w:fill="auto"/>
            <w:tcMar>
              <w:left w:w="20" w:type="dxa"/>
              <w:right w:w="20" w:type="dxa"/>
            </w:tcMar>
            <w:vAlign w:val="bottom"/>
          </w:tcPr>
          <w:p w14:paraId="36CA54BC"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54BD" w14:textId="77777777" w:rsidR="00787570" w:rsidRDefault="000D56E2">
            <w:pPr>
              <w:jc w:val="right"/>
              <w:textAlignment w:val="bottom"/>
            </w:pPr>
            <w:r>
              <w:rPr>
                <w:rFonts w:ascii="Arial" w:eastAsia="宋体" w:hAnsi="Arial" w:cs="Arial"/>
                <w:b/>
                <w:bCs/>
                <w:color w:val="333333"/>
                <w:sz w:val="18"/>
                <w:szCs w:val="18"/>
              </w:rPr>
              <w:t>33.6</w:t>
            </w:r>
            <w:r>
              <w:rPr>
                <w:rFonts w:ascii="Arial" w:eastAsia="宋体" w:hAnsi="Arial" w:cs="Arial"/>
                <w:color w:val="333333"/>
                <w:sz w:val="18"/>
                <w:szCs w:val="18"/>
              </w:rPr>
              <w:t> </w:t>
            </w:r>
          </w:p>
        </w:tc>
        <w:tc>
          <w:tcPr>
            <w:tcW w:w="0" w:type="auto"/>
            <w:shd w:val="clear" w:color="auto" w:fill="auto"/>
            <w:tcMar>
              <w:top w:w="40" w:type="dxa"/>
              <w:bottom w:w="40" w:type="dxa"/>
              <w:right w:w="20" w:type="dxa"/>
            </w:tcMar>
            <w:vAlign w:val="bottom"/>
          </w:tcPr>
          <w:p w14:paraId="36CA54BE" w14:textId="77777777" w:rsidR="00787570" w:rsidRDefault="000D56E2">
            <w:pPr>
              <w:jc w:val="right"/>
              <w:textAlignment w:val="bottom"/>
            </w:pPr>
            <w:r>
              <w:rPr>
                <w:rFonts w:ascii="Arial" w:eastAsia="宋体" w:hAnsi="Arial" w:cs="Arial"/>
                <w:b/>
                <w:bCs/>
                <w:color w:val="333333"/>
                <w:sz w:val="18"/>
                <w:szCs w:val="18"/>
              </w:rPr>
              <w:t>%</w:t>
            </w:r>
          </w:p>
        </w:tc>
        <w:tc>
          <w:tcPr>
            <w:tcW w:w="0" w:type="auto"/>
            <w:shd w:val="clear" w:color="auto" w:fill="auto"/>
          </w:tcPr>
          <w:p w14:paraId="36CA54BF" w14:textId="77777777" w:rsidR="00787570" w:rsidRDefault="00787570">
            <w:pPr>
              <w:rPr>
                <w:rFonts w:ascii="宋体"/>
                <w:vanish/>
              </w:rPr>
            </w:pPr>
          </w:p>
        </w:tc>
        <w:tc>
          <w:tcPr>
            <w:tcW w:w="0" w:type="auto"/>
            <w:shd w:val="clear" w:color="auto" w:fill="auto"/>
          </w:tcPr>
          <w:p w14:paraId="36CA54C0" w14:textId="77777777" w:rsidR="00787570" w:rsidRDefault="00787570">
            <w:pPr>
              <w:rPr>
                <w:rFonts w:ascii="宋体"/>
                <w:vanish/>
              </w:rPr>
            </w:pPr>
          </w:p>
        </w:tc>
        <w:tc>
          <w:tcPr>
            <w:tcW w:w="0" w:type="auto"/>
            <w:shd w:val="clear" w:color="auto" w:fill="auto"/>
          </w:tcPr>
          <w:p w14:paraId="36CA54C1" w14:textId="77777777" w:rsidR="00787570" w:rsidRDefault="00787570">
            <w:pPr>
              <w:rPr>
                <w:rFonts w:ascii="宋体"/>
                <w:vanish/>
              </w:rPr>
            </w:pPr>
          </w:p>
        </w:tc>
        <w:tc>
          <w:tcPr>
            <w:tcW w:w="0" w:type="auto"/>
            <w:shd w:val="clear" w:color="auto" w:fill="auto"/>
          </w:tcPr>
          <w:p w14:paraId="36CA54C2" w14:textId="77777777" w:rsidR="00787570" w:rsidRDefault="00787570">
            <w:pPr>
              <w:rPr>
                <w:rFonts w:ascii="宋体"/>
                <w:vanish/>
              </w:rPr>
            </w:pPr>
          </w:p>
        </w:tc>
        <w:tc>
          <w:tcPr>
            <w:tcW w:w="0" w:type="auto"/>
            <w:shd w:val="clear" w:color="auto" w:fill="auto"/>
          </w:tcPr>
          <w:p w14:paraId="36CA54C3" w14:textId="77777777" w:rsidR="00787570" w:rsidRDefault="00787570">
            <w:pPr>
              <w:rPr>
                <w:rFonts w:ascii="宋体"/>
              </w:rPr>
            </w:pPr>
          </w:p>
        </w:tc>
        <w:tc>
          <w:tcPr>
            <w:tcW w:w="0" w:type="auto"/>
            <w:shd w:val="clear" w:color="auto" w:fill="auto"/>
          </w:tcPr>
          <w:p w14:paraId="36CA54C4" w14:textId="77777777" w:rsidR="00787570" w:rsidRDefault="00787570">
            <w:pPr>
              <w:rPr>
                <w:rFonts w:ascii="宋体"/>
              </w:rPr>
            </w:pPr>
          </w:p>
        </w:tc>
        <w:tc>
          <w:tcPr>
            <w:tcW w:w="0" w:type="auto"/>
            <w:shd w:val="clear" w:color="auto" w:fill="auto"/>
          </w:tcPr>
          <w:p w14:paraId="36CA54C5" w14:textId="77777777" w:rsidR="00787570" w:rsidRDefault="00787570">
            <w:pPr>
              <w:rPr>
                <w:rFonts w:ascii="宋体"/>
              </w:rPr>
            </w:pPr>
          </w:p>
        </w:tc>
        <w:tc>
          <w:tcPr>
            <w:tcW w:w="0" w:type="auto"/>
            <w:shd w:val="clear" w:color="auto" w:fill="auto"/>
          </w:tcPr>
          <w:p w14:paraId="36CA54C6" w14:textId="77777777" w:rsidR="00787570" w:rsidRDefault="00787570">
            <w:pPr>
              <w:rPr>
                <w:rFonts w:ascii="宋体"/>
              </w:rPr>
            </w:pPr>
          </w:p>
        </w:tc>
        <w:tc>
          <w:tcPr>
            <w:tcW w:w="0" w:type="auto"/>
            <w:shd w:val="clear" w:color="auto" w:fill="auto"/>
          </w:tcPr>
          <w:p w14:paraId="36CA54C7" w14:textId="77777777" w:rsidR="00787570" w:rsidRDefault="00787570">
            <w:pPr>
              <w:rPr>
                <w:rFonts w:ascii="宋体"/>
              </w:rPr>
            </w:pPr>
          </w:p>
        </w:tc>
        <w:tc>
          <w:tcPr>
            <w:tcW w:w="0" w:type="auto"/>
            <w:shd w:val="clear" w:color="auto" w:fill="auto"/>
          </w:tcPr>
          <w:p w14:paraId="36CA54C8" w14:textId="77777777" w:rsidR="00787570" w:rsidRDefault="00787570">
            <w:pPr>
              <w:rPr>
                <w:rFonts w:ascii="宋体"/>
              </w:rPr>
            </w:pPr>
          </w:p>
        </w:tc>
      </w:tr>
      <w:tr w:rsidR="00787570" w14:paraId="36CA54DB" w14:textId="77777777">
        <w:tc>
          <w:tcPr>
            <w:tcW w:w="0" w:type="auto"/>
            <w:gridSpan w:val="3"/>
            <w:shd w:val="clear" w:color="auto" w:fill="auto"/>
            <w:tcMar>
              <w:top w:w="40" w:type="dxa"/>
              <w:left w:w="225" w:type="dxa"/>
              <w:bottom w:w="40" w:type="dxa"/>
              <w:right w:w="20" w:type="dxa"/>
            </w:tcMar>
            <w:vAlign w:val="bottom"/>
          </w:tcPr>
          <w:p w14:paraId="36CA54CA" w14:textId="77777777" w:rsidR="00787570" w:rsidRDefault="000D56E2">
            <w:pPr>
              <w:textAlignment w:val="bottom"/>
            </w:pPr>
            <w:r>
              <w:rPr>
                <w:rFonts w:ascii="Arial" w:eastAsia="宋体" w:hAnsi="Arial" w:cs="Arial"/>
                <w:color w:val="333333"/>
                <w:sz w:val="18"/>
                <w:szCs w:val="18"/>
              </w:rPr>
              <w:t>Acquisition-related adjustments</w:t>
            </w:r>
          </w:p>
        </w:tc>
        <w:tc>
          <w:tcPr>
            <w:tcW w:w="0" w:type="auto"/>
            <w:gridSpan w:val="3"/>
            <w:shd w:val="clear" w:color="auto" w:fill="auto"/>
            <w:tcMar>
              <w:left w:w="20" w:type="dxa"/>
              <w:right w:w="20" w:type="dxa"/>
            </w:tcMar>
            <w:vAlign w:val="bottom"/>
          </w:tcPr>
          <w:p w14:paraId="36CA54CB"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54CC" w14:textId="77777777" w:rsidR="00787570" w:rsidRDefault="000D56E2">
            <w:pPr>
              <w:jc w:val="right"/>
              <w:textAlignment w:val="bottom"/>
            </w:pPr>
            <w:r>
              <w:rPr>
                <w:rFonts w:ascii="Arial" w:eastAsia="宋体" w:hAnsi="Arial" w:cs="Arial"/>
                <w:color w:val="0071C5"/>
                <w:sz w:val="18"/>
                <w:szCs w:val="18"/>
              </w:rPr>
              <w:t>2.0 </w:t>
            </w:r>
          </w:p>
        </w:tc>
        <w:tc>
          <w:tcPr>
            <w:tcW w:w="0" w:type="auto"/>
            <w:shd w:val="clear" w:color="auto" w:fill="auto"/>
            <w:tcMar>
              <w:top w:w="40" w:type="dxa"/>
              <w:bottom w:w="40" w:type="dxa"/>
              <w:right w:w="20" w:type="dxa"/>
            </w:tcMar>
            <w:vAlign w:val="bottom"/>
          </w:tcPr>
          <w:p w14:paraId="36CA54CD" w14:textId="77777777" w:rsidR="00787570" w:rsidRDefault="000D56E2">
            <w:pPr>
              <w:jc w:val="right"/>
              <w:textAlignment w:val="bottom"/>
            </w:pPr>
            <w:r>
              <w:rPr>
                <w:rFonts w:ascii="Arial" w:eastAsia="宋体" w:hAnsi="Arial" w:cs="Arial"/>
                <w:color w:val="0071C5"/>
                <w:sz w:val="18"/>
                <w:szCs w:val="18"/>
              </w:rPr>
              <w:t>%</w:t>
            </w:r>
          </w:p>
        </w:tc>
        <w:tc>
          <w:tcPr>
            <w:tcW w:w="0" w:type="auto"/>
            <w:gridSpan w:val="3"/>
            <w:shd w:val="clear" w:color="auto" w:fill="auto"/>
            <w:tcMar>
              <w:left w:w="20" w:type="dxa"/>
              <w:right w:w="20" w:type="dxa"/>
            </w:tcMar>
            <w:vAlign w:val="bottom"/>
          </w:tcPr>
          <w:p w14:paraId="36CA54CE"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54CF" w14:textId="77777777" w:rsidR="00787570" w:rsidRDefault="000D56E2">
            <w:pPr>
              <w:jc w:val="right"/>
              <w:textAlignment w:val="bottom"/>
            </w:pPr>
            <w:r>
              <w:rPr>
                <w:rFonts w:ascii="Arial" w:eastAsia="宋体" w:hAnsi="Arial" w:cs="Arial"/>
                <w:color w:val="333333"/>
                <w:sz w:val="18"/>
                <w:szCs w:val="18"/>
              </w:rPr>
              <w:t>1.8 </w:t>
            </w:r>
          </w:p>
        </w:tc>
        <w:tc>
          <w:tcPr>
            <w:tcW w:w="0" w:type="auto"/>
            <w:shd w:val="clear" w:color="auto" w:fill="auto"/>
            <w:tcMar>
              <w:top w:w="40" w:type="dxa"/>
              <w:bottom w:w="40" w:type="dxa"/>
              <w:right w:w="20" w:type="dxa"/>
            </w:tcMar>
            <w:vAlign w:val="bottom"/>
          </w:tcPr>
          <w:p w14:paraId="36CA54D0" w14:textId="77777777" w:rsidR="00787570" w:rsidRDefault="000D56E2">
            <w:pPr>
              <w:jc w:val="right"/>
              <w:textAlignment w:val="bottom"/>
            </w:pPr>
            <w:r>
              <w:rPr>
                <w:rFonts w:ascii="Arial" w:eastAsia="宋体" w:hAnsi="Arial" w:cs="Arial"/>
                <w:color w:val="333333"/>
                <w:sz w:val="18"/>
                <w:szCs w:val="18"/>
              </w:rPr>
              <w:t>%</w:t>
            </w:r>
          </w:p>
        </w:tc>
        <w:tc>
          <w:tcPr>
            <w:tcW w:w="0" w:type="auto"/>
            <w:shd w:val="clear" w:color="auto" w:fill="auto"/>
          </w:tcPr>
          <w:p w14:paraId="36CA54D1" w14:textId="77777777" w:rsidR="00787570" w:rsidRDefault="00787570">
            <w:pPr>
              <w:rPr>
                <w:rFonts w:ascii="宋体"/>
                <w:vanish/>
              </w:rPr>
            </w:pPr>
          </w:p>
        </w:tc>
        <w:tc>
          <w:tcPr>
            <w:tcW w:w="0" w:type="auto"/>
            <w:shd w:val="clear" w:color="auto" w:fill="auto"/>
          </w:tcPr>
          <w:p w14:paraId="36CA54D2" w14:textId="77777777" w:rsidR="00787570" w:rsidRDefault="00787570">
            <w:pPr>
              <w:rPr>
                <w:rFonts w:ascii="宋体"/>
                <w:vanish/>
              </w:rPr>
            </w:pPr>
          </w:p>
        </w:tc>
        <w:tc>
          <w:tcPr>
            <w:tcW w:w="0" w:type="auto"/>
            <w:shd w:val="clear" w:color="auto" w:fill="auto"/>
          </w:tcPr>
          <w:p w14:paraId="36CA54D3" w14:textId="77777777" w:rsidR="00787570" w:rsidRDefault="00787570">
            <w:pPr>
              <w:rPr>
                <w:rFonts w:ascii="宋体"/>
                <w:vanish/>
              </w:rPr>
            </w:pPr>
          </w:p>
        </w:tc>
        <w:tc>
          <w:tcPr>
            <w:tcW w:w="0" w:type="auto"/>
            <w:shd w:val="clear" w:color="auto" w:fill="auto"/>
          </w:tcPr>
          <w:p w14:paraId="36CA54D4" w14:textId="77777777" w:rsidR="00787570" w:rsidRDefault="00787570">
            <w:pPr>
              <w:rPr>
                <w:rFonts w:ascii="宋体"/>
                <w:vanish/>
              </w:rPr>
            </w:pPr>
          </w:p>
        </w:tc>
        <w:tc>
          <w:tcPr>
            <w:tcW w:w="0" w:type="auto"/>
            <w:shd w:val="clear" w:color="auto" w:fill="auto"/>
          </w:tcPr>
          <w:p w14:paraId="36CA54D5" w14:textId="77777777" w:rsidR="00787570" w:rsidRDefault="00787570">
            <w:pPr>
              <w:rPr>
                <w:rFonts w:ascii="宋体"/>
              </w:rPr>
            </w:pPr>
          </w:p>
        </w:tc>
        <w:tc>
          <w:tcPr>
            <w:tcW w:w="0" w:type="auto"/>
            <w:shd w:val="clear" w:color="auto" w:fill="auto"/>
          </w:tcPr>
          <w:p w14:paraId="36CA54D6" w14:textId="77777777" w:rsidR="00787570" w:rsidRDefault="00787570">
            <w:pPr>
              <w:rPr>
                <w:rFonts w:ascii="宋体"/>
              </w:rPr>
            </w:pPr>
          </w:p>
        </w:tc>
        <w:tc>
          <w:tcPr>
            <w:tcW w:w="0" w:type="auto"/>
            <w:shd w:val="clear" w:color="auto" w:fill="auto"/>
          </w:tcPr>
          <w:p w14:paraId="36CA54D7" w14:textId="77777777" w:rsidR="00787570" w:rsidRDefault="00787570">
            <w:pPr>
              <w:rPr>
                <w:rFonts w:ascii="宋体"/>
              </w:rPr>
            </w:pPr>
          </w:p>
        </w:tc>
        <w:tc>
          <w:tcPr>
            <w:tcW w:w="0" w:type="auto"/>
            <w:shd w:val="clear" w:color="auto" w:fill="auto"/>
          </w:tcPr>
          <w:p w14:paraId="36CA54D8" w14:textId="77777777" w:rsidR="00787570" w:rsidRDefault="00787570">
            <w:pPr>
              <w:rPr>
                <w:rFonts w:ascii="宋体"/>
              </w:rPr>
            </w:pPr>
          </w:p>
        </w:tc>
        <w:tc>
          <w:tcPr>
            <w:tcW w:w="0" w:type="auto"/>
            <w:shd w:val="clear" w:color="auto" w:fill="auto"/>
          </w:tcPr>
          <w:p w14:paraId="36CA54D9" w14:textId="77777777" w:rsidR="00787570" w:rsidRDefault="00787570">
            <w:pPr>
              <w:rPr>
                <w:rFonts w:ascii="宋体"/>
              </w:rPr>
            </w:pPr>
          </w:p>
        </w:tc>
        <w:tc>
          <w:tcPr>
            <w:tcW w:w="0" w:type="auto"/>
            <w:shd w:val="clear" w:color="auto" w:fill="auto"/>
          </w:tcPr>
          <w:p w14:paraId="36CA54DA" w14:textId="77777777" w:rsidR="00787570" w:rsidRDefault="00787570">
            <w:pPr>
              <w:rPr>
                <w:rFonts w:ascii="宋体"/>
              </w:rPr>
            </w:pPr>
          </w:p>
        </w:tc>
      </w:tr>
      <w:tr w:rsidR="00787570" w14:paraId="36CA54EB" w14:textId="77777777">
        <w:trPr>
          <w:hidden/>
        </w:trPr>
        <w:tc>
          <w:tcPr>
            <w:tcW w:w="0" w:type="auto"/>
            <w:gridSpan w:val="3"/>
            <w:shd w:val="clear" w:color="auto" w:fill="auto"/>
          </w:tcPr>
          <w:p w14:paraId="36CA54DC" w14:textId="77777777" w:rsidR="00787570" w:rsidRDefault="00787570">
            <w:pPr>
              <w:rPr>
                <w:rFonts w:ascii="宋体"/>
                <w:vanish/>
              </w:rPr>
            </w:pPr>
          </w:p>
        </w:tc>
        <w:tc>
          <w:tcPr>
            <w:tcW w:w="0" w:type="auto"/>
            <w:gridSpan w:val="3"/>
            <w:shd w:val="clear" w:color="auto" w:fill="auto"/>
          </w:tcPr>
          <w:p w14:paraId="36CA54DD" w14:textId="77777777" w:rsidR="00787570" w:rsidRDefault="00787570">
            <w:pPr>
              <w:rPr>
                <w:rFonts w:ascii="宋体"/>
                <w:vanish/>
              </w:rPr>
            </w:pPr>
          </w:p>
        </w:tc>
        <w:tc>
          <w:tcPr>
            <w:tcW w:w="0" w:type="auto"/>
            <w:gridSpan w:val="3"/>
            <w:shd w:val="clear" w:color="auto" w:fill="auto"/>
          </w:tcPr>
          <w:p w14:paraId="36CA54DE" w14:textId="77777777" w:rsidR="00787570" w:rsidRDefault="00787570">
            <w:pPr>
              <w:rPr>
                <w:rFonts w:ascii="宋体"/>
                <w:vanish/>
              </w:rPr>
            </w:pPr>
          </w:p>
        </w:tc>
        <w:tc>
          <w:tcPr>
            <w:tcW w:w="0" w:type="auto"/>
            <w:gridSpan w:val="3"/>
            <w:shd w:val="clear" w:color="auto" w:fill="auto"/>
          </w:tcPr>
          <w:p w14:paraId="36CA54DF" w14:textId="77777777" w:rsidR="00787570" w:rsidRDefault="00787570">
            <w:pPr>
              <w:rPr>
                <w:rFonts w:ascii="宋体"/>
                <w:vanish/>
              </w:rPr>
            </w:pPr>
          </w:p>
        </w:tc>
        <w:tc>
          <w:tcPr>
            <w:tcW w:w="0" w:type="auto"/>
            <w:gridSpan w:val="3"/>
            <w:shd w:val="clear" w:color="auto" w:fill="auto"/>
          </w:tcPr>
          <w:p w14:paraId="36CA54E0" w14:textId="77777777" w:rsidR="00787570" w:rsidRDefault="00787570">
            <w:pPr>
              <w:rPr>
                <w:rFonts w:ascii="宋体"/>
                <w:vanish/>
              </w:rPr>
            </w:pPr>
          </w:p>
        </w:tc>
        <w:tc>
          <w:tcPr>
            <w:tcW w:w="0" w:type="auto"/>
            <w:shd w:val="clear" w:color="auto" w:fill="auto"/>
          </w:tcPr>
          <w:p w14:paraId="36CA54E1" w14:textId="77777777" w:rsidR="00787570" w:rsidRDefault="00787570">
            <w:pPr>
              <w:rPr>
                <w:rFonts w:ascii="宋体"/>
                <w:vanish/>
              </w:rPr>
            </w:pPr>
          </w:p>
        </w:tc>
        <w:tc>
          <w:tcPr>
            <w:tcW w:w="0" w:type="auto"/>
            <w:shd w:val="clear" w:color="auto" w:fill="auto"/>
          </w:tcPr>
          <w:p w14:paraId="36CA54E2" w14:textId="77777777" w:rsidR="00787570" w:rsidRDefault="00787570">
            <w:pPr>
              <w:rPr>
                <w:rFonts w:ascii="宋体"/>
                <w:vanish/>
              </w:rPr>
            </w:pPr>
          </w:p>
        </w:tc>
        <w:tc>
          <w:tcPr>
            <w:tcW w:w="0" w:type="auto"/>
            <w:shd w:val="clear" w:color="auto" w:fill="auto"/>
          </w:tcPr>
          <w:p w14:paraId="36CA54E3" w14:textId="77777777" w:rsidR="00787570" w:rsidRDefault="00787570">
            <w:pPr>
              <w:rPr>
                <w:rFonts w:ascii="宋体"/>
                <w:vanish/>
              </w:rPr>
            </w:pPr>
          </w:p>
        </w:tc>
        <w:tc>
          <w:tcPr>
            <w:tcW w:w="0" w:type="auto"/>
            <w:shd w:val="clear" w:color="auto" w:fill="auto"/>
          </w:tcPr>
          <w:p w14:paraId="36CA54E4" w14:textId="77777777" w:rsidR="00787570" w:rsidRDefault="00787570">
            <w:pPr>
              <w:rPr>
                <w:rFonts w:ascii="宋体"/>
                <w:vanish/>
              </w:rPr>
            </w:pPr>
          </w:p>
        </w:tc>
        <w:tc>
          <w:tcPr>
            <w:tcW w:w="0" w:type="auto"/>
            <w:shd w:val="clear" w:color="auto" w:fill="auto"/>
          </w:tcPr>
          <w:p w14:paraId="36CA54E5" w14:textId="77777777" w:rsidR="00787570" w:rsidRDefault="00787570">
            <w:pPr>
              <w:rPr>
                <w:rFonts w:ascii="宋体"/>
              </w:rPr>
            </w:pPr>
          </w:p>
        </w:tc>
        <w:tc>
          <w:tcPr>
            <w:tcW w:w="0" w:type="auto"/>
            <w:shd w:val="clear" w:color="auto" w:fill="auto"/>
          </w:tcPr>
          <w:p w14:paraId="36CA54E6" w14:textId="77777777" w:rsidR="00787570" w:rsidRDefault="00787570">
            <w:pPr>
              <w:rPr>
                <w:rFonts w:ascii="宋体"/>
              </w:rPr>
            </w:pPr>
          </w:p>
        </w:tc>
        <w:tc>
          <w:tcPr>
            <w:tcW w:w="0" w:type="auto"/>
            <w:shd w:val="clear" w:color="auto" w:fill="auto"/>
          </w:tcPr>
          <w:p w14:paraId="36CA54E7" w14:textId="77777777" w:rsidR="00787570" w:rsidRDefault="00787570">
            <w:pPr>
              <w:rPr>
                <w:rFonts w:ascii="宋体"/>
              </w:rPr>
            </w:pPr>
          </w:p>
        </w:tc>
        <w:tc>
          <w:tcPr>
            <w:tcW w:w="0" w:type="auto"/>
            <w:shd w:val="clear" w:color="auto" w:fill="auto"/>
          </w:tcPr>
          <w:p w14:paraId="36CA54E8" w14:textId="77777777" w:rsidR="00787570" w:rsidRDefault="00787570">
            <w:pPr>
              <w:rPr>
                <w:rFonts w:ascii="宋体"/>
              </w:rPr>
            </w:pPr>
          </w:p>
        </w:tc>
        <w:tc>
          <w:tcPr>
            <w:tcW w:w="0" w:type="auto"/>
            <w:shd w:val="clear" w:color="auto" w:fill="auto"/>
          </w:tcPr>
          <w:p w14:paraId="36CA54E9" w14:textId="77777777" w:rsidR="00787570" w:rsidRDefault="00787570">
            <w:pPr>
              <w:rPr>
                <w:rFonts w:ascii="宋体"/>
              </w:rPr>
            </w:pPr>
          </w:p>
        </w:tc>
        <w:tc>
          <w:tcPr>
            <w:tcW w:w="0" w:type="auto"/>
            <w:shd w:val="clear" w:color="auto" w:fill="auto"/>
          </w:tcPr>
          <w:p w14:paraId="36CA54EA" w14:textId="77777777" w:rsidR="00787570" w:rsidRDefault="00787570">
            <w:pPr>
              <w:rPr>
                <w:rFonts w:ascii="宋体"/>
              </w:rPr>
            </w:pPr>
          </w:p>
        </w:tc>
      </w:tr>
      <w:tr w:rsidR="00787570" w14:paraId="36CA54FB" w14:textId="77777777">
        <w:trPr>
          <w:hidden/>
        </w:trPr>
        <w:tc>
          <w:tcPr>
            <w:tcW w:w="0" w:type="auto"/>
            <w:gridSpan w:val="3"/>
            <w:shd w:val="clear" w:color="auto" w:fill="auto"/>
          </w:tcPr>
          <w:p w14:paraId="36CA54EC" w14:textId="77777777" w:rsidR="00787570" w:rsidRDefault="00787570">
            <w:pPr>
              <w:rPr>
                <w:rFonts w:ascii="宋体"/>
                <w:vanish/>
              </w:rPr>
            </w:pPr>
          </w:p>
        </w:tc>
        <w:tc>
          <w:tcPr>
            <w:tcW w:w="0" w:type="auto"/>
            <w:gridSpan w:val="3"/>
            <w:shd w:val="clear" w:color="auto" w:fill="auto"/>
          </w:tcPr>
          <w:p w14:paraId="36CA54ED" w14:textId="77777777" w:rsidR="00787570" w:rsidRDefault="00787570">
            <w:pPr>
              <w:rPr>
                <w:rFonts w:ascii="宋体"/>
                <w:vanish/>
              </w:rPr>
            </w:pPr>
          </w:p>
        </w:tc>
        <w:tc>
          <w:tcPr>
            <w:tcW w:w="0" w:type="auto"/>
            <w:gridSpan w:val="3"/>
            <w:shd w:val="clear" w:color="auto" w:fill="auto"/>
          </w:tcPr>
          <w:p w14:paraId="36CA54EE" w14:textId="77777777" w:rsidR="00787570" w:rsidRDefault="00787570">
            <w:pPr>
              <w:rPr>
                <w:rFonts w:ascii="宋体"/>
                <w:vanish/>
              </w:rPr>
            </w:pPr>
          </w:p>
        </w:tc>
        <w:tc>
          <w:tcPr>
            <w:tcW w:w="0" w:type="auto"/>
            <w:gridSpan w:val="3"/>
            <w:shd w:val="clear" w:color="auto" w:fill="auto"/>
          </w:tcPr>
          <w:p w14:paraId="36CA54EF" w14:textId="77777777" w:rsidR="00787570" w:rsidRDefault="00787570">
            <w:pPr>
              <w:rPr>
                <w:rFonts w:ascii="宋体"/>
                <w:vanish/>
              </w:rPr>
            </w:pPr>
          </w:p>
        </w:tc>
        <w:tc>
          <w:tcPr>
            <w:tcW w:w="0" w:type="auto"/>
            <w:gridSpan w:val="3"/>
            <w:shd w:val="clear" w:color="auto" w:fill="auto"/>
          </w:tcPr>
          <w:p w14:paraId="36CA54F0" w14:textId="77777777" w:rsidR="00787570" w:rsidRDefault="00787570">
            <w:pPr>
              <w:rPr>
                <w:rFonts w:ascii="宋体"/>
                <w:vanish/>
              </w:rPr>
            </w:pPr>
          </w:p>
        </w:tc>
        <w:tc>
          <w:tcPr>
            <w:tcW w:w="0" w:type="auto"/>
            <w:shd w:val="clear" w:color="auto" w:fill="auto"/>
          </w:tcPr>
          <w:p w14:paraId="36CA54F1" w14:textId="77777777" w:rsidR="00787570" w:rsidRDefault="00787570">
            <w:pPr>
              <w:rPr>
                <w:rFonts w:ascii="宋体"/>
                <w:vanish/>
              </w:rPr>
            </w:pPr>
          </w:p>
        </w:tc>
        <w:tc>
          <w:tcPr>
            <w:tcW w:w="0" w:type="auto"/>
            <w:shd w:val="clear" w:color="auto" w:fill="auto"/>
          </w:tcPr>
          <w:p w14:paraId="36CA54F2" w14:textId="77777777" w:rsidR="00787570" w:rsidRDefault="00787570">
            <w:pPr>
              <w:rPr>
                <w:rFonts w:ascii="宋体"/>
                <w:vanish/>
              </w:rPr>
            </w:pPr>
          </w:p>
        </w:tc>
        <w:tc>
          <w:tcPr>
            <w:tcW w:w="0" w:type="auto"/>
            <w:shd w:val="clear" w:color="auto" w:fill="auto"/>
          </w:tcPr>
          <w:p w14:paraId="36CA54F3" w14:textId="77777777" w:rsidR="00787570" w:rsidRDefault="00787570">
            <w:pPr>
              <w:rPr>
                <w:rFonts w:ascii="宋体"/>
                <w:vanish/>
              </w:rPr>
            </w:pPr>
          </w:p>
        </w:tc>
        <w:tc>
          <w:tcPr>
            <w:tcW w:w="0" w:type="auto"/>
            <w:shd w:val="clear" w:color="auto" w:fill="auto"/>
          </w:tcPr>
          <w:p w14:paraId="36CA54F4" w14:textId="77777777" w:rsidR="00787570" w:rsidRDefault="00787570">
            <w:pPr>
              <w:rPr>
                <w:rFonts w:ascii="宋体"/>
                <w:vanish/>
              </w:rPr>
            </w:pPr>
          </w:p>
        </w:tc>
        <w:tc>
          <w:tcPr>
            <w:tcW w:w="0" w:type="auto"/>
            <w:shd w:val="clear" w:color="auto" w:fill="auto"/>
          </w:tcPr>
          <w:p w14:paraId="36CA54F5" w14:textId="77777777" w:rsidR="00787570" w:rsidRDefault="00787570">
            <w:pPr>
              <w:rPr>
                <w:rFonts w:ascii="宋体"/>
              </w:rPr>
            </w:pPr>
          </w:p>
        </w:tc>
        <w:tc>
          <w:tcPr>
            <w:tcW w:w="0" w:type="auto"/>
            <w:shd w:val="clear" w:color="auto" w:fill="auto"/>
          </w:tcPr>
          <w:p w14:paraId="36CA54F6" w14:textId="77777777" w:rsidR="00787570" w:rsidRDefault="00787570">
            <w:pPr>
              <w:rPr>
                <w:rFonts w:ascii="宋体"/>
              </w:rPr>
            </w:pPr>
          </w:p>
        </w:tc>
        <w:tc>
          <w:tcPr>
            <w:tcW w:w="0" w:type="auto"/>
            <w:shd w:val="clear" w:color="auto" w:fill="auto"/>
          </w:tcPr>
          <w:p w14:paraId="36CA54F7" w14:textId="77777777" w:rsidR="00787570" w:rsidRDefault="00787570">
            <w:pPr>
              <w:rPr>
                <w:rFonts w:ascii="宋体"/>
              </w:rPr>
            </w:pPr>
          </w:p>
        </w:tc>
        <w:tc>
          <w:tcPr>
            <w:tcW w:w="0" w:type="auto"/>
            <w:shd w:val="clear" w:color="auto" w:fill="auto"/>
          </w:tcPr>
          <w:p w14:paraId="36CA54F8" w14:textId="77777777" w:rsidR="00787570" w:rsidRDefault="00787570">
            <w:pPr>
              <w:rPr>
                <w:rFonts w:ascii="宋体"/>
              </w:rPr>
            </w:pPr>
          </w:p>
        </w:tc>
        <w:tc>
          <w:tcPr>
            <w:tcW w:w="0" w:type="auto"/>
            <w:shd w:val="clear" w:color="auto" w:fill="auto"/>
          </w:tcPr>
          <w:p w14:paraId="36CA54F9" w14:textId="77777777" w:rsidR="00787570" w:rsidRDefault="00787570">
            <w:pPr>
              <w:rPr>
                <w:rFonts w:ascii="宋体"/>
              </w:rPr>
            </w:pPr>
          </w:p>
        </w:tc>
        <w:tc>
          <w:tcPr>
            <w:tcW w:w="0" w:type="auto"/>
            <w:shd w:val="clear" w:color="auto" w:fill="auto"/>
          </w:tcPr>
          <w:p w14:paraId="36CA54FA" w14:textId="77777777" w:rsidR="00787570" w:rsidRDefault="00787570">
            <w:pPr>
              <w:rPr>
                <w:rFonts w:ascii="宋体"/>
              </w:rPr>
            </w:pPr>
          </w:p>
        </w:tc>
      </w:tr>
      <w:tr w:rsidR="00787570" w14:paraId="36CA550B" w14:textId="77777777">
        <w:trPr>
          <w:hidden/>
        </w:trPr>
        <w:tc>
          <w:tcPr>
            <w:tcW w:w="0" w:type="auto"/>
            <w:gridSpan w:val="3"/>
            <w:shd w:val="clear" w:color="auto" w:fill="auto"/>
          </w:tcPr>
          <w:p w14:paraId="36CA54FC" w14:textId="77777777" w:rsidR="00787570" w:rsidRDefault="00787570">
            <w:pPr>
              <w:rPr>
                <w:rFonts w:ascii="宋体"/>
                <w:vanish/>
              </w:rPr>
            </w:pPr>
          </w:p>
        </w:tc>
        <w:tc>
          <w:tcPr>
            <w:tcW w:w="0" w:type="auto"/>
            <w:gridSpan w:val="3"/>
            <w:shd w:val="clear" w:color="auto" w:fill="auto"/>
          </w:tcPr>
          <w:p w14:paraId="36CA54FD" w14:textId="77777777" w:rsidR="00787570" w:rsidRDefault="00787570">
            <w:pPr>
              <w:rPr>
                <w:rFonts w:ascii="宋体"/>
                <w:vanish/>
              </w:rPr>
            </w:pPr>
          </w:p>
        </w:tc>
        <w:tc>
          <w:tcPr>
            <w:tcW w:w="0" w:type="auto"/>
            <w:gridSpan w:val="3"/>
            <w:shd w:val="clear" w:color="auto" w:fill="auto"/>
          </w:tcPr>
          <w:p w14:paraId="36CA54FE" w14:textId="77777777" w:rsidR="00787570" w:rsidRDefault="00787570">
            <w:pPr>
              <w:rPr>
                <w:rFonts w:ascii="宋体"/>
                <w:vanish/>
              </w:rPr>
            </w:pPr>
          </w:p>
        </w:tc>
        <w:tc>
          <w:tcPr>
            <w:tcW w:w="0" w:type="auto"/>
            <w:gridSpan w:val="3"/>
            <w:shd w:val="clear" w:color="auto" w:fill="auto"/>
          </w:tcPr>
          <w:p w14:paraId="36CA54FF" w14:textId="77777777" w:rsidR="00787570" w:rsidRDefault="00787570">
            <w:pPr>
              <w:rPr>
                <w:rFonts w:ascii="宋体"/>
                <w:vanish/>
              </w:rPr>
            </w:pPr>
          </w:p>
        </w:tc>
        <w:tc>
          <w:tcPr>
            <w:tcW w:w="0" w:type="auto"/>
            <w:gridSpan w:val="3"/>
            <w:shd w:val="clear" w:color="auto" w:fill="auto"/>
          </w:tcPr>
          <w:p w14:paraId="36CA5500" w14:textId="77777777" w:rsidR="00787570" w:rsidRDefault="00787570">
            <w:pPr>
              <w:rPr>
                <w:rFonts w:ascii="宋体"/>
                <w:vanish/>
              </w:rPr>
            </w:pPr>
          </w:p>
        </w:tc>
        <w:tc>
          <w:tcPr>
            <w:tcW w:w="0" w:type="auto"/>
            <w:shd w:val="clear" w:color="auto" w:fill="auto"/>
          </w:tcPr>
          <w:p w14:paraId="36CA5501" w14:textId="77777777" w:rsidR="00787570" w:rsidRDefault="00787570">
            <w:pPr>
              <w:rPr>
                <w:rFonts w:ascii="宋体"/>
                <w:vanish/>
              </w:rPr>
            </w:pPr>
          </w:p>
        </w:tc>
        <w:tc>
          <w:tcPr>
            <w:tcW w:w="0" w:type="auto"/>
            <w:shd w:val="clear" w:color="auto" w:fill="auto"/>
          </w:tcPr>
          <w:p w14:paraId="36CA5502" w14:textId="77777777" w:rsidR="00787570" w:rsidRDefault="00787570">
            <w:pPr>
              <w:rPr>
                <w:rFonts w:ascii="宋体"/>
                <w:vanish/>
              </w:rPr>
            </w:pPr>
          </w:p>
        </w:tc>
        <w:tc>
          <w:tcPr>
            <w:tcW w:w="0" w:type="auto"/>
            <w:shd w:val="clear" w:color="auto" w:fill="auto"/>
          </w:tcPr>
          <w:p w14:paraId="36CA5503" w14:textId="77777777" w:rsidR="00787570" w:rsidRDefault="00787570">
            <w:pPr>
              <w:rPr>
                <w:rFonts w:ascii="宋体"/>
                <w:vanish/>
              </w:rPr>
            </w:pPr>
          </w:p>
        </w:tc>
        <w:tc>
          <w:tcPr>
            <w:tcW w:w="0" w:type="auto"/>
            <w:shd w:val="clear" w:color="auto" w:fill="auto"/>
          </w:tcPr>
          <w:p w14:paraId="36CA5504" w14:textId="77777777" w:rsidR="00787570" w:rsidRDefault="00787570">
            <w:pPr>
              <w:rPr>
                <w:rFonts w:ascii="宋体"/>
                <w:vanish/>
              </w:rPr>
            </w:pPr>
          </w:p>
        </w:tc>
        <w:tc>
          <w:tcPr>
            <w:tcW w:w="0" w:type="auto"/>
            <w:shd w:val="clear" w:color="auto" w:fill="auto"/>
          </w:tcPr>
          <w:p w14:paraId="36CA5505" w14:textId="77777777" w:rsidR="00787570" w:rsidRDefault="00787570">
            <w:pPr>
              <w:rPr>
                <w:rFonts w:ascii="宋体"/>
              </w:rPr>
            </w:pPr>
          </w:p>
        </w:tc>
        <w:tc>
          <w:tcPr>
            <w:tcW w:w="0" w:type="auto"/>
            <w:shd w:val="clear" w:color="auto" w:fill="auto"/>
          </w:tcPr>
          <w:p w14:paraId="36CA5506" w14:textId="77777777" w:rsidR="00787570" w:rsidRDefault="00787570">
            <w:pPr>
              <w:rPr>
                <w:rFonts w:ascii="宋体"/>
              </w:rPr>
            </w:pPr>
          </w:p>
        </w:tc>
        <w:tc>
          <w:tcPr>
            <w:tcW w:w="0" w:type="auto"/>
            <w:shd w:val="clear" w:color="auto" w:fill="auto"/>
          </w:tcPr>
          <w:p w14:paraId="36CA5507" w14:textId="77777777" w:rsidR="00787570" w:rsidRDefault="00787570">
            <w:pPr>
              <w:rPr>
                <w:rFonts w:ascii="宋体"/>
              </w:rPr>
            </w:pPr>
          </w:p>
        </w:tc>
        <w:tc>
          <w:tcPr>
            <w:tcW w:w="0" w:type="auto"/>
            <w:shd w:val="clear" w:color="auto" w:fill="auto"/>
          </w:tcPr>
          <w:p w14:paraId="36CA5508" w14:textId="77777777" w:rsidR="00787570" w:rsidRDefault="00787570">
            <w:pPr>
              <w:rPr>
                <w:rFonts w:ascii="宋体"/>
              </w:rPr>
            </w:pPr>
          </w:p>
        </w:tc>
        <w:tc>
          <w:tcPr>
            <w:tcW w:w="0" w:type="auto"/>
            <w:shd w:val="clear" w:color="auto" w:fill="auto"/>
          </w:tcPr>
          <w:p w14:paraId="36CA5509" w14:textId="77777777" w:rsidR="00787570" w:rsidRDefault="00787570">
            <w:pPr>
              <w:rPr>
                <w:rFonts w:ascii="宋体"/>
              </w:rPr>
            </w:pPr>
          </w:p>
        </w:tc>
        <w:tc>
          <w:tcPr>
            <w:tcW w:w="0" w:type="auto"/>
            <w:shd w:val="clear" w:color="auto" w:fill="auto"/>
          </w:tcPr>
          <w:p w14:paraId="36CA550A" w14:textId="77777777" w:rsidR="00787570" w:rsidRDefault="00787570">
            <w:pPr>
              <w:rPr>
                <w:rFonts w:ascii="宋体"/>
              </w:rPr>
            </w:pPr>
          </w:p>
        </w:tc>
      </w:tr>
      <w:tr w:rsidR="00787570" w14:paraId="36CA551B" w14:textId="77777777">
        <w:trPr>
          <w:hidden/>
        </w:trPr>
        <w:tc>
          <w:tcPr>
            <w:tcW w:w="0" w:type="auto"/>
            <w:gridSpan w:val="3"/>
            <w:shd w:val="clear" w:color="auto" w:fill="auto"/>
          </w:tcPr>
          <w:p w14:paraId="36CA550C" w14:textId="77777777" w:rsidR="00787570" w:rsidRDefault="00787570">
            <w:pPr>
              <w:rPr>
                <w:rFonts w:ascii="宋体"/>
                <w:vanish/>
              </w:rPr>
            </w:pPr>
          </w:p>
        </w:tc>
        <w:tc>
          <w:tcPr>
            <w:tcW w:w="0" w:type="auto"/>
            <w:gridSpan w:val="3"/>
            <w:shd w:val="clear" w:color="auto" w:fill="auto"/>
          </w:tcPr>
          <w:p w14:paraId="36CA550D" w14:textId="77777777" w:rsidR="00787570" w:rsidRDefault="00787570">
            <w:pPr>
              <w:rPr>
                <w:rFonts w:ascii="宋体"/>
                <w:vanish/>
              </w:rPr>
            </w:pPr>
          </w:p>
        </w:tc>
        <w:tc>
          <w:tcPr>
            <w:tcW w:w="0" w:type="auto"/>
            <w:gridSpan w:val="3"/>
            <w:shd w:val="clear" w:color="auto" w:fill="auto"/>
          </w:tcPr>
          <w:p w14:paraId="36CA550E" w14:textId="77777777" w:rsidR="00787570" w:rsidRDefault="00787570">
            <w:pPr>
              <w:rPr>
                <w:rFonts w:ascii="宋体"/>
                <w:vanish/>
              </w:rPr>
            </w:pPr>
          </w:p>
        </w:tc>
        <w:tc>
          <w:tcPr>
            <w:tcW w:w="0" w:type="auto"/>
            <w:gridSpan w:val="3"/>
            <w:shd w:val="clear" w:color="auto" w:fill="auto"/>
          </w:tcPr>
          <w:p w14:paraId="36CA550F" w14:textId="77777777" w:rsidR="00787570" w:rsidRDefault="00787570">
            <w:pPr>
              <w:rPr>
                <w:rFonts w:ascii="宋体"/>
                <w:vanish/>
              </w:rPr>
            </w:pPr>
          </w:p>
        </w:tc>
        <w:tc>
          <w:tcPr>
            <w:tcW w:w="0" w:type="auto"/>
            <w:gridSpan w:val="3"/>
            <w:shd w:val="clear" w:color="auto" w:fill="auto"/>
          </w:tcPr>
          <w:p w14:paraId="36CA5510" w14:textId="77777777" w:rsidR="00787570" w:rsidRDefault="00787570">
            <w:pPr>
              <w:rPr>
                <w:rFonts w:ascii="宋体"/>
                <w:vanish/>
              </w:rPr>
            </w:pPr>
          </w:p>
        </w:tc>
        <w:tc>
          <w:tcPr>
            <w:tcW w:w="0" w:type="auto"/>
            <w:shd w:val="clear" w:color="auto" w:fill="auto"/>
          </w:tcPr>
          <w:p w14:paraId="36CA5511" w14:textId="77777777" w:rsidR="00787570" w:rsidRDefault="00787570">
            <w:pPr>
              <w:rPr>
                <w:rFonts w:ascii="宋体"/>
                <w:vanish/>
              </w:rPr>
            </w:pPr>
          </w:p>
        </w:tc>
        <w:tc>
          <w:tcPr>
            <w:tcW w:w="0" w:type="auto"/>
            <w:shd w:val="clear" w:color="auto" w:fill="auto"/>
          </w:tcPr>
          <w:p w14:paraId="36CA5512" w14:textId="77777777" w:rsidR="00787570" w:rsidRDefault="00787570">
            <w:pPr>
              <w:rPr>
                <w:rFonts w:ascii="宋体"/>
                <w:vanish/>
              </w:rPr>
            </w:pPr>
          </w:p>
        </w:tc>
        <w:tc>
          <w:tcPr>
            <w:tcW w:w="0" w:type="auto"/>
            <w:shd w:val="clear" w:color="auto" w:fill="auto"/>
          </w:tcPr>
          <w:p w14:paraId="36CA5513" w14:textId="77777777" w:rsidR="00787570" w:rsidRDefault="00787570">
            <w:pPr>
              <w:rPr>
                <w:rFonts w:ascii="宋体"/>
                <w:vanish/>
              </w:rPr>
            </w:pPr>
          </w:p>
        </w:tc>
        <w:tc>
          <w:tcPr>
            <w:tcW w:w="0" w:type="auto"/>
            <w:shd w:val="clear" w:color="auto" w:fill="auto"/>
          </w:tcPr>
          <w:p w14:paraId="36CA5514" w14:textId="77777777" w:rsidR="00787570" w:rsidRDefault="00787570">
            <w:pPr>
              <w:rPr>
                <w:rFonts w:ascii="宋体"/>
                <w:vanish/>
              </w:rPr>
            </w:pPr>
          </w:p>
        </w:tc>
        <w:tc>
          <w:tcPr>
            <w:tcW w:w="0" w:type="auto"/>
            <w:shd w:val="clear" w:color="auto" w:fill="auto"/>
          </w:tcPr>
          <w:p w14:paraId="36CA5515" w14:textId="77777777" w:rsidR="00787570" w:rsidRDefault="00787570">
            <w:pPr>
              <w:rPr>
                <w:rFonts w:ascii="宋体"/>
              </w:rPr>
            </w:pPr>
          </w:p>
        </w:tc>
        <w:tc>
          <w:tcPr>
            <w:tcW w:w="0" w:type="auto"/>
            <w:shd w:val="clear" w:color="auto" w:fill="auto"/>
          </w:tcPr>
          <w:p w14:paraId="36CA5516" w14:textId="77777777" w:rsidR="00787570" w:rsidRDefault="00787570">
            <w:pPr>
              <w:rPr>
                <w:rFonts w:ascii="宋体"/>
              </w:rPr>
            </w:pPr>
          </w:p>
        </w:tc>
        <w:tc>
          <w:tcPr>
            <w:tcW w:w="0" w:type="auto"/>
            <w:shd w:val="clear" w:color="auto" w:fill="auto"/>
          </w:tcPr>
          <w:p w14:paraId="36CA5517" w14:textId="77777777" w:rsidR="00787570" w:rsidRDefault="00787570">
            <w:pPr>
              <w:rPr>
                <w:rFonts w:ascii="宋体"/>
              </w:rPr>
            </w:pPr>
          </w:p>
        </w:tc>
        <w:tc>
          <w:tcPr>
            <w:tcW w:w="0" w:type="auto"/>
            <w:shd w:val="clear" w:color="auto" w:fill="auto"/>
          </w:tcPr>
          <w:p w14:paraId="36CA5518" w14:textId="77777777" w:rsidR="00787570" w:rsidRDefault="00787570">
            <w:pPr>
              <w:rPr>
                <w:rFonts w:ascii="宋体"/>
              </w:rPr>
            </w:pPr>
          </w:p>
        </w:tc>
        <w:tc>
          <w:tcPr>
            <w:tcW w:w="0" w:type="auto"/>
            <w:shd w:val="clear" w:color="auto" w:fill="auto"/>
          </w:tcPr>
          <w:p w14:paraId="36CA5519" w14:textId="77777777" w:rsidR="00787570" w:rsidRDefault="00787570">
            <w:pPr>
              <w:rPr>
                <w:rFonts w:ascii="宋体"/>
              </w:rPr>
            </w:pPr>
          </w:p>
        </w:tc>
        <w:tc>
          <w:tcPr>
            <w:tcW w:w="0" w:type="auto"/>
            <w:shd w:val="clear" w:color="auto" w:fill="auto"/>
          </w:tcPr>
          <w:p w14:paraId="36CA551A" w14:textId="77777777" w:rsidR="00787570" w:rsidRDefault="00787570">
            <w:pPr>
              <w:rPr>
                <w:rFonts w:ascii="宋体"/>
              </w:rPr>
            </w:pPr>
          </w:p>
        </w:tc>
      </w:tr>
      <w:tr w:rsidR="00787570" w14:paraId="36CA552D" w14:textId="77777777">
        <w:tc>
          <w:tcPr>
            <w:tcW w:w="0" w:type="auto"/>
            <w:gridSpan w:val="3"/>
            <w:shd w:val="clear" w:color="auto" w:fill="auto"/>
            <w:tcMar>
              <w:top w:w="40" w:type="dxa"/>
              <w:left w:w="225" w:type="dxa"/>
              <w:bottom w:w="40" w:type="dxa"/>
              <w:right w:w="20" w:type="dxa"/>
            </w:tcMar>
            <w:vAlign w:val="bottom"/>
          </w:tcPr>
          <w:p w14:paraId="36CA551C" w14:textId="77777777" w:rsidR="00787570" w:rsidRDefault="000D56E2">
            <w:pPr>
              <w:textAlignment w:val="bottom"/>
            </w:pPr>
            <w:r>
              <w:rPr>
                <w:rFonts w:ascii="Arial" w:eastAsia="宋体" w:hAnsi="Arial" w:cs="Arial"/>
                <w:color w:val="333333"/>
                <w:sz w:val="18"/>
                <w:szCs w:val="18"/>
              </w:rPr>
              <w:t>Restructuring and other charges</w:t>
            </w:r>
          </w:p>
        </w:tc>
        <w:tc>
          <w:tcPr>
            <w:tcW w:w="0" w:type="auto"/>
            <w:gridSpan w:val="3"/>
            <w:shd w:val="clear" w:color="auto" w:fill="auto"/>
            <w:tcMar>
              <w:left w:w="20" w:type="dxa"/>
              <w:right w:w="20" w:type="dxa"/>
            </w:tcMar>
            <w:vAlign w:val="bottom"/>
          </w:tcPr>
          <w:p w14:paraId="36CA551D"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551E" w14:textId="77777777" w:rsidR="00787570" w:rsidRDefault="000D56E2">
            <w:pPr>
              <w:jc w:val="right"/>
              <w:textAlignment w:val="bottom"/>
            </w:pPr>
            <w:r>
              <w:rPr>
                <w:rFonts w:ascii="Arial" w:eastAsia="宋体" w:hAnsi="Arial" w:cs="Arial"/>
                <w:color w:val="0071C5"/>
                <w:sz w:val="18"/>
                <w:szCs w:val="18"/>
              </w:rPr>
              <w:t>(0.1)</w:t>
            </w:r>
          </w:p>
        </w:tc>
        <w:tc>
          <w:tcPr>
            <w:tcW w:w="0" w:type="auto"/>
            <w:shd w:val="clear" w:color="auto" w:fill="auto"/>
            <w:tcMar>
              <w:top w:w="40" w:type="dxa"/>
              <w:bottom w:w="40" w:type="dxa"/>
              <w:right w:w="20" w:type="dxa"/>
            </w:tcMar>
            <w:vAlign w:val="bottom"/>
          </w:tcPr>
          <w:p w14:paraId="36CA551F" w14:textId="77777777" w:rsidR="00787570" w:rsidRDefault="000D56E2">
            <w:pPr>
              <w:jc w:val="right"/>
              <w:textAlignment w:val="bottom"/>
            </w:pPr>
            <w:r>
              <w:rPr>
                <w:rFonts w:ascii="Arial" w:eastAsia="宋体" w:hAnsi="Arial" w:cs="Arial"/>
                <w:color w:val="0071C5"/>
                <w:sz w:val="18"/>
                <w:szCs w:val="18"/>
              </w:rPr>
              <w:t>%</w:t>
            </w:r>
          </w:p>
        </w:tc>
        <w:tc>
          <w:tcPr>
            <w:tcW w:w="0" w:type="auto"/>
            <w:gridSpan w:val="3"/>
            <w:shd w:val="clear" w:color="auto" w:fill="auto"/>
            <w:tcMar>
              <w:left w:w="20" w:type="dxa"/>
              <w:right w:w="20" w:type="dxa"/>
            </w:tcMar>
            <w:vAlign w:val="bottom"/>
          </w:tcPr>
          <w:p w14:paraId="36CA5520"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5521" w14:textId="77777777" w:rsidR="00787570" w:rsidRDefault="000D56E2">
            <w:pPr>
              <w:jc w:val="right"/>
              <w:textAlignment w:val="bottom"/>
            </w:pPr>
            <w:r>
              <w:rPr>
                <w:rFonts w:ascii="Arial" w:eastAsia="宋体" w:hAnsi="Arial" w:cs="Arial"/>
                <w:color w:val="333333"/>
                <w:sz w:val="18"/>
                <w:szCs w:val="18"/>
              </w:rPr>
              <w:t>0.5 </w:t>
            </w:r>
          </w:p>
        </w:tc>
        <w:tc>
          <w:tcPr>
            <w:tcW w:w="0" w:type="auto"/>
            <w:shd w:val="clear" w:color="auto" w:fill="auto"/>
            <w:tcMar>
              <w:top w:w="40" w:type="dxa"/>
              <w:bottom w:w="40" w:type="dxa"/>
              <w:right w:w="20" w:type="dxa"/>
            </w:tcMar>
            <w:vAlign w:val="bottom"/>
          </w:tcPr>
          <w:p w14:paraId="36CA5522" w14:textId="77777777" w:rsidR="00787570" w:rsidRDefault="000D56E2">
            <w:pPr>
              <w:jc w:val="right"/>
              <w:textAlignment w:val="bottom"/>
            </w:pPr>
            <w:r>
              <w:rPr>
                <w:rFonts w:ascii="Arial" w:eastAsia="宋体" w:hAnsi="Arial" w:cs="Arial"/>
                <w:color w:val="333333"/>
                <w:sz w:val="18"/>
                <w:szCs w:val="18"/>
              </w:rPr>
              <w:t>%</w:t>
            </w:r>
          </w:p>
        </w:tc>
        <w:tc>
          <w:tcPr>
            <w:tcW w:w="0" w:type="auto"/>
            <w:shd w:val="clear" w:color="auto" w:fill="auto"/>
          </w:tcPr>
          <w:p w14:paraId="36CA5523" w14:textId="77777777" w:rsidR="00787570" w:rsidRDefault="00787570">
            <w:pPr>
              <w:rPr>
                <w:rFonts w:ascii="宋体"/>
                <w:vanish/>
              </w:rPr>
            </w:pPr>
          </w:p>
        </w:tc>
        <w:tc>
          <w:tcPr>
            <w:tcW w:w="0" w:type="auto"/>
            <w:shd w:val="clear" w:color="auto" w:fill="auto"/>
          </w:tcPr>
          <w:p w14:paraId="36CA5524" w14:textId="77777777" w:rsidR="00787570" w:rsidRDefault="00787570">
            <w:pPr>
              <w:rPr>
                <w:rFonts w:ascii="宋体"/>
                <w:vanish/>
              </w:rPr>
            </w:pPr>
          </w:p>
        </w:tc>
        <w:tc>
          <w:tcPr>
            <w:tcW w:w="0" w:type="auto"/>
            <w:shd w:val="clear" w:color="auto" w:fill="auto"/>
          </w:tcPr>
          <w:p w14:paraId="36CA5525" w14:textId="77777777" w:rsidR="00787570" w:rsidRDefault="00787570">
            <w:pPr>
              <w:rPr>
                <w:rFonts w:ascii="宋体"/>
                <w:vanish/>
              </w:rPr>
            </w:pPr>
          </w:p>
        </w:tc>
        <w:tc>
          <w:tcPr>
            <w:tcW w:w="0" w:type="auto"/>
            <w:shd w:val="clear" w:color="auto" w:fill="auto"/>
          </w:tcPr>
          <w:p w14:paraId="36CA5526" w14:textId="77777777" w:rsidR="00787570" w:rsidRDefault="00787570">
            <w:pPr>
              <w:rPr>
                <w:rFonts w:ascii="宋体"/>
                <w:vanish/>
              </w:rPr>
            </w:pPr>
          </w:p>
        </w:tc>
        <w:tc>
          <w:tcPr>
            <w:tcW w:w="0" w:type="auto"/>
            <w:shd w:val="clear" w:color="auto" w:fill="auto"/>
          </w:tcPr>
          <w:p w14:paraId="36CA5527" w14:textId="77777777" w:rsidR="00787570" w:rsidRDefault="00787570">
            <w:pPr>
              <w:rPr>
                <w:rFonts w:ascii="宋体"/>
              </w:rPr>
            </w:pPr>
          </w:p>
        </w:tc>
        <w:tc>
          <w:tcPr>
            <w:tcW w:w="0" w:type="auto"/>
            <w:shd w:val="clear" w:color="auto" w:fill="auto"/>
          </w:tcPr>
          <w:p w14:paraId="36CA5528" w14:textId="77777777" w:rsidR="00787570" w:rsidRDefault="00787570">
            <w:pPr>
              <w:rPr>
                <w:rFonts w:ascii="宋体"/>
              </w:rPr>
            </w:pPr>
          </w:p>
        </w:tc>
        <w:tc>
          <w:tcPr>
            <w:tcW w:w="0" w:type="auto"/>
            <w:shd w:val="clear" w:color="auto" w:fill="auto"/>
          </w:tcPr>
          <w:p w14:paraId="36CA5529" w14:textId="77777777" w:rsidR="00787570" w:rsidRDefault="00787570">
            <w:pPr>
              <w:rPr>
                <w:rFonts w:ascii="宋体"/>
              </w:rPr>
            </w:pPr>
          </w:p>
        </w:tc>
        <w:tc>
          <w:tcPr>
            <w:tcW w:w="0" w:type="auto"/>
            <w:shd w:val="clear" w:color="auto" w:fill="auto"/>
          </w:tcPr>
          <w:p w14:paraId="36CA552A" w14:textId="77777777" w:rsidR="00787570" w:rsidRDefault="00787570">
            <w:pPr>
              <w:rPr>
                <w:rFonts w:ascii="宋体"/>
              </w:rPr>
            </w:pPr>
          </w:p>
        </w:tc>
        <w:tc>
          <w:tcPr>
            <w:tcW w:w="0" w:type="auto"/>
            <w:shd w:val="clear" w:color="auto" w:fill="auto"/>
          </w:tcPr>
          <w:p w14:paraId="36CA552B" w14:textId="77777777" w:rsidR="00787570" w:rsidRDefault="00787570">
            <w:pPr>
              <w:rPr>
                <w:rFonts w:ascii="宋体"/>
              </w:rPr>
            </w:pPr>
          </w:p>
        </w:tc>
        <w:tc>
          <w:tcPr>
            <w:tcW w:w="0" w:type="auto"/>
            <w:shd w:val="clear" w:color="auto" w:fill="auto"/>
          </w:tcPr>
          <w:p w14:paraId="36CA552C" w14:textId="77777777" w:rsidR="00787570" w:rsidRDefault="00787570">
            <w:pPr>
              <w:rPr>
                <w:rFonts w:ascii="宋体"/>
              </w:rPr>
            </w:pPr>
          </w:p>
        </w:tc>
      </w:tr>
      <w:tr w:rsidR="00787570" w14:paraId="36CA553F" w14:textId="77777777">
        <w:tc>
          <w:tcPr>
            <w:tcW w:w="0" w:type="auto"/>
            <w:gridSpan w:val="3"/>
            <w:shd w:val="clear" w:color="auto" w:fill="auto"/>
            <w:tcMar>
              <w:top w:w="40" w:type="dxa"/>
              <w:left w:w="20" w:type="dxa"/>
              <w:bottom w:w="40" w:type="dxa"/>
              <w:right w:w="20" w:type="dxa"/>
            </w:tcMar>
            <w:vAlign w:val="bottom"/>
          </w:tcPr>
          <w:p w14:paraId="36CA552E" w14:textId="77777777" w:rsidR="00787570" w:rsidRDefault="000D56E2">
            <w:pPr>
              <w:textAlignment w:val="bottom"/>
            </w:pPr>
            <w:r>
              <w:rPr>
                <w:rFonts w:ascii="Arial" w:eastAsia="宋体" w:hAnsi="Arial" w:cs="Arial"/>
                <w:b/>
                <w:bCs/>
                <w:color w:val="333333"/>
                <w:sz w:val="18"/>
                <w:szCs w:val="18"/>
              </w:rPr>
              <w:t>Non-GAAP operating margin</w:t>
            </w:r>
          </w:p>
        </w:tc>
        <w:tc>
          <w:tcPr>
            <w:tcW w:w="0" w:type="auto"/>
            <w:gridSpan w:val="3"/>
            <w:shd w:val="clear" w:color="auto" w:fill="auto"/>
            <w:tcMar>
              <w:left w:w="20" w:type="dxa"/>
              <w:right w:w="20" w:type="dxa"/>
            </w:tcMar>
            <w:vAlign w:val="bottom"/>
          </w:tcPr>
          <w:p w14:paraId="36CA552F" w14:textId="77777777" w:rsidR="00787570" w:rsidRDefault="00787570">
            <w:pPr>
              <w:rPr>
                <w:rFonts w:ascii="宋体"/>
              </w:rPr>
            </w:pPr>
          </w:p>
        </w:tc>
        <w:tc>
          <w:tcPr>
            <w:tcW w:w="0" w:type="auto"/>
            <w:gridSpan w:val="2"/>
            <w:tcBorders>
              <w:top w:val="single" w:sz="8" w:space="0" w:color="333333"/>
            </w:tcBorders>
            <w:shd w:val="clear" w:color="auto" w:fill="auto"/>
            <w:tcMar>
              <w:top w:w="40" w:type="dxa"/>
              <w:left w:w="20" w:type="dxa"/>
              <w:bottom w:w="40" w:type="dxa"/>
              <w:right w:w="0" w:type="dxa"/>
            </w:tcMar>
            <w:vAlign w:val="bottom"/>
          </w:tcPr>
          <w:p w14:paraId="36CA5530" w14:textId="77777777" w:rsidR="00787570" w:rsidRDefault="000D56E2">
            <w:pPr>
              <w:jc w:val="right"/>
              <w:textAlignment w:val="bottom"/>
            </w:pPr>
            <w:r>
              <w:rPr>
                <w:rFonts w:ascii="Arial" w:eastAsia="宋体" w:hAnsi="Arial" w:cs="Arial"/>
                <w:b/>
                <w:bCs/>
                <w:color w:val="0071C5"/>
                <w:sz w:val="18"/>
                <w:szCs w:val="18"/>
              </w:rPr>
              <w:t>29.4</w:t>
            </w:r>
            <w:r>
              <w:rPr>
                <w:rFonts w:ascii="Arial" w:eastAsia="宋体" w:hAnsi="Arial" w:cs="Arial"/>
                <w:color w:val="0071C5"/>
                <w:sz w:val="18"/>
                <w:szCs w:val="18"/>
              </w:rPr>
              <w:t> </w:t>
            </w:r>
          </w:p>
        </w:tc>
        <w:tc>
          <w:tcPr>
            <w:tcW w:w="0" w:type="auto"/>
            <w:tcBorders>
              <w:top w:val="single" w:sz="8" w:space="0" w:color="333333"/>
            </w:tcBorders>
            <w:shd w:val="clear" w:color="auto" w:fill="auto"/>
            <w:tcMar>
              <w:top w:w="40" w:type="dxa"/>
              <w:bottom w:w="40" w:type="dxa"/>
              <w:right w:w="20" w:type="dxa"/>
            </w:tcMar>
            <w:vAlign w:val="bottom"/>
          </w:tcPr>
          <w:p w14:paraId="36CA5531" w14:textId="77777777" w:rsidR="00787570" w:rsidRDefault="000D56E2">
            <w:pPr>
              <w:jc w:val="right"/>
              <w:textAlignment w:val="bottom"/>
            </w:pPr>
            <w:r>
              <w:rPr>
                <w:rFonts w:ascii="Arial" w:eastAsia="宋体" w:hAnsi="Arial" w:cs="Arial"/>
                <w:b/>
                <w:bCs/>
                <w:color w:val="0071C5"/>
                <w:sz w:val="18"/>
                <w:szCs w:val="18"/>
              </w:rPr>
              <w:t>%</w:t>
            </w:r>
          </w:p>
        </w:tc>
        <w:tc>
          <w:tcPr>
            <w:tcW w:w="0" w:type="auto"/>
            <w:gridSpan w:val="3"/>
            <w:shd w:val="clear" w:color="auto" w:fill="auto"/>
            <w:tcMar>
              <w:left w:w="20" w:type="dxa"/>
              <w:right w:w="20" w:type="dxa"/>
            </w:tcMar>
            <w:vAlign w:val="bottom"/>
          </w:tcPr>
          <w:p w14:paraId="36CA5532" w14:textId="77777777" w:rsidR="00787570" w:rsidRDefault="00787570">
            <w:pPr>
              <w:rPr>
                <w:rFonts w:ascii="宋体"/>
              </w:rPr>
            </w:pPr>
          </w:p>
        </w:tc>
        <w:tc>
          <w:tcPr>
            <w:tcW w:w="0" w:type="auto"/>
            <w:gridSpan w:val="2"/>
            <w:tcBorders>
              <w:top w:val="single" w:sz="8" w:space="0" w:color="333333"/>
            </w:tcBorders>
            <w:shd w:val="clear" w:color="auto" w:fill="auto"/>
            <w:tcMar>
              <w:top w:w="40" w:type="dxa"/>
              <w:left w:w="20" w:type="dxa"/>
              <w:bottom w:w="40" w:type="dxa"/>
              <w:right w:w="0" w:type="dxa"/>
            </w:tcMar>
            <w:vAlign w:val="bottom"/>
          </w:tcPr>
          <w:p w14:paraId="36CA5533" w14:textId="77777777" w:rsidR="00787570" w:rsidRDefault="000D56E2">
            <w:pPr>
              <w:jc w:val="right"/>
              <w:textAlignment w:val="bottom"/>
            </w:pPr>
            <w:r>
              <w:rPr>
                <w:rFonts w:ascii="Arial" w:eastAsia="宋体" w:hAnsi="Arial" w:cs="Arial"/>
                <w:b/>
                <w:bCs/>
                <w:color w:val="333333"/>
                <w:sz w:val="18"/>
                <w:szCs w:val="18"/>
              </w:rPr>
              <w:t>35.9</w:t>
            </w:r>
            <w:r>
              <w:rPr>
                <w:rFonts w:ascii="Arial" w:eastAsia="宋体" w:hAnsi="Arial" w:cs="Arial"/>
                <w:color w:val="333333"/>
                <w:sz w:val="18"/>
                <w:szCs w:val="18"/>
              </w:rPr>
              <w:t> </w:t>
            </w:r>
          </w:p>
        </w:tc>
        <w:tc>
          <w:tcPr>
            <w:tcW w:w="0" w:type="auto"/>
            <w:tcBorders>
              <w:top w:val="single" w:sz="8" w:space="0" w:color="333333"/>
            </w:tcBorders>
            <w:shd w:val="clear" w:color="auto" w:fill="auto"/>
            <w:tcMar>
              <w:top w:w="40" w:type="dxa"/>
              <w:bottom w:w="40" w:type="dxa"/>
              <w:right w:w="20" w:type="dxa"/>
            </w:tcMar>
            <w:vAlign w:val="bottom"/>
          </w:tcPr>
          <w:p w14:paraId="36CA5534" w14:textId="77777777" w:rsidR="00787570" w:rsidRDefault="000D56E2">
            <w:pPr>
              <w:jc w:val="right"/>
              <w:textAlignment w:val="bottom"/>
            </w:pPr>
            <w:r>
              <w:rPr>
                <w:rFonts w:ascii="Arial" w:eastAsia="宋体" w:hAnsi="Arial" w:cs="Arial"/>
                <w:b/>
                <w:bCs/>
                <w:color w:val="333333"/>
                <w:sz w:val="18"/>
                <w:szCs w:val="18"/>
              </w:rPr>
              <w:t>%</w:t>
            </w:r>
          </w:p>
        </w:tc>
        <w:tc>
          <w:tcPr>
            <w:tcW w:w="0" w:type="auto"/>
            <w:shd w:val="clear" w:color="auto" w:fill="auto"/>
          </w:tcPr>
          <w:p w14:paraId="36CA5535" w14:textId="77777777" w:rsidR="00787570" w:rsidRDefault="00787570">
            <w:pPr>
              <w:rPr>
                <w:rFonts w:ascii="宋体"/>
                <w:vanish/>
              </w:rPr>
            </w:pPr>
          </w:p>
        </w:tc>
        <w:tc>
          <w:tcPr>
            <w:tcW w:w="0" w:type="auto"/>
            <w:shd w:val="clear" w:color="auto" w:fill="auto"/>
          </w:tcPr>
          <w:p w14:paraId="36CA5536" w14:textId="77777777" w:rsidR="00787570" w:rsidRDefault="00787570">
            <w:pPr>
              <w:rPr>
                <w:rFonts w:ascii="宋体"/>
                <w:vanish/>
              </w:rPr>
            </w:pPr>
          </w:p>
        </w:tc>
        <w:tc>
          <w:tcPr>
            <w:tcW w:w="0" w:type="auto"/>
            <w:shd w:val="clear" w:color="auto" w:fill="auto"/>
          </w:tcPr>
          <w:p w14:paraId="36CA5537" w14:textId="77777777" w:rsidR="00787570" w:rsidRDefault="00787570">
            <w:pPr>
              <w:rPr>
                <w:rFonts w:ascii="宋体"/>
                <w:vanish/>
              </w:rPr>
            </w:pPr>
          </w:p>
        </w:tc>
        <w:tc>
          <w:tcPr>
            <w:tcW w:w="0" w:type="auto"/>
            <w:shd w:val="clear" w:color="auto" w:fill="auto"/>
          </w:tcPr>
          <w:p w14:paraId="36CA5538" w14:textId="77777777" w:rsidR="00787570" w:rsidRDefault="00787570">
            <w:pPr>
              <w:rPr>
                <w:rFonts w:ascii="宋体"/>
                <w:vanish/>
              </w:rPr>
            </w:pPr>
          </w:p>
        </w:tc>
        <w:tc>
          <w:tcPr>
            <w:tcW w:w="0" w:type="auto"/>
            <w:shd w:val="clear" w:color="auto" w:fill="auto"/>
          </w:tcPr>
          <w:p w14:paraId="36CA5539" w14:textId="77777777" w:rsidR="00787570" w:rsidRDefault="00787570">
            <w:pPr>
              <w:rPr>
                <w:rFonts w:ascii="宋体"/>
              </w:rPr>
            </w:pPr>
          </w:p>
        </w:tc>
        <w:tc>
          <w:tcPr>
            <w:tcW w:w="0" w:type="auto"/>
            <w:shd w:val="clear" w:color="auto" w:fill="auto"/>
          </w:tcPr>
          <w:p w14:paraId="36CA553A" w14:textId="77777777" w:rsidR="00787570" w:rsidRDefault="00787570">
            <w:pPr>
              <w:rPr>
                <w:rFonts w:ascii="宋体"/>
              </w:rPr>
            </w:pPr>
          </w:p>
        </w:tc>
        <w:tc>
          <w:tcPr>
            <w:tcW w:w="0" w:type="auto"/>
            <w:shd w:val="clear" w:color="auto" w:fill="auto"/>
          </w:tcPr>
          <w:p w14:paraId="36CA553B" w14:textId="77777777" w:rsidR="00787570" w:rsidRDefault="00787570">
            <w:pPr>
              <w:rPr>
                <w:rFonts w:ascii="宋体"/>
              </w:rPr>
            </w:pPr>
          </w:p>
        </w:tc>
        <w:tc>
          <w:tcPr>
            <w:tcW w:w="0" w:type="auto"/>
            <w:shd w:val="clear" w:color="auto" w:fill="auto"/>
          </w:tcPr>
          <w:p w14:paraId="36CA553C" w14:textId="77777777" w:rsidR="00787570" w:rsidRDefault="00787570">
            <w:pPr>
              <w:rPr>
                <w:rFonts w:ascii="宋体"/>
              </w:rPr>
            </w:pPr>
          </w:p>
        </w:tc>
        <w:tc>
          <w:tcPr>
            <w:tcW w:w="0" w:type="auto"/>
            <w:shd w:val="clear" w:color="auto" w:fill="auto"/>
          </w:tcPr>
          <w:p w14:paraId="36CA553D" w14:textId="77777777" w:rsidR="00787570" w:rsidRDefault="00787570">
            <w:pPr>
              <w:rPr>
                <w:rFonts w:ascii="宋体"/>
              </w:rPr>
            </w:pPr>
          </w:p>
        </w:tc>
        <w:tc>
          <w:tcPr>
            <w:tcW w:w="0" w:type="auto"/>
            <w:shd w:val="clear" w:color="auto" w:fill="auto"/>
          </w:tcPr>
          <w:p w14:paraId="36CA553E" w14:textId="77777777" w:rsidR="00787570" w:rsidRDefault="00787570">
            <w:pPr>
              <w:rPr>
                <w:rFonts w:ascii="宋体"/>
              </w:rPr>
            </w:pPr>
          </w:p>
        </w:tc>
      </w:tr>
      <w:tr w:rsidR="00787570" w14:paraId="36CA554F" w14:textId="77777777">
        <w:trPr>
          <w:trHeight w:val="240"/>
        </w:trPr>
        <w:tc>
          <w:tcPr>
            <w:tcW w:w="0" w:type="auto"/>
            <w:gridSpan w:val="3"/>
            <w:shd w:val="clear" w:color="auto" w:fill="auto"/>
            <w:tcMar>
              <w:left w:w="20" w:type="dxa"/>
              <w:right w:w="20" w:type="dxa"/>
            </w:tcMar>
            <w:vAlign w:val="bottom"/>
          </w:tcPr>
          <w:p w14:paraId="36CA5540"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5541" w14:textId="77777777" w:rsidR="00787570" w:rsidRDefault="00787570">
            <w:pPr>
              <w:rPr>
                <w:rFonts w:ascii="宋体"/>
              </w:rPr>
            </w:pPr>
          </w:p>
        </w:tc>
        <w:tc>
          <w:tcPr>
            <w:tcW w:w="0" w:type="auto"/>
            <w:gridSpan w:val="3"/>
            <w:tcBorders>
              <w:top w:val="double" w:sz="6" w:space="0" w:color="000000"/>
            </w:tcBorders>
            <w:shd w:val="clear" w:color="auto" w:fill="auto"/>
            <w:tcMar>
              <w:left w:w="20" w:type="dxa"/>
              <w:right w:w="20" w:type="dxa"/>
            </w:tcMar>
            <w:vAlign w:val="bottom"/>
          </w:tcPr>
          <w:p w14:paraId="36CA5542"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5543" w14:textId="77777777" w:rsidR="00787570" w:rsidRDefault="00787570">
            <w:pPr>
              <w:rPr>
                <w:rFonts w:ascii="宋体"/>
              </w:rPr>
            </w:pPr>
          </w:p>
        </w:tc>
        <w:tc>
          <w:tcPr>
            <w:tcW w:w="0" w:type="auto"/>
            <w:gridSpan w:val="3"/>
            <w:tcBorders>
              <w:top w:val="double" w:sz="6" w:space="0" w:color="000000"/>
            </w:tcBorders>
            <w:shd w:val="clear" w:color="auto" w:fill="auto"/>
            <w:tcMar>
              <w:left w:w="20" w:type="dxa"/>
              <w:right w:w="20" w:type="dxa"/>
            </w:tcMar>
            <w:vAlign w:val="bottom"/>
          </w:tcPr>
          <w:p w14:paraId="36CA5544" w14:textId="77777777" w:rsidR="00787570" w:rsidRDefault="00787570">
            <w:pPr>
              <w:rPr>
                <w:rFonts w:ascii="宋体"/>
              </w:rPr>
            </w:pPr>
          </w:p>
        </w:tc>
        <w:tc>
          <w:tcPr>
            <w:tcW w:w="0" w:type="auto"/>
            <w:shd w:val="clear" w:color="auto" w:fill="auto"/>
          </w:tcPr>
          <w:p w14:paraId="36CA5545" w14:textId="77777777" w:rsidR="00787570" w:rsidRDefault="00787570">
            <w:pPr>
              <w:rPr>
                <w:rFonts w:ascii="宋体"/>
                <w:vanish/>
              </w:rPr>
            </w:pPr>
          </w:p>
        </w:tc>
        <w:tc>
          <w:tcPr>
            <w:tcW w:w="0" w:type="auto"/>
            <w:shd w:val="clear" w:color="auto" w:fill="auto"/>
          </w:tcPr>
          <w:p w14:paraId="36CA5546" w14:textId="77777777" w:rsidR="00787570" w:rsidRDefault="00787570">
            <w:pPr>
              <w:rPr>
                <w:rFonts w:ascii="宋体"/>
                <w:vanish/>
              </w:rPr>
            </w:pPr>
          </w:p>
        </w:tc>
        <w:tc>
          <w:tcPr>
            <w:tcW w:w="0" w:type="auto"/>
            <w:shd w:val="clear" w:color="auto" w:fill="auto"/>
          </w:tcPr>
          <w:p w14:paraId="36CA5547" w14:textId="77777777" w:rsidR="00787570" w:rsidRDefault="00787570">
            <w:pPr>
              <w:rPr>
                <w:rFonts w:ascii="宋体"/>
                <w:vanish/>
              </w:rPr>
            </w:pPr>
          </w:p>
        </w:tc>
        <w:tc>
          <w:tcPr>
            <w:tcW w:w="0" w:type="auto"/>
            <w:shd w:val="clear" w:color="auto" w:fill="auto"/>
          </w:tcPr>
          <w:p w14:paraId="36CA5548" w14:textId="77777777" w:rsidR="00787570" w:rsidRDefault="00787570">
            <w:pPr>
              <w:rPr>
                <w:rFonts w:ascii="宋体"/>
                <w:vanish/>
              </w:rPr>
            </w:pPr>
          </w:p>
        </w:tc>
        <w:tc>
          <w:tcPr>
            <w:tcW w:w="0" w:type="auto"/>
            <w:shd w:val="clear" w:color="auto" w:fill="auto"/>
          </w:tcPr>
          <w:p w14:paraId="36CA5549" w14:textId="77777777" w:rsidR="00787570" w:rsidRDefault="00787570">
            <w:pPr>
              <w:rPr>
                <w:rFonts w:ascii="宋体"/>
              </w:rPr>
            </w:pPr>
          </w:p>
        </w:tc>
        <w:tc>
          <w:tcPr>
            <w:tcW w:w="0" w:type="auto"/>
            <w:shd w:val="clear" w:color="auto" w:fill="auto"/>
          </w:tcPr>
          <w:p w14:paraId="36CA554A" w14:textId="77777777" w:rsidR="00787570" w:rsidRDefault="00787570">
            <w:pPr>
              <w:rPr>
                <w:rFonts w:ascii="宋体"/>
              </w:rPr>
            </w:pPr>
          </w:p>
        </w:tc>
        <w:tc>
          <w:tcPr>
            <w:tcW w:w="0" w:type="auto"/>
            <w:shd w:val="clear" w:color="auto" w:fill="auto"/>
          </w:tcPr>
          <w:p w14:paraId="36CA554B" w14:textId="77777777" w:rsidR="00787570" w:rsidRDefault="00787570">
            <w:pPr>
              <w:rPr>
                <w:rFonts w:ascii="宋体"/>
              </w:rPr>
            </w:pPr>
          </w:p>
        </w:tc>
        <w:tc>
          <w:tcPr>
            <w:tcW w:w="0" w:type="auto"/>
            <w:shd w:val="clear" w:color="auto" w:fill="auto"/>
          </w:tcPr>
          <w:p w14:paraId="36CA554C" w14:textId="77777777" w:rsidR="00787570" w:rsidRDefault="00787570">
            <w:pPr>
              <w:rPr>
                <w:rFonts w:ascii="宋体"/>
              </w:rPr>
            </w:pPr>
          </w:p>
        </w:tc>
        <w:tc>
          <w:tcPr>
            <w:tcW w:w="0" w:type="auto"/>
            <w:shd w:val="clear" w:color="auto" w:fill="auto"/>
          </w:tcPr>
          <w:p w14:paraId="36CA554D" w14:textId="77777777" w:rsidR="00787570" w:rsidRDefault="00787570">
            <w:pPr>
              <w:rPr>
                <w:rFonts w:ascii="宋体"/>
              </w:rPr>
            </w:pPr>
          </w:p>
        </w:tc>
        <w:tc>
          <w:tcPr>
            <w:tcW w:w="0" w:type="auto"/>
            <w:shd w:val="clear" w:color="auto" w:fill="auto"/>
          </w:tcPr>
          <w:p w14:paraId="36CA554E" w14:textId="77777777" w:rsidR="00787570" w:rsidRDefault="00787570">
            <w:pPr>
              <w:rPr>
                <w:rFonts w:ascii="宋体"/>
              </w:rPr>
            </w:pPr>
          </w:p>
        </w:tc>
      </w:tr>
      <w:tr w:rsidR="00787570" w14:paraId="36CA555F" w14:textId="77777777">
        <w:trPr>
          <w:hidden/>
        </w:trPr>
        <w:tc>
          <w:tcPr>
            <w:tcW w:w="0" w:type="auto"/>
            <w:gridSpan w:val="3"/>
            <w:shd w:val="clear" w:color="auto" w:fill="auto"/>
          </w:tcPr>
          <w:p w14:paraId="36CA5550" w14:textId="77777777" w:rsidR="00787570" w:rsidRDefault="00787570">
            <w:pPr>
              <w:rPr>
                <w:rFonts w:ascii="宋体"/>
                <w:vanish/>
              </w:rPr>
            </w:pPr>
          </w:p>
        </w:tc>
        <w:tc>
          <w:tcPr>
            <w:tcW w:w="0" w:type="auto"/>
            <w:gridSpan w:val="3"/>
            <w:shd w:val="clear" w:color="auto" w:fill="auto"/>
          </w:tcPr>
          <w:p w14:paraId="36CA5551" w14:textId="77777777" w:rsidR="00787570" w:rsidRDefault="00787570">
            <w:pPr>
              <w:rPr>
                <w:rFonts w:ascii="宋体"/>
                <w:vanish/>
              </w:rPr>
            </w:pPr>
          </w:p>
        </w:tc>
        <w:tc>
          <w:tcPr>
            <w:tcW w:w="0" w:type="auto"/>
            <w:gridSpan w:val="3"/>
            <w:shd w:val="clear" w:color="auto" w:fill="auto"/>
          </w:tcPr>
          <w:p w14:paraId="36CA5552" w14:textId="77777777" w:rsidR="00787570" w:rsidRDefault="00787570">
            <w:pPr>
              <w:rPr>
                <w:rFonts w:ascii="宋体"/>
                <w:vanish/>
              </w:rPr>
            </w:pPr>
          </w:p>
        </w:tc>
        <w:tc>
          <w:tcPr>
            <w:tcW w:w="0" w:type="auto"/>
            <w:gridSpan w:val="3"/>
            <w:shd w:val="clear" w:color="auto" w:fill="auto"/>
          </w:tcPr>
          <w:p w14:paraId="36CA5553" w14:textId="77777777" w:rsidR="00787570" w:rsidRDefault="00787570">
            <w:pPr>
              <w:rPr>
                <w:rFonts w:ascii="宋体"/>
                <w:vanish/>
              </w:rPr>
            </w:pPr>
          </w:p>
        </w:tc>
        <w:tc>
          <w:tcPr>
            <w:tcW w:w="0" w:type="auto"/>
            <w:gridSpan w:val="3"/>
            <w:shd w:val="clear" w:color="auto" w:fill="auto"/>
          </w:tcPr>
          <w:p w14:paraId="36CA5554" w14:textId="77777777" w:rsidR="00787570" w:rsidRDefault="00787570">
            <w:pPr>
              <w:rPr>
                <w:rFonts w:ascii="宋体"/>
                <w:vanish/>
              </w:rPr>
            </w:pPr>
          </w:p>
        </w:tc>
        <w:tc>
          <w:tcPr>
            <w:tcW w:w="0" w:type="auto"/>
            <w:shd w:val="clear" w:color="auto" w:fill="auto"/>
          </w:tcPr>
          <w:p w14:paraId="36CA5555" w14:textId="77777777" w:rsidR="00787570" w:rsidRDefault="00787570">
            <w:pPr>
              <w:rPr>
                <w:rFonts w:ascii="宋体"/>
                <w:vanish/>
              </w:rPr>
            </w:pPr>
          </w:p>
        </w:tc>
        <w:tc>
          <w:tcPr>
            <w:tcW w:w="0" w:type="auto"/>
            <w:shd w:val="clear" w:color="auto" w:fill="auto"/>
          </w:tcPr>
          <w:p w14:paraId="36CA5556" w14:textId="77777777" w:rsidR="00787570" w:rsidRDefault="00787570">
            <w:pPr>
              <w:rPr>
                <w:rFonts w:ascii="宋体"/>
                <w:vanish/>
              </w:rPr>
            </w:pPr>
          </w:p>
        </w:tc>
        <w:tc>
          <w:tcPr>
            <w:tcW w:w="0" w:type="auto"/>
            <w:shd w:val="clear" w:color="auto" w:fill="auto"/>
          </w:tcPr>
          <w:p w14:paraId="36CA5557" w14:textId="77777777" w:rsidR="00787570" w:rsidRDefault="00787570">
            <w:pPr>
              <w:rPr>
                <w:rFonts w:ascii="宋体"/>
                <w:vanish/>
              </w:rPr>
            </w:pPr>
          </w:p>
        </w:tc>
        <w:tc>
          <w:tcPr>
            <w:tcW w:w="0" w:type="auto"/>
            <w:shd w:val="clear" w:color="auto" w:fill="auto"/>
          </w:tcPr>
          <w:p w14:paraId="36CA5558" w14:textId="77777777" w:rsidR="00787570" w:rsidRDefault="00787570">
            <w:pPr>
              <w:rPr>
                <w:rFonts w:ascii="宋体"/>
                <w:vanish/>
              </w:rPr>
            </w:pPr>
          </w:p>
        </w:tc>
        <w:tc>
          <w:tcPr>
            <w:tcW w:w="0" w:type="auto"/>
            <w:shd w:val="clear" w:color="auto" w:fill="auto"/>
          </w:tcPr>
          <w:p w14:paraId="36CA5559" w14:textId="77777777" w:rsidR="00787570" w:rsidRDefault="00787570">
            <w:pPr>
              <w:rPr>
                <w:rFonts w:ascii="宋体"/>
              </w:rPr>
            </w:pPr>
          </w:p>
        </w:tc>
        <w:tc>
          <w:tcPr>
            <w:tcW w:w="0" w:type="auto"/>
            <w:shd w:val="clear" w:color="auto" w:fill="auto"/>
          </w:tcPr>
          <w:p w14:paraId="36CA555A" w14:textId="77777777" w:rsidR="00787570" w:rsidRDefault="00787570">
            <w:pPr>
              <w:rPr>
                <w:rFonts w:ascii="宋体"/>
              </w:rPr>
            </w:pPr>
          </w:p>
        </w:tc>
        <w:tc>
          <w:tcPr>
            <w:tcW w:w="0" w:type="auto"/>
            <w:shd w:val="clear" w:color="auto" w:fill="auto"/>
          </w:tcPr>
          <w:p w14:paraId="36CA555B" w14:textId="77777777" w:rsidR="00787570" w:rsidRDefault="00787570">
            <w:pPr>
              <w:rPr>
                <w:rFonts w:ascii="宋体"/>
              </w:rPr>
            </w:pPr>
          </w:p>
        </w:tc>
        <w:tc>
          <w:tcPr>
            <w:tcW w:w="0" w:type="auto"/>
            <w:shd w:val="clear" w:color="auto" w:fill="auto"/>
          </w:tcPr>
          <w:p w14:paraId="36CA555C" w14:textId="77777777" w:rsidR="00787570" w:rsidRDefault="00787570">
            <w:pPr>
              <w:rPr>
                <w:rFonts w:ascii="宋体"/>
              </w:rPr>
            </w:pPr>
          </w:p>
        </w:tc>
        <w:tc>
          <w:tcPr>
            <w:tcW w:w="0" w:type="auto"/>
            <w:shd w:val="clear" w:color="auto" w:fill="auto"/>
          </w:tcPr>
          <w:p w14:paraId="36CA555D" w14:textId="77777777" w:rsidR="00787570" w:rsidRDefault="00787570">
            <w:pPr>
              <w:rPr>
                <w:rFonts w:ascii="宋体"/>
              </w:rPr>
            </w:pPr>
          </w:p>
        </w:tc>
        <w:tc>
          <w:tcPr>
            <w:tcW w:w="0" w:type="auto"/>
            <w:shd w:val="clear" w:color="auto" w:fill="auto"/>
          </w:tcPr>
          <w:p w14:paraId="36CA555E" w14:textId="77777777" w:rsidR="00787570" w:rsidRDefault="00787570">
            <w:pPr>
              <w:rPr>
                <w:rFonts w:ascii="宋体"/>
              </w:rPr>
            </w:pPr>
          </w:p>
        </w:tc>
      </w:tr>
      <w:tr w:rsidR="00787570" w14:paraId="36CA556F" w14:textId="77777777">
        <w:trPr>
          <w:hidden/>
        </w:trPr>
        <w:tc>
          <w:tcPr>
            <w:tcW w:w="0" w:type="auto"/>
            <w:gridSpan w:val="3"/>
            <w:shd w:val="clear" w:color="auto" w:fill="auto"/>
          </w:tcPr>
          <w:p w14:paraId="36CA5560" w14:textId="77777777" w:rsidR="00787570" w:rsidRDefault="00787570">
            <w:pPr>
              <w:rPr>
                <w:rFonts w:ascii="宋体"/>
                <w:vanish/>
              </w:rPr>
            </w:pPr>
          </w:p>
        </w:tc>
        <w:tc>
          <w:tcPr>
            <w:tcW w:w="0" w:type="auto"/>
            <w:gridSpan w:val="3"/>
            <w:shd w:val="clear" w:color="auto" w:fill="auto"/>
          </w:tcPr>
          <w:p w14:paraId="36CA5561" w14:textId="77777777" w:rsidR="00787570" w:rsidRDefault="00787570">
            <w:pPr>
              <w:rPr>
                <w:rFonts w:ascii="宋体"/>
                <w:vanish/>
              </w:rPr>
            </w:pPr>
          </w:p>
        </w:tc>
        <w:tc>
          <w:tcPr>
            <w:tcW w:w="0" w:type="auto"/>
            <w:gridSpan w:val="3"/>
            <w:shd w:val="clear" w:color="auto" w:fill="auto"/>
          </w:tcPr>
          <w:p w14:paraId="36CA5562" w14:textId="77777777" w:rsidR="00787570" w:rsidRDefault="00787570">
            <w:pPr>
              <w:rPr>
                <w:rFonts w:ascii="宋体"/>
                <w:vanish/>
              </w:rPr>
            </w:pPr>
          </w:p>
        </w:tc>
        <w:tc>
          <w:tcPr>
            <w:tcW w:w="0" w:type="auto"/>
            <w:gridSpan w:val="3"/>
            <w:shd w:val="clear" w:color="auto" w:fill="auto"/>
          </w:tcPr>
          <w:p w14:paraId="36CA5563" w14:textId="77777777" w:rsidR="00787570" w:rsidRDefault="00787570">
            <w:pPr>
              <w:rPr>
                <w:rFonts w:ascii="宋体"/>
                <w:vanish/>
              </w:rPr>
            </w:pPr>
          </w:p>
        </w:tc>
        <w:tc>
          <w:tcPr>
            <w:tcW w:w="0" w:type="auto"/>
            <w:gridSpan w:val="3"/>
            <w:shd w:val="clear" w:color="auto" w:fill="auto"/>
          </w:tcPr>
          <w:p w14:paraId="36CA5564" w14:textId="77777777" w:rsidR="00787570" w:rsidRDefault="00787570">
            <w:pPr>
              <w:rPr>
                <w:rFonts w:ascii="宋体"/>
                <w:vanish/>
              </w:rPr>
            </w:pPr>
          </w:p>
        </w:tc>
        <w:tc>
          <w:tcPr>
            <w:tcW w:w="0" w:type="auto"/>
            <w:shd w:val="clear" w:color="auto" w:fill="auto"/>
          </w:tcPr>
          <w:p w14:paraId="36CA5565" w14:textId="77777777" w:rsidR="00787570" w:rsidRDefault="00787570">
            <w:pPr>
              <w:rPr>
                <w:rFonts w:ascii="宋体"/>
                <w:vanish/>
              </w:rPr>
            </w:pPr>
          </w:p>
        </w:tc>
        <w:tc>
          <w:tcPr>
            <w:tcW w:w="0" w:type="auto"/>
            <w:shd w:val="clear" w:color="auto" w:fill="auto"/>
          </w:tcPr>
          <w:p w14:paraId="36CA5566" w14:textId="77777777" w:rsidR="00787570" w:rsidRDefault="00787570">
            <w:pPr>
              <w:rPr>
                <w:rFonts w:ascii="宋体"/>
                <w:vanish/>
              </w:rPr>
            </w:pPr>
          </w:p>
        </w:tc>
        <w:tc>
          <w:tcPr>
            <w:tcW w:w="0" w:type="auto"/>
            <w:shd w:val="clear" w:color="auto" w:fill="auto"/>
          </w:tcPr>
          <w:p w14:paraId="36CA5567" w14:textId="77777777" w:rsidR="00787570" w:rsidRDefault="00787570">
            <w:pPr>
              <w:rPr>
                <w:rFonts w:ascii="宋体"/>
                <w:vanish/>
              </w:rPr>
            </w:pPr>
          </w:p>
        </w:tc>
        <w:tc>
          <w:tcPr>
            <w:tcW w:w="0" w:type="auto"/>
            <w:shd w:val="clear" w:color="auto" w:fill="auto"/>
          </w:tcPr>
          <w:p w14:paraId="36CA5568" w14:textId="77777777" w:rsidR="00787570" w:rsidRDefault="00787570">
            <w:pPr>
              <w:rPr>
                <w:rFonts w:ascii="宋体"/>
                <w:vanish/>
              </w:rPr>
            </w:pPr>
          </w:p>
        </w:tc>
        <w:tc>
          <w:tcPr>
            <w:tcW w:w="0" w:type="auto"/>
            <w:shd w:val="clear" w:color="auto" w:fill="auto"/>
          </w:tcPr>
          <w:p w14:paraId="36CA5569" w14:textId="77777777" w:rsidR="00787570" w:rsidRDefault="00787570">
            <w:pPr>
              <w:rPr>
                <w:rFonts w:ascii="宋体"/>
              </w:rPr>
            </w:pPr>
          </w:p>
        </w:tc>
        <w:tc>
          <w:tcPr>
            <w:tcW w:w="0" w:type="auto"/>
            <w:shd w:val="clear" w:color="auto" w:fill="auto"/>
          </w:tcPr>
          <w:p w14:paraId="36CA556A" w14:textId="77777777" w:rsidR="00787570" w:rsidRDefault="00787570">
            <w:pPr>
              <w:rPr>
                <w:rFonts w:ascii="宋体"/>
              </w:rPr>
            </w:pPr>
          </w:p>
        </w:tc>
        <w:tc>
          <w:tcPr>
            <w:tcW w:w="0" w:type="auto"/>
            <w:shd w:val="clear" w:color="auto" w:fill="auto"/>
          </w:tcPr>
          <w:p w14:paraId="36CA556B" w14:textId="77777777" w:rsidR="00787570" w:rsidRDefault="00787570">
            <w:pPr>
              <w:rPr>
                <w:rFonts w:ascii="宋体"/>
              </w:rPr>
            </w:pPr>
          </w:p>
        </w:tc>
        <w:tc>
          <w:tcPr>
            <w:tcW w:w="0" w:type="auto"/>
            <w:shd w:val="clear" w:color="auto" w:fill="auto"/>
          </w:tcPr>
          <w:p w14:paraId="36CA556C" w14:textId="77777777" w:rsidR="00787570" w:rsidRDefault="00787570">
            <w:pPr>
              <w:rPr>
                <w:rFonts w:ascii="宋体"/>
              </w:rPr>
            </w:pPr>
          </w:p>
        </w:tc>
        <w:tc>
          <w:tcPr>
            <w:tcW w:w="0" w:type="auto"/>
            <w:shd w:val="clear" w:color="auto" w:fill="auto"/>
          </w:tcPr>
          <w:p w14:paraId="36CA556D" w14:textId="77777777" w:rsidR="00787570" w:rsidRDefault="00787570">
            <w:pPr>
              <w:rPr>
                <w:rFonts w:ascii="宋体"/>
              </w:rPr>
            </w:pPr>
          </w:p>
        </w:tc>
        <w:tc>
          <w:tcPr>
            <w:tcW w:w="0" w:type="auto"/>
            <w:shd w:val="clear" w:color="auto" w:fill="auto"/>
          </w:tcPr>
          <w:p w14:paraId="36CA556E" w14:textId="77777777" w:rsidR="00787570" w:rsidRDefault="00787570">
            <w:pPr>
              <w:rPr>
                <w:rFonts w:ascii="宋体"/>
              </w:rPr>
            </w:pPr>
          </w:p>
        </w:tc>
      </w:tr>
      <w:tr w:rsidR="00787570" w14:paraId="36CA557F" w14:textId="77777777">
        <w:trPr>
          <w:hidden/>
        </w:trPr>
        <w:tc>
          <w:tcPr>
            <w:tcW w:w="0" w:type="auto"/>
            <w:gridSpan w:val="3"/>
            <w:shd w:val="clear" w:color="auto" w:fill="auto"/>
          </w:tcPr>
          <w:p w14:paraId="36CA5570" w14:textId="77777777" w:rsidR="00787570" w:rsidRDefault="00787570">
            <w:pPr>
              <w:rPr>
                <w:rFonts w:ascii="宋体"/>
                <w:vanish/>
              </w:rPr>
            </w:pPr>
          </w:p>
        </w:tc>
        <w:tc>
          <w:tcPr>
            <w:tcW w:w="0" w:type="auto"/>
            <w:gridSpan w:val="3"/>
            <w:shd w:val="clear" w:color="auto" w:fill="auto"/>
          </w:tcPr>
          <w:p w14:paraId="36CA5571" w14:textId="77777777" w:rsidR="00787570" w:rsidRDefault="00787570">
            <w:pPr>
              <w:rPr>
                <w:rFonts w:ascii="宋体"/>
                <w:vanish/>
              </w:rPr>
            </w:pPr>
          </w:p>
        </w:tc>
        <w:tc>
          <w:tcPr>
            <w:tcW w:w="0" w:type="auto"/>
            <w:gridSpan w:val="3"/>
            <w:shd w:val="clear" w:color="auto" w:fill="auto"/>
          </w:tcPr>
          <w:p w14:paraId="36CA5572" w14:textId="77777777" w:rsidR="00787570" w:rsidRDefault="00787570">
            <w:pPr>
              <w:rPr>
                <w:rFonts w:ascii="宋体"/>
                <w:vanish/>
              </w:rPr>
            </w:pPr>
          </w:p>
        </w:tc>
        <w:tc>
          <w:tcPr>
            <w:tcW w:w="0" w:type="auto"/>
            <w:gridSpan w:val="3"/>
            <w:shd w:val="clear" w:color="auto" w:fill="auto"/>
          </w:tcPr>
          <w:p w14:paraId="36CA5573" w14:textId="77777777" w:rsidR="00787570" w:rsidRDefault="00787570">
            <w:pPr>
              <w:rPr>
                <w:rFonts w:ascii="宋体"/>
                <w:vanish/>
              </w:rPr>
            </w:pPr>
          </w:p>
        </w:tc>
        <w:tc>
          <w:tcPr>
            <w:tcW w:w="0" w:type="auto"/>
            <w:gridSpan w:val="3"/>
            <w:shd w:val="clear" w:color="auto" w:fill="auto"/>
          </w:tcPr>
          <w:p w14:paraId="36CA5574" w14:textId="77777777" w:rsidR="00787570" w:rsidRDefault="00787570">
            <w:pPr>
              <w:rPr>
                <w:rFonts w:ascii="宋体"/>
                <w:vanish/>
              </w:rPr>
            </w:pPr>
          </w:p>
        </w:tc>
        <w:tc>
          <w:tcPr>
            <w:tcW w:w="0" w:type="auto"/>
            <w:shd w:val="clear" w:color="auto" w:fill="auto"/>
          </w:tcPr>
          <w:p w14:paraId="36CA5575" w14:textId="77777777" w:rsidR="00787570" w:rsidRDefault="00787570">
            <w:pPr>
              <w:rPr>
                <w:rFonts w:ascii="宋体"/>
                <w:vanish/>
              </w:rPr>
            </w:pPr>
          </w:p>
        </w:tc>
        <w:tc>
          <w:tcPr>
            <w:tcW w:w="0" w:type="auto"/>
            <w:shd w:val="clear" w:color="auto" w:fill="auto"/>
          </w:tcPr>
          <w:p w14:paraId="36CA5576" w14:textId="77777777" w:rsidR="00787570" w:rsidRDefault="00787570">
            <w:pPr>
              <w:rPr>
                <w:rFonts w:ascii="宋体"/>
                <w:vanish/>
              </w:rPr>
            </w:pPr>
          </w:p>
        </w:tc>
        <w:tc>
          <w:tcPr>
            <w:tcW w:w="0" w:type="auto"/>
            <w:shd w:val="clear" w:color="auto" w:fill="auto"/>
          </w:tcPr>
          <w:p w14:paraId="36CA5577" w14:textId="77777777" w:rsidR="00787570" w:rsidRDefault="00787570">
            <w:pPr>
              <w:rPr>
                <w:rFonts w:ascii="宋体"/>
                <w:vanish/>
              </w:rPr>
            </w:pPr>
          </w:p>
        </w:tc>
        <w:tc>
          <w:tcPr>
            <w:tcW w:w="0" w:type="auto"/>
            <w:shd w:val="clear" w:color="auto" w:fill="auto"/>
          </w:tcPr>
          <w:p w14:paraId="36CA5578" w14:textId="77777777" w:rsidR="00787570" w:rsidRDefault="00787570">
            <w:pPr>
              <w:rPr>
                <w:rFonts w:ascii="宋体"/>
                <w:vanish/>
              </w:rPr>
            </w:pPr>
          </w:p>
        </w:tc>
        <w:tc>
          <w:tcPr>
            <w:tcW w:w="0" w:type="auto"/>
            <w:shd w:val="clear" w:color="auto" w:fill="auto"/>
          </w:tcPr>
          <w:p w14:paraId="36CA5579" w14:textId="77777777" w:rsidR="00787570" w:rsidRDefault="00787570">
            <w:pPr>
              <w:rPr>
                <w:rFonts w:ascii="宋体"/>
              </w:rPr>
            </w:pPr>
          </w:p>
        </w:tc>
        <w:tc>
          <w:tcPr>
            <w:tcW w:w="0" w:type="auto"/>
            <w:shd w:val="clear" w:color="auto" w:fill="auto"/>
          </w:tcPr>
          <w:p w14:paraId="36CA557A" w14:textId="77777777" w:rsidR="00787570" w:rsidRDefault="00787570">
            <w:pPr>
              <w:rPr>
                <w:rFonts w:ascii="宋体"/>
              </w:rPr>
            </w:pPr>
          </w:p>
        </w:tc>
        <w:tc>
          <w:tcPr>
            <w:tcW w:w="0" w:type="auto"/>
            <w:shd w:val="clear" w:color="auto" w:fill="auto"/>
          </w:tcPr>
          <w:p w14:paraId="36CA557B" w14:textId="77777777" w:rsidR="00787570" w:rsidRDefault="00787570">
            <w:pPr>
              <w:rPr>
                <w:rFonts w:ascii="宋体"/>
              </w:rPr>
            </w:pPr>
          </w:p>
        </w:tc>
        <w:tc>
          <w:tcPr>
            <w:tcW w:w="0" w:type="auto"/>
            <w:shd w:val="clear" w:color="auto" w:fill="auto"/>
          </w:tcPr>
          <w:p w14:paraId="36CA557C" w14:textId="77777777" w:rsidR="00787570" w:rsidRDefault="00787570">
            <w:pPr>
              <w:rPr>
                <w:rFonts w:ascii="宋体"/>
              </w:rPr>
            </w:pPr>
          </w:p>
        </w:tc>
        <w:tc>
          <w:tcPr>
            <w:tcW w:w="0" w:type="auto"/>
            <w:shd w:val="clear" w:color="auto" w:fill="auto"/>
          </w:tcPr>
          <w:p w14:paraId="36CA557D" w14:textId="77777777" w:rsidR="00787570" w:rsidRDefault="00787570">
            <w:pPr>
              <w:rPr>
                <w:rFonts w:ascii="宋体"/>
              </w:rPr>
            </w:pPr>
          </w:p>
        </w:tc>
        <w:tc>
          <w:tcPr>
            <w:tcW w:w="0" w:type="auto"/>
            <w:shd w:val="clear" w:color="auto" w:fill="auto"/>
          </w:tcPr>
          <w:p w14:paraId="36CA557E" w14:textId="77777777" w:rsidR="00787570" w:rsidRDefault="00787570">
            <w:pPr>
              <w:rPr>
                <w:rFonts w:ascii="宋体"/>
              </w:rPr>
            </w:pPr>
          </w:p>
        </w:tc>
      </w:tr>
      <w:tr w:rsidR="00787570" w14:paraId="36CA558F" w14:textId="77777777">
        <w:trPr>
          <w:hidden/>
        </w:trPr>
        <w:tc>
          <w:tcPr>
            <w:tcW w:w="0" w:type="auto"/>
            <w:gridSpan w:val="3"/>
            <w:shd w:val="clear" w:color="auto" w:fill="auto"/>
          </w:tcPr>
          <w:p w14:paraId="36CA5580" w14:textId="77777777" w:rsidR="00787570" w:rsidRDefault="00787570">
            <w:pPr>
              <w:rPr>
                <w:rFonts w:ascii="宋体"/>
                <w:vanish/>
              </w:rPr>
            </w:pPr>
          </w:p>
        </w:tc>
        <w:tc>
          <w:tcPr>
            <w:tcW w:w="0" w:type="auto"/>
            <w:gridSpan w:val="3"/>
            <w:shd w:val="clear" w:color="auto" w:fill="auto"/>
          </w:tcPr>
          <w:p w14:paraId="36CA5581" w14:textId="77777777" w:rsidR="00787570" w:rsidRDefault="00787570">
            <w:pPr>
              <w:rPr>
                <w:rFonts w:ascii="宋体"/>
                <w:vanish/>
              </w:rPr>
            </w:pPr>
          </w:p>
        </w:tc>
        <w:tc>
          <w:tcPr>
            <w:tcW w:w="0" w:type="auto"/>
            <w:gridSpan w:val="3"/>
            <w:shd w:val="clear" w:color="auto" w:fill="auto"/>
          </w:tcPr>
          <w:p w14:paraId="36CA5582" w14:textId="77777777" w:rsidR="00787570" w:rsidRDefault="00787570">
            <w:pPr>
              <w:rPr>
                <w:rFonts w:ascii="宋体"/>
                <w:vanish/>
              </w:rPr>
            </w:pPr>
          </w:p>
        </w:tc>
        <w:tc>
          <w:tcPr>
            <w:tcW w:w="0" w:type="auto"/>
            <w:gridSpan w:val="3"/>
            <w:shd w:val="clear" w:color="auto" w:fill="auto"/>
          </w:tcPr>
          <w:p w14:paraId="36CA5583" w14:textId="77777777" w:rsidR="00787570" w:rsidRDefault="00787570">
            <w:pPr>
              <w:rPr>
                <w:rFonts w:ascii="宋体"/>
                <w:vanish/>
              </w:rPr>
            </w:pPr>
          </w:p>
        </w:tc>
        <w:tc>
          <w:tcPr>
            <w:tcW w:w="0" w:type="auto"/>
            <w:gridSpan w:val="3"/>
            <w:shd w:val="clear" w:color="auto" w:fill="auto"/>
          </w:tcPr>
          <w:p w14:paraId="36CA5584" w14:textId="77777777" w:rsidR="00787570" w:rsidRDefault="00787570">
            <w:pPr>
              <w:rPr>
                <w:rFonts w:ascii="宋体"/>
                <w:vanish/>
              </w:rPr>
            </w:pPr>
          </w:p>
        </w:tc>
        <w:tc>
          <w:tcPr>
            <w:tcW w:w="0" w:type="auto"/>
            <w:shd w:val="clear" w:color="auto" w:fill="auto"/>
          </w:tcPr>
          <w:p w14:paraId="36CA5585" w14:textId="77777777" w:rsidR="00787570" w:rsidRDefault="00787570">
            <w:pPr>
              <w:rPr>
                <w:rFonts w:ascii="宋体"/>
                <w:vanish/>
              </w:rPr>
            </w:pPr>
          </w:p>
        </w:tc>
        <w:tc>
          <w:tcPr>
            <w:tcW w:w="0" w:type="auto"/>
            <w:shd w:val="clear" w:color="auto" w:fill="auto"/>
          </w:tcPr>
          <w:p w14:paraId="36CA5586" w14:textId="77777777" w:rsidR="00787570" w:rsidRDefault="00787570">
            <w:pPr>
              <w:rPr>
                <w:rFonts w:ascii="宋体"/>
                <w:vanish/>
              </w:rPr>
            </w:pPr>
          </w:p>
        </w:tc>
        <w:tc>
          <w:tcPr>
            <w:tcW w:w="0" w:type="auto"/>
            <w:shd w:val="clear" w:color="auto" w:fill="auto"/>
          </w:tcPr>
          <w:p w14:paraId="36CA5587" w14:textId="77777777" w:rsidR="00787570" w:rsidRDefault="00787570">
            <w:pPr>
              <w:rPr>
                <w:rFonts w:ascii="宋体"/>
                <w:vanish/>
              </w:rPr>
            </w:pPr>
          </w:p>
        </w:tc>
        <w:tc>
          <w:tcPr>
            <w:tcW w:w="0" w:type="auto"/>
            <w:shd w:val="clear" w:color="auto" w:fill="auto"/>
          </w:tcPr>
          <w:p w14:paraId="36CA5588" w14:textId="77777777" w:rsidR="00787570" w:rsidRDefault="00787570">
            <w:pPr>
              <w:rPr>
                <w:rFonts w:ascii="宋体"/>
                <w:vanish/>
              </w:rPr>
            </w:pPr>
          </w:p>
        </w:tc>
        <w:tc>
          <w:tcPr>
            <w:tcW w:w="0" w:type="auto"/>
            <w:shd w:val="clear" w:color="auto" w:fill="auto"/>
          </w:tcPr>
          <w:p w14:paraId="36CA5589" w14:textId="77777777" w:rsidR="00787570" w:rsidRDefault="00787570">
            <w:pPr>
              <w:rPr>
                <w:rFonts w:ascii="宋体"/>
              </w:rPr>
            </w:pPr>
          </w:p>
        </w:tc>
        <w:tc>
          <w:tcPr>
            <w:tcW w:w="0" w:type="auto"/>
            <w:shd w:val="clear" w:color="auto" w:fill="auto"/>
          </w:tcPr>
          <w:p w14:paraId="36CA558A" w14:textId="77777777" w:rsidR="00787570" w:rsidRDefault="00787570">
            <w:pPr>
              <w:rPr>
                <w:rFonts w:ascii="宋体"/>
              </w:rPr>
            </w:pPr>
          </w:p>
        </w:tc>
        <w:tc>
          <w:tcPr>
            <w:tcW w:w="0" w:type="auto"/>
            <w:shd w:val="clear" w:color="auto" w:fill="auto"/>
          </w:tcPr>
          <w:p w14:paraId="36CA558B" w14:textId="77777777" w:rsidR="00787570" w:rsidRDefault="00787570">
            <w:pPr>
              <w:rPr>
                <w:rFonts w:ascii="宋体"/>
              </w:rPr>
            </w:pPr>
          </w:p>
        </w:tc>
        <w:tc>
          <w:tcPr>
            <w:tcW w:w="0" w:type="auto"/>
            <w:shd w:val="clear" w:color="auto" w:fill="auto"/>
          </w:tcPr>
          <w:p w14:paraId="36CA558C" w14:textId="77777777" w:rsidR="00787570" w:rsidRDefault="00787570">
            <w:pPr>
              <w:rPr>
                <w:rFonts w:ascii="宋体"/>
              </w:rPr>
            </w:pPr>
          </w:p>
        </w:tc>
        <w:tc>
          <w:tcPr>
            <w:tcW w:w="0" w:type="auto"/>
            <w:shd w:val="clear" w:color="auto" w:fill="auto"/>
          </w:tcPr>
          <w:p w14:paraId="36CA558D" w14:textId="77777777" w:rsidR="00787570" w:rsidRDefault="00787570">
            <w:pPr>
              <w:rPr>
                <w:rFonts w:ascii="宋体"/>
              </w:rPr>
            </w:pPr>
          </w:p>
        </w:tc>
        <w:tc>
          <w:tcPr>
            <w:tcW w:w="0" w:type="auto"/>
            <w:shd w:val="clear" w:color="auto" w:fill="auto"/>
          </w:tcPr>
          <w:p w14:paraId="36CA558E" w14:textId="77777777" w:rsidR="00787570" w:rsidRDefault="00787570">
            <w:pPr>
              <w:rPr>
                <w:rFonts w:ascii="宋体"/>
              </w:rPr>
            </w:pPr>
          </w:p>
        </w:tc>
      </w:tr>
      <w:tr w:rsidR="00787570" w14:paraId="36CA559F" w14:textId="77777777">
        <w:trPr>
          <w:hidden/>
        </w:trPr>
        <w:tc>
          <w:tcPr>
            <w:tcW w:w="0" w:type="auto"/>
            <w:gridSpan w:val="3"/>
            <w:shd w:val="clear" w:color="auto" w:fill="auto"/>
          </w:tcPr>
          <w:p w14:paraId="36CA5590" w14:textId="77777777" w:rsidR="00787570" w:rsidRDefault="00787570">
            <w:pPr>
              <w:rPr>
                <w:rFonts w:ascii="宋体"/>
                <w:vanish/>
              </w:rPr>
            </w:pPr>
          </w:p>
        </w:tc>
        <w:tc>
          <w:tcPr>
            <w:tcW w:w="0" w:type="auto"/>
            <w:gridSpan w:val="3"/>
            <w:shd w:val="clear" w:color="auto" w:fill="auto"/>
          </w:tcPr>
          <w:p w14:paraId="36CA5591" w14:textId="77777777" w:rsidR="00787570" w:rsidRDefault="00787570">
            <w:pPr>
              <w:rPr>
                <w:rFonts w:ascii="宋体"/>
                <w:vanish/>
              </w:rPr>
            </w:pPr>
          </w:p>
        </w:tc>
        <w:tc>
          <w:tcPr>
            <w:tcW w:w="0" w:type="auto"/>
            <w:gridSpan w:val="3"/>
            <w:shd w:val="clear" w:color="auto" w:fill="auto"/>
          </w:tcPr>
          <w:p w14:paraId="36CA5592" w14:textId="77777777" w:rsidR="00787570" w:rsidRDefault="00787570">
            <w:pPr>
              <w:rPr>
                <w:rFonts w:ascii="宋体"/>
                <w:vanish/>
              </w:rPr>
            </w:pPr>
          </w:p>
        </w:tc>
        <w:tc>
          <w:tcPr>
            <w:tcW w:w="0" w:type="auto"/>
            <w:gridSpan w:val="3"/>
            <w:shd w:val="clear" w:color="auto" w:fill="auto"/>
          </w:tcPr>
          <w:p w14:paraId="36CA5593" w14:textId="77777777" w:rsidR="00787570" w:rsidRDefault="00787570">
            <w:pPr>
              <w:rPr>
                <w:rFonts w:ascii="宋体"/>
                <w:vanish/>
              </w:rPr>
            </w:pPr>
          </w:p>
        </w:tc>
        <w:tc>
          <w:tcPr>
            <w:tcW w:w="0" w:type="auto"/>
            <w:gridSpan w:val="3"/>
            <w:shd w:val="clear" w:color="auto" w:fill="auto"/>
          </w:tcPr>
          <w:p w14:paraId="36CA5594" w14:textId="77777777" w:rsidR="00787570" w:rsidRDefault="00787570">
            <w:pPr>
              <w:rPr>
                <w:rFonts w:ascii="宋体"/>
                <w:vanish/>
              </w:rPr>
            </w:pPr>
          </w:p>
        </w:tc>
        <w:tc>
          <w:tcPr>
            <w:tcW w:w="0" w:type="auto"/>
            <w:shd w:val="clear" w:color="auto" w:fill="auto"/>
          </w:tcPr>
          <w:p w14:paraId="36CA5595" w14:textId="77777777" w:rsidR="00787570" w:rsidRDefault="00787570">
            <w:pPr>
              <w:rPr>
                <w:rFonts w:ascii="宋体"/>
                <w:vanish/>
              </w:rPr>
            </w:pPr>
          </w:p>
        </w:tc>
        <w:tc>
          <w:tcPr>
            <w:tcW w:w="0" w:type="auto"/>
            <w:shd w:val="clear" w:color="auto" w:fill="auto"/>
          </w:tcPr>
          <w:p w14:paraId="36CA5596" w14:textId="77777777" w:rsidR="00787570" w:rsidRDefault="00787570">
            <w:pPr>
              <w:rPr>
                <w:rFonts w:ascii="宋体"/>
                <w:vanish/>
              </w:rPr>
            </w:pPr>
          </w:p>
        </w:tc>
        <w:tc>
          <w:tcPr>
            <w:tcW w:w="0" w:type="auto"/>
            <w:shd w:val="clear" w:color="auto" w:fill="auto"/>
          </w:tcPr>
          <w:p w14:paraId="36CA5597" w14:textId="77777777" w:rsidR="00787570" w:rsidRDefault="00787570">
            <w:pPr>
              <w:rPr>
                <w:rFonts w:ascii="宋体"/>
                <w:vanish/>
              </w:rPr>
            </w:pPr>
          </w:p>
        </w:tc>
        <w:tc>
          <w:tcPr>
            <w:tcW w:w="0" w:type="auto"/>
            <w:shd w:val="clear" w:color="auto" w:fill="auto"/>
          </w:tcPr>
          <w:p w14:paraId="36CA5598" w14:textId="77777777" w:rsidR="00787570" w:rsidRDefault="00787570">
            <w:pPr>
              <w:rPr>
                <w:rFonts w:ascii="宋体"/>
                <w:vanish/>
              </w:rPr>
            </w:pPr>
          </w:p>
        </w:tc>
        <w:tc>
          <w:tcPr>
            <w:tcW w:w="0" w:type="auto"/>
            <w:shd w:val="clear" w:color="auto" w:fill="auto"/>
          </w:tcPr>
          <w:p w14:paraId="36CA5599" w14:textId="77777777" w:rsidR="00787570" w:rsidRDefault="00787570">
            <w:pPr>
              <w:rPr>
                <w:rFonts w:ascii="宋体"/>
              </w:rPr>
            </w:pPr>
          </w:p>
        </w:tc>
        <w:tc>
          <w:tcPr>
            <w:tcW w:w="0" w:type="auto"/>
            <w:shd w:val="clear" w:color="auto" w:fill="auto"/>
          </w:tcPr>
          <w:p w14:paraId="36CA559A" w14:textId="77777777" w:rsidR="00787570" w:rsidRDefault="00787570">
            <w:pPr>
              <w:rPr>
                <w:rFonts w:ascii="宋体"/>
              </w:rPr>
            </w:pPr>
          </w:p>
        </w:tc>
        <w:tc>
          <w:tcPr>
            <w:tcW w:w="0" w:type="auto"/>
            <w:shd w:val="clear" w:color="auto" w:fill="auto"/>
          </w:tcPr>
          <w:p w14:paraId="36CA559B" w14:textId="77777777" w:rsidR="00787570" w:rsidRDefault="00787570">
            <w:pPr>
              <w:rPr>
                <w:rFonts w:ascii="宋体"/>
              </w:rPr>
            </w:pPr>
          </w:p>
        </w:tc>
        <w:tc>
          <w:tcPr>
            <w:tcW w:w="0" w:type="auto"/>
            <w:shd w:val="clear" w:color="auto" w:fill="auto"/>
          </w:tcPr>
          <w:p w14:paraId="36CA559C" w14:textId="77777777" w:rsidR="00787570" w:rsidRDefault="00787570">
            <w:pPr>
              <w:rPr>
                <w:rFonts w:ascii="宋体"/>
              </w:rPr>
            </w:pPr>
          </w:p>
        </w:tc>
        <w:tc>
          <w:tcPr>
            <w:tcW w:w="0" w:type="auto"/>
            <w:shd w:val="clear" w:color="auto" w:fill="auto"/>
          </w:tcPr>
          <w:p w14:paraId="36CA559D" w14:textId="77777777" w:rsidR="00787570" w:rsidRDefault="00787570">
            <w:pPr>
              <w:rPr>
                <w:rFonts w:ascii="宋体"/>
              </w:rPr>
            </w:pPr>
          </w:p>
        </w:tc>
        <w:tc>
          <w:tcPr>
            <w:tcW w:w="0" w:type="auto"/>
            <w:shd w:val="clear" w:color="auto" w:fill="auto"/>
          </w:tcPr>
          <w:p w14:paraId="36CA559E" w14:textId="77777777" w:rsidR="00787570" w:rsidRDefault="00787570">
            <w:pPr>
              <w:rPr>
                <w:rFonts w:ascii="宋体"/>
              </w:rPr>
            </w:pPr>
          </w:p>
        </w:tc>
      </w:tr>
      <w:tr w:rsidR="00787570" w14:paraId="36CA55AF" w14:textId="77777777">
        <w:trPr>
          <w:hidden/>
        </w:trPr>
        <w:tc>
          <w:tcPr>
            <w:tcW w:w="0" w:type="auto"/>
            <w:gridSpan w:val="3"/>
            <w:shd w:val="clear" w:color="auto" w:fill="auto"/>
          </w:tcPr>
          <w:p w14:paraId="36CA55A0" w14:textId="77777777" w:rsidR="00787570" w:rsidRDefault="00787570">
            <w:pPr>
              <w:rPr>
                <w:rFonts w:ascii="宋体"/>
                <w:vanish/>
              </w:rPr>
            </w:pPr>
          </w:p>
        </w:tc>
        <w:tc>
          <w:tcPr>
            <w:tcW w:w="0" w:type="auto"/>
            <w:gridSpan w:val="3"/>
            <w:shd w:val="clear" w:color="auto" w:fill="auto"/>
          </w:tcPr>
          <w:p w14:paraId="36CA55A1" w14:textId="77777777" w:rsidR="00787570" w:rsidRDefault="00787570">
            <w:pPr>
              <w:rPr>
                <w:rFonts w:ascii="宋体"/>
                <w:vanish/>
              </w:rPr>
            </w:pPr>
          </w:p>
        </w:tc>
        <w:tc>
          <w:tcPr>
            <w:tcW w:w="0" w:type="auto"/>
            <w:gridSpan w:val="3"/>
            <w:shd w:val="clear" w:color="auto" w:fill="auto"/>
          </w:tcPr>
          <w:p w14:paraId="36CA55A2" w14:textId="77777777" w:rsidR="00787570" w:rsidRDefault="00787570">
            <w:pPr>
              <w:rPr>
                <w:rFonts w:ascii="宋体"/>
                <w:vanish/>
              </w:rPr>
            </w:pPr>
          </w:p>
        </w:tc>
        <w:tc>
          <w:tcPr>
            <w:tcW w:w="0" w:type="auto"/>
            <w:gridSpan w:val="3"/>
            <w:shd w:val="clear" w:color="auto" w:fill="auto"/>
          </w:tcPr>
          <w:p w14:paraId="36CA55A3" w14:textId="77777777" w:rsidR="00787570" w:rsidRDefault="00787570">
            <w:pPr>
              <w:rPr>
                <w:rFonts w:ascii="宋体"/>
                <w:vanish/>
              </w:rPr>
            </w:pPr>
          </w:p>
        </w:tc>
        <w:tc>
          <w:tcPr>
            <w:tcW w:w="0" w:type="auto"/>
            <w:gridSpan w:val="3"/>
            <w:shd w:val="clear" w:color="auto" w:fill="auto"/>
          </w:tcPr>
          <w:p w14:paraId="36CA55A4" w14:textId="77777777" w:rsidR="00787570" w:rsidRDefault="00787570">
            <w:pPr>
              <w:rPr>
                <w:rFonts w:ascii="宋体"/>
                <w:vanish/>
              </w:rPr>
            </w:pPr>
          </w:p>
        </w:tc>
        <w:tc>
          <w:tcPr>
            <w:tcW w:w="0" w:type="auto"/>
            <w:shd w:val="clear" w:color="auto" w:fill="auto"/>
          </w:tcPr>
          <w:p w14:paraId="36CA55A5" w14:textId="77777777" w:rsidR="00787570" w:rsidRDefault="00787570">
            <w:pPr>
              <w:rPr>
                <w:rFonts w:ascii="宋体"/>
                <w:vanish/>
              </w:rPr>
            </w:pPr>
          </w:p>
        </w:tc>
        <w:tc>
          <w:tcPr>
            <w:tcW w:w="0" w:type="auto"/>
            <w:shd w:val="clear" w:color="auto" w:fill="auto"/>
          </w:tcPr>
          <w:p w14:paraId="36CA55A6" w14:textId="77777777" w:rsidR="00787570" w:rsidRDefault="00787570">
            <w:pPr>
              <w:rPr>
                <w:rFonts w:ascii="宋体"/>
                <w:vanish/>
              </w:rPr>
            </w:pPr>
          </w:p>
        </w:tc>
        <w:tc>
          <w:tcPr>
            <w:tcW w:w="0" w:type="auto"/>
            <w:shd w:val="clear" w:color="auto" w:fill="auto"/>
          </w:tcPr>
          <w:p w14:paraId="36CA55A7" w14:textId="77777777" w:rsidR="00787570" w:rsidRDefault="00787570">
            <w:pPr>
              <w:rPr>
                <w:rFonts w:ascii="宋体"/>
                <w:vanish/>
              </w:rPr>
            </w:pPr>
          </w:p>
        </w:tc>
        <w:tc>
          <w:tcPr>
            <w:tcW w:w="0" w:type="auto"/>
            <w:shd w:val="clear" w:color="auto" w:fill="auto"/>
          </w:tcPr>
          <w:p w14:paraId="36CA55A8" w14:textId="77777777" w:rsidR="00787570" w:rsidRDefault="00787570">
            <w:pPr>
              <w:rPr>
                <w:rFonts w:ascii="宋体"/>
                <w:vanish/>
              </w:rPr>
            </w:pPr>
          </w:p>
        </w:tc>
        <w:tc>
          <w:tcPr>
            <w:tcW w:w="0" w:type="auto"/>
            <w:shd w:val="clear" w:color="auto" w:fill="auto"/>
          </w:tcPr>
          <w:p w14:paraId="36CA55A9" w14:textId="77777777" w:rsidR="00787570" w:rsidRDefault="00787570">
            <w:pPr>
              <w:rPr>
                <w:rFonts w:ascii="宋体"/>
              </w:rPr>
            </w:pPr>
          </w:p>
        </w:tc>
        <w:tc>
          <w:tcPr>
            <w:tcW w:w="0" w:type="auto"/>
            <w:shd w:val="clear" w:color="auto" w:fill="auto"/>
          </w:tcPr>
          <w:p w14:paraId="36CA55AA" w14:textId="77777777" w:rsidR="00787570" w:rsidRDefault="00787570">
            <w:pPr>
              <w:rPr>
                <w:rFonts w:ascii="宋体"/>
              </w:rPr>
            </w:pPr>
          </w:p>
        </w:tc>
        <w:tc>
          <w:tcPr>
            <w:tcW w:w="0" w:type="auto"/>
            <w:shd w:val="clear" w:color="auto" w:fill="auto"/>
          </w:tcPr>
          <w:p w14:paraId="36CA55AB" w14:textId="77777777" w:rsidR="00787570" w:rsidRDefault="00787570">
            <w:pPr>
              <w:rPr>
                <w:rFonts w:ascii="宋体"/>
              </w:rPr>
            </w:pPr>
          </w:p>
        </w:tc>
        <w:tc>
          <w:tcPr>
            <w:tcW w:w="0" w:type="auto"/>
            <w:shd w:val="clear" w:color="auto" w:fill="auto"/>
          </w:tcPr>
          <w:p w14:paraId="36CA55AC" w14:textId="77777777" w:rsidR="00787570" w:rsidRDefault="00787570">
            <w:pPr>
              <w:rPr>
                <w:rFonts w:ascii="宋体"/>
              </w:rPr>
            </w:pPr>
          </w:p>
        </w:tc>
        <w:tc>
          <w:tcPr>
            <w:tcW w:w="0" w:type="auto"/>
            <w:shd w:val="clear" w:color="auto" w:fill="auto"/>
          </w:tcPr>
          <w:p w14:paraId="36CA55AD" w14:textId="77777777" w:rsidR="00787570" w:rsidRDefault="00787570">
            <w:pPr>
              <w:rPr>
                <w:rFonts w:ascii="宋体"/>
              </w:rPr>
            </w:pPr>
          </w:p>
        </w:tc>
        <w:tc>
          <w:tcPr>
            <w:tcW w:w="0" w:type="auto"/>
            <w:shd w:val="clear" w:color="auto" w:fill="auto"/>
          </w:tcPr>
          <w:p w14:paraId="36CA55AE" w14:textId="77777777" w:rsidR="00787570" w:rsidRDefault="00787570">
            <w:pPr>
              <w:rPr>
                <w:rFonts w:ascii="宋体"/>
              </w:rPr>
            </w:pPr>
          </w:p>
        </w:tc>
      </w:tr>
      <w:tr w:rsidR="00787570" w14:paraId="36CA55BF" w14:textId="77777777">
        <w:trPr>
          <w:hidden/>
        </w:trPr>
        <w:tc>
          <w:tcPr>
            <w:tcW w:w="0" w:type="auto"/>
            <w:gridSpan w:val="3"/>
            <w:shd w:val="clear" w:color="auto" w:fill="auto"/>
          </w:tcPr>
          <w:p w14:paraId="36CA55B0" w14:textId="77777777" w:rsidR="00787570" w:rsidRDefault="00787570">
            <w:pPr>
              <w:rPr>
                <w:rFonts w:ascii="宋体"/>
                <w:vanish/>
              </w:rPr>
            </w:pPr>
          </w:p>
        </w:tc>
        <w:tc>
          <w:tcPr>
            <w:tcW w:w="0" w:type="auto"/>
            <w:gridSpan w:val="3"/>
            <w:shd w:val="clear" w:color="auto" w:fill="auto"/>
          </w:tcPr>
          <w:p w14:paraId="36CA55B1" w14:textId="77777777" w:rsidR="00787570" w:rsidRDefault="00787570">
            <w:pPr>
              <w:rPr>
                <w:rFonts w:ascii="宋体"/>
                <w:vanish/>
              </w:rPr>
            </w:pPr>
          </w:p>
        </w:tc>
        <w:tc>
          <w:tcPr>
            <w:tcW w:w="0" w:type="auto"/>
            <w:gridSpan w:val="3"/>
            <w:shd w:val="clear" w:color="auto" w:fill="auto"/>
          </w:tcPr>
          <w:p w14:paraId="36CA55B2" w14:textId="77777777" w:rsidR="00787570" w:rsidRDefault="00787570">
            <w:pPr>
              <w:rPr>
                <w:rFonts w:ascii="宋体"/>
                <w:vanish/>
              </w:rPr>
            </w:pPr>
          </w:p>
        </w:tc>
        <w:tc>
          <w:tcPr>
            <w:tcW w:w="0" w:type="auto"/>
            <w:gridSpan w:val="3"/>
            <w:shd w:val="clear" w:color="auto" w:fill="auto"/>
          </w:tcPr>
          <w:p w14:paraId="36CA55B3" w14:textId="77777777" w:rsidR="00787570" w:rsidRDefault="00787570">
            <w:pPr>
              <w:rPr>
                <w:rFonts w:ascii="宋体"/>
                <w:vanish/>
              </w:rPr>
            </w:pPr>
          </w:p>
        </w:tc>
        <w:tc>
          <w:tcPr>
            <w:tcW w:w="0" w:type="auto"/>
            <w:gridSpan w:val="3"/>
            <w:shd w:val="clear" w:color="auto" w:fill="auto"/>
          </w:tcPr>
          <w:p w14:paraId="36CA55B4" w14:textId="77777777" w:rsidR="00787570" w:rsidRDefault="00787570">
            <w:pPr>
              <w:rPr>
                <w:rFonts w:ascii="宋体"/>
                <w:vanish/>
              </w:rPr>
            </w:pPr>
          </w:p>
        </w:tc>
        <w:tc>
          <w:tcPr>
            <w:tcW w:w="0" w:type="auto"/>
            <w:shd w:val="clear" w:color="auto" w:fill="auto"/>
          </w:tcPr>
          <w:p w14:paraId="36CA55B5" w14:textId="77777777" w:rsidR="00787570" w:rsidRDefault="00787570">
            <w:pPr>
              <w:rPr>
                <w:rFonts w:ascii="宋体"/>
                <w:vanish/>
              </w:rPr>
            </w:pPr>
          </w:p>
        </w:tc>
        <w:tc>
          <w:tcPr>
            <w:tcW w:w="0" w:type="auto"/>
            <w:shd w:val="clear" w:color="auto" w:fill="auto"/>
          </w:tcPr>
          <w:p w14:paraId="36CA55B6" w14:textId="77777777" w:rsidR="00787570" w:rsidRDefault="00787570">
            <w:pPr>
              <w:rPr>
                <w:rFonts w:ascii="宋体"/>
                <w:vanish/>
              </w:rPr>
            </w:pPr>
          </w:p>
        </w:tc>
        <w:tc>
          <w:tcPr>
            <w:tcW w:w="0" w:type="auto"/>
            <w:shd w:val="clear" w:color="auto" w:fill="auto"/>
          </w:tcPr>
          <w:p w14:paraId="36CA55B7" w14:textId="77777777" w:rsidR="00787570" w:rsidRDefault="00787570">
            <w:pPr>
              <w:rPr>
                <w:rFonts w:ascii="宋体"/>
                <w:vanish/>
              </w:rPr>
            </w:pPr>
          </w:p>
        </w:tc>
        <w:tc>
          <w:tcPr>
            <w:tcW w:w="0" w:type="auto"/>
            <w:shd w:val="clear" w:color="auto" w:fill="auto"/>
          </w:tcPr>
          <w:p w14:paraId="36CA55B8" w14:textId="77777777" w:rsidR="00787570" w:rsidRDefault="00787570">
            <w:pPr>
              <w:rPr>
                <w:rFonts w:ascii="宋体"/>
                <w:vanish/>
              </w:rPr>
            </w:pPr>
          </w:p>
        </w:tc>
        <w:tc>
          <w:tcPr>
            <w:tcW w:w="0" w:type="auto"/>
            <w:shd w:val="clear" w:color="auto" w:fill="auto"/>
          </w:tcPr>
          <w:p w14:paraId="36CA55B9" w14:textId="77777777" w:rsidR="00787570" w:rsidRDefault="00787570">
            <w:pPr>
              <w:rPr>
                <w:rFonts w:ascii="宋体"/>
              </w:rPr>
            </w:pPr>
          </w:p>
        </w:tc>
        <w:tc>
          <w:tcPr>
            <w:tcW w:w="0" w:type="auto"/>
            <w:shd w:val="clear" w:color="auto" w:fill="auto"/>
          </w:tcPr>
          <w:p w14:paraId="36CA55BA" w14:textId="77777777" w:rsidR="00787570" w:rsidRDefault="00787570">
            <w:pPr>
              <w:rPr>
                <w:rFonts w:ascii="宋体"/>
              </w:rPr>
            </w:pPr>
          </w:p>
        </w:tc>
        <w:tc>
          <w:tcPr>
            <w:tcW w:w="0" w:type="auto"/>
            <w:shd w:val="clear" w:color="auto" w:fill="auto"/>
          </w:tcPr>
          <w:p w14:paraId="36CA55BB" w14:textId="77777777" w:rsidR="00787570" w:rsidRDefault="00787570">
            <w:pPr>
              <w:rPr>
                <w:rFonts w:ascii="宋体"/>
              </w:rPr>
            </w:pPr>
          </w:p>
        </w:tc>
        <w:tc>
          <w:tcPr>
            <w:tcW w:w="0" w:type="auto"/>
            <w:shd w:val="clear" w:color="auto" w:fill="auto"/>
          </w:tcPr>
          <w:p w14:paraId="36CA55BC" w14:textId="77777777" w:rsidR="00787570" w:rsidRDefault="00787570">
            <w:pPr>
              <w:rPr>
                <w:rFonts w:ascii="宋体"/>
              </w:rPr>
            </w:pPr>
          </w:p>
        </w:tc>
        <w:tc>
          <w:tcPr>
            <w:tcW w:w="0" w:type="auto"/>
            <w:shd w:val="clear" w:color="auto" w:fill="auto"/>
          </w:tcPr>
          <w:p w14:paraId="36CA55BD" w14:textId="77777777" w:rsidR="00787570" w:rsidRDefault="00787570">
            <w:pPr>
              <w:rPr>
                <w:rFonts w:ascii="宋体"/>
              </w:rPr>
            </w:pPr>
          </w:p>
        </w:tc>
        <w:tc>
          <w:tcPr>
            <w:tcW w:w="0" w:type="auto"/>
            <w:shd w:val="clear" w:color="auto" w:fill="auto"/>
          </w:tcPr>
          <w:p w14:paraId="36CA55BE" w14:textId="77777777" w:rsidR="00787570" w:rsidRDefault="00787570">
            <w:pPr>
              <w:rPr>
                <w:rFonts w:ascii="宋体"/>
              </w:rPr>
            </w:pPr>
          </w:p>
        </w:tc>
      </w:tr>
      <w:tr w:rsidR="00787570" w14:paraId="36CA55CF" w14:textId="77777777">
        <w:trPr>
          <w:hidden/>
        </w:trPr>
        <w:tc>
          <w:tcPr>
            <w:tcW w:w="0" w:type="auto"/>
            <w:gridSpan w:val="3"/>
            <w:shd w:val="clear" w:color="auto" w:fill="auto"/>
          </w:tcPr>
          <w:p w14:paraId="36CA55C0" w14:textId="77777777" w:rsidR="00787570" w:rsidRDefault="00787570">
            <w:pPr>
              <w:rPr>
                <w:rFonts w:ascii="宋体"/>
                <w:vanish/>
              </w:rPr>
            </w:pPr>
          </w:p>
        </w:tc>
        <w:tc>
          <w:tcPr>
            <w:tcW w:w="0" w:type="auto"/>
            <w:gridSpan w:val="3"/>
            <w:shd w:val="clear" w:color="auto" w:fill="auto"/>
          </w:tcPr>
          <w:p w14:paraId="36CA55C1" w14:textId="77777777" w:rsidR="00787570" w:rsidRDefault="00787570">
            <w:pPr>
              <w:rPr>
                <w:rFonts w:ascii="宋体"/>
                <w:vanish/>
              </w:rPr>
            </w:pPr>
          </w:p>
        </w:tc>
        <w:tc>
          <w:tcPr>
            <w:tcW w:w="0" w:type="auto"/>
            <w:gridSpan w:val="3"/>
            <w:shd w:val="clear" w:color="auto" w:fill="auto"/>
          </w:tcPr>
          <w:p w14:paraId="36CA55C2" w14:textId="77777777" w:rsidR="00787570" w:rsidRDefault="00787570">
            <w:pPr>
              <w:rPr>
                <w:rFonts w:ascii="宋体"/>
                <w:vanish/>
              </w:rPr>
            </w:pPr>
          </w:p>
        </w:tc>
        <w:tc>
          <w:tcPr>
            <w:tcW w:w="0" w:type="auto"/>
            <w:gridSpan w:val="3"/>
            <w:shd w:val="clear" w:color="auto" w:fill="auto"/>
          </w:tcPr>
          <w:p w14:paraId="36CA55C3" w14:textId="77777777" w:rsidR="00787570" w:rsidRDefault="00787570">
            <w:pPr>
              <w:rPr>
                <w:rFonts w:ascii="宋体"/>
                <w:vanish/>
              </w:rPr>
            </w:pPr>
          </w:p>
        </w:tc>
        <w:tc>
          <w:tcPr>
            <w:tcW w:w="0" w:type="auto"/>
            <w:gridSpan w:val="3"/>
            <w:shd w:val="clear" w:color="auto" w:fill="auto"/>
          </w:tcPr>
          <w:p w14:paraId="36CA55C4" w14:textId="77777777" w:rsidR="00787570" w:rsidRDefault="00787570">
            <w:pPr>
              <w:rPr>
                <w:rFonts w:ascii="宋体"/>
                <w:vanish/>
              </w:rPr>
            </w:pPr>
          </w:p>
        </w:tc>
        <w:tc>
          <w:tcPr>
            <w:tcW w:w="0" w:type="auto"/>
            <w:shd w:val="clear" w:color="auto" w:fill="auto"/>
          </w:tcPr>
          <w:p w14:paraId="36CA55C5" w14:textId="77777777" w:rsidR="00787570" w:rsidRDefault="00787570">
            <w:pPr>
              <w:rPr>
                <w:rFonts w:ascii="宋体"/>
                <w:vanish/>
              </w:rPr>
            </w:pPr>
          </w:p>
        </w:tc>
        <w:tc>
          <w:tcPr>
            <w:tcW w:w="0" w:type="auto"/>
            <w:shd w:val="clear" w:color="auto" w:fill="auto"/>
          </w:tcPr>
          <w:p w14:paraId="36CA55C6" w14:textId="77777777" w:rsidR="00787570" w:rsidRDefault="00787570">
            <w:pPr>
              <w:rPr>
                <w:rFonts w:ascii="宋体"/>
                <w:vanish/>
              </w:rPr>
            </w:pPr>
          </w:p>
        </w:tc>
        <w:tc>
          <w:tcPr>
            <w:tcW w:w="0" w:type="auto"/>
            <w:shd w:val="clear" w:color="auto" w:fill="auto"/>
          </w:tcPr>
          <w:p w14:paraId="36CA55C7" w14:textId="77777777" w:rsidR="00787570" w:rsidRDefault="00787570">
            <w:pPr>
              <w:rPr>
                <w:rFonts w:ascii="宋体"/>
                <w:vanish/>
              </w:rPr>
            </w:pPr>
          </w:p>
        </w:tc>
        <w:tc>
          <w:tcPr>
            <w:tcW w:w="0" w:type="auto"/>
            <w:shd w:val="clear" w:color="auto" w:fill="auto"/>
          </w:tcPr>
          <w:p w14:paraId="36CA55C8" w14:textId="77777777" w:rsidR="00787570" w:rsidRDefault="00787570">
            <w:pPr>
              <w:rPr>
                <w:rFonts w:ascii="宋体"/>
                <w:vanish/>
              </w:rPr>
            </w:pPr>
          </w:p>
        </w:tc>
        <w:tc>
          <w:tcPr>
            <w:tcW w:w="0" w:type="auto"/>
            <w:shd w:val="clear" w:color="auto" w:fill="auto"/>
          </w:tcPr>
          <w:p w14:paraId="36CA55C9" w14:textId="77777777" w:rsidR="00787570" w:rsidRDefault="00787570">
            <w:pPr>
              <w:rPr>
                <w:rFonts w:ascii="宋体"/>
              </w:rPr>
            </w:pPr>
          </w:p>
        </w:tc>
        <w:tc>
          <w:tcPr>
            <w:tcW w:w="0" w:type="auto"/>
            <w:shd w:val="clear" w:color="auto" w:fill="auto"/>
          </w:tcPr>
          <w:p w14:paraId="36CA55CA" w14:textId="77777777" w:rsidR="00787570" w:rsidRDefault="00787570">
            <w:pPr>
              <w:rPr>
                <w:rFonts w:ascii="宋体"/>
              </w:rPr>
            </w:pPr>
          </w:p>
        </w:tc>
        <w:tc>
          <w:tcPr>
            <w:tcW w:w="0" w:type="auto"/>
            <w:shd w:val="clear" w:color="auto" w:fill="auto"/>
          </w:tcPr>
          <w:p w14:paraId="36CA55CB" w14:textId="77777777" w:rsidR="00787570" w:rsidRDefault="00787570">
            <w:pPr>
              <w:rPr>
                <w:rFonts w:ascii="宋体"/>
              </w:rPr>
            </w:pPr>
          </w:p>
        </w:tc>
        <w:tc>
          <w:tcPr>
            <w:tcW w:w="0" w:type="auto"/>
            <w:shd w:val="clear" w:color="auto" w:fill="auto"/>
          </w:tcPr>
          <w:p w14:paraId="36CA55CC" w14:textId="77777777" w:rsidR="00787570" w:rsidRDefault="00787570">
            <w:pPr>
              <w:rPr>
                <w:rFonts w:ascii="宋体"/>
              </w:rPr>
            </w:pPr>
          </w:p>
        </w:tc>
        <w:tc>
          <w:tcPr>
            <w:tcW w:w="0" w:type="auto"/>
            <w:shd w:val="clear" w:color="auto" w:fill="auto"/>
          </w:tcPr>
          <w:p w14:paraId="36CA55CD" w14:textId="77777777" w:rsidR="00787570" w:rsidRDefault="00787570">
            <w:pPr>
              <w:rPr>
                <w:rFonts w:ascii="宋体"/>
              </w:rPr>
            </w:pPr>
          </w:p>
        </w:tc>
        <w:tc>
          <w:tcPr>
            <w:tcW w:w="0" w:type="auto"/>
            <w:shd w:val="clear" w:color="auto" w:fill="auto"/>
          </w:tcPr>
          <w:p w14:paraId="36CA55CE" w14:textId="77777777" w:rsidR="00787570" w:rsidRDefault="00787570">
            <w:pPr>
              <w:rPr>
                <w:rFonts w:ascii="宋体"/>
              </w:rPr>
            </w:pPr>
          </w:p>
        </w:tc>
      </w:tr>
      <w:tr w:rsidR="00787570" w14:paraId="36CA55DF" w14:textId="77777777">
        <w:trPr>
          <w:hidden/>
        </w:trPr>
        <w:tc>
          <w:tcPr>
            <w:tcW w:w="0" w:type="auto"/>
            <w:gridSpan w:val="3"/>
            <w:shd w:val="clear" w:color="auto" w:fill="auto"/>
          </w:tcPr>
          <w:p w14:paraId="36CA55D0" w14:textId="77777777" w:rsidR="00787570" w:rsidRDefault="00787570">
            <w:pPr>
              <w:rPr>
                <w:rFonts w:ascii="宋体"/>
                <w:vanish/>
              </w:rPr>
            </w:pPr>
          </w:p>
        </w:tc>
        <w:tc>
          <w:tcPr>
            <w:tcW w:w="0" w:type="auto"/>
            <w:gridSpan w:val="3"/>
            <w:shd w:val="clear" w:color="auto" w:fill="auto"/>
          </w:tcPr>
          <w:p w14:paraId="36CA55D1" w14:textId="77777777" w:rsidR="00787570" w:rsidRDefault="00787570">
            <w:pPr>
              <w:rPr>
                <w:rFonts w:ascii="宋体"/>
                <w:vanish/>
              </w:rPr>
            </w:pPr>
          </w:p>
        </w:tc>
        <w:tc>
          <w:tcPr>
            <w:tcW w:w="0" w:type="auto"/>
            <w:gridSpan w:val="3"/>
            <w:shd w:val="clear" w:color="auto" w:fill="auto"/>
          </w:tcPr>
          <w:p w14:paraId="36CA55D2" w14:textId="77777777" w:rsidR="00787570" w:rsidRDefault="00787570">
            <w:pPr>
              <w:rPr>
                <w:rFonts w:ascii="宋体"/>
                <w:vanish/>
              </w:rPr>
            </w:pPr>
          </w:p>
        </w:tc>
        <w:tc>
          <w:tcPr>
            <w:tcW w:w="0" w:type="auto"/>
            <w:gridSpan w:val="3"/>
            <w:shd w:val="clear" w:color="auto" w:fill="auto"/>
          </w:tcPr>
          <w:p w14:paraId="36CA55D3" w14:textId="77777777" w:rsidR="00787570" w:rsidRDefault="00787570">
            <w:pPr>
              <w:rPr>
                <w:rFonts w:ascii="宋体"/>
                <w:vanish/>
              </w:rPr>
            </w:pPr>
          </w:p>
        </w:tc>
        <w:tc>
          <w:tcPr>
            <w:tcW w:w="0" w:type="auto"/>
            <w:gridSpan w:val="3"/>
            <w:shd w:val="clear" w:color="auto" w:fill="auto"/>
          </w:tcPr>
          <w:p w14:paraId="36CA55D4" w14:textId="77777777" w:rsidR="00787570" w:rsidRDefault="00787570">
            <w:pPr>
              <w:rPr>
                <w:rFonts w:ascii="宋体"/>
                <w:vanish/>
              </w:rPr>
            </w:pPr>
          </w:p>
        </w:tc>
        <w:tc>
          <w:tcPr>
            <w:tcW w:w="0" w:type="auto"/>
            <w:shd w:val="clear" w:color="auto" w:fill="auto"/>
          </w:tcPr>
          <w:p w14:paraId="36CA55D5" w14:textId="77777777" w:rsidR="00787570" w:rsidRDefault="00787570">
            <w:pPr>
              <w:rPr>
                <w:rFonts w:ascii="宋体"/>
                <w:vanish/>
              </w:rPr>
            </w:pPr>
          </w:p>
        </w:tc>
        <w:tc>
          <w:tcPr>
            <w:tcW w:w="0" w:type="auto"/>
            <w:shd w:val="clear" w:color="auto" w:fill="auto"/>
          </w:tcPr>
          <w:p w14:paraId="36CA55D6" w14:textId="77777777" w:rsidR="00787570" w:rsidRDefault="00787570">
            <w:pPr>
              <w:rPr>
                <w:rFonts w:ascii="宋体"/>
                <w:vanish/>
              </w:rPr>
            </w:pPr>
          </w:p>
        </w:tc>
        <w:tc>
          <w:tcPr>
            <w:tcW w:w="0" w:type="auto"/>
            <w:shd w:val="clear" w:color="auto" w:fill="auto"/>
          </w:tcPr>
          <w:p w14:paraId="36CA55D7" w14:textId="77777777" w:rsidR="00787570" w:rsidRDefault="00787570">
            <w:pPr>
              <w:rPr>
                <w:rFonts w:ascii="宋体"/>
                <w:vanish/>
              </w:rPr>
            </w:pPr>
          </w:p>
        </w:tc>
        <w:tc>
          <w:tcPr>
            <w:tcW w:w="0" w:type="auto"/>
            <w:shd w:val="clear" w:color="auto" w:fill="auto"/>
          </w:tcPr>
          <w:p w14:paraId="36CA55D8" w14:textId="77777777" w:rsidR="00787570" w:rsidRDefault="00787570">
            <w:pPr>
              <w:rPr>
                <w:rFonts w:ascii="宋体"/>
                <w:vanish/>
              </w:rPr>
            </w:pPr>
          </w:p>
        </w:tc>
        <w:tc>
          <w:tcPr>
            <w:tcW w:w="0" w:type="auto"/>
            <w:shd w:val="clear" w:color="auto" w:fill="auto"/>
          </w:tcPr>
          <w:p w14:paraId="36CA55D9" w14:textId="77777777" w:rsidR="00787570" w:rsidRDefault="00787570">
            <w:pPr>
              <w:rPr>
                <w:rFonts w:ascii="宋体"/>
              </w:rPr>
            </w:pPr>
          </w:p>
        </w:tc>
        <w:tc>
          <w:tcPr>
            <w:tcW w:w="0" w:type="auto"/>
            <w:shd w:val="clear" w:color="auto" w:fill="auto"/>
          </w:tcPr>
          <w:p w14:paraId="36CA55DA" w14:textId="77777777" w:rsidR="00787570" w:rsidRDefault="00787570">
            <w:pPr>
              <w:rPr>
                <w:rFonts w:ascii="宋体"/>
              </w:rPr>
            </w:pPr>
          </w:p>
        </w:tc>
        <w:tc>
          <w:tcPr>
            <w:tcW w:w="0" w:type="auto"/>
            <w:shd w:val="clear" w:color="auto" w:fill="auto"/>
          </w:tcPr>
          <w:p w14:paraId="36CA55DB" w14:textId="77777777" w:rsidR="00787570" w:rsidRDefault="00787570">
            <w:pPr>
              <w:rPr>
                <w:rFonts w:ascii="宋体"/>
              </w:rPr>
            </w:pPr>
          </w:p>
        </w:tc>
        <w:tc>
          <w:tcPr>
            <w:tcW w:w="0" w:type="auto"/>
            <w:shd w:val="clear" w:color="auto" w:fill="auto"/>
          </w:tcPr>
          <w:p w14:paraId="36CA55DC" w14:textId="77777777" w:rsidR="00787570" w:rsidRDefault="00787570">
            <w:pPr>
              <w:rPr>
                <w:rFonts w:ascii="宋体"/>
              </w:rPr>
            </w:pPr>
          </w:p>
        </w:tc>
        <w:tc>
          <w:tcPr>
            <w:tcW w:w="0" w:type="auto"/>
            <w:shd w:val="clear" w:color="auto" w:fill="auto"/>
          </w:tcPr>
          <w:p w14:paraId="36CA55DD" w14:textId="77777777" w:rsidR="00787570" w:rsidRDefault="00787570">
            <w:pPr>
              <w:rPr>
                <w:rFonts w:ascii="宋体"/>
              </w:rPr>
            </w:pPr>
          </w:p>
        </w:tc>
        <w:tc>
          <w:tcPr>
            <w:tcW w:w="0" w:type="auto"/>
            <w:shd w:val="clear" w:color="auto" w:fill="auto"/>
          </w:tcPr>
          <w:p w14:paraId="36CA55DE" w14:textId="77777777" w:rsidR="00787570" w:rsidRDefault="00787570">
            <w:pPr>
              <w:rPr>
                <w:rFonts w:ascii="宋体"/>
              </w:rPr>
            </w:pPr>
          </w:p>
        </w:tc>
      </w:tr>
      <w:tr w:rsidR="00787570" w14:paraId="36CA55EF" w14:textId="77777777">
        <w:trPr>
          <w:hidden/>
        </w:trPr>
        <w:tc>
          <w:tcPr>
            <w:tcW w:w="0" w:type="auto"/>
            <w:gridSpan w:val="3"/>
            <w:shd w:val="clear" w:color="auto" w:fill="auto"/>
          </w:tcPr>
          <w:p w14:paraId="36CA55E0" w14:textId="77777777" w:rsidR="00787570" w:rsidRDefault="00787570">
            <w:pPr>
              <w:rPr>
                <w:rFonts w:ascii="宋体"/>
                <w:vanish/>
              </w:rPr>
            </w:pPr>
          </w:p>
        </w:tc>
        <w:tc>
          <w:tcPr>
            <w:tcW w:w="0" w:type="auto"/>
            <w:gridSpan w:val="3"/>
            <w:shd w:val="clear" w:color="auto" w:fill="auto"/>
          </w:tcPr>
          <w:p w14:paraId="36CA55E1" w14:textId="77777777" w:rsidR="00787570" w:rsidRDefault="00787570">
            <w:pPr>
              <w:rPr>
                <w:rFonts w:ascii="宋体"/>
                <w:vanish/>
              </w:rPr>
            </w:pPr>
          </w:p>
        </w:tc>
        <w:tc>
          <w:tcPr>
            <w:tcW w:w="0" w:type="auto"/>
            <w:gridSpan w:val="3"/>
            <w:shd w:val="clear" w:color="auto" w:fill="auto"/>
          </w:tcPr>
          <w:p w14:paraId="36CA55E2" w14:textId="77777777" w:rsidR="00787570" w:rsidRDefault="00787570">
            <w:pPr>
              <w:rPr>
                <w:rFonts w:ascii="宋体"/>
                <w:vanish/>
              </w:rPr>
            </w:pPr>
          </w:p>
        </w:tc>
        <w:tc>
          <w:tcPr>
            <w:tcW w:w="0" w:type="auto"/>
            <w:gridSpan w:val="3"/>
            <w:shd w:val="clear" w:color="auto" w:fill="auto"/>
          </w:tcPr>
          <w:p w14:paraId="36CA55E3" w14:textId="77777777" w:rsidR="00787570" w:rsidRDefault="00787570">
            <w:pPr>
              <w:rPr>
                <w:rFonts w:ascii="宋体"/>
                <w:vanish/>
              </w:rPr>
            </w:pPr>
          </w:p>
        </w:tc>
        <w:tc>
          <w:tcPr>
            <w:tcW w:w="0" w:type="auto"/>
            <w:gridSpan w:val="3"/>
            <w:shd w:val="clear" w:color="auto" w:fill="auto"/>
          </w:tcPr>
          <w:p w14:paraId="36CA55E4" w14:textId="77777777" w:rsidR="00787570" w:rsidRDefault="00787570">
            <w:pPr>
              <w:rPr>
                <w:rFonts w:ascii="宋体"/>
                <w:vanish/>
              </w:rPr>
            </w:pPr>
          </w:p>
        </w:tc>
        <w:tc>
          <w:tcPr>
            <w:tcW w:w="0" w:type="auto"/>
            <w:shd w:val="clear" w:color="auto" w:fill="auto"/>
          </w:tcPr>
          <w:p w14:paraId="36CA55E5" w14:textId="77777777" w:rsidR="00787570" w:rsidRDefault="00787570">
            <w:pPr>
              <w:rPr>
                <w:rFonts w:ascii="宋体"/>
                <w:vanish/>
              </w:rPr>
            </w:pPr>
          </w:p>
        </w:tc>
        <w:tc>
          <w:tcPr>
            <w:tcW w:w="0" w:type="auto"/>
            <w:shd w:val="clear" w:color="auto" w:fill="auto"/>
          </w:tcPr>
          <w:p w14:paraId="36CA55E6" w14:textId="77777777" w:rsidR="00787570" w:rsidRDefault="00787570">
            <w:pPr>
              <w:rPr>
                <w:rFonts w:ascii="宋体"/>
                <w:vanish/>
              </w:rPr>
            </w:pPr>
          </w:p>
        </w:tc>
        <w:tc>
          <w:tcPr>
            <w:tcW w:w="0" w:type="auto"/>
            <w:shd w:val="clear" w:color="auto" w:fill="auto"/>
          </w:tcPr>
          <w:p w14:paraId="36CA55E7" w14:textId="77777777" w:rsidR="00787570" w:rsidRDefault="00787570">
            <w:pPr>
              <w:rPr>
                <w:rFonts w:ascii="宋体"/>
                <w:vanish/>
              </w:rPr>
            </w:pPr>
          </w:p>
        </w:tc>
        <w:tc>
          <w:tcPr>
            <w:tcW w:w="0" w:type="auto"/>
            <w:shd w:val="clear" w:color="auto" w:fill="auto"/>
          </w:tcPr>
          <w:p w14:paraId="36CA55E8" w14:textId="77777777" w:rsidR="00787570" w:rsidRDefault="00787570">
            <w:pPr>
              <w:rPr>
                <w:rFonts w:ascii="宋体"/>
                <w:vanish/>
              </w:rPr>
            </w:pPr>
          </w:p>
        </w:tc>
        <w:tc>
          <w:tcPr>
            <w:tcW w:w="0" w:type="auto"/>
            <w:shd w:val="clear" w:color="auto" w:fill="auto"/>
          </w:tcPr>
          <w:p w14:paraId="36CA55E9" w14:textId="77777777" w:rsidR="00787570" w:rsidRDefault="00787570">
            <w:pPr>
              <w:rPr>
                <w:rFonts w:ascii="宋体"/>
              </w:rPr>
            </w:pPr>
          </w:p>
        </w:tc>
        <w:tc>
          <w:tcPr>
            <w:tcW w:w="0" w:type="auto"/>
            <w:shd w:val="clear" w:color="auto" w:fill="auto"/>
          </w:tcPr>
          <w:p w14:paraId="36CA55EA" w14:textId="77777777" w:rsidR="00787570" w:rsidRDefault="00787570">
            <w:pPr>
              <w:rPr>
                <w:rFonts w:ascii="宋体"/>
              </w:rPr>
            </w:pPr>
          </w:p>
        </w:tc>
        <w:tc>
          <w:tcPr>
            <w:tcW w:w="0" w:type="auto"/>
            <w:shd w:val="clear" w:color="auto" w:fill="auto"/>
          </w:tcPr>
          <w:p w14:paraId="36CA55EB" w14:textId="77777777" w:rsidR="00787570" w:rsidRDefault="00787570">
            <w:pPr>
              <w:rPr>
                <w:rFonts w:ascii="宋体"/>
              </w:rPr>
            </w:pPr>
          </w:p>
        </w:tc>
        <w:tc>
          <w:tcPr>
            <w:tcW w:w="0" w:type="auto"/>
            <w:shd w:val="clear" w:color="auto" w:fill="auto"/>
          </w:tcPr>
          <w:p w14:paraId="36CA55EC" w14:textId="77777777" w:rsidR="00787570" w:rsidRDefault="00787570">
            <w:pPr>
              <w:rPr>
                <w:rFonts w:ascii="宋体"/>
              </w:rPr>
            </w:pPr>
          </w:p>
        </w:tc>
        <w:tc>
          <w:tcPr>
            <w:tcW w:w="0" w:type="auto"/>
            <w:shd w:val="clear" w:color="auto" w:fill="auto"/>
          </w:tcPr>
          <w:p w14:paraId="36CA55ED" w14:textId="77777777" w:rsidR="00787570" w:rsidRDefault="00787570">
            <w:pPr>
              <w:rPr>
                <w:rFonts w:ascii="宋体"/>
              </w:rPr>
            </w:pPr>
          </w:p>
        </w:tc>
        <w:tc>
          <w:tcPr>
            <w:tcW w:w="0" w:type="auto"/>
            <w:shd w:val="clear" w:color="auto" w:fill="auto"/>
          </w:tcPr>
          <w:p w14:paraId="36CA55EE" w14:textId="77777777" w:rsidR="00787570" w:rsidRDefault="00787570">
            <w:pPr>
              <w:rPr>
                <w:rFonts w:ascii="宋体"/>
              </w:rPr>
            </w:pPr>
          </w:p>
        </w:tc>
      </w:tr>
      <w:tr w:rsidR="00787570" w14:paraId="36CA55FF" w14:textId="77777777">
        <w:trPr>
          <w:hidden/>
        </w:trPr>
        <w:tc>
          <w:tcPr>
            <w:tcW w:w="0" w:type="auto"/>
            <w:gridSpan w:val="3"/>
            <w:shd w:val="clear" w:color="auto" w:fill="auto"/>
          </w:tcPr>
          <w:p w14:paraId="36CA55F0" w14:textId="77777777" w:rsidR="00787570" w:rsidRDefault="00787570">
            <w:pPr>
              <w:rPr>
                <w:rFonts w:ascii="宋体"/>
                <w:vanish/>
              </w:rPr>
            </w:pPr>
          </w:p>
        </w:tc>
        <w:tc>
          <w:tcPr>
            <w:tcW w:w="0" w:type="auto"/>
            <w:gridSpan w:val="3"/>
            <w:shd w:val="clear" w:color="auto" w:fill="auto"/>
          </w:tcPr>
          <w:p w14:paraId="36CA55F1" w14:textId="77777777" w:rsidR="00787570" w:rsidRDefault="00787570">
            <w:pPr>
              <w:rPr>
                <w:rFonts w:ascii="宋体"/>
                <w:vanish/>
              </w:rPr>
            </w:pPr>
          </w:p>
        </w:tc>
        <w:tc>
          <w:tcPr>
            <w:tcW w:w="0" w:type="auto"/>
            <w:gridSpan w:val="3"/>
            <w:shd w:val="clear" w:color="auto" w:fill="auto"/>
          </w:tcPr>
          <w:p w14:paraId="36CA55F2" w14:textId="77777777" w:rsidR="00787570" w:rsidRDefault="00787570">
            <w:pPr>
              <w:rPr>
                <w:rFonts w:ascii="宋体"/>
                <w:vanish/>
              </w:rPr>
            </w:pPr>
          </w:p>
        </w:tc>
        <w:tc>
          <w:tcPr>
            <w:tcW w:w="0" w:type="auto"/>
            <w:gridSpan w:val="3"/>
            <w:shd w:val="clear" w:color="auto" w:fill="auto"/>
          </w:tcPr>
          <w:p w14:paraId="36CA55F3" w14:textId="77777777" w:rsidR="00787570" w:rsidRDefault="00787570">
            <w:pPr>
              <w:rPr>
                <w:rFonts w:ascii="宋体"/>
                <w:vanish/>
              </w:rPr>
            </w:pPr>
          </w:p>
        </w:tc>
        <w:tc>
          <w:tcPr>
            <w:tcW w:w="0" w:type="auto"/>
            <w:gridSpan w:val="3"/>
            <w:shd w:val="clear" w:color="auto" w:fill="auto"/>
          </w:tcPr>
          <w:p w14:paraId="36CA55F4" w14:textId="77777777" w:rsidR="00787570" w:rsidRDefault="00787570">
            <w:pPr>
              <w:rPr>
                <w:rFonts w:ascii="宋体"/>
                <w:vanish/>
              </w:rPr>
            </w:pPr>
          </w:p>
        </w:tc>
        <w:tc>
          <w:tcPr>
            <w:tcW w:w="0" w:type="auto"/>
            <w:shd w:val="clear" w:color="auto" w:fill="auto"/>
          </w:tcPr>
          <w:p w14:paraId="36CA55F5" w14:textId="77777777" w:rsidR="00787570" w:rsidRDefault="00787570">
            <w:pPr>
              <w:rPr>
                <w:rFonts w:ascii="宋体"/>
                <w:vanish/>
              </w:rPr>
            </w:pPr>
          </w:p>
        </w:tc>
        <w:tc>
          <w:tcPr>
            <w:tcW w:w="0" w:type="auto"/>
            <w:shd w:val="clear" w:color="auto" w:fill="auto"/>
          </w:tcPr>
          <w:p w14:paraId="36CA55F6" w14:textId="77777777" w:rsidR="00787570" w:rsidRDefault="00787570">
            <w:pPr>
              <w:rPr>
                <w:rFonts w:ascii="宋体"/>
                <w:vanish/>
              </w:rPr>
            </w:pPr>
          </w:p>
        </w:tc>
        <w:tc>
          <w:tcPr>
            <w:tcW w:w="0" w:type="auto"/>
            <w:shd w:val="clear" w:color="auto" w:fill="auto"/>
          </w:tcPr>
          <w:p w14:paraId="36CA55F7" w14:textId="77777777" w:rsidR="00787570" w:rsidRDefault="00787570">
            <w:pPr>
              <w:rPr>
                <w:rFonts w:ascii="宋体"/>
                <w:vanish/>
              </w:rPr>
            </w:pPr>
          </w:p>
        </w:tc>
        <w:tc>
          <w:tcPr>
            <w:tcW w:w="0" w:type="auto"/>
            <w:shd w:val="clear" w:color="auto" w:fill="auto"/>
          </w:tcPr>
          <w:p w14:paraId="36CA55F8" w14:textId="77777777" w:rsidR="00787570" w:rsidRDefault="00787570">
            <w:pPr>
              <w:rPr>
                <w:rFonts w:ascii="宋体"/>
                <w:vanish/>
              </w:rPr>
            </w:pPr>
          </w:p>
        </w:tc>
        <w:tc>
          <w:tcPr>
            <w:tcW w:w="0" w:type="auto"/>
            <w:shd w:val="clear" w:color="auto" w:fill="auto"/>
          </w:tcPr>
          <w:p w14:paraId="36CA55F9" w14:textId="77777777" w:rsidR="00787570" w:rsidRDefault="00787570">
            <w:pPr>
              <w:rPr>
                <w:rFonts w:ascii="宋体"/>
              </w:rPr>
            </w:pPr>
          </w:p>
        </w:tc>
        <w:tc>
          <w:tcPr>
            <w:tcW w:w="0" w:type="auto"/>
            <w:shd w:val="clear" w:color="auto" w:fill="auto"/>
          </w:tcPr>
          <w:p w14:paraId="36CA55FA" w14:textId="77777777" w:rsidR="00787570" w:rsidRDefault="00787570">
            <w:pPr>
              <w:rPr>
                <w:rFonts w:ascii="宋体"/>
              </w:rPr>
            </w:pPr>
          </w:p>
        </w:tc>
        <w:tc>
          <w:tcPr>
            <w:tcW w:w="0" w:type="auto"/>
            <w:shd w:val="clear" w:color="auto" w:fill="auto"/>
          </w:tcPr>
          <w:p w14:paraId="36CA55FB" w14:textId="77777777" w:rsidR="00787570" w:rsidRDefault="00787570">
            <w:pPr>
              <w:rPr>
                <w:rFonts w:ascii="宋体"/>
              </w:rPr>
            </w:pPr>
          </w:p>
        </w:tc>
        <w:tc>
          <w:tcPr>
            <w:tcW w:w="0" w:type="auto"/>
            <w:shd w:val="clear" w:color="auto" w:fill="auto"/>
          </w:tcPr>
          <w:p w14:paraId="36CA55FC" w14:textId="77777777" w:rsidR="00787570" w:rsidRDefault="00787570">
            <w:pPr>
              <w:rPr>
                <w:rFonts w:ascii="宋体"/>
              </w:rPr>
            </w:pPr>
          </w:p>
        </w:tc>
        <w:tc>
          <w:tcPr>
            <w:tcW w:w="0" w:type="auto"/>
            <w:shd w:val="clear" w:color="auto" w:fill="auto"/>
          </w:tcPr>
          <w:p w14:paraId="36CA55FD" w14:textId="77777777" w:rsidR="00787570" w:rsidRDefault="00787570">
            <w:pPr>
              <w:rPr>
                <w:rFonts w:ascii="宋体"/>
              </w:rPr>
            </w:pPr>
          </w:p>
        </w:tc>
        <w:tc>
          <w:tcPr>
            <w:tcW w:w="0" w:type="auto"/>
            <w:shd w:val="clear" w:color="auto" w:fill="auto"/>
          </w:tcPr>
          <w:p w14:paraId="36CA55FE" w14:textId="77777777" w:rsidR="00787570" w:rsidRDefault="00787570">
            <w:pPr>
              <w:rPr>
                <w:rFonts w:ascii="宋体"/>
              </w:rPr>
            </w:pPr>
          </w:p>
        </w:tc>
      </w:tr>
      <w:tr w:rsidR="00787570" w14:paraId="36CA560F" w14:textId="77777777">
        <w:trPr>
          <w:hidden/>
        </w:trPr>
        <w:tc>
          <w:tcPr>
            <w:tcW w:w="0" w:type="auto"/>
            <w:gridSpan w:val="3"/>
            <w:shd w:val="clear" w:color="auto" w:fill="auto"/>
          </w:tcPr>
          <w:p w14:paraId="36CA5600" w14:textId="77777777" w:rsidR="00787570" w:rsidRDefault="00787570">
            <w:pPr>
              <w:rPr>
                <w:rFonts w:ascii="宋体"/>
                <w:vanish/>
              </w:rPr>
            </w:pPr>
          </w:p>
        </w:tc>
        <w:tc>
          <w:tcPr>
            <w:tcW w:w="0" w:type="auto"/>
            <w:gridSpan w:val="3"/>
            <w:shd w:val="clear" w:color="auto" w:fill="auto"/>
          </w:tcPr>
          <w:p w14:paraId="36CA5601" w14:textId="77777777" w:rsidR="00787570" w:rsidRDefault="00787570">
            <w:pPr>
              <w:rPr>
                <w:rFonts w:ascii="宋体"/>
                <w:vanish/>
              </w:rPr>
            </w:pPr>
          </w:p>
        </w:tc>
        <w:tc>
          <w:tcPr>
            <w:tcW w:w="0" w:type="auto"/>
            <w:gridSpan w:val="3"/>
            <w:shd w:val="clear" w:color="auto" w:fill="auto"/>
          </w:tcPr>
          <w:p w14:paraId="36CA5602" w14:textId="77777777" w:rsidR="00787570" w:rsidRDefault="00787570">
            <w:pPr>
              <w:rPr>
                <w:rFonts w:ascii="宋体"/>
                <w:vanish/>
              </w:rPr>
            </w:pPr>
          </w:p>
        </w:tc>
        <w:tc>
          <w:tcPr>
            <w:tcW w:w="0" w:type="auto"/>
            <w:gridSpan w:val="3"/>
            <w:shd w:val="clear" w:color="auto" w:fill="auto"/>
          </w:tcPr>
          <w:p w14:paraId="36CA5603" w14:textId="77777777" w:rsidR="00787570" w:rsidRDefault="00787570">
            <w:pPr>
              <w:rPr>
                <w:rFonts w:ascii="宋体"/>
                <w:vanish/>
              </w:rPr>
            </w:pPr>
          </w:p>
        </w:tc>
        <w:tc>
          <w:tcPr>
            <w:tcW w:w="0" w:type="auto"/>
            <w:gridSpan w:val="3"/>
            <w:shd w:val="clear" w:color="auto" w:fill="auto"/>
          </w:tcPr>
          <w:p w14:paraId="36CA5604" w14:textId="77777777" w:rsidR="00787570" w:rsidRDefault="00787570">
            <w:pPr>
              <w:rPr>
                <w:rFonts w:ascii="宋体"/>
                <w:vanish/>
              </w:rPr>
            </w:pPr>
          </w:p>
        </w:tc>
        <w:tc>
          <w:tcPr>
            <w:tcW w:w="0" w:type="auto"/>
            <w:shd w:val="clear" w:color="auto" w:fill="auto"/>
          </w:tcPr>
          <w:p w14:paraId="36CA5605" w14:textId="77777777" w:rsidR="00787570" w:rsidRDefault="00787570">
            <w:pPr>
              <w:rPr>
                <w:rFonts w:ascii="宋体"/>
                <w:vanish/>
              </w:rPr>
            </w:pPr>
          </w:p>
        </w:tc>
        <w:tc>
          <w:tcPr>
            <w:tcW w:w="0" w:type="auto"/>
            <w:shd w:val="clear" w:color="auto" w:fill="auto"/>
          </w:tcPr>
          <w:p w14:paraId="36CA5606" w14:textId="77777777" w:rsidR="00787570" w:rsidRDefault="00787570">
            <w:pPr>
              <w:rPr>
                <w:rFonts w:ascii="宋体"/>
                <w:vanish/>
              </w:rPr>
            </w:pPr>
          </w:p>
        </w:tc>
        <w:tc>
          <w:tcPr>
            <w:tcW w:w="0" w:type="auto"/>
            <w:shd w:val="clear" w:color="auto" w:fill="auto"/>
          </w:tcPr>
          <w:p w14:paraId="36CA5607" w14:textId="77777777" w:rsidR="00787570" w:rsidRDefault="00787570">
            <w:pPr>
              <w:rPr>
                <w:rFonts w:ascii="宋体"/>
                <w:vanish/>
              </w:rPr>
            </w:pPr>
          </w:p>
        </w:tc>
        <w:tc>
          <w:tcPr>
            <w:tcW w:w="0" w:type="auto"/>
            <w:shd w:val="clear" w:color="auto" w:fill="auto"/>
          </w:tcPr>
          <w:p w14:paraId="36CA5608" w14:textId="77777777" w:rsidR="00787570" w:rsidRDefault="00787570">
            <w:pPr>
              <w:rPr>
                <w:rFonts w:ascii="宋体"/>
                <w:vanish/>
              </w:rPr>
            </w:pPr>
          </w:p>
        </w:tc>
        <w:tc>
          <w:tcPr>
            <w:tcW w:w="0" w:type="auto"/>
            <w:shd w:val="clear" w:color="auto" w:fill="auto"/>
          </w:tcPr>
          <w:p w14:paraId="36CA5609" w14:textId="77777777" w:rsidR="00787570" w:rsidRDefault="00787570">
            <w:pPr>
              <w:rPr>
                <w:rFonts w:ascii="宋体"/>
              </w:rPr>
            </w:pPr>
          </w:p>
        </w:tc>
        <w:tc>
          <w:tcPr>
            <w:tcW w:w="0" w:type="auto"/>
            <w:shd w:val="clear" w:color="auto" w:fill="auto"/>
          </w:tcPr>
          <w:p w14:paraId="36CA560A" w14:textId="77777777" w:rsidR="00787570" w:rsidRDefault="00787570">
            <w:pPr>
              <w:rPr>
                <w:rFonts w:ascii="宋体"/>
              </w:rPr>
            </w:pPr>
          </w:p>
        </w:tc>
        <w:tc>
          <w:tcPr>
            <w:tcW w:w="0" w:type="auto"/>
            <w:shd w:val="clear" w:color="auto" w:fill="auto"/>
          </w:tcPr>
          <w:p w14:paraId="36CA560B" w14:textId="77777777" w:rsidR="00787570" w:rsidRDefault="00787570">
            <w:pPr>
              <w:rPr>
                <w:rFonts w:ascii="宋体"/>
              </w:rPr>
            </w:pPr>
          </w:p>
        </w:tc>
        <w:tc>
          <w:tcPr>
            <w:tcW w:w="0" w:type="auto"/>
            <w:shd w:val="clear" w:color="auto" w:fill="auto"/>
          </w:tcPr>
          <w:p w14:paraId="36CA560C" w14:textId="77777777" w:rsidR="00787570" w:rsidRDefault="00787570">
            <w:pPr>
              <w:rPr>
                <w:rFonts w:ascii="宋体"/>
              </w:rPr>
            </w:pPr>
          </w:p>
        </w:tc>
        <w:tc>
          <w:tcPr>
            <w:tcW w:w="0" w:type="auto"/>
            <w:shd w:val="clear" w:color="auto" w:fill="auto"/>
          </w:tcPr>
          <w:p w14:paraId="36CA560D" w14:textId="77777777" w:rsidR="00787570" w:rsidRDefault="00787570">
            <w:pPr>
              <w:rPr>
                <w:rFonts w:ascii="宋体"/>
              </w:rPr>
            </w:pPr>
          </w:p>
        </w:tc>
        <w:tc>
          <w:tcPr>
            <w:tcW w:w="0" w:type="auto"/>
            <w:shd w:val="clear" w:color="auto" w:fill="auto"/>
          </w:tcPr>
          <w:p w14:paraId="36CA560E" w14:textId="77777777" w:rsidR="00787570" w:rsidRDefault="00787570">
            <w:pPr>
              <w:rPr>
                <w:rFonts w:ascii="宋体"/>
              </w:rPr>
            </w:pPr>
          </w:p>
        </w:tc>
      </w:tr>
      <w:tr w:rsidR="00787570" w14:paraId="36CA561F" w14:textId="77777777">
        <w:trPr>
          <w:hidden/>
        </w:trPr>
        <w:tc>
          <w:tcPr>
            <w:tcW w:w="0" w:type="auto"/>
            <w:gridSpan w:val="3"/>
            <w:shd w:val="clear" w:color="auto" w:fill="auto"/>
          </w:tcPr>
          <w:p w14:paraId="36CA5610" w14:textId="77777777" w:rsidR="00787570" w:rsidRDefault="00787570">
            <w:pPr>
              <w:rPr>
                <w:rFonts w:ascii="宋体"/>
                <w:vanish/>
              </w:rPr>
            </w:pPr>
          </w:p>
        </w:tc>
        <w:tc>
          <w:tcPr>
            <w:tcW w:w="0" w:type="auto"/>
            <w:gridSpan w:val="3"/>
            <w:shd w:val="clear" w:color="auto" w:fill="auto"/>
          </w:tcPr>
          <w:p w14:paraId="36CA5611" w14:textId="77777777" w:rsidR="00787570" w:rsidRDefault="00787570">
            <w:pPr>
              <w:rPr>
                <w:rFonts w:ascii="宋体"/>
                <w:vanish/>
              </w:rPr>
            </w:pPr>
          </w:p>
        </w:tc>
        <w:tc>
          <w:tcPr>
            <w:tcW w:w="0" w:type="auto"/>
            <w:gridSpan w:val="3"/>
            <w:shd w:val="clear" w:color="auto" w:fill="auto"/>
          </w:tcPr>
          <w:p w14:paraId="36CA5612" w14:textId="77777777" w:rsidR="00787570" w:rsidRDefault="00787570">
            <w:pPr>
              <w:rPr>
                <w:rFonts w:ascii="宋体"/>
                <w:vanish/>
              </w:rPr>
            </w:pPr>
          </w:p>
        </w:tc>
        <w:tc>
          <w:tcPr>
            <w:tcW w:w="0" w:type="auto"/>
            <w:gridSpan w:val="3"/>
            <w:shd w:val="clear" w:color="auto" w:fill="auto"/>
          </w:tcPr>
          <w:p w14:paraId="36CA5613" w14:textId="77777777" w:rsidR="00787570" w:rsidRDefault="00787570">
            <w:pPr>
              <w:rPr>
                <w:rFonts w:ascii="宋体"/>
                <w:vanish/>
              </w:rPr>
            </w:pPr>
          </w:p>
        </w:tc>
        <w:tc>
          <w:tcPr>
            <w:tcW w:w="0" w:type="auto"/>
            <w:gridSpan w:val="3"/>
            <w:shd w:val="clear" w:color="auto" w:fill="auto"/>
          </w:tcPr>
          <w:p w14:paraId="36CA5614" w14:textId="77777777" w:rsidR="00787570" w:rsidRDefault="00787570">
            <w:pPr>
              <w:rPr>
                <w:rFonts w:ascii="宋体"/>
                <w:vanish/>
              </w:rPr>
            </w:pPr>
          </w:p>
        </w:tc>
        <w:tc>
          <w:tcPr>
            <w:tcW w:w="0" w:type="auto"/>
            <w:shd w:val="clear" w:color="auto" w:fill="auto"/>
          </w:tcPr>
          <w:p w14:paraId="36CA5615" w14:textId="77777777" w:rsidR="00787570" w:rsidRDefault="00787570">
            <w:pPr>
              <w:rPr>
                <w:rFonts w:ascii="宋体"/>
                <w:vanish/>
              </w:rPr>
            </w:pPr>
          </w:p>
        </w:tc>
        <w:tc>
          <w:tcPr>
            <w:tcW w:w="0" w:type="auto"/>
            <w:shd w:val="clear" w:color="auto" w:fill="auto"/>
          </w:tcPr>
          <w:p w14:paraId="36CA5616" w14:textId="77777777" w:rsidR="00787570" w:rsidRDefault="00787570">
            <w:pPr>
              <w:rPr>
                <w:rFonts w:ascii="宋体"/>
                <w:vanish/>
              </w:rPr>
            </w:pPr>
          </w:p>
        </w:tc>
        <w:tc>
          <w:tcPr>
            <w:tcW w:w="0" w:type="auto"/>
            <w:shd w:val="clear" w:color="auto" w:fill="auto"/>
          </w:tcPr>
          <w:p w14:paraId="36CA5617" w14:textId="77777777" w:rsidR="00787570" w:rsidRDefault="00787570">
            <w:pPr>
              <w:rPr>
                <w:rFonts w:ascii="宋体"/>
                <w:vanish/>
              </w:rPr>
            </w:pPr>
          </w:p>
        </w:tc>
        <w:tc>
          <w:tcPr>
            <w:tcW w:w="0" w:type="auto"/>
            <w:shd w:val="clear" w:color="auto" w:fill="auto"/>
          </w:tcPr>
          <w:p w14:paraId="36CA5618" w14:textId="77777777" w:rsidR="00787570" w:rsidRDefault="00787570">
            <w:pPr>
              <w:rPr>
                <w:rFonts w:ascii="宋体"/>
                <w:vanish/>
              </w:rPr>
            </w:pPr>
          </w:p>
        </w:tc>
        <w:tc>
          <w:tcPr>
            <w:tcW w:w="0" w:type="auto"/>
            <w:shd w:val="clear" w:color="auto" w:fill="auto"/>
          </w:tcPr>
          <w:p w14:paraId="36CA5619" w14:textId="77777777" w:rsidR="00787570" w:rsidRDefault="00787570">
            <w:pPr>
              <w:rPr>
                <w:rFonts w:ascii="宋体"/>
              </w:rPr>
            </w:pPr>
          </w:p>
        </w:tc>
        <w:tc>
          <w:tcPr>
            <w:tcW w:w="0" w:type="auto"/>
            <w:shd w:val="clear" w:color="auto" w:fill="auto"/>
          </w:tcPr>
          <w:p w14:paraId="36CA561A" w14:textId="77777777" w:rsidR="00787570" w:rsidRDefault="00787570">
            <w:pPr>
              <w:rPr>
                <w:rFonts w:ascii="宋体"/>
              </w:rPr>
            </w:pPr>
          </w:p>
        </w:tc>
        <w:tc>
          <w:tcPr>
            <w:tcW w:w="0" w:type="auto"/>
            <w:shd w:val="clear" w:color="auto" w:fill="auto"/>
          </w:tcPr>
          <w:p w14:paraId="36CA561B" w14:textId="77777777" w:rsidR="00787570" w:rsidRDefault="00787570">
            <w:pPr>
              <w:rPr>
                <w:rFonts w:ascii="宋体"/>
              </w:rPr>
            </w:pPr>
          </w:p>
        </w:tc>
        <w:tc>
          <w:tcPr>
            <w:tcW w:w="0" w:type="auto"/>
            <w:shd w:val="clear" w:color="auto" w:fill="auto"/>
          </w:tcPr>
          <w:p w14:paraId="36CA561C" w14:textId="77777777" w:rsidR="00787570" w:rsidRDefault="00787570">
            <w:pPr>
              <w:rPr>
                <w:rFonts w:ascii="宋体"/>
              </w:rPr>
            </w:pPr>
          </w:p>
        </w:tc>
        <w:tc>
          <w:tcPr>
            <w:tcW w:w="0" w:type="auto"/>
            <w:shd w:val="clear" w:color="auto" w:fill="auto"/>
          </w:tcPr>
          <w:p w14:paraId="36CA561D" w14:textId="77777777" w:rsidR="00787570" w:rsidRDefault="00787570">
            <w:pPr>
              <w:rPr>
                <w:rFonts w:ascii="宋体"/>
              </w:rPr>
            </w:pPr>
          </w:p>
        </w:tc>
        <w:tc>
          <w:tcPr>
            <w:tcW w:w="0" w:type="auto"/>
            <w:shd w:val="clear" w:color="auto" w:fill="auto"/>
          </w:tcPr>
          <w:p w14:paraId="36CA561E" w14:textId="77777777" w:rsidR="00787570" w:rsidRDefault="00787570">
            <w:pPr>
              <w:rPr>
                <w:rFonts w:ascii="宋体"/>
              </w:rPr>
            </w:pPr>
          </w:p>
        </w:tc>
      </w:tr>
      <w:tr w:rsidR="00787570" w14:paraId="36CA5633" w14:textId="77777777">
        <w:tc>
          <w:tcPr>
            <w:tcW w:w="0" w:type="auto"/>
            <w:gridSpan w:val="3"/>
            <w:shd w:val="clear" w:color="auto" w:fill="auto"/>
            <w:tcMar>
              <w:top w:w="40" w:type="dxa"/>
              <w:left w:w="20" w:type="dxa"/>
              <w:bottom w:w="40" w:type="dxa"/>
              <w:right w:w="20" w:type="dxa"/>
            </w:tcMar>
            <w:vAlign w:val="bottom"/>
          </w:tcPr>
          <w:p w14:paraId="36CA5620" w14:textId="77777777" w:rsidR="00787570" w:rsidRDefault="000D56E2">
            <w:pPr>
              <w:textAlignment w:val="bottom"/>
            </w:pPr>
            <w:r>
              <w:rPr>
                <w:rFonts w:ascii="Arial" w:eastAsia="宋体" w:hAnsi="Arial" w:cs="Arial"/>
                <w:b/>
                <w:bCs/>
                <w:color w:val="333333"/>
                <w:sz w:val="18"/>
                <w:szCs w:val="18"/>
              </w:rPr>
              <w:t>Earnings per share—diluted</w:t>
            </w:r>
          </w:p>
        </w:tc>
        <w:tc>
          <w:tcPr>
            <w:tcW w:w="0" w:type="auto"/>
            <w:gridSpan w:val="3"/>
            <w:shd w:val="clear" w:color="auto" w:fill="auto"/>
            <w:tcMar>
              <w:left w:w="20" w:type="dxa"/>
              <w:right w:w="20" w:type="dxa"/>
            </w:tcMar>
            <w:vAlign w:val="bottom"/>
          </w:tcPr>
          <w:p w14:paraId="36CA5621" w14:textId="77777777" w:rsidR="00787570" w:rsidRDefault="00787570">
            <w:pPr>
              <w:rPr>
                <w:rFonts w:ascii="宋体"/>
              </w:rPr>
            </w:pPr>
          </w:p>
        </w:tc>
        <w:tc>
          <w:tcPr>
            <w:tcW w:w="0" w:type="auto"/>
            <w:shd w:val="clear" w:color="auto" w:fill="auto"/>
            <w:tcMar>
              <w:top w:w="40" w:type="dxa"/>
              <w:left w:w="20" w:type="dxa"/>
              <w:bottom w:w="40" w:type="dxa"/>
            </w:tcMar>
            <w:vAlign w:val="bottom"/>
          </w:tcPr>
          <w:p w14:paraId="36CA5622" w14:textId="77777777" w:rsidR="00787570" w:rsidRDefault="000D56E2">
            <w:pPr>
              <w:textAlignment w:val="bottom"/>
            </w:pPr>
            <w:r>
              <w:rPr>
                <w:rFonts w:ascii="Arial" w:eastAsia="宋体" w:hAnsi="Arial" w:cs="Arial"/>
                <w:b/>
                <w:bCs/>
                <w:color w:val="0071C5"/>
                <w:sz w:val="18"/>
                <w:szCs w:val="18"/>
              </w:rPr>
              <w:t>$</w:t>
            </w:r>
          </w:p>
        </w:tc>
        <w:tc>
          <w:tcPr>
            <w:tcW w:w="0" w:type="auto"/>
            <w:shd w:val="clear" w:color="auto" w:fill="auto"/>
            <w:tcMar>
              <w:top w:w="40" w:type="dxa"/>
              <w:bottom w:w="40" w:type="dxa"/>
              <w:right w:w="0" w:type="dxa"/>
            </w:tcMar>
            <w:vAlign w:val="bottom"/>
          </w:tcPr>
          <w:p w14:paraId="36CA5623" w14:textId="77777777" w:rsidR="00787570" w:rsidRDefault="000D56E2">
            <w:pPr>
              <w:jc w:val="right"/>
              <w:textAlignment w:val="bottom"/>
            </w:pPr>
            <w:r>
              <w:rPr>
                <w:rFonts w:ascii="Arial" w:eastAsia="宋体" w:hAnsi="Arial" w:cs="Arial"/>
                <w:b/>
                <w:bCs/>
                <w:color w:val="0071C5"/>
                <w:sz w:val="18"/>
                <w:szCs w:val="18"/>
              </w:rPr>
              <w:t>1.02</w:t>
            </w:r>
            <w:r>
              <w:rPr>
                <w:rFonts w:ascii="Arial" w:eastAsia="宋体" w:hAnsi="Arial" w:cs="Arial"/>
                <w:color w:val="0071C5"/>
                <w:sz w:val="18"/>
                <w:szCs w:val="18"/>
              </w:rPr>
              <w:t> </w:t>
            </w:r>
          </w:p>
        </w:tc>
        <w:tc>
          <w:tcPr>
            <w:tcW w:w="0" w:type="auto"/>
            <w:shd w:val="clear" w:color="auto" w:fill="auto"/>
            <w:tcMar>
              <w:top w:w="40" w:type="dxa"/>
              <w:bottom w:w="40" w:type="dxa"/>
              <w:right w:w="20" w:type="dxa"/>
            </w:tcMar>
            <w:vAlign w:val="bottom"/>
          </w:tcPr>
          <w:p w14:paraId="36CA5624"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5625" w14:textId="77777777" w:rsidR="00787570" w:rsidRDefault="00787570">
            <w:pPr>
              <w:rPr>
                <w:rFonts w:ascii="宋体"/>
              </w:rPr>
            </w:pPr>
          </w:p>
        </w:tc>
        <w:tc>
          <w:tcPr>
            <w:tcW w:w="0" w:type="auto"/>
            <w:shd w:val="clear" w:color="auto" w:fill="auto"/>
            <w:tcMar>
              <w:top w:w="40" w:type="dxa"/>
              <w:left w:w="20" w:type="dxa"/>
              <w:bottom w:w="40" w:type="dxa"/>
            </w:tcMar>
            <w:vAlign w:val="bottom"/>
          </w:tcPr>
          <w:p w14:paraId="36CA5626" w14:textId="77777777" w:rsidR="00787570" w:rsidRDefault="000D56E2">
            <w:pPr>
              <w:textAlignment w:val="bottom"/>
            </w:pPr>
            <w:r>
              <w:rPr>
                <w:rFonts w:ascii="Arial" w:eastAsia="宋体" w:hAnsi="Arial" w:cs="Arial"/>
                <w:b/>
                <w:bCs/>
                <w:color w:val="333333"/>
                <w:sz w:val="18"/>
                <w:szCs w:val="18"/>
              </w:rPr>
              <w:t>$</w:t>
            </w:r>
          </w:p>
        </w:tc>
        <w:tc>
          <w:tcPr>
            <w:tcW w:w="0" w:type="auto"/>
            <w:shd w:val="clear" w:color="auto" w:fill="auto"/>
            <w:tcMar>
              <w:top w:w="40" w:type="dxa"/>
              <w:bottom w:w="40" w:type="dxa"/>
              <w:right w:w="0" w:type="dxa"/>
            </w:tcMar>
            <w:vAlign w:val="bottom"/>
          </w:tcPr>
          <w:p w14:paraId="36CA5627" w14:textId="77777777" w:rsidR="00787570" w:rsidRDefault="000D56E2">
            <w:pPr>
              <w:jc w:val="right"/>
              <w:textAlignment w:val="bottom"/>
            </w:pPr>
            <w:r>
              <w:rPr>
                <w:rFonts w:ascii="Arial" w:eastAsia="宋体" w:hAnsi="Arial" w:cs="Arial"/>
                <w:b/>
                <w:bCs/>
                <w:color w:val="333333"/>
                <w:sz w:val="18"/>
                <w:szCs w:val="18"/>
              </w:rPr>
              <w:t>1.35</w:t>
            </w:r>
            <w:r>
              <w:rPr>
                <w:rFonts w:ascii="Arial" w:eastAsia="宋体" w:hAnsi="Arial" w:cs="Arial"/>
                <w:color w:val="333333"/>
                <w:sz w:val="18"/>
                <w:szCs w:val="18"/>
              </w:rPr>
              <w:t> </w:t>
            </w:r>
          </w:p>
        </w:tc>
        <w:tc>
          <w:tcPr>
            <w:tcW w:w="0" w:type="auto"/>
            <w:shd w:val="clear" w:color="auto" w:fill="auto"/>
            <w:tcMar>
              <w:top w:w="40" w:type="dxa"/>
              <w:bottom w:w="40" w:type="dxa"/>
              <w:right w:w="20" w:type="dxa"/>
            </w:tcMar>
            <w:vAlign w:val="bottom"/>
          </w:tcPr>
          <w:p w14:paraId="36CA5628" w14:textId="77777777" w:rsidR="00787570" w:rsidRDefault="00787570">
            <w:pPr>
              <w:jc w:val="right"/>
              <w:rPr>
                <w:rFonts w:ascii="宋体"/>
              </w:rPr>
            </w:pPr>
          </w:p>
        </w:tc>
        <w:tc>
          <w:tcPr>
            <w:tcW w:w="0" w:type="auto"/>
            <w:shd w:val="clear" w:color="auto" w:fill="auto"/>
          </w:tcPr>
          <w:p w14:paraId="36CA5629" w14:textId="77777777" w:rsidR="00787570" w:rsidRDefault="00787570">
            <w:pPr>
              <w:rPr>
                <w:rFonts w:ascii="宋体"/>
                <w:vanish/>
              </w:rPr>
            </w:pPr>
          </w:p>
        </w:tc>
        <w:tc>
          <w:tcPr>
            <w:tcW w:w="0" w:type="auto"/>
            <w:shd w:val="clear" w:color="auto" w:fill="auto"/>
          </w:tcPr>
          <w:p w14:paraId="36CA562A" w14:textId="77777777" w:rsidR="00787570" w:rsidRDefault="00787570">
            <w:pPr>
              <w:rPr>
                <w:rFonts w:ascii="宋体"/>
                <w:vanish/>
              </w:rPr>
            </w:pPr>
          </w:p>
        </w:tc>
        <w:tc>
          <w:tcPr>
            <w:tcW w:w="0" w:type="auto"/>
            <w:shd w:val="clear" w:color="auto" w:fill="auto"/>
          </w:tcPr>
          <w:p w14:paraId="36CA562B" w14:textId="77777777" w:rsidR="00787570" w:rsidRDefault="00787570">
            <w:pPr>
              <w:rPr>
                <w:rFonts w:ascii="宋体"/>
                <w:vanish/>
              </w:rPr>
            </w:pPr>
          </w:p>
        </w:tc>
        <w:tc>
          <w:tcPr>
            <w:tcW w:w="0" w:type="auto"/>
            <w:shd w:val="clear" w:color="auto" w:fill="auto"/>
          </w:tcPr>
          <w:p w14:paraId="36CA562C" w14:textId="77777777" w:rsidR="00787570" w:rsidRDefault="00787570">
            <w:pPr>
              <w:rPr>
                <w:rFonts w:ascii="宋体"/>
                <w:vanish/>
              </w:rPr>
            </w:pPr>
          </w:p>
        </w:tc>
        <w:tc>
          <w:tcPr>
            <w:tcW w:w="0" w:type="auto"/>
            <w:shd w:val="clear" w:color="auto" w:fill="auto"/>
          </w:tcPr>
          <w:p w14:paraId="36CA562D" w14:textId="77777777" w:rsidR="00787570" w:rsidRDefault="00787570">
            <w:pPr>
              <w:rPr>
                <w:rFonts w:ascii="宋体"/>
              </w:rPr>
            </w:pPr>
          </w:p>
        </w:tc>
        <w:tc>
          <w:tcPr>
            <w:tcW w:w="0" w:type="auto"/>
            <w:shd w:val="clear" w:color="auto" w:fill="auto"/>
          </w:tcPr>
          <w:p w14:paraId="36CA562E" w14:textId="77777777" w:rsidR="00787570" w:rsidRDefault="00787570">
            <w:pPr>
              <w:rPr>
                <w:rFonts w:ascii="宋体"/>
              </w:rPr>
            </w:pPr>
          </w:p>
        </w:tc>
        <w:tc>
          <w:tcPr>
            <w:tcW w:w="0" w:type="auto"/>
            <w:shd w:val="clear" w:color="auto" w:fill="auto"/>
          </w:tcPr>
          <w:p w14:paraId="36CA562F" w14:textId="77777777" w:rsidR="00787570" w:rsidRDefault="00787570">
            <w:pPr>
              <w:rPr>
                <w:rFonts w:ascii="宋体"/>
              </w:rPr>
            </w:pPr>
          </w:p>
        </w:tc>
        <w:tc>
          <w:tcPr>
            <w:tcW w:w="0" w:type="auto"/>
            <w:shd w:val="clear" w:color="auto" w:fill="auto"/>
          </w:tcPr>
          <w:p w14:paraId="36CA5630" w14:textId="77777777" w:rsidR="00787570" w:rsidRDefault="00787570">
            <w:pPr>
              <w:rPr>
                <w:rFonts w:ascii="宋体"/>
              </w:rPr>
            </w:pPr>
          </w:p>
        </w:tc>
        <w:tc>
          <w:tcPr>
            <w:tcW w:w="0" w:type="auto"/>
            <w:shd w:val="clear" w:color="auto" w:fill="auto"/>
          </w:tcPr>
          <w:p w14:paraId="36CA5631" w14:textId="77777777" w:rsidR="00787570" w:rsidRDefault="00787570">
            <w:pPr>
              <w:rPr>
                <w:rFonts w:ascii="宋体"/>
              </w:rPr>
            </w:pPr>
          </w:p>
        </w:tc>
        <w:tc>
          <w:tcPr>
            <w:tcW w:w="0" w:type="auto"/>
            <w:shd w:val="clear" w:color="auto" w:fill="auto"/>
          </w:tcPr>
          <w:p w14:paraId="36CA5632" w14:textId="77777777" w:rsidR="00787570" w:rsidRDefault="00787570">
            <w:pPr>
              <w:rPr>
                <w:rFonts w:ascii="宋体"/>
              </w:rPr>
            </w:pPr>
          </w:p>
        </w:tc>
      </w:tr>
      <w:tr w:rsidR="00787570" w14:paraId="36CA5645" w14:textId="77777777">
        <w:tc>
          <w:tcPr>
            <w:tcW w:w="0" w:type="auto"/>
            <w:gridSpan w:val="3"/>
            <w:shd w:val="clear" w:color="auto" w:fill="auto"/>
            <w:tcMar>
              <w:top w:w="40" w:type="dxa"/>
              <w:left w:w="225" w:type="dxa"/>
              <w:bottom w:w="40" w:type="dxa"/>
              <w:right w:w="20" w:type="dxa"/>
            </w:tcMar>
            <w:vAlign w:val="bottom"/>
          </w:tcPr>
          <w:p w14:paraId="36CA5634" w14:textId="77777777" w:rsidR="00787570" w:rsidRDefault="000D56E2">
            <w:pPr>
              <w:textAlignment w:val="bottom"/>
            </w:pPr>
            <w:r>
              <w:rPr>
                <w:rFonts w:ascii="Arial" w:eastAsia="宋体" w:hAnsi="Arial" w:cs="Arial"/>
                <w:color w:val="333333"/>
                <w:sz w:val="18"/>
                <w:szCs w:val="18"/>
              </w:rPr>
              <w:t>Acquisition-related adjustments</w:t>
            </w:r>
          </w:p>
        </w:tc>
        <w:tc>
          <w:tcPr>
            <w:tcW w:w="0" w:type="auto"/>
            <w:gridSpan w:val="3"/>
            <w:shd w:val="clear" w:color="auto" w:fill="auto"/>
            <w:tcMar>
              <w:left w:w="20" w:type="dxa"/>
              <w:right w:w="20" w:type="dxa"/>
            </w:tcMar>
            <w:vAlign w:val="bottom"/>
          </w:tcPr>
          <w:p w14:paraId="36CA5635"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5636" w14:textId="77777777" w:rsidR="00787570" w:rsidRDefault="000D56E2">
            <w:pPr>
              <w:jc w:val="right"/>
              <w:textAlignment w:val="bottom"/>
            </w:pPr>
            <w:r>
              <w:rPr>
                <w:rFonts w:ascii="Arial" w:eastAsia="宋体" w:hAnsi="Arial" w:cs="Arial"/>
                <w:color w:val="0071C5"/>
                <w:sz w:val="18"/>
                <w:szCs w:val="18"/>
              </w:rPr>
              <w:t>0.09 </w:t>
            </w:r>
          </w:p>
        </w:tc>
        <w:tc>
          <w:tcPr>
            <w:tcW w:w="0" w:type="auto"/>
            <w:shd w:val="clear" w:color="auto" w:fill="auto"/>
            <w:tcMar>
              <w:top w:w="40" w:type="dxa"/>
              <w:bottom w:w="40" w:type="dxa"/>
              <w:right w:w="20" w:type="dxa"/>
            </w:tcMar>
            <w:vAlign w:val="bottom"/>
          </w:tcPr>
          <w:p w14:paraId="36CA5637"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5638"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5639" w14:textId="77777777" w:rsidR="00787570" w:rsidRDefault="000D56E2">
            <w:pPr>
              <w:jc w:val="right"/>
              <w:textAlignment w:val="bottom"/>
            </w:pPr>
            <w:r>
              <w:rPr>
                <w:rFonts w:ascii="Arial" w:eastAsia="宋体" w:hAnsi="Arial" w:cs="Arial"/>
                <w:color w:val="333333"/>
                <w:sz w:val="18"/>
                <w:szCs w:val="18"/>
              </w:rPr>
              <w:t>0.08 </w:t>
            </w:r>
          </w:p>
        </w:tc>
        <w:tc>
          <w:tcPr>
            <w:tcW w:w="0" w:type="auto"/>
            <w:shd w:val="clear" w:color="auto" w:fill="auto"/>
            <w:tcMar>
              <w:top w:w="40" w:type="dxa"/>
              <w:bottom w:w="40" w:type="dxa"/>
              <w:right w:w="20" w:type="dxa"/>
            </w:tcMar>
            <w:vAlign w:val="bottom"/>
          </w:tcPr>
          <w:p w14:paraId="36CA563A" w14:textId="77777777" w:rsidR="00787570" w:rsidRDefault="00787570">
            <w:pPr>
              <w:jc w:val="right"/>
              <w:rPr>
                <w:rFonts w:ascii="宋体"/>
              </w:rPr>
            </w:pPr>
          </w:p>
        </w:tc>
        <w:tc>
          <w:tcPr>
            <w:tcW w:w="0" w:type="auto"/>
            <w:shd w:val="clear" w:color="auto" w:fill="auto"/>
          </w:tcPr>
          <w:p w14:paraId="36CA563B" w14:textId="77777777" w:rsidR="00787570" w:rsidRDefault="00787570">
            <w:pPr>
              <w:rPr>
                <w:rFonts w:ascii="宋体"/>
                <w:vanish/>
              </w:rPr>
            </w:pPr>
          </w:p>
        </w:tc>
        <w:tc>
          <w:tcPr>
            <w:tcW w:w="0" w:type="auto"/>
            <w:shd w:val="clear" w:color="auto" w:fill="auto"/>
          </w:tcPr>
          <w:p w14:paraId="36CA563C" w14:textId="77777777" w:rsidR="00787570" w:rsidRDefault="00787570">
            <w:pPr>
              <w:rPr>
                <w:rFonts w:ascii="宋体"/>
                <w:vanish/>
              </w:rPr>
            </w:pPr>
          </w:p>
        </w:tc>
        <w:tc>
          <w:tcPr>
            <w:tcW w:w="0" w:type="auto"/>
            <w:shd w:val="clear" w:color="auto" w:fill="auto"/>
          </w:tcPr>
          <w:p w14:paraId="36CA563D" w14:textId="77777777" w:rsidR="00787570" w:rsidRDefault="00787570">
            <w:pPr>
              <w:rPr>
                <w:rFonts w:ascii="宋体"/>
                <w:vanish/>
              </w:rPr>
            </w:pPr>
          </w:p>
        </w:tc>
        <w:tc>
          <w:tcPr>
            <w:tcW w:w="0" w:type="auto"/>
            <w:shd w:val="clear" w:color="auto" w:fill="auto"/>
          </w:tcPr>
          <w:p w14:paraId="36CA563E" w14:textId="77777777" w:rsidR="00787570" w:rsidRDefault="00787570">
            <w:pPr>
              <w:rPr>
                <w:rFonts w:ascii="宋体"/>
                <w:vanish/>
              </w:rPr>
            </w:pPr>
          </w:p>
        </w:tc>
        <w:tc>
          <w:tcPr>
            <w:tcW w:w="0" w:type="auto"/>
            <w:shd w:val="clear" w:color="auto" w:fill="auto"/>
          </w:tcPr>
          <w:p w14:paraId="36CA563F" w14:textId="77777777" w:rsidR="00787570" w:rsidRDefault="00787570">
            <w:pPr>
              <w:rPr>
                <w:rFonts w:ascii="宋体"/>
              </w:rPr>
            </w:pPr>
          </w:p>
        </w:tc>
        <w:tc>
          <w:tcPr>
            <w:tcW w:w="0" w:type="auto"/>
            <w:shd w:val="clear" w:color="auto" w:fill="auto"/>
          </w:tcPr>
          <w:p w14:paraId="36CA5640" w14:textId="77777777" w:rsidR="00787570" w:rsidRDefault="00787570">
            <w:pPr>
              <w:rPr>
                <w:rFonts w:ascii="宋体"/>
              </w:rPr>
            </w:pPr>
          </w:p>
        </w:tc>
        <w:tc>
          <w:tcPr>
            <w:tcW w:w="0" w:type="auto"/>
            <w:shd w:val="clear" w:color="auto" w:fill="auto"/>
          </w:tcPr>
          <w:p w14:paraId="36CA5641" w14:textId="77777777" w:rsidR="00787570" w:rsidRDefault="00787570">
            <w:pPr>
              <w:rPr>
                <w:rFonts w:ascii="宋体"/>
              </w:rPr>
            </w:pPr>
          </w:p>
        </w:tc>
        <w:tc>
          <w:tcPr>
            <w:tcW w:w="0" w:type="auto"/>
            <w:shd w:val="clear" w:color="auto" w:fill="auto"/>
          </w:tcPr>
          <w:p w14:paraId="36CA5642" w14:textId="77777777" w:rsidR="00787570" w:rsidRDefault="00787570">
            <w:pPr>
              <w:rPr>
                <w:rFonts w:ascii="宋体"/>
              </w:rPr>
            </w:pPr>
          </w:p>
        </w:tc>
        <w:tc>
          <w:tcPr>
            <w:tcW w:w="0" w:type="auto"/>
            <w:shd w:val="clear" w:color="auto" w:fill="auto"/>
          </w:tcPr>
          <w:p w14:paraId="36CA5643" w14:textId="77777777" w:rsidR="00787570" w:rsidRDefault="00787570">
            <w:pPr>
              <w:rPr>
                <w:rFonts w:ascii="宋体"/>
              </w:rPr>
            </w:pPr>
          </w:p>
        </w:tc>
        <w:tc>
          <w:tcPr>
            <w:tcW w:w="0" w:type="auto"/>
            <w:shd w:val="clear" w:color="auto" w:fill="auto"/>
          </w:tcPr>
          <w:p w14:paraId="36CA5644" w14:textId="77777777" w:rsidR="00787570" w:rsidRDefault="00787570">
            <w:pPr>
              <w:rPr>
                <w:rFonts w:ascii="宋体"/>
              </w:rPr>
            </w:pPr>
          </w:p>
        </w:tc>
      </w:tr>
      <w:tr w:rsidR="00787570" w14:paraId="36CA5655" w14:textId="77777777">
        <w:trPr>
          <w:hidden/>
        </w:trPr>
        <w:tc>
          <w:tcPr>
            <w:tcW w:w="0" w:type="auto"/>
            <w:gridSpan w:val="3"/>
            <w:shd w:val="clear" w:color="auto" w:fill="auto"/>
          </w:tcPr>
          <w:p w14:paraId="36CA5646" w14:textId="77777777" w:rsidR="00787570" w:rsidRDefault="00787570">
            <w:pPr>
              <w:rPr>
                <w:rFonts w:ascii="宋体"/>
                <w:vanish/>
              </w:rPr>
            </w:pPr>
          </w:p>
        </w:tc>
        <w:tc>
          <w:tcPr>
            <w:tcW w:w="0" w:type="auto"/>
            <w:gridSpan w:val="3"/>
            <w:shd w:val="clear" w:color="auto" w:fill="auto"/>
          </w:tcPr>
          <w:p w14:paraId="36CA5647" w14:textId="77777777" w:rsidR="00787570" w:rsidRDefault="00787570">
            <w:pPr>
              <w:rPr>
                <w:rFonts w:ascii="宋体"/>
                <w:vanish/>
              </w:rPr>
            </w:pPr>
          </w:p>
        </w:tc>
        <w:tc>
          <w:tcPr>
            <w:tcW w:w="0" w:type="auto"/>
            <w:gridSpan w:val="3"/>
            <w:shd w:val="clear" w:color="auto" w:fill="auto"/>
          </w:tcPr>
          <w:p w14:paraId="36CA5648" w14:textId="77777777" w:rsidR="00787570" w:rsidRDefault="00787570">
            <w:pPr>
              <w:rPr>
                <w:rFonts w:ascii="宋体"/>
                <w:vanish/>
              </w:rPr>
            </w:pPr>
          </w:p>
        </w:tc>
        <w:tc>
          <w:tcPr>
            <w:tcW w:w="0" w:type="auto"/>
            <w:gridSpan w:val="3"/>
            <w:shd w:val="clear" w:color="auto" w:fill="auto"/>
          </w:tcPr>
          <w:p w14:paraId="36CA5649" w14:textId="77777777" w:rsidR="00787570" w:rsidRDefault="00787570">
            <w:pPr>
              <w:rPr>
                <w:rFonts w:ascii="宋体"/>
                <w:vanish/>
              </w:rPr>
            </w:pPr>
          </w:p>
        </w:tc>
        <w:tc>
          <w:tcPr>
            <w:tcW w:w="0" w:type="auto"/>
            <w:gridSpan w:val="3"/>
            <w:shd w:val="clear" w:color="auto" w:fill="auto"/>
          </w:tcPr>
          <w:p w14:paraId="36CA564A" w14:textId="77777777" w:rsidR="00787570" w:rsidRDefault="00787570">
            <w:pPr>
              <w:rPr>
                <w:rFonts w:ascii="宋体"/>
                <w:vanish/>
              </w:rPr>
            </w:pPr>
          </w:p>
        </w:tc>
        <w:tc>
          <w:tcPr>
            <w:tcW w:w="0" w:type="auto"/>
            <w:shd w:val="clear" w:color="auto" w:fill="auto"/>
          </w:tcPr>
          <w:p w14:paraId="36CA564B" w14:textId="77777777" w:rsidR="00787570" w:rsidRDefault="00787570">
            <w:pPr>
              <w:rPr>
                <w:rFonts w:ascii="宋体"/>
                <w:vanish/>
              </w:rPr>
            </w:pPr>
          </w:p>
        </w:tc>
        <w:tc>
          <w:tcPr>
            <w:tcW w:w="0" w:type="auto"/>
            <w:shd w:val="clear" w:color="auto" w:fill="auto"/>
          </w:tcPr>
          <w:p w14:paraId="36CA564C" w14:textId="77777777" w:rsidR="00787570" w:rsidRDefault="00787570">
            <w:pPr>
              <w:rPr>
                <w:rFonts w:ascii="宋体"/>
                <w:vanish/>
              </w:rPr>
            </w:pPr>
          </w:p>
        </w:tc>
        <w:tc>
          <w:tcPr>
            <w:tcW w:w="0" w:type="auto"/>
            <w:shd w:val="clear" w:color="auto" w:fill="auto"/>
          </w:tcPr>
          <w:p w14:paraId="36CA564D" w14:textId="77777777" w:rsidR="00787570" w:rsidRDefault="00787570">
            <w:pPr>
              <w:rPr>
                <w:rFonts w:ascii="宋体"/>
                <w:vanish/>
              </w:rPr>
            </w:pPr>
          </w:p>
        </w:tc>
        <w:tc>
          <w:tcPr>
            <w:tcW w:w="0" w:type="auto"/>
            <w:shd w:val="clear" w:color="auto" w:fill="auto"/>
          </w:tcPr>
          <w:p w14:paraId="36CA564E" w14:textId="77777777" w:rsidR="00787570" w:rsidRDefault="00787570">
            <w:pPr>
              <w:rPr>
                <w:rFonts w:ascii="宋体"/>
                <w:vanish/>
              </w:rPr>
            </w:pPr>
          </w:p>
        </w:tc>
        <w:tc>
          <w:tcPr>
            <w:tcW w:w="0" w:type="auto"/>
            <w:shd w:val="clear" w:color="auto" w:fill="auto"/>
          </w:tcPr>
          <w:p w14:paraId="36CA564F" w14:textId="77777777" w:rsidR="00787570" w:rsidRDefault="00787570">
            <w:pPr>
              <w:rPr>
                <w:rFonts w:ascii="宋体"/>
              </w:rPr>
            </w:pPr>
          </w:p>
        </w:tc>
        <w:tc>
          <w:tcPr>
            <w:tcW w:w="0" w:type="auto"/>
            <w:shd w:val="clear" w:color="auto" w:fill="auto"/>
          </w:tcPr>
          <w:p w14:paraId="36CA5650" w14:textId="77777777" w:rsidR="00787570" w:rsidRDefault="00787570">
            <w:pPr>
              <w:rPr>
                <w:rFonts w:ascii="宋体"/>
              </w:rPr>
            </w:pPr>
          </w:p>
        </w:tc>
        <w:tc>
          <w:tcPr>
            <w:tcW w:w="0" w:type="auto"/>
            <w:shd w:val="clear" w:color="auto" w:fill="auto"/>
          </w:tcPr>
          <w:p w14:paraId="36CA5651" w14:textId="77777777" w:rsidR="00787570" w:rsidRDefault="00787570">
            <w:pPr>
              <w:rPr>
                <w:rFonts w:ascii="宋体"/>
              </w:rPr>
            </w:pPr>
          </w:p>
        </w:tc>
        <w:tc>
          <w:tcPr>
            <w:tcW w:w="0" w:type="auto"/>
            <w:shd w:val="clear" w:color="auto" w:fill="auto"/>
          </w:tcPr>
          <w:p w14:paraId="36CA5652" w14:textId="77777777" w:rsidR="00787570" w:rsidRDefault="00787570">
            <w:pPr>
              <w:rPr>
                <w:rFonts w:ascii="宋体"/>
              </w:rPr>
            </w:pPr>
          </w:p>
        </w:tc>
        <w:tc>
          <w:tcPr>
            <w:tcW w:w="0" w:type="auto"/>
            <w:shd w:val="clear" w:color="auto" w:fill="auto"/>
          </w:tcPr>
          <w:p w14:paraId="36CA5653" w14:textId="77777777" w:rsidR="00787570" w:rsidRDefault="00787570">
            <w:pPr>
              <w:rPr>
                <w:rFonts w:ascii="宋体"/>
              </w:rPr>
            </w:pPr>
          </w:p>
        </w:tc>
        <w:tc>
          <w:tcPr>
            <w:tcW w:w="0" w:type="auto"/>
            <w:shd w:val="clear" w:color="auto" w:fill="auto"/>
          </w:tcPr>
          <w:p w14:paraId="36CA5654" w14:textId="77777777" w:rsidR="00787570" w:rsidRDefault="00787570">
            <w:pPr>
              <w:rPr>
                <w:rFonts w:ascii="宋体"/>
              </w:rPr>
            </w:pPr>
          </w:p>
        </w:tc>
      </w:tr>
      <w:tr w:rsidR="00787570" w14:paraId="36CA5665" w14:textId="77777777">
        <w:trPr>
          <w:hidden/>
        </w:trPr>
        <w:tc>
          <w:tcPr>
            <w:tcW w:w="0" w:type="auto"/>
            <w:gridSpan w:val="3"/>
            <w:shd w:val="clear" w:color="auto" w:fill="auto"/>
          </w:tcPr>
          <w:p w14:paraId="36CA5656" w14:textId="77777777" w:rsidR="00787570" w:rsidRDefault="00787570">
            <w:pPr>
              <w:rPr>
                <w:rFonts w:ascii="宋体"/>
                <w:vanish/>
              </w:rPr>
            </w:pPr>
          </w:p>
        </w:tc>
        <w:tc>
          <w:tcPr>
            <w:tcW w:w="0" w:type="auto"/>
            <w:gridSpan w:val="3"/>
            <w:shd w:val="clear" w:color="auto" w:fill="auto"/>
          </w:tcPr>
          <w:p w14:paraId="36CA5657" w14:textId="77777777" w:rsidR="00787570" w:rsidRDefault="00787570">
            <w:pPr>
              <w:rPr>
                <w:rFonts w:ascii="宋体"/>
                <w:vanish/>
              </w:rPr>
            </w:pPr>
          </w:p>
        </w:tc>
        <w:tc>
          <w:tcPr>
            <w:tcW w:w="0" w:type="auto"/>
            <w:gridSpan w:val="3"/>
            <w:shd w:val="clear" w:color="auto" w:fill="auto"/>
          </w:tcPr>
          <w:p w14:paraId="36CA5658" w14:textId="77777777" w:rsidR="00787570" w:rsidRDefault="00787570">
            <w:pPr>
              <w:rPr>
                <w:rFonts w:ascii="宋体"/>
                <w:vanish/>
              </w:rPr>
            </w:pPr>
          </w:p>
        </w:tc>
        <w:tc>
          <w:tcPr>
            <w:tcW w:w="0" w:type="auto"/>
            <w:gridSpan w:val="3"/>
            <w:shd w:val="clear" w:color="auto" w:fill="auto"/>
          </w:tcPr>
          <w:p w14:paraId="36CA5659" w14:textId="77777777" w:rsidR="00787570" w:rsidRDefault="00787570">
            <w:pPr>
              <w:rPr>
                <w:rFonts w:ascii="宋体"/>
                <w:vanish/>
              </w:rPr>
            </w:pPr>
          </w:p>
        </w:tc>
        <w:tc>
          <w:tcPr>
            <w:tcW w:w="0" w:type="auto"/>
            <w:gridSpan w:val="3"/>
            <w:shd w:val="clear" w:color="auto" w:fill="auto"/>
          </w:tcPr>
          <w:p w14:paraId="36CA565A" w14:textId="77777777" w:rsidR="00787570" w:rsidRDefault="00787570">
            <w:pPr>
              <w:rPr>
                <w:rFonts w:ascii="宋体"/>
                <w:vanish/>
              </w:rPr>
            </w:pPr>
          </w:p>
        </w:tc>
        <w:tc>
          <w:tcPr>
            <w:tcW w:w="0" w:type="auto"/>
            <w:shd w:val="clear" w:color="auto" w:fill="auto"/>
          </w:tcPr>
          <w:p w14:paraId="36CA565B" w14:textId="77777777" w:rsidR="00787570" w:rsidRDefault="00787570">
            <w:pPr>
              <w:rPr>
                <w:rFonts w:ascii="宋体"/>
                <w:vanish/>
              </w:rPr>
            </w:pPr>
          </w:p>
        </w:tc>
        <w:tc>
          <w:tcPr>
            <w:tcW w:w="0" w:type="auto"/>
            <w:shd w:val="clear" w:color="auto" w:fill="auto"/>
          </w:tcPr>
          <w:p w14:paraId="36CA565C" w14:textId="77777777" w:rsidR="00787570" w:rsidRDefault="00787570">
            <w:pPr>
              <w:rPr>
                <w:rFonts w:ascii="宋体"/>
                <w:vanish/>
              </w:rPr>
            </w:pPr>
          </w:p>
        </w:tc>
        <w:tc>
          <w:tcPr>
            <w:tcW w:w="0" w:type="auto"/>
            <w:shd w:val="clear" w:color="auto" w:fill="auto"/>
          </w:tcPr>
          <w:p w14:paraId="36CA565D" w14:textId="77777777" w:rsidR="00787570" w:rsidRDefault="00787570">
            <w:pPr>
              <w:rPr>
                <w:rFonts w:ascii="宋体"/>
                <w:vanish/>
              </w:rPr>
            </w:pPr>
          </w:p>
        </w:tc>
        <w:tc>
          <w:tcPr>
            <w:tcW w:w="0" w:type="auto"/>
            <w:shd w:val="clear" w:color="auto" w:fill="auto"/>
          </w:tcPr>
          <w:p w14:paraId="36CA565E" w14:textId="77777777" w:rsidR="00787570" w:rsidRDefault="00787570">
            <w:pPr>
              <w:rPr>
                <w:rFonts w:ascii="宋体"/>
                <w:vanish/>
              </w:rPr>
            </w:pPr>
          </w:p>
        </w:tc>
        <w:tc>
          <w:tcPr>
            <w:tcW w:w="0" w:type="auto"/>
            <w:shd w:val="clear" w:color="auto" w:fill="auto"/>
          </w:tcPr>
          <w:p w14:paraId="36CA565F" w14:textId="77777777" w:rsidR="00787570" w:rsidRDefault="00787570">
            <w:pPr>
              <w:rPr>
                <w:rFonts w:ascii="宋体"/>
              </w:rPr>
            </w:pPr>
          </w:p>
        </w:tc>
        <w:tc>
          <w:tcPr>
            <w:tcW w:w="0" w:type="auto"/>
            <w:shd w:val="clear" w:color="auto" w:fill="auto"/>
          </w:tcPr>
          <w:p w14:paraId="36CA5660" w14:textId="77777777" w:rsidR="00787570" w:rsidRDefault="00787570">
            <w:pPr>
              <w:rPr>
                <w:rFonts w:ascii="宋体"/>
              </w:rPr>
            </w:pPr>
          </w:p>
        </w:tc>
        <w:tc>
          <w:tcPr>
            <w:tcW w:w="0" w:type="auto"/>
            <w:shd w:val="clear" w:color="auto" w:fill="auto"/>
          </w:tcPr>
          <w:p w14:paraId="36CA5661" w14:textId="77777777" w:rsidR="00787570" w:rsidRDefault="00787570">
            <w:pPr>
              <w:rPr>
                <w:rFonts w:ascii="宋体"/>
              </w:rPr>
            </w:pPr>
          </w:p>
        </w:tc>
        <w:tc>
          <w:tcPr>
            <w:tcW w:w="0" w:type="auto"/>
            <w:shd w:val="clear" w:color="auto" w:fill="auto"/>
          </w:tcPr>
          <w:p w14:paraId="36CA5662" w14:textId="77777777" w:rsidR="00787570" w:rsidRDefault="00787570">
            <w:pPr>
              <w:rPr>
                <w:rFonts w:ascii="宋体"/>
              </w:rPr>
            </w:pPr>
          </w:p>
        </w:tc>
        <w:tc>
          <w:tcPr>
            <w:tcW w:w="0" w:type="auto"/>
            <w:shd w:val="clear" w:color="auto" w:fill="auto"/>
          </w:tcPr>
          <w:p w14:paraId="36CA5663" w14:textId="77777777" w:rsidR="00787570" w:rsidRDefault="00787570">
            <w:pPr>
              <w:rPr>
                <w:rFonts w:ascii="宋体"/>
              </w:rPr>
            </w:pPr>
          </w:p>
        </w:tc>
        <w:tc>
          <w:tcPr>
            <w:tcW w:w="0" w:type="auto"/>
            <w:shd w:val="clear" w:color="auto" w:fill="auto"/>
          </w:tcPr>
          <w:p w14:paraId="36CA5664" w14:textId="77777777" w:rsidR="00787570" w:rsidRDefault="00787570">
            <w:pPr>
              <w:rPr>
                <w:rFonts w:ascii="宋体"/>
              </w:rPr>
            </w:pPr>
          </w:p>
        </w:tc>
      </w:tr>
      <w:tr w:rsidR="00787570" w14:paraId="36CA5675" w14:textId="77777777">
        <w:trPr>
          <w:hidden/>
        </w:trPr>
        <w:tc>
          <w:tcPr>
            <w:tcW w:w="0" w:type="auto"/>
            <w:gridSpan w:val="3"/>
            <w:shd w:val="clear" w:color="auto" w:fill="auto"/>
          </w:tcPr>
          <w:p w14:paraId="36CA5666" w14:textId="77777777" w:rsidR="00787570" w:rsidRDefault="00787570">
            <w:pPr>
              <w:rPr>
                <w:rFonts w:ascii="宋体"/>
                <w:vanish/>
              </w:rPr>
            </w:pPr>
          </w:p>
        </w:tc>
        <w:tc>
          <w:tcPr>
            <w:tcW w:w="0" w:type="auto"/>
            <w:gridSpan w:val="3"/>
            <w:shd w:val="clear" w:color="auto" w:fill="auto"/>
          </w:tcPr>
          <w:p w14:paraId="36CA5667" w14:textId="77777777" w:rsidR="00787570" w:rsidRDefault="00787570">
            <w:pPr>
              <w:rPr>
                <w:rFonts w:ascii="宋体"/>
                <w:vanish/>
              </w:rPr>
            </w:pPr>
          </w:p>
        </w:tc>
        <w:tc>
          <w:tcPr>
            <w:tcW w:w="0" w:type="auto"/>
            <w:gridSpan w:val="3"/>
            <w:shd w:val="clear" w:color="auto" w:fill="auto"/>
          </w:tcPr>
          <w:p w14:paraId="36CA5668" w14:textId="77777777" w:rsidR="00787570" w:rsidRDefault="00787570">
            <w:pPr>
              <w:rPr>
                <w:rFonts w:ascii="宋体"/>
                <w:vanish/>
              </w:rPr>
            </w:pPr>
          </w:p>
        </w:tc>
        <w:tc>
          <w:tcPr>
            <w:tcW w:w="0" w:type="auto"/>
            <w:gridSpan w:val="3"/>
            <w:shd w:val="clear" w:color="auto" w:fill="auto"/>
          </w:tcPr>
          <w:p w14:paraId="36CA5669" w14:textId="77777777" w:rsidR="00787570" w:rsidRDefault="00787570">
            <w:pPr>
              <w:rPr>
                <w:rFonts w:ascii="宋体"/>
                <w:vanish/>
              </w:rPr>
            </w:pPr>
          </w:p>
        </w:tc>
        <w:tc>
          <w:tcPr>
            <w:tcW w:w="0" w:type="auto"/>
            <w:gridSpan w:val="3"/>
            <w:shd w:val="clear" w:color="auto" w:fill="auto"/>
          </w:tcPr>
          <w:p w14:paraId="36CA566A" w14:textId="77777777" w:rsidR="00787570" w:rsidRDefault="00787570">
            <w:pPr>
              <w:rPr>
                <w:rFonts w:ascii="宋体"/>
                <w:vanish/>
              </w:rPr>
            </w:pPr>
          </w:p>
        </w:tc>
        <w:tc>
          <w:tcPr>
            <w:tcW w:w="0" w:type="auto"/>
            <w:shd w:val="clear" w:color="auto" w:fill="auto"/>
          </w:tcPr>
          <w:p w14:paraId="36CA566B" w14:textId="77777777" w:rsidR="00787570" w:rsidRDefault="00787570">
            <w:pPr>
              <w:rPr>
                <w:rFonts w:ascii="宋体"/>
                <w:vanish/>
              </w:rPr>
            </w:pPr>
          </w:p>
        </w:tc>
        <w:tc>
          <w:tcPr>
            <w:tcW w:w="0" w:type="auto"/>
            <w:shd w:val="clear" w:color="auto" w:fill="auto"/>
          </w:tcPr>
          <w:p w14:paraId="36CA566C" w14:textId="77777777" w:rsidR="00787570" w:rsidRDefault="00787570">
            <w:pPr>
              <w:rPr>
                <w:rFonts w:ascii="宋体"/>
                <w:vanish/>
              </w:rPr>
            </w:pPr>
          </w:p>
        </w:tc>
        <w:tc>
          <w:tcPr>
            <w:tcW w:w="0" w:type="auto"/>
            <w:shd w:val="clear" w:color="auto" w:fill="auto"/>
          </w:tcPr>
          <w:p w14:paraId="36CA566D" w14:textId="77777777" w:rsidR="00787570" w:rsidRDefault="00787570">
            <w:pPr>
              <w:rPr>
                <w:rFonts w:ascii="宋体"/>
                <w:vanish/>
              </w:rPr>
            </w:pPr>
          </w:p>
        </w:tc>
        <w:tc>
          <w:tcPr>
            <w:tcW w:w="0" w:type="auto"/>
            <w:shd w:val="clear" w:color="auto" w:fill="auto"/>
          </w:tcPr>
          <w:p w14:paraId="36CA566E" w14:textId="77777777" w:rsidR="00787570" w:rsidRDefault="00787570">
            <w:pPr>
              <w:rPr>
                <w:rFonts w:ascii="宋体"/>
                <w:vanish/>
              </w:rPr>
            </w:pPr>
          </w:p>
        </w:tc>
        <w:tc>
          <w:tcPr>
            <w:tcW w:w="0" w:type="auto"/>
            <w:shd w:val="clear" w:color="auto" w:fill="auto"/>
          </w:tcPr>
          <w:p w14:paraId="36CA566F" w14:textId="77777777" w:rsidR="00787570" w:rsidRDefault="00787570">
            <w:pPr>
              <w:rPr>
                <w:rFonts w:ascii="宋体"/>
              </w:rPr>
            </w:pPr>
          </w:p>
        </w:tc>
        <w:tc>
          <w:tcPr>
            <w:tcW w:w="0" w:type="auto"/>
            <w:shd w:val="clear" w:color="auto" w:fill="auto"/>
          </w:tcPr>
          <w:p w14:paraId="36CA5670" w14:textId="77777777" w:rsidR="00787570" w:rsidRDefault="00787570">
            <w:pPr>
              <w:rPr>
                <w:rFonts w:ascii="宋体"/>
              </w:rPr>
            </w:pPr>
          </w:p>
        </w:tc>
        <w:tc>
          <w:tcPr>
            <w:tcW w:w="0" w:type="auto"/>
            <w:shd w:val="clear" w:color="auto" w:fill="auto"/>
          </w:tcPr>
          <w:p w14:paraId="36CA5671" w14:textId="77777777" w:rsidR="00787570" w:rsidRDefault="00787570">
            <w:pPr>
              <w:rPr>
                <w:rFonts w:ascii="宋体"/>
              </w:rPr>
            </w:pPr>
          </w:p>
        </w:tc>
        <w:tc>
          <w:tcPr>
            <w:tcW w:w="0" w:type="auto"/>
            <w:shd w:val="clear" w:color="auto" w:fill="auto"/>
          </w:tcPr>
          <w:p w14:paraId="36CA5672" w14:textId="77777777" w:rsidR="00787570" w:rsidRDefault="00787570">
            <w:pPr>
              <w:rPr>
                <w:rFonts w:ascii="宋体"/>
              </w:rPr>
            </w:pPr>
          </w:p>
        </w:tc>
        <w:tc>
          <w:tcPr>
            <w:tcW w:w="0" w:type="auto"/>
            <w:shd w:val="clear" w:color="auto" w:fill="auto"/>
          </w:tcPr>
          <w:p w14:paraId="36CA5673" w14:textId="77777777" w:rsidR="00787570" w:rsidRDefault="00787570">
            <w:pPr>
              <w:rPr>
                <w:rFonts w:ascii="宋体"/>
              </w:rPr>
            </w:pPr>
          </w:p>
        </w:tc>
        <w:tc>
          <w:tcPr>
            <w:tcW w:w="0" w:type="auto"/>
            <w:shd w:val="clear" w:color="auto" w:fill="auto"/>
          </w:tcPr>
          <w:p w14:paraId="36CA5674" w14:textId="77777777" w:rsidR="00787570" w:rsidRDefault="00787570">
            <w:pPr>
              <w:rPr>
                <w:rFonts w:ascii="宋体"/>
              </w:rPr>
            </w:pPr>
          </w:p>
        </w:tc>
      </w:tr>
      <w:tr w:rsidR="00787570" w14:paraId="36CA5687" w14:textId="77777777">
        <w:tc>
          <w:tcPr>
            <w:tcW w:w="0" w:type="auto"/>
            <w:gridSpan w:val="3"/>
            <w:shd w:val="clear" w:color="auto" w:fill="auto"/>
            <w:tcMar>
              <w:top w:w="40" w:type="dxa"/>
              <w:left w:w="225" w:type="dxa"/>
              <w:bottom w:w="40" w:type="dxa"/>
              <w:right w:w="20" w:type="dxa"/>
            </w:tcMar>
            <w:vAlign w:val="bottom"/>
          </w:tcPr>
          <w:p w14:paraId="36CA5676" w14:textId="77777777" w:rsidR="00787570" w:rsidRDefault="000D56E2">
            <w:pPr>
              <w:textAlignment w:val="bottom"/>
            </w:pPr>
            <w:r>
              <w:rPr>
                <w:rFonts w:ascii="Arial" w:eastAsia="宋体" w:hAnsi="Arial" w:cs="Arial"/>
                <w:color w:val="333333"/>
                <w:sz w:val="18"/>
                <w:szCs w:val="18"/>
              </w:rPr>
              <w:t>Restructuring and other charges</w:t>
            </w:r>
          </w:p>
        </w:tc>
        <w:tc>
          <w:tcPr>
            <w:tcW w:w="0" w:type="auto"/>
            <w:gridSpan w:val="3"/>
            <w:shd w:val="clear" w:color="auto" w:fill="auto"/>
            <w:tcMar>
              <w:left w:w="20" w:type="dxa"/>
              <w:right w:w="20" w:type="dxa"/>
            </w:tcMar>
            <w:vAlign w:val="bottom"/>
          </w:tcPr>
          <w:p w14:paraId="36CA5677"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5678" w14:textId="77777777" w:rsidR="00787570" w:rsidRDefault="000D56E2">
            <w:pPr>
              <w:jc w:val="right"/>
              <w:textAlignment w:val="bottom"/>
            </w:pPr>
            <w:r>
              <w:rPr>
                <w:rFonts w:ascii="Arial" w:eastAsia="宋体" w:hAnsi="Arial" w:cs="Arial"/>
                <w:color w:val="0071C5"/>
                <w:sz w:val="18"/>
                <w:szCs w:val="18"/>
              </w:rPr>
              <w:t>(0.01)</w:t>
            </w:r>
          </w:p>
        </w:tc>
        <w:tc>
          <w:tcPr>
            <w:tcW w:w="0" w:type="auto"/>
            <w:shd w:val="clear" w:color="auto" w:fill="auto"/>
            <w:tcMar>
              <w:top w:w="40" w:type="dxa"/>
              <w:bottom w:w="40" w:type="dxa"/>
              <w:right w:w="20" w:type="dxa"/>
            </w:tcMar>
            <w:vAlign w:val="bottom"/>
          </w:tcPr>
          <w:p w14:paraId="36CA5679"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567A"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567B" w14:textId="77777777" w:rsidR="00787570" w:rsidRDefault="000D56E2">
            <w:pPr>
              <w:jc w:val="right"/>
              <w:textAlignment w:val="bottom"/>
            </w:pPr>
            <w:r>
              <w:rPr>
                <w:rFonts w:ascii="Arial" w:eastAsia="宋体" w:hAnsi="Arial" w:cs="Arial"/>
                <w:color w:val="333333"/>
                <w:sz w:val="18"/>
                <w:szCs w:val="18"/>
              </w:rPr>
              <w:t>0.02 </w:t>
            </w:r>
          </w:p>
        </w:tc>
        <w:tc>
          <w:tcPr>
            <w:tcW w:w="0" w:type="auto"/>
            <w:shd w:val="clear" w:color="auto" w:fill="auto"/>
            <w:tcMar>
              <w:top w:w="40" w:type="dxa"/>
              <w:bottom w:w="40" w:type="dxa"/>
              <w:right w:w="20" w:type="dxa"/>
            </w:tcMar>
            <w:vAlign w:val="bottom"/>
          </w:tcPr>
          <w:p w14:paraId="36CA567C" w14:textId="77777777" w:rsidR="00787570" w:rsidRDefault="00787570">
            <w:pPr>
              <w:jc w:val="right"/>
              <w:rPr>
                <w:rFonts w:ascii="宋体"/>
              </w:rPr>
            </w:pPr>
          </w:p>
        </w:tc>
        <w:tc>
          <w:tcPr>
            <w:tcW w:w="0" w:type="auto"/>
            <w:shd w:val="clear" w:color="auto" w:fill="auto"/>
          </w:tcPr>
          <w:p w14:paraId="36CA567D" w14:textId="77777777" w:rsidR="00787570" w:rsidRDefault="00787570">
            <w:pPr>
              <w:rPr>
                <w:rFonts w:ascii="宋体"/>
                <w:vanish/>
              </w:rPr>
            </w:pPr>
          </w:p>
        </w:tc>
        <w:tc>
          <w:tcPr>
            <w:tcW w:w="0" w:type="auto"/>
            <w:shd w:val="clear" w:color="auto" w:fill="auto"/>
          </w:tcPr>
          <w:p w14:paraId="36CA567E" w14:textId="77777777" w:rsidR="00787570" w:rsidRDefault="00787570">
            <w:pPr>
              <w:rPr>
                <w:rFonts w:ascii="宋体"/>
                <w:vanish/>
              </w:rPr>
            </w:pPr>
          </w:p>
        </w:tc>
        <w:tc>
          <w:tcPr>
            <w:tcW w:w="0" w:type="auto"/>
            <w:shd w:val="clear" w:color="auto" w:fill="auto"/>
          </w:tcPr>
          <w:p w14:paraId="36CA567F" w14:textId="77777777" w:rsidR="00787570" w:rsidRDefault="00787570">
            <w:pPr>
              <w:rPr>
                <w:rFonts w:ascii="宋体"/>
                <w:vanish/>
              </w:rPr>
            </w:pPr>
          </w:p>
        </w:tc>
        <w:tc>
          <w:tcPr>
            <w:tcW w:w="0" w:type="auto"/>
            <w:shd w:val="clear" w:color="auto" w:fill="auto"/>
          </w:tcPr>
          <w:p w14:paraId="36CA5680" w14:textId="77777777" w:rsidR="00787570" w:rsidRDefault="00787570">
            <w:pPr>
              <w:rPr>
                <w:rFonts w:ascii="宋体"/>
                <w:vanish/>
              </w:rPr>
            </w:pPr>
          </w:p>
        </w:tc>
        <w:tc>
          <w:tcPr>
            <w:tcW w:w="0" w:type="auto"/>
            <w:shd w:val="clear" w:color="auto" w:fill="auto"/>
          </w:tcPr>
          <w:p w14:paraId="36CA5681" w14:textId="77777777" w:rsidR="00787570" w:rsidRDefault="00787570">
            <w:pPr>
              <w:rPr>
                <w:rFonts w:ascii="宋体"/>
              </w:rPr>
            </w:pPr>
          </w:p>
        </w:tc>
        <w:tc>
          <w:tcPr>
            <w:tcW w:w="0" w:type="auto"/>
            <w:shd w:val="clear" w:color="auto" w:fill="auto"/>
          </w:tcPr>
          <w:p w14:paraId="36CA5682" w14:textId="77777777" w:rsidR="00787570" w:rsidRDefault="00787570">
            <w:pPr>
              <w:rPr>
                <w:rFonts w:ascii="宋体"/>
              </w:rPr>
            </w:pPr>
          </w:p>
        </w:tc>
        <w:tc>
          <w:tcPr>
            <w:tcW w:w="0" w:type="auto"/>
            <w:shd w:val="clear" w:color="auto" w:fill="auto"/>
          </w:tcPr>
          <w:p w14:paraId="36CA5683" w14:textId="77777777" w:rsidR="00787570" w:rsidRDefault="00787570">
            <w:pPr>
              <w:rPr>
                <w:rFonts w:ascii="宋体"/>
              </w:rPr>
            </w:pPr>
          </w:p>
        </w:tc>
        <w:tc>
          <w:tcPr>
            <w:tcW w:w="0" w:type="auto"/>
            <w:shd w:val="clear" w:color="auto" w:fill="auto"/>
          </w:tcPr>
          <w:p w14:paraId="36CA5684" w14:textId="77777777" w:rsidR="00787570" w:rsidRDefault="00787570">
            <w:pPr>
              <w:rPr>
                <w:rFonts w:ascii="宋体"/>
              </w:rPr>
            </w:pPr>
          </w:p>
        </w:tc>
        <w:tc>
          <w:tcPr>
            <w:tcW w:w="0" w:type="auto"/>
            <w:shd w:val="clear" w:color="auto" w:fill="auto"/>
          </w:tcPr>
          <w:p w14:paraId="36CA5685" w14:textId="77777777" w:rsidR="00787570" w:rsidRDefault="00787570">
            <w:pPr>
              <w:rPr>
                <w:rFonts w:ascii="宋体"/>
              </w:rPr>
            </w:pPr>
          </w:p>
        </w:tc>
        <w:tc>
          <w:tcPr>
            <w:tcW w:w="0" w:type="auto"/>
            <w:shd w:val="clear" w:color="auto" w:fill="auto"/>
          </w:tcPr>
          <w:p w14:paraId="36CA5686" w14:textId="77777777" w:rsidR="00787570" w:rsidRDefault="00787570">
            <w:pPr>
              <w:rPr>
                <w:rFonts w:ascii="宋体"/>
              </w:rPr>
            </w:pPr>
          </w:p>
        </w:tc>
      </w:tr>
      <w:tr w:rsidR="00787570" w14:paraId="36CA5697" w14:textId="77777777">
        <w:trPr>
          <w:hidden/>
        </w:trPr>
        <w:tc>
          <w:tcPr>
            <w:tcW w:w="0" w:type="auto"/>
            <w:gridSpan w:val="3"/>
            <w:shd w:val="clear" w:color="auto" w:fill="auto"/>
          </w:tcPr>
          <w:p w14:paraId="36CA5688" w14:textId="77777777" w:rsidR="00787570" w:rsidRDefault="00787570">
            <w:pPr>
              <w:rPr>
                <w:rFonts w:ascii="宋体"/>
                <w:vanish/>
              </w:rPr>
            </w:pPr>
          </w:p>
        </w:tc>
        <w:tc>
          <w:tcPr>
            <w:tcW w:w="0" w:type="auto"/>
            <w:gridSpan w:val="3"/>
            <w:shd w:val="clear" w:color="auto" w:fill="auto"/>
          </w:tcPr>
          <w:p w14:paraId="36CA5689" w14:textId="77777777" w:rsidR="00787570" w:rsidRDefault="00787570">
            <w:pPr>
              <w:rPr>
                <w:rFonts w:ascii="宋体"/>
                <w:vanish/>
              </w:rPr>
            </w:pPr>
          </w:p>
        </w:tc>
        <w:tc>
          <w:tcPr>
            <w:tcW w:w="0" w:type="auto"/>
            <w:gridSpan w:val="3"/>
            <w:shd w:val="clear" w:color="auto" w:fill="auto"/>
          </w:tcPr>
          <w:p w14:paraId="36CA568A" w14:textId="77777777" w:rsidR="00787570" w:rsidRDefault="00787570">
            <w:pPr>
              <w:rPr>
                <w:rFonts w:ascii="宋体"/>
                <w:vanish/>
              </w:rPr>
            </w:pPr>
          </w:p>
        </w:tc>
        <w:tc>
          <w:tcPr>
            <w:tcW w:w="0" w:type="auto"/>
            <w:gridSpan w:val="3"/>
            <w:shd w:val="clear" w:color="auto" w:fill="auto"/>
          </w:tcPr>
          <w:p w14:paraId="36CA568B" w14:textId="77777777" w:rsidR="00787570" w:rsidRDefault="00787570">
            <w:pPr>
              <w:rPr>
                <w:rFonts w:ascii="宋体"/>
                <w:vanish/>
              </w:rPr>
            </w:pPr>
          </w:p>
        </w:tc>
        <w:tc>
          <w:tcPr>
            <w:tcW w:w="0" w:type="auto"/>
            <w:gridSpan w:val="3"/>
            <w:shd w:val="clear" w:color="auto" w:fill="auto"/>
          </w:tcPr>
          <w:p w14:paraId="36CA568C" w14:textId="77777777" w:rsidR="00787570" w:rsidRDefault="00787570">
            <w:pPr>
              <w:rPr>
                <w:rFonts w:ascii="宋体"/>
                <w:vanish/>
              </w:rPr>
            </w:pPr>
          </w:p>
        </w:tc>
        <w:tc>
          <w:tcPr>
            <w:tcW w:w="0" w:type="auto"/>
            <w:shd w:val="clear" w:color="auto" w:fill="auto"/>
          </w:tcPr>
          <w:p w14:paraId="36CA568D" w14:textId="77777777" w:rsidR="00787570" w:rsidRDefault="00787570">
            <w:pPr>
              <w:rPr>
                <w:rFonts w:ascii="宋体"/>
                <w:vanish/>
              </w:rPr>
            </w:pPr>
          </w:p>
        </w:tc>
        <w:tc>
          <w:tcPr>
            <w:tcW w:w="0" w:type="auto"/>
            <w:shd w:val="clear" w:color="auto" w:fill="auto"/>
          </w:tcPr>
          <w:p w14:paraId="36CA568E" w14:textId="77777777" w:rsidR="00787570" w:rsidRDefault="00787570">
            <w:pPr>
              <w:rPr>
                <w:rFonts w:ascii="宋体"/>
                <w:vanish/>
              </w:rPr>
            </w:pPr>
          </w:p>
        </w:tc>
        <w:tc>
          <w:tcPr>
            <w:tcW w:w="0" w:type="auto"/>
            <w:shd w:val="clear" w:color="auto" w:fill="auto"/>
          </w:tcPr>
          <w:p w14:paraId="36CA568F" w14:textId="77777777" w:rsidR="00787570" w:rsidRDefault="00787570">
            <w:pPr>
              <w:rPr>
                <w:rFonts w:ascii="宋体"/>
                <w:vanish/>
              </w:rPr>
            </w:pPr>
          </w:p>
        </w:tc>
        <w:tc>
          <w:tcPr>
            <w:tcW w:w="0" w:type="auto"/>
            <w:shd w:val="clear" w:color="auto" w:fill="auto"/>
          </w:tcPr>
          <w:p w14:paraId="36CA5690" w14:textId="77777777" w:rsidR="00787570" w:rsidRDefault="00787570">
            <w:pPr>
              <w:rPr>
                <w:rFonts w:ascii="宋体"/>
                <w:vanish/>
              </w:rPr>
            </w:pPr>
          </w:p>
        </w:tc>
        <w:tc>
          <w:tcPr>
            <w:tcW w:w="0" w:type="auto"/>
            <w:shd w:val="clear" w:color="auto" w:fill="auto"/>
          </w:tcPr>
          <w:p w14:paraId="36CA5691" w14:textId="77777777" w:rsidR="00787570" w:rsidRDefault="00787570">
            <w:pPr>
              <w:rPr>
                <w:rFonts w:ascii="宋体"/>
              </w:rPr>
            </w:pPr>
          </w:p>
        </w:tc>
        <w:tc>
          <w:tcPr>
            <w:tcW w:w="0" w:type="auto"/>
            <w:shd w:val="clear" w:color="auto" w:fill="auto"/>
          </w:tcPr>
          <w:p w14:paraId="36CA5692" w14:textId="77777777" w:rsidR="00787570" w:rsidRDefault="00787570">
            <w:pPr>
              <w:rPr>
                <w:rFonts w:ascii="宋体"/>
              </w:rPr>
            </w:pPr>
          </w:p>
        </w:tc>
        <w:tc>
          <w:tcPr>
            <w:tcW w:w="0" w:type="auto"/>
            <w:shd w:val="clear" w:color="auto" w:fill="auto"/>
          </w:tcPr>
          <w:p w14:paraId="36CA5693" w14:textId="77777777" w:rsidR="00787570" w:rsidRDefault="00787570">
            <w:pPr>
              <w:rPr>
                <w:rFonts w:ascii="宋体"/>
              </w:rPr>
            </w:pPr>
          </w:p>
        </w:tc>
        <w:tc>
          <w:tcPr>
            <w:tcW w:w="0" w:type="auto"/>
            <w:shd w:val="clear" w:color="auto" w:fill="auto"/>
          </w:tcPr>
          <w:p w14:paraId="36CA5694" w14:textId="77777777" w:rsidR="00787570" w:rsidRDefault="00787570">
            <w:pPr>
              <w:rPr>
                <w:rFonts w:ascii="宋体"/>
              </w:rPr>
            </w:pPr>
          </w:p>
        </w:tc>
        <w:tc>
          <w:tcPr>
            <w:tcW w:w="0" w:type="auto"/>
            <w:shd w:val="clear" w:color="auto" w:fill="auto"/>
          </w:tcPr>
          <w:p w14:paraId="36CA5695" w14:textId="77777777" w:rsidR="00787570" w:rsidRDefault="00787570">
            <w:pPr>
              <w:rPr>
                <w:rFonts w:ascii="宋体"/>
              </w:rPr>
            </w:pPr>
          </w:p>
        </w:tc>
        <w:tc>
          <w:tcPr>
            <w:tcW w:w="0" w:type="auto"/>
            <w:shd w:val="clear" w:color="auto" w:fill="auto"/>
          </w:tcPr>
          <w:p w14:paraId="36CA5696" w14:textId="77777777" w:rsidR="00787570" w:rsidRDefault="00787570">
            <w:pPr>
              <w:rPr>
                <w:rFonts w:ascii="宋体"/>
              </w:rPr>
            </w:pPr>
          </w:p>
        </w:tc>
      </w:tr>
      <w:tr w:rsidR="00787570" w14:paraId="36CA56A9" w14:textId="77777777">
        <w:tc>
          <w:tcPr>
            <w:tcW w:w="0" w:type="auto"/>
            <w:gridSpan w:val="3"/>
            <w:shd w:val="clear" w:color="auto" w:fill="auto"/>
            <w:tcMar>
              <w:top w:w="40" w:type="dxa"/>
              <w:left w:w="225" w:type="dxa"/>
              <w:bottom w:w="40" w:type="dxa"/>
              <w:right w:w="20" w:type="dxa"/>
            </w:tcMar>
            <w:vAlign w:val="bottom"/>
          </w:tcPr>
          <w:p w14:paraId="36CA5698" w14:textId="77777777" w:rsidR="00787570" w:rsidRDefault="000D56E2">
            <w:pPr>
              <w:textAlignment w:val="bottom"/>
            </w:pPr>
            <w:r>
              <w:rPr>
                <w:rFonts w:ascii="Arial" w:eastAsia="宋体" w:hAnsi="Arial" w:cs="Arial"/>
                <w:color w:val="333333"/>
                <w:sz w:val="18"/>
                <w:szCs w:val="18"/>
              </w:rPr>
              <w:t>(Gains) losses from divestiture</w:t>
            </w:r>
          </w:p>
        </w:tc>
        <w:tc>
          <w:tcPr>
            <w:tcW w:w="0" w:type="auto"/>
            <w:gridSpan w:val="3"/>
            <w:shd w:val="clear" w:color="auto" w:fill="auto"/>
            <w:tcMar>
              <w:left w:w="20" w:type="dxa"/>
              <w:right w:w="20" w:type="dxa"/>
            </w:tcMar>
            <w:vAlign w:val="bottom"/>
          </w:tcPr>
          <w:p w14:paraId="36CA5699"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569A" w14:textId="77777777" w:rsidR="00787570" w:rsidRDefault="000D56E2">
            <w:pPr>
              <w:jc w:val="right"/>
              <w:textAlignment w:val="bottom"/>
            </w:pPr>
            <w:r>
              <w:rPr>
                <w:rFonts w:ascii="Arial" w:eastAsia="宋体" w:hAnsi="Arial" w:cs="Arial"/>
                <w:color w:val="0071C5"/>
                <w:sz w:val="18"/>
                <w:szCs w:val="18"/>
              </w:rPr>
              <w:t>— </w:t>
            </w:r>
          </w:p>
        </w:tc>
        <w:tc>
          <w:tcPr>
            <w:tcW w:w="0" w:type="auto"/>
            <w:shd w:val="clear" w:color="auto" w:fill="auto"/>
            <w:tcMar>
              <w:top w:w="40" w:type="dxa"/>
              <w:bottom w:w="40" w:type="dxa"/>
              <w:right w:w="20" w:type="dxa"/>
            </w:tcMar>
            <w:vAlign w:val="bottom"/>
          </w:tcPr>
          <w:p w14:paraId="36CA569B"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569C"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569D" w14:textId="77777777" w:rsidR="00787570" w:rsidRDefault="000D56E2">
            <w:pPr>
              <w:jc w:val="right"/>
              <w:textAlignment w:val="bottom"/>
            </w:pPr>
            <w:r>
              <w:rPr>
                <w:rFonts w:ascii="Arial" w:eastAsia="宋体" w:hAnsi="Arial" w:cs="Arial"/>
                <w:color w:val="333333"/>
                <w:sz w:val="18"/>
                <w:szCs w:val="18"/>
              </w:rPr>
              <w:t>— </w:t>
            </w:r>
          </w:p>
        </w:tc>
        <w:tc>
          <w:tcPr>
            <w:tcW w:w="0" w:type="auto"/>
            <w:shd w:val="clear" w:color="auto" w:fill="auto"/>
            <w:tcMar>
              <w:top w:w="40" w:type="dxa"/>
              <w:bottom w:w="40" w:type="dxa"/>
              <w:right w:w="20" w:type="dxa"/>
            </w:tcMar>
            <w:vAlign w:val="bottom"/>
          </w:tcPr>
          <w:p w14:paraId="36CA569E" w14:textId="77777777" w:rsidR="00787570" w:rsidRDefault="00787570">
            <w:pPr>
              <w:jc w:val="right"/>
              <w:rPr>
                <w:rFonts w:ascii="宋体"/>
              </w:rPr>
            </w:pPr>
          </w:p>
        </w:tc>
        <w:tc>
          <w:tcPr>
            <w:tcW w:w="0" w:type="auto"/>
            <w:shd w:val="clear" w:color="auto" w:fill="auto"/>
          </w:tcPr>
          <w:p w14:paraId="36CA569F" w14:textId="77777777" w:rsidR="00787570" w:rsidRDefault="00787570">
            <w:pPr>
              <w:rPr>
                <w:rFonts w:ascii="宋体"/>
                <w:vanish/>
              </w:rPr>
            </w:pPr>
          </w:p>
        </w:tc>
        <w:tc>
          <w:tcPr>
            <w:tcW w:w="0" w:type="auto"/>
            <w:shd w:val="clear" w:color="auto" w:fill="auto"/>
          </w:tcPr>
          <w:p w14:paraId="36CA56A0" w14:textId="77777777" w:rsidR="00787570" w:rsidRDefault="00787570">
            <w:pPr>
              <w:rPr>
                <w:rFonts w:ascii="宋体"/>
                <w:vanish/>
              </w:rPr>
            </w:pPr>
          </w:p>
        </w:tc>
        <w:tc>
          <w:tcPr>
            <w:tcW w:w="0" w:type="auto"/>
            <w:shd w:val="clear" w:color="auto" w:fill="auto"/>
          </w:tcPr>
          <w:p w14:paraId="36CA56A1" w14:textId="77777777" w:rsidR="00787570" w:rsidRDefault="00787570">
            <w:pPr>
              <w:rPr>
                <w:rFonts w:ascii="宋体"/>
                <w:vanish/>
              </w:rPr>
            </w:pPr>
          </w:p>
        </w:tc>
        <w:tc>
          <w:tcPr>
            <w:tcW w:w="0" w:type="auto"/>
            <w:shd w:val="clear" w:color="auto" w:fill="auto"/>
          </w:tcPr>
          <w:p w14:paraId="36CA56A2" w14:textId="77777777" w:rsidR="00787570" w:rsidRDefault="00787570">
            <w:pPr>
              <w:rPr>
                <w:rFonts w:ascii="宋体"/>
                <w:vanish/>
              </w:rPr>
            </w:pPr>
          </w:p>
        </w:tc>
        <w:tc>
          <w:tcPr>
            <w:tcW w:w="0" w:type="auto"/>
            <w:shd w:val="clear" w:color="auto" w:fill="auto"/>
          </w:tcPr>
          <w:p w14:paraId="36CA56A3" w14:textId="77777777" w:rsidR="00787570" w:rsidRDefault="00787570">
            <w:pPr>
              <w:rPr>
                <w:rFonts w:ascii="宋体"/>
              </w:rPr>
            </w:pPr>
          </w:p>
        </w:tc>
        <w:tc>
          <w:tcPr>
            <w:tcW w:w="0" w:type="auto"/>
            <w:shd w:val="clear" w:color="auto" w:fill="auto"/>
          </w:tcPr>
          <w:p w14:paraId="36CA56A4" w14:textId="77777777" w:rsidR="00787570" w:rsidRDefault="00787570">
            <w:pPr>
              <w:rPr>
                <w:rFonts w:ascii="宋体"/>
              </w:rPr>
            </w:pPr>
          </w:p>
        </w:tc>
        <w:tc>
          <w:tcPr>
            <w:tcW w:w="0" w:type="auto"/>
            <w:shd w:val="clear" w:color="auto" w:fill="auto"/>
          </w:tcPr>
          <w:p w14:paraId="36CA56A5" w14:textId="77777777" w:rsidR="00787570" w:rsidRDefault="00787570">
            <w:pPr>
              <w:rPr>
                <w:rFonts w:ascii="宋体"/>
              </w:rPr>
            </w:pPr>
          </w:p>
        </w:tc>
        <w:tc>
          <w:tcPr>
            <w:tcW w:w="0" w:type="auto"/>
            <w:shd w:val="clear" w:color="auto" w:fill="auto"/>
          </w:tcPr>
          <w:p w14:paraId="36CA56A6" w14:textId="77777777" w:rsidR="00787570" w:rsidRDefault="00787570">
            <w:pPr>
              <w:rPr>
                <w:rFonts w:ascii="宋体"/>
              </w:rPr>
            </w:pPr>
          </w:p>
        </w:tc>
        <w:tc>
          <w:tcPr>
            <w:tcW w:w="0" w:type="auto"/>
            <w:shd w:val="clear" w:color="auto" w:fill="auto"/>
          </w:tcPr>
          <w:p w14:paraId="36CA56A7" w14:textId="77777777" w:rsidR="00787570" w:rsidRDefault="00787570">
            <w:pPr>
              <w:rPr>
                <w:rFonts w:ascii="宋体"/>
              </w:rPr>
            </w:pPr>
          </w:p>
        </w:tc>
        <w:tc>
          <w:tcPr>
            <w:tcW w:w="0" w:type="auto"/>
            <w:shd w:val="clear" w:color="auto" w:fill="auto"/>
          </w:tcPr>
          <w:p w14:paraId="36CA56A8" w14:textId="77777777" w:rsidR="00787570" w:rsidRDefault="00787570">
            <w:pPr>
              <w:rPr>
                <w:rFonts w:ascii="宋体"/>
              </w:rPr>
            </w:pPr>
          </w:p>
        </w:tc>
      </w:tr>
      <w:tr w:rsidR="00787570" w14:paraId="36CA56BB" w14:textId="77777777">
        <w:tc>
          <w:tcPr>
            <w:tcW w:w="0" w:type="auto"/>
            <w:gridSpan w:val="3"/>
            <w:shd w:val="clear" w:color="auto" w:fill="auto"/>
            <w:tcMar>
              <w:top w:w="40" w:type="dxa"/>
              <w:left w:w="225" w:type="dxa"/>
              <w:bottom w:w="40" w:type="dxa"/>
              <w:right w:w="20" w:type="dxa"/>
            </w:tcMar>
            <w:vAlign w:val="bottom"/>
          </w:tcPr>
          <w:p w14:paraId="36CA56AA" w14:textId="77777777" w:rsidR="00787570" w:rsidRDefault="000D56E2">
            <w:pPr>
              <w:textAlignment w:val="bottom"/>
            </w:pPr>
            <w:r>
              <w:rPr>
                <w:rFonts w:ascii="Arial" w:eastAsia="宋体" w:hAnsi="Arial" w:cs="Arial"/>
                <w:color w:val="333333"/>
                <w:sz w:val="18"/>
                <w:szCs w:val="18"/>
              </w:rPr>
              <w:t xml:space="preserve">Ongoing mark-to-market on marketable equity securities </w:t>
            </w:r>
          </w:p>
        </w:tc>
        <w:tc>
          <w:tcPr>
            <w:tcW w:w="0" w:type="auto"/>
            <w:gridSpan w:val="3"/>
            <w:shd w:val="clear" w:color="auto" w:fill="auto"/>
            <w:tcMar>
              <w:left w:w="20" w:type="dxa"/>
              <w:right w:w="20" w:type="dxa"/>
            </w:tcMar>
            <w:vAlign w:val="bottom"/>
          </w:tcPr>
          <w:p w14:paraId="36CA56AB"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56AC" w14:textId="77777777" w:rsidR="00787570" w:rsidRDefault="000D56E2">
            <w:pPr>
              <w:jc w:val="right"/>
              <w:textAlignment w:val="bottom"/>
            </w:pPr>
            <w:r>
              <w:rPr>
                <w:rFonts w:ascii="Arial" w:eastAsia="宋体" w:hAnsi="Arial" w:cs="Arial"/>
                <w:color w:val="0071C5"/>
                <w:sz w:val="18"/>
                <w:szCs w:val="18"/>
              </w:rPr>
              <w:t>0.03 </w:t>
            </w:r>
          </w:p>
        </w:tc>
        <w:tc>
          <w:tcPr>
            <w:tcW w:w="0" w:type="auto"/>
            <w:shd w:val="clear" w:color="auto" w:fill="auto"/>
            <w:tcMar>
              <w:top w:w="40" w:type="dxa"/>
              <w:bottom w:w="40" w:type="dxa"/>
              <w:right w:w="20" w:type="dxa"/>
            </w:tcMar>
            <w:vAlign w:val="bottom"/>
          </w:tcPr>
          <w:p w14:paraId="36CA56AD"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56AE"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56AF" w14:textId="77777777" w:rsidR="00787570" w:rsidRDefault="000D56E2">
            <w:pPr>
              <w:jc w:val="right"/>
              <w:textAlignment w:val="bottom"/>
            </w:pPr>
            <w:r>
              <w:rPr>
                <w:rFonts w:ascii="Arial" w:eastAsia="宋体" w:hAnsi="Arial" w:cs="Arial"/>
                <w:color w:val="333333"/>
                <w:sz w:val="18"/>
                <w:szCs w:val="18"/>
              </w:rPr>
              <w:t>(0.02)</w:t>
            </w:r>
          </w:p>
        </w:tc>
        <w:tc>
          <w:tcPr>
            <w:tcW w:w="0" w:type="auto"/>
            <w:shd w:val="clear" w:color="auto" w:fill="auto"/>
            <w:tcMar>
              <w:top w:w="40" w:type="dxa"/>
              <w:bottom w:w="40" w:type="dxa"/>
              <w:right w:w="20" w:type="dxa"/>
            </w:tcMar>
            <w:vAlign w:val="bottom"/>
          </w:tcPr>
          <w:p w14:paraId="36CA56B0" w14:textId="77777777" w:rsidR="00787570" w:rsidRDefault="00787570">
            <w:pPr>
              <w:jc w:val="right"/>
              <w:rPr>
                <w:rFonts w:ascii="宋体"/>
              </w:rPr>
            </w:pPr>
          </w:p>
        </w:tc>
        <w:tc>
          <w:tcPr>
            <w:tcW w:w="0" w:type="auto"/>
            <w:shd w:val="clear" w:color="auto" w:fill="auto"/>
          </w:tcPr>
          <w:p w14:paraId="36CA56B1" w14:textId="77777777" w:rsidR="00787570" w:rsidRDefault="00787570">
            <w:pPr>
              <w:rPr>
                <w:rFonts w:ascii="宋体"/>
                <w:vanish/>
              </w:rPr>
            </w:pPr>
          </w:p>
        </w:tc>
        <w:tc>
          <w:tcPr>
            <w:tcW w:w="0" w:type="auto"/>
            <w:shd w:val="clear" w:color="auto" w:fill="auto"/>
          </w:tcPr>
          <w:p w14:paraId="36CA56B2" w14:textId="77777777" w:rsidR="00787570" w:rsidRDefault="00787570">
            <w:pPr>
              <w:rPr>
                <w:rFonts w:ascii="宋体"/>
                <w:vanish/>
              </w:rPr>
            </w:pPr>
          </w:p>
        </w:tc>
        <w:tc>
          <w:tcPr>
            <w:tcW w:w="0" w:type="auto"/>
            <w:shd w:val="clear" w:color="auto" w:fill="auto"/>
          </w:tcPr>
          <w:p w14:paraId="36CA56B3" w14:textId="77777777" w:rsidR="00787570" w:rsidRDefault="00787570">
            <w:pPr>
              <w:rPr>
                <w:rFonts w:ascii="宋体"/>
                <w:vanish/>
              </w:rPr>
            </w:pPr>
          </w:p>
        </w:tc>
        <w:tc>
          <w:tcPr>
            <w:tcW w:w="0" w:type="auto"/>
            <w:shd w:val="clear" w:color="auto" w:fill="auto"/>
          </w:tcPr>
          <w:p w14:paraId="36CA56B4" w14:textId="77777777" w:rsidR="00787570" w:rsidRDefault="00787570">
            <w:pPr>
              <w:rPr>
                <w:rFonts w:ascii="宋体"/>
                <w:vanish/>
              </w:rPr>
            </w:pPr>
          </w:p>
        </w:tc>
        <w:tc>
          <w:tcPr>
            <w:tcW w:w="0" w:type="auto"/>
            <w:shd w:val="clear" w:color="auto" w:fill="auto"/>
          </w:tcPr>
          <w:p w14:paraId="36CA56B5" w14:textId="77777777" w:rsidR="00787570" w:rsidRDefault="00787570">
            <w:pPr>
              <w:rPr>
                <w:rFonts w:ascii="宋体"/>
              </w:rPr>
            </w:pPr>
          </w:p>
        </w:tc>
        <w:tc>
          <w:tcPr>
            <w:tcW w:w="0" w:type="auto"/>
            <w:shd w:val="clear" w:color="auto" w:fill="auto"/>
          </w:tcPr>
          <w:p w14:paraId="36CA56B6" w14:textId="77777777" w:rsidR="00787570" w:rsidRDefault="00787570">
            <w:pPr>
              <w:rPr>
                <w:rFonts w:ascii="宋体"/>
              </w:rPr>
            </w:pPr>
          </w:p>
        </w:tc>
        <w:tc>
          <w:tcPr>
            <w:tcW w:w="0" w:type="auto"/>
            <w:shd w:val="clear" w:color="auto" w:fill="auto"/>
          </w:tcPr>
          <w:p w14:paraId="36CA56B7" w14:textId="77777777" w:rsidR="00787570" w:rsidRDefault="00787570">
            <w:pPr>
              <w:rPr>
                <w:rFonts w:ascii="宋体"/>
              </w:rPr>
            </w:pPr>
          </w:p>
        </w:tc>
        <w:tc>
          <w:tcPr>
            <w:tcW w:w="0" w:type="auto"/>
            <w:shd w:val="clear" w:color="auto" w:fill="auto"/>
          </w:tcPr>
          <w:p w14:paraId="36CA56B8" w14:textId="77777777" w:rsidR="00787570" w:rsidRDefault="00787570">
            <w:pPr>
              <w:rPr>
                <w:rFonts w:ascii="宋体"/>
              </w:rPr>
            </w:pPr>
          </w:p>
        </w:tc>
        <w:tc>
          <w:tcPr>
            <w:tcW w:w="0" w:type="auto"/>
            <w:shd w:val="clear" w:color="auto" w:fill="auto"/>
          </w:tcPr>
          <w:p w14:paraId="36CA56B9" w14:textId="77777777" w:rsidR="00787570" w:rsidRDefault="00787570">
            <w:pPr>
              <w:rPr>
                <w:rFonts w:ascii="宋体"/>
              </w:rPr>
            </w:pPr>
          </w:p>
        </w:tc>
        <w:tc>
          <w:tcPr>
            <w:tcW w:w="0" w:type="auto"/>
            <w:shd w:val="clear" w:color="auto" w:fill="auto"/>
          </w:tcPr>
          <w:p w14:paraId="36CA56BA" w14:textId="77777777" w:rsidR="00787570" w:rsidRDefault="00787570">
            <w:pPr>
              <w:rPr>
                <w:rFonts w:ascii="宋体"/>
              </w:rPr>
            </w:pPr>
          </w:p>
        </w:tc>
      </w:tr>
      <w:tr w:rsidR="00787570" w14:paraId="36CA56CB" w14:textId="77777777">
        <w:trPr>
          <w:hidden/>
        </w:trPr>
        <w:tc>
          <w:tcPr>
            <w:tcW w:w="0" w:type="auto"/>
            <w:gridSpan w:val="3"/>
            <w:shd w:val="clear" w:color="auto" w:fill="auto"/>
          </w:tcPr>
          <w:p w14:paraId="36CA56BC" w14:textId="77777777" w:rsidR="00787570" w:rsidRDefault="00787570">
            <w:pPr>
              <w:rPr>
                <w:rFonts w:ascii="宋体"/>
                <w:vanish/>
              </w:rPr>
            </w:pPr>
          </w:p>
        </w:tc>
        <w:tc>
          <w:tcPr>
            <w:tcW w:w="0" w:type="auto"/>
            <w:gridSpan w:val="3"/>
            <w:shd w:val="clear" w:color="auto" w:fill="auto"/>
          </w:tcPr>
          <w:p w14:paraId="36CA56BD" w14:textId="77777777" w:rsidR="00787570" w:rsidRDefault="00787570">
            <w:pPr>
              <w:rPr>
                <w:rFonts w:ascii="宋体"/>
                <w:vanish/>
              </w:rPr>
            </w:pPr>
          </w:p>
        </w:tc>
        <w:tc>
          <w:tcPr>
            <w:tcW w:w="0" w:type="auto"/>
            <w:gridSpan w:val="3"/>
            <w:shd w:val="clear" w:color="auto" w:fill="auto"/>
          </w:tcPr>
          <w:p w14:paraId="36CA56BE" w14:textId="77777777" w:rsidR="00787570" w:rsidRDefault="00787570">
            <w:pPr>
              <w:rPr>
                <w:rFonts w:ascii="宋体"/>
                <w:vanish/>
              </w:rPr>
            </w:pPr>
          </w:p>
        </w:tc>
        <w:tc>
          <w:tcPr>
            <w:tcW w:w="0" w:type="auto"/>
            <w:gridSpan w:val="3"/>
            <w:shd w:val="clear" w:color="auto" w:fill="auto"/>
          </w:tcPr>
          <w:p w14:paraId="36CA56BF" w14:textId="77777777" w:rsidR="00787570" w:rsidRDefault="00787570">
            <w:pPr>
              <w:rPr>
                <w:rFonts w:ascii="宋体"/>
                <w:vanish/>
              </w:rPr>
            </w:pPr>
          </w:p>
        </w:tc>
        <w:tc>
          <w:tcPr>
            <w:tcW w:w="0" w:type="auto"/>
            <w:gridSpan w:val="3"/>
            <w:shd w:val="clear" w:color="auto" w:fill="auto"/>
          </w:tcPr>
          <w:p w14:paraId="36CA56C0" w14:textId="77777777" w:rsidR="00787570" w:rsidRDefault="00787570">
            <w:pPr>
              <w:rPr>
                <w:rFonts w:ascii="宋体"/>
                <w:vanish/>
              </w:rPr>
            </w:pPr>
          </w:p>
        </w:tc>
        <w:tc>
          <w:tcPr>
            <w:tcW w:w="0" w:type="auto"/>
            <w:shd w:val="clear" w:color="auto" w:fill="auto"/>
          </w:tcPr>
          <w:p w14:paraId="36CA56C1" w14:textId="77777777" w:rsidR="00787570" w:rsidRDefault="00787570">
            <w:pPr>
              <w:rPr>
                <w:rFonts w:ascii="宋体"/>
                <w:vanish/>
              </w:rPr>
            </w:pPr>
          </w:p>
        </w:tc>
        <w:tc>
          <w:tcPr>
            <w:tcW w:w="0" w:type="auto"/>
            <w:shd w:val="clear" w:color="auto" w:fill="auto"/>
          </w:tcPr>
          <w:p w14:paraId="36CA56C2" w14:textId="77777777" w:rsidR="00787570" w:rsidRDefault="00787570">
            <w:pPr>
              <w:rPr>
                <w:rFonts w:ascii="宋体"/>
                <w:vanish/>
              </w:rPr>
            </w:pPr>
          </w:p>
        </w:tc>
        <w:tc>
          <w:tcPr>
            <w:tcW w:w="0" w:type="auto"/>
            <w:shd w:val="clear" w:color="auto" w:fill="auto"/>
          </w:tcPr>
          <w:p w14:paraId="36CA56C3" w14:textId="77777777" w:rsidR="00787570" w:rsidRDefault="00787570">
            <w:pPr>
              <w:rPr>
                <w:rFonts w:ascii="宋体"/>
                <w:vanish/>
              </w:rPr>
            </w:pPr>
          </w:p>
        </w:tc>
        <w:tc>
          <w:tcPr>
            <w:tcW w:w="0" w:type="auto"/>
            <w:shd w:val="clear" w:color="auto" w:fill="auto"/>
          </w:tcPr>
          <w:p w14:paraId="36CA56C4" w14:textId="77777777" w:rsidR="00787570" w:rsidRDefault="00787570">
            <w:pPr>
              <w:rPr>
                <w:rFonts w:ascii="宋体"/>
                <w:vanish/>
              </w:rPr>
            </w:pPr>
          </w:p>
        </w:tc>
        <w:tc>
          <w:tcPr>
            <w:tcW w:w="0" w:type="auto"/>
            <w:shd w:val="clear" w:color="auto" w:fill="auto"/>
          </w:tcPr>
          <w:p w14:paraId="36CA56C5" w14:textId="77777777" w:rsidR="00787570" w:rsidRDefault="00787570">
            <w:pPr>
              <w:rPr>
                <w:rFonts w:ascii="宋体"/>
              </w:rPr>
            </w:pPr>
          </w:p>
        </w:tc>
        <w:tc>
          <w:tcPr>
            <w:tcW w:w="0" w:type="auto"/>
            <w:shd w:val="clear" w:color="auto" w:fill="auto"/>
          </w:tcPr>
          <w:p w14:paraId="36CA56C6" w14:textId="77777777" w:rsidR="00787570" w:rsidRDefault="00787570">
            <w:pPr>
              <w:rPr>
                <w:rFonts w:ascii="宋体"/>
              </w:rPr>
            </w:pPr>
          </w:p>
        </w:tc>
        <w:tc>
          <w:tcPr>
            <w:tcW w:w="0" w:type="auto"/>
            <w:shd w:val="clear" w:color="auto" w:fill="auto"/>
          </w:tcPr>
          <w:p w14:paraId="36CA56C7" w14:textId="77777777" w:rsidR="00787570" w:rsidRDefault="00787570">
            <w:pPr>
              <w:rPr>
                <w:rFonts w:ascii="宋体"/>
              </w:rPr>
            </w:pPr>
          </w:p>
        </w:tc>
        <w:tc>
          <w:tcPr>
            <w:tcW w:w="0" w:type="auto"/>
            <w:shd w:val="clear" w:color="auto" w:fill="auto"/>
          </w:tcPr>
          <w:p w14:paraId="36CA56C8" w14:textId="77777777" w:rsidR="00787570" w:rsidRDefault="00787570">
            <w:pPr>
              <w:rPr>
                <w:rFonts w:ascii="宋体"/>
              </w:rPr>
            </w:pPr>
          </w:p>
        </w:tc>
        <w:tc>
          <w:tcPr>
            <w:tcW w:w="0" w:type="auto"/>
            <w:shd w:val="clear" w:color="auto" w:fill="auto"/>
          </w:tcPr>
          <w:p w14:paraId="36CA56C9" w14:textId="77777777" w:rsidR="00787570" w:rsidRDefault="00787570">
            <w:pPr>
              <w:rPr>
                <w:rFonts w:ascii="宋体"/>
              </w:rPr>
            </w:pPr>
          </w:p>
        </w:tc>
        <w:tc>
          <w:tcPr>
            <w:tcW w:w="0" w:type="auto"/>
            <w:shd w:val="clear" w:color="auto" w:fill="auto"/>
          </w:tcPr>
          <w:p w14:paraId="36CA56CA" w14:textId="77777777" w:rsidR="00787570" w:rsidRDefault="00787570">
            <w:pPr>
              <w:rPr>
                <w:rFonts w:ascii="宋体"/>
              </w:rPr>
            </w:pPr>
          </w:p>
        </w:tc>
      </w:tr>
      <w:tr w:rsidR="00787570" w14:paraId="36CA56DD" w14:textId="77777777">
        <w:tc>
          <w:tcPr>
            <w:tcW w:w="0" w:type="auto"/>
            <w:gridSpan w:val="3"/>
            <w:shd w:val="clear" w:color="auto" w:fill="auto"/>
            <w:tcMar>
              <w:top w:w="40" w:type="dxa"/>
              <w:left w:w="225" w:type="dxa"/>
              <w:bottom w:w="40" w:type="dxa"/>
              <w:right w:w="20" w:type="dxa"/>
            </w:tcMar>
            <w:vAlign w:val="bottom"/>
          </w:tcPr>
          <w:p w14:paraId="36CA56CC" w14:textId="77777777" w:rsidR="00787570" w:rsidRDefault="000D56E2">
            <w:pPr>
              <w:textAlignment w:val="bottom"/>
            </w:pPr>
            <w:r>
              <w:rPr>
                <w:rFonts w:ascii="Arial" w:eastAsia="宋体" w:hAnsi="Arial" w:cs="Arial"/>
                <w:color w:val="333333"/>
                <w:sz w:val="18"/>
                <w:szCs w:val="18"/>
              </w:rPr>
              <w:t>Income tax effect</w:t>
            </w:r>
          </w:p>
        </w:tc>
        <w:tc>
          <w:tcPr>
            <w:tcW w:w="0" w:type="auto"/>
            <w:gridSpan w:val="3"/>
            <w:shd w:val="clear" w:color="auto" w:fill="auto"/>
            <w:tcMar>
              <w:left w:w="20" w:type="dxa"/>
              <w:right w:w="20" w:type="dxa"/>
            </w:tcMar>
            <w:vAlign w:val="bottom"/>
          </w:tcPr>
          <w:p w14:paraId="36CA56CD"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56CE" w14:textId="77777777" w:rsidR="00787570" w:rsidRDefault="000D56E2">
            <w:pPr>
              <w:jc w:val="right"/>
              <w:textAlignment w:val="bottom"/>
            </w:pPr>
            <w:r>
              <w:rPr>
                <w:rFonts w:ascii="Arial" w:eastAsia="宋体" w:hAnsi="Arial" w:cs="Arial"/>
                <w:color w:val="0071C5"/>
                <w:sz w:val="18"/>
                <w:szCs w:val="18"/>
              </w:rPr>
              <w:t>(0.02)</w:t>
            </w:r>
          </w:p>
        </w:tc>
        <w:tc>
          <w:tcPr>
            <w:tcW w:w="0" w:type="auto"/>
            <w:shd w:val="clear" w:color="auto" w:fill="auto"/>
            <w:tcMar>
              <w:top w:w="40" w:type="dxa"/>
              <w:bottom w:w="40" w:type="dxa"/>
              <w:right w:w="20" w:type="dxa"/>
            </w:tcMar>
            <w:vAlign w:val="bottom"/>
          </w:tcPr>
          <w:p w14:paraId="36CA56CF"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56D0"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56D1" w14:textId="77777777" w:rsidR="00787570" w:rsidRDefault="000D56E2">
            <w:pPr>
              <w:jc w:val="right"/>
              <w:textAlignment w:val="bottom"/>
            </w:pPr>
            <w:r>
              <w:rPr>
                <w:rFonts w:ascii="Arial" w:eastAsia="宋体" w:hAnsi="Arial" w:cs="Arial"/>
                <w:color w:val="333333"/>
                <w:sz w:val="18"/>
                <w:szCs w:val="18"/>
              </w:rPr>
              <w:t>(0.01)</w:t>
            </w:r>
          </w:p>
        </w:tc>
        <w:tc>
          <w:tcPr>
            <w:tcW w:w="0" w:type="auto"/>
            <w:shd w:val="clear" w:color="auto" w:fill="auto"/>
            <w:tcMar>
              <w:top w:w="40" w:type="dxa"/>
              <w:bottom w:w="40" w:type="dxa"/>
              <w:right w:w="20" w:type="dxa"/>
            </w:tcMar>
            <w:vAlign w:val="bottom"/>
          </w:tcPr>
          <w:p w14:paraId="36CA56D2" w14:textId="77777777" w:rsidR="00787570" w:rsidRDefault="00787570">
            <w:pPr>
              <w:jc w:val="right"/>
              <w:rPr>
                <w:rFonts w:ascii="宋体"/>
              </w:rPr>
            </w:pPr>
          </w:p>
        </w:tc>
        <w:tc>
          <w:tcPr>
            <w:tcW w:w="0" w:type="auto"/>
            <w:shd w:val="clear" w:color="auto" w:fill="auto"/>
          </w:tcPr>
          <w:p w14:paraId="36CA56D3" w14:textId="77777777" w:rsidR="00787570" w:rsidRDefault="00787570">
            <w:pPr>
              <w:rPr>
                <w:rFonts w:ascii="宋体"/>
                <w:vanish/>
              </w:rPr>
            </w:pPr>
          </w:p>
        </w:tc>
        <w:tc>
          <w:tcPr>
            <w:tcW w:w="0" w:type="auto"/>
            <w:shd w:val="clear" w:color="auto" w:fill="auto"/>
          </w:tcPr>
          <w:p w14:paraId="36CA56D4" w14:textId="77777777" w:rsidR="00787570" w:rsidRDefault="00787570">
            <w:pPr>
              <w:rPr>
                <w:rFonts w:ascii="宋体"/>
                <w:vanish/>
              </w:rPr>
            </w:pPr>
          </w:p>
        </w:tc>
        <w:tc>
          <w:tcPr>
            <w:tcW w:w="0" w:type="auto"/>
            <w:shd w:val="clear" w:color="auto" w:fill="auto"/>
          </w:tcPr>
          <w:p w14:paraId="36CA56D5" w14:textId="77777777" w:rsidR="00787570" w:rsidRDefault="00787570">
            <w:pPr>
              <w:rPr>
                <w:rFonts w:ascii="宋体"/>
                <w:vanish/>
              </w:rPr>
            </w:pPr>
          </w:p>
        </w:tc>
        <w:tc>
          <w:tcPr>
            <w:tcW w:w="0" w:type="auto"/>
            <w:shd w:val="clear" w:color="auto" w:fill="auto"/>
          </w:tcPr>
          <w:p w14:paraId="36CA56D6" w14:textId="77777777" w:rsidR="00787570" w:rsidRDefault="00787570">
            <w:pPr>
              <w:rPr>
                <w:rFonts w:ascii="宋体"/>
                <w:vanish/>
              </w:rPr>
            </w:pPr>
          </w:p>
        </w:tc>
        <w:tc>
          <w:tcPr>
            <w:tcW w:w="0" w:type="auto"/>
            <w:shd w:val="clear" w:color="auto" w:fill="auto"/>
          </w:tcPr>
          <w:p w14:paraId="36CA56D7" w14:textId="77777777" w:rsidR="00787570" w:rsidRDefault="00787570">
            <w:pPr>
              <w:rPr>
                <w:rFonts w:ascii="宋体"/>
              </w:rPr>
            </w:pPr>
          </w:p>
        </w:tc>
        <w:tc>
          <w:tcPr>
            <w:tcW w:w="0" w:type="auto"/>
            <w:shd w:val="clear" w:color="auto" w:fill="auto"/>
          </w:tcPr>
          <w:p w14:paraId="36CA56D8" w14:textId="77777777" w:rsidR="00787570" w:rsidRDefault="00787570">
            <w:pPr>
              <w:rPr>
                <w:rFonts w:ascii="宋体"/>
              </w:rPr>
            </w:pPr>
          </w:p>
        </w:tc>
        <w:tc>
          <w:tcPr>
            <w:tcW w:w="0" w:type="auto"/>
            <w:shd w:val="clear" w:color="auto" w:fill="auto"/>
          </w:tcPr>
          <w:p w14:paraId="36CA56D9" w14:textId="77777777" w:rsidR="00787570" w:rsidRDefault="00787570">
            <w:pPr>
              <w:rPr>
                <w:rFonts w:ascii="宋体"/>
              </w:rPr>
            </w:pPr>
          </w:p>
        </w:tc>
        <w:tc>
          <w:tcPr>
            <w:tcW w:w="0" w:type="auto"/>
            <w:shd w:val="clear" w:color="auto" w:fill="auto"/>
          </w:tcPr>
          <w:p w14:paraId="36CA56DA" w14:textId="77777777" w:rsidR="00787570" w:rsidRDefault="00787570">
            <w:pPr>
              <w:rPr>
                <w:rFonts w:ascii="宋体"/>
              </w:rPr>
            </w:pPr>
          </w:p>
        </w:tc>
        <w:tc>
          <w:tcPr>
            <w:tcW w:w="0" w:type="auto"/>
            <w:shd w:val="clear" w:color="auto" w:fill="auto"/>
          </w:tcPr>
          <w:p w14:paraId="36CA56DB" w14:textId="77777777" w:rsidR="00787570" w:rsidRDefault="00787570">
            <w:pPr>
              <w:rPr>
                <w:rFonts w:ascii="宋体"/>
              </w:rPr>
            </w:pPr>
          </w:p>
        </w:tc>
        <w:tc>
          <w:tcPr>
            <w:tcW w:w="0" w:type="auto"/>
            <w:shd w:val="clear" w:color="auto" w:fill="auto"/>
          </w:tcPr>
          <w:p w14:paraId="36CA56DC" w14:textId="77777777" w:rsidR="00787570" w:rsidRDefault="00787570">
            <w:pPr>
              <w:rPr>
                <w:rFonts w:ascii="宋体"/>
              </w:rPr>
            </w:pPr>
          </w:p>
        </w:tc>
      </w:tr>
      <w:tr w:rsidR="00787570" w14:paraId="36CA56F1" w14:textId="77777777">
        <w:tc>
          <w:tcPr>
            <w:tcW w:w="0" w:type="auto"/>
            <w:gridSpan w:val="3"/>
            <w:shd w:val="clear" w:color="auto" w:fill="auto"/>
            <w:tcMar>
              <w:top w:w="40" w:type="dxa"/>
              <w:left w:w="20" w:type="dxa"/>
              <w:bottom w:w="40" w:type="dxa"/>
              <w:right w:w="20" w:type="dxa"/>
            </w:tcMar>
            <w:vAlign w:val="bottom"/>
          </w:tcPr>
          <w:p w14:paraId="36CA56DE" w14:textId="77777777" w:rsidR="00787570" w:rsidRDefault="000D56E2">
            <w:pPr>
              <w:textAlignment w:val="bottom"/>
            </w:pPr>
            <w:r>
              <w:rPr>
                <w:rFonts w:ascii="Arial" w:eastAsia="宋体" w:hAnsi="Arial" w:cs="Arial"/>
                <w:b/>
                <w:bCs/>
                <w:color w:val="333333"/>
                <w:sz w:val="18"/>
                <w:szCs w:val="18"/>
              </w:rPr>
              <w:t xml:space="preserve">Non-GAAP earnings per </w:t>
            </w:r>
            <w:r>
              <w:rPr>
                <w:rFonts w:ascii="Arial" w:eastAsia="宋体" w:hAnsi="Arial" w:cs="Arial"/>
                <w:b/>
                <w:bCs/>
                <w:color w:val="333333"/>
                <w:sz w:val="18"/>
                <w:szCs w:val="18"/>
              </w:rPr>
              <w:t>share—diluted</w:t>
            </w:r>
          </w:p>
        </w:tc>
        <w:tc>
          <w:tcPr>
            <w:tcW w:w="0" w:type="auto"/>
            <w:gridSpan w:val="3"/>
            <w:shd w:val="clear" w:color="auto" w:fill="auto"/>
            <w:tcMar>
              <w:left w:w="20" w:type="dxa"/>
              <w:right w:w="20" w:type="dxa"/>
            </w:tcMar>
            <w:vAlign w:val="bottom"/>
          </w:tcPr>
          <w:p w14:paraId="36CA56DF" w14:textId="77777777" w:rsidR="00787570" w:rsidRDefault="00787570">
            <w:pPr>
              <w:rPr>
                <w:rFonts w:ascii="宋体"/>
              </w:rPr>
            </w:pPr>
          </w:p>
        </w:tc>
        <w:tc>
          <w:tcPr>
            <w:tcW w:w="0" w:type="auto"/>
            <w:tcBorders>
              <w:top w:val="single" w:sz="8" w:space="0" w:color="333333"/>
            </w:tcBorders>
            <w:shd w:val="clear" w:color="auto" w:fill="auto"/>
            <w:tcMar>
              <w:top w:w="40" w:type="dxa"/>
              <w:left w:w="20" w:type="dxa"/>
              <w:bottom w:w="40" w:type="dxa"/>
            </w:tcMar>
            <w:vAlign w:val="bottom"/>
          </w:tcPr>
          <w:p w14:paraId="36CA56E0" w14:textId="77777777" w:rsidR="00787570" w:rsidRDefault="000D56E2">
            <w:pPr>
              <w:textAlignment w:val="bottom"/>
            </w:pPr>
            <w:r>
              <w:rPr>
                <w:rFonts w:ascii="Arial" w:eastAsia="宋体" w:hAnsi="Arial" w:cs="Arial"/>
                <w:b/>
                <w:bCs/>
                <w:color w:val="0071C5"/>
                <w:sz w:val="18"/>
                <w:szCs w:val="18"/>
              </w:rPr>
              <w:t>$</w:t>
            </w:r>
          </w:p>
        </w:tc>
        <w:tc>
          <w:tcPr>
            <w:tcW w:w="0" w:type="auto"/>
            <w:tcBorders>
              <w:top w:val="single" w:sz="8" w:space="0" w:color="333333"/>
            </w:tcBorders>
            <w:shd w:val="clear" w:color="auto" w:fill="auto"/>
            <w:tcMar>
              <w:top w:w="40" w:type="dxa"/>
              <w:bottom w:w="40" w:type="dxa"/>
              <w:right w:w="0" w:type="dxa"/>
            </w:tcMar>
            <w:vAlign w:val="bottom"/>
          </w:tcPr>
          <w:p w14:paraId="36CA56E1" w14:textId="77777777" w:rsidR="00787570" w:rsidRDefault="000D56E2">
            <w:pPr>
              <w:jc w:val="right"/>
              <w:textAlignment w:val="bottom"/>
            </w:pPr>
            <w:r>
              <w:rPr>
                <w:rFonts w:ascii="Arial" w:eastAsia="宋体" w:hAnsi="Arial" w:cs="Arial"/>
                <w:b/>
                <w:bCs/>
                <w:color w:val="0071C5"/>
                <w:sz w:val="18"/>
                <w:szCs w:val="18"/>
              </w:rPr>
              <w:t>1.11</w:t>
            </w:r>
            <w:r>
              <w:rPr>
                <w:rFonts w:ascii="Arial" w:eastAsia="宋体" w:hAnsi="Arial" w:cs="Arial"/>
                <w:color w:val="0071C5"/>
                <w:sz w:val="18"/>
                <w:szCs w:val="18"/>
              </w:rPr>
              <w:t> </w:t>
            </w:r>
          </w:p>
        </w:tc>
        <w:tc>
          <w:tcPr>
            <w:tcW w:w="0" w:type="auto"/>
            <w:tcBorders>
              <w:top w:val="single" w:sz="8" w:space="0" w:color="333333"/>
            </w:tcBorders>
            <w:shd w:val="clear" w:color="auto" w:fill="auto"/>
            <w:tcMar>
              <w:top w:w="40" w:type="dxa"/>
              <w:bottom w:w="40" w:type="dxa"/>
              <w:right w:w="20" w:type="dxa"/>
            </w:tcMar>
            <w:vAlign w:val="bottom"/>
          </w:tcPr>
          <w:p w14:paraId="36CA56E2"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56E3" w14:textId="77777777" w:rsidR="00787570" w:rsidRDefault="00787570">
            <w:pPr>
              <w:rPr>
                <w:rFonts w:ascii="宋体"/>
              </w:rPr>
            </w:pPr>
          </w:p>
        </w:tc>
        <w:tc>
          <w:tcPr>
            <w:tcW w:w="0" w:type="auto"/>
            <w:tcBorders>
              <w:top w:val="single" w:sz="8" w:space="0" w:color="333333"/>
            </w:tcBorders>
            <w:shd w:val="clear" w:color="auto" w:fill="auto"/>
            <w:tcMar>
              <w:top w:w="40" w:type="dxa"/>
              <w:left w:w="20" w:type="dxa"/>
              <w:bottom w:w="40" w:type="dxa"/>
            </w:tcMar>
            <w:vAlign w:val="bottom"/>
          </w:tcPr>
          <w:p w14:paraId="36CA56E4" w14:textId="77777777" w:rsidR="00787570" w:rsidRDefault="000D56E2">
            <w:pPr>
              <w:textAlignment w:val="bottom"/>
            </w:pPr>
            <w:r>
              <w:rPr>
                <w:rFonts w:ascii="Arial" w:eastAsia="宋体" w:hAnsi="Arial" w:cs="Arial"/>
                <w:b/>
                <w:bCs/>
                <w:color w:val="333333"/>
                <w:sz w:val="18"/>
                <w:szCs w:val="18"/>
              </w:rPr>
              <w:t>$</w:t>
            </w:r>
          </w:p>
        </w:tc>
        <w:tc>
          <w:tcPr>
            <w:tcW w:w="0" w:type="auto"/>
            <w:tcBorders>
              <w:top w:val="single" w:sz="8" w:space="0" w:color="333333"/>
            </w:tcBorders>
            <w:shd w:val="clear" w:color="auto" w:fill="auto"/>
            <w:tcMar>
              <w:top w:w="40" w:type="dxa"/>
              <w:bottom w:w="40" w:type="dxa"/>
              <w:right w:w="0" w:type="dxa"/>
            </w:tcMar>
            <w:vAlign w:val="bottom"/>
          </w:tcPr>
          <w:p w14:paraId="36CA56E5" w14:textId="77777777" w:rsidR="00787570" w:rsidRDefault="000D56E2">
            <w:pPr>
              <w:jc w:val="right"/>
              <w:textAlignment w:val="bottom"/>
            </w:pPr>
            <w:r>
              <w:rPr>
                <w:rFonts w:ascii="Arial" w:eastAsia="宋体" w:hAnsi="Arial" w:cs="Arial"/>
                <w:b/>
                <w:bCs/>
                <w:color w:val="333333"/>
                <w:sz w:val="18"/>
                <w:szCs w:val="18"/>
              </w:rPr>
              <w:t>1.42</w:t>
            </w:r>
            <w:r>
              <w:rPr>
                <w:rFonts w:ascii="Arial" w:eastAsia="宋体" w:hAnsi="Arial" w:cs="Arial"/>
                <w:color w:val="333333"/>
                <w:sz w:val="18"/>
                <w:szCs w:val="18"/>
              </w:rPr>
              <w:t> </w:t>
            </w:r>
          </w:p>
        </w:tc>
        <w:tc>
          <w:tcPr>
            <w:tcW w:w="0" w:type="auto"/>
            <w:tcBorders>
              <w:top w:val="single" w:sz="8" w:space="0" w:color="333333"/>
            </w:tcBorders>
            <w:shd w:val="clear" w:color="auto" w:fill="auto"/>
            <w:tcMar>
              <w:top w:w="40" w:type="dxa"/>
              <w:bottom w:w="40" w:type="dxa"/>
              <w:right w:w="20" w:type="dxa"/>
            </w:tcMar>
            <w:vAlign w:val="bottom"/>
          </w:tcPr>
          <w:p w14:paraId="36CA56E6" w14:textId="77777777" w:rsidR="00787570" w:rsidRDefault="00787570">
            <w:pPr>
              <w:jc w:val="right"/>
              <w:rPr>
                <w:rFonts w:ascii="宋体"/>
              </w:rPr>
            </w:pPr>
          </w:p>
        </w:tc>
        <w:tc>
          <w:tcPr>
            <w:tcW w:w="0" w:type="auto"/>
            <w:shd w:val="clear" w:color="auto" w:fill="auto"/>
          </w:tcPr>
          <w:p w14:paraId="36CA56E7" w14:textId="77777777" w:rsidR="00787570" w:rsidRDefault="00787570">
            <w:pPr>
              <w:rPr>
                <w:rFonts w:ascii="宋体"/>
                <w:vanish/>
              </w:rPr>
            </w:pPr>
          </w:p>
        </w:tc>
        <w:tc>
          <w:tcPr>
            <w:tcW w:w="0" w:type="auto"/>
            <w:shd w:val="clear" w:color="auto" w:fill="auto"/>
          </w:tcPr>
          <w:p w14:paraId="36CA56E8" w14:textId="77777777" w:rsidR="00787570" w:rsidRDefault="00787570">
            <w:pPr>
              <w:rPr>
                <w:rFonts w:ascii="宋体"/>
                <w:vanish/>
              </w:rPr>
            </w:pPr>
          </w:p>
        </w:tc>
        <w:tc>
          <w:tcPr>
            <w:tcW w:w="0" w:type="auto"/>
            <w:shd w:val="clear" w:color="auto" w:fill="auto"/>
          </w:tcPr>
          <w:p w14:paraId="36CA56E9" w14:textId="77777777" w:rsidR="00787570" w:rsidRDefault="00787570">
            <w:pPr>
              <w:rPr>
                <w:rFonts w:ascii="宋体"/>
                <w:vanish/>
              </w:rPr>
            </w:pPr>
          </w:p>
        </w:tc>
        <w:tc>
          <w:tcPr>
            <w:tcW w:w="0" w:type="auto"/>
            <w:shd w:val="clear" w:color="auto" w:fill="auto"/>
          </w:tcPr>
          <w:p w14:paraId="36CA56EA" w14:textId="77777777" w:rsidR="00787570" w:rsidRDefault="00787570">
            <w:pPr>
              <w:rPr>
                <w:rFonts w:ascii="宋体"/>
                <w:vanish/>
              </w:rPr>
            </w:pPr>
          </w:p>
        </w:tc>
        <w:tc>
          <w:tcPr>
            <w:tcW w:w="0" w:type="auto"/>
            <w:shd w:val="clear" w:color="auto" w:fill="auto"/>
          </w:tcPr>
          <w:p w14:paraId="36CA56EB" w14:textId="77777777" w:rsidR="00787570" w:rsidRDefault="00787570">
            <w:pPr>
              <w:rPr>
                <w:rFonts w:ascii="宋体"/>
              </w:rPr>
            </w:pPr>
          </w:p>
        </w:tc>
        <w:tc>
          <w:tcPr>
            <w:tcW w:w="0" w:type="auto"/>
            <w:shd w:val="clear" w:color="auto" w:fill="auto"/>
          </w:tcPr>
          <w:p w14:paraId="36CA56EC" w14:textId="77777777" w:rsidR="00787570" w:rsidRDefault="00787570">
            <w:pPr>
              <w:rPr>
                <w:rFonts w:ascii="宋体"/>
              </w:rPr>
            </w:pPr>
          </w:p>
        </w:tc>
        <w:tc>
          <w:tcPr>
            <w:tcW w:w="0" w:type="auto"/>
            <w:shd w:val="clear" w:color="auto" w:fill="auto"/>
          </w:tcPr>
          <w:p w14:paraId="36CA56ED" w14:textId="77777777" w:rsidR="00787570" w:rsidRDefault="00787570">
            <w:pPr>
              <w:rPr>
                <w:rFonts w:ascii="宋体"/>
              </w:rPr>
            </w:pPr>
          </w:p>
        </w:tc>
        <w:tc>
          <w:tcPr>
            <w:tcW w:w="0" w:type="auto"/>
            <w:shd w:val="clear" w:color="auto" w:fill="auto"/>
          </w:tcPr>
          <w:p w14:paraId="36CA56EE" w14:textId="77777777" w:rsidR="00787570" w:rsidRDefault="00787570">
            <w:pPr>
              <w:rPr>
                <w:rFonts w:ascii="宋体"/>
              </w:rPr>
            </w:pPr>
          </w:p>
        </w:tc>
        <w:tc>
          <w:tcPr>
            <w:tcW w:w="0" w:type="auto"/>
            <w:shd w:val="clear" w:color="auto" w:fill="auto"/>
          </w:tcPr>
          <w:p w14:paraId="36CA56EF" w14:textId="77777777" w:rsidR="00787570" w:rsidRDefault="00787570">
            <w:pPr>
              <w:rPr>
                <w:rFonts w:ascii="宋体"/>
              </w:rPr>
            </w:pPr>
          </w:p>
        </w:tc>
        <w:tc>
          <w:tcPr>
            <w:tcW w:w="0" w:type="auto"/>
            <w:shd w:val="clear" w:color="auto" w:fill="auto"/>
          </w:tcPr>
          <w:p w14:paraId="36CA56F0" w14:textId="77777777" w:rsidR="00787570" w:rsidRDefault="00787570">
            <w:pPr>
              <w:rPr>
                <w:rFonts w:ascii="宋体"/>
              </w:rPr>
            </w:pPr>
          </w:p>
        </w:tc>
      </w:tr>
      <w:tr w:rsidR="00787570" w14:paraId="36CA5701" w14:textId="77777777">
        <w:trPr>
          <w:trHeight w:val="240"/>
        </w:trPr>
        <w:tc>
          <w:tcPr>
            <w:tcW w:w="0" w:type="auto"/>
            <w:gridSpan w:val="3"/>
            <w:shd w:val="clear" w:color="auto" w:fill="auto"/>
            <w:tcMar>
              <w:left w:w="20" w:type="dxa"/>
              <w:right w:w="20" w:type="dxa"/>
            </w:tcMar>
            <w:vAlign w:val="bottom"/>
          </w:tcPr>
          <w:p w14:paraId="36CA56F2"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56F3" w14:textId="77777777" w:rsidR="00787570" w:rsidRDefault="00787570">
            <w:pPr>
              <w:rPr>
                <w:rFonts w:ascii="宋体"/>
              </w:rPr>
            </w:pPr>
          </w:p>
        </w:tc>
        <w:tc>
          <w:tcPr>
            <w:tcW w:w="0" w:type="auto"/>
            <w:gridSpan w:val="3"/>
            <w:tcBorders>
              <w:top w:val="double" w:sz="6" w:space="0" w:color="000000"/>
            </w:tcBorders>
            <w:shd w:val="clear" w:color="auto" w:fill="auto"/>
            <w:tcMar>
              <w:left w:w="20" w:type="dxa"/>
              <w:right w:w="20" w:type="dxa"/>
            </w:tcMar>
            <w:vAlign w:val="bottom"/>
          </w:tcPr>
          <w:p w14:paraId="36CA56F4"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56F5" w14:textId="77777777" w:rsidR="00787570" w:rsidRDefault="00787570">
            <w:pPr>
              <w:rPr>
                <w:rFonts w:ascii="宋体"/>
              </w:rPr>
            </w:pPr>
          </w:p>
        </w:tc>
        <w:tc>
          <w:tcPr>
            <w:tcW w:w="0" w:type="auto"/>
            <w:gridSpan w:val="3"/>
            <w:tcBorders>
              <w:top w:val="double" w:sz="6" w:space="0" w:color="000000"/>
            </w:tcBorders>
            <w:shd w:val="clear" w:color="auto" w:fill="auto"/>
            <w:tcMar>
              <w:left w:w="20" w:type="dxa"/>
              <w:right w:w="20" w:type="dxa"/>
            </w:tcMar>
            <w:vAlign w:val="bottom"/>
          </w:tcPr>
          <w:p w14:paraId="36CA56F6" w14:textId="77777777" w:rsidR="00787570" w:rsidRDefault="00787570">
            <w:pPr>
              <w:rPr>
                <w:rFonts w:ascii="宋体"/>
              </w:rPr>
            </w:pPr>
          </w:p>
        </w:tc>
        <w:tc>
          <w:tcPr>
            <w:tcW w:w="0" w:type="auto"/>
            <w:shd w:val="clear" w:color="auto" w:fill="auto"/>
          </w:tcPr>
          <w:p w14:paraId="36CA56F7" w14:textId="77777777" w:rsidR="00787570" w:rsidRDefault="00787570">
            <w:pPr>
              <w:rPr>
                <w:rFonts w:ascii="宋体"/>
                <w:vanish/>
              </w:rPr>
            </w:pPr>
          </w:p>
        </w:tc>
        <w:tc>
          <w:tcPr>
            <w:tcW w:w="0" w:type="auto"/>
            <w:shd w:val="clear" w:color="auto" w:fill="auto"/>
          </w:tcPr>
          <w:p w14:paraId="36CA56F8" w14:textId="77777777" w:rsidR="00787570" w:rsidRDefault="00787570">
            <w:pPr>
              <w:rPr>
                <w:rFonts w:ascii="宋体"/>
                <w:vanish/>
              </w:rPr>
            </w:pPr>
          </w:p>
        </w:tc>
        <w:tc>
          <w:tcPr>
            <w:tcW w:w="0" w:type="auto"/>
            <w:shd w:val="clear" w:color="auto" w:fill="auto"/>
          </w:tcPr>
          <w:p w14:paraId="36CA56F9" w14:textId="77777777" w:rsidR="00787570" w:rsidRDefault="00787570">
            <w:pPr>
              <w:rPr>
                <w:rFonts w:ascii="宋体"/>
                <w:vanish/>
              </w:rPr>
            </w:pPr>
          </w:p>
        </w:tc>
        <w:tc>
          <w:tcPr>
            <w:tcW w:w="0" w:type="auto"/>
            <w:shd w:val="clear" w:color="auto" w:fill="auto"/>
          </w:tcPr>
          <w:p w14:paraId="36CA56FA" w14:textId="77777777" w:rsidR="00787570" w:rsidRDefault="00787570">
            <w:pPr>
              <w:rPr>
                <w:rFonts w:ascii="宋体"/>
                <w:vanish/>
              </w:rPr>
            </w:pPr>
          </w:p>
        </w:tc>
        <w:tc>
          <w:tcPr>
            <w:tcW w:w="0" w:type="auto"/>
            <w:shd w:val="clear" w:color="auto" w:fill="auto"/>
          </w:tcPr>
          <w:p w14:paraId="36CA56FB" w14:textId="77777777" w:rsidR="00787570" w:rsidRDefault="00787570">
            <w:pPr>
              <w:rPr>
                <w:rFonts w:ascii="宋体"/>
              </w:rPr>
            </w:pPr>
          </w:p>
        </w:tc>
        <w:tc>
          <w:tcPr>
            <w:tcW w:w="0" w:type="auto"/>
            <w:shd w:val="clear" w:color="auto" w:fill="auto"/>
          </w:tcPr>
          <w:p w14:paraId="36CA56FC" w14:textId="77777777" w:rsidR="00787570" w:rsidRDefault="00787570">
            <w:pPr>
              <w:rPr>
                <w:rFonts w:ascii="宋体"/>
              </w:rPr>
            </w:pPr>
          </w:p>
        </w:tc>
        <w:tc>
          <w:tcPr>
            <w:tcW w:w="0" w:type="auto"/>
            <w:shd w:val="clear" w:color="auto" w:fill="auto"/>
          </w:tcPr>
          <w:p w14:paraId="36CA56FD" w14:textId="77777777" w:rsidR="00787570" w:rsidRDefault="00787570">
            <w:pPr>
              <w:rPr>
                <w:rFonts w:ascii="宋体"/>
              </w:rPr>
            </w:pPr>
          </w:p>
        </w:tc>
        <w:tc>
          <w:tcPr>
            <w:tcW w:w="0" w:type="auto"/>
            <w:shd w:val="clear" w:color="auto" w:fill="auto"/>
          </w:tcPr>
          <w:p w14:paraId="36CA56FE" w14:textId="77777777" w:rsidR="00787570" w:rsidRDefault="00787570">
            <w:pPr>
              <w:rPr>
                <w:rFonts w:ascii="宋体"/>
              </w:rPr>
            </w:pPr>
          </w:p>
        </w:tc>
        <w:tc>
          <w:tcPr>
            <w:tcW w:w="0" w:type="auto"/>
            <w:shd w:val="clear" w:color="auto" w:fill="auto"/>
          </w:tcPr>
          <w:p w14:paraId="36CA56FF" w14:textId="77777777" w:rsidR="00787570" w:rsidRDefault="00787570">
            <w:pPr>
              <w:rPr>
                <w:rFonts w:ascii="宋体"/>
              </w:rPr>
            </w:pPr>
          </w:p>
        </w:tc>
        <w:tc>
          <w:tcPr>
            <w:tcW w:w="0" w:type="auto"/>
            <w:shd w:val="clear" w:color="auto" w:fill="auto"/>
          </w:tcPr>
          <w:p w14:paraId="36CA5700" w14:textId="77777777" w:rsidR="00787570" w:rsidRDefault="00787570">
            <w:pPr>
              <w:rPr>
                <w:rFonts w:ascii="宋体"/>
              </w:rPr>
            </w:pPr>
          </w:p>
        </w:tc>
      </w:tr>
      <w:tr w:rsidR="00787570" w14:paraId="36CA570B" w14:textId="77777777">
        <w:tc>
          <w:tcPr>
            <w:tcW w:w="0" w:type="auto"/>
            <w:gridSpan w:val="3"/>
            <w:shd w:val="clear" w:color="auto" w:fill="auto"/>
            <w:tcMar>
              <w:left w:w="20" w:type="dxa"/>
              <w:right w:w="20" w:type="dxa"/>
            </w:tcMar>
            <w:vAlign w:val="bottom"/>
          </w:tcPr>
          <w:p w14:paraId="36CA5702"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5703" w14:textId="77777777" w:rsidR="00787570" w:rsidRDefault="00787570">
            <w:pPr>
              <w:rPr>
                <w:rFonts w:ascii="宋体"/>
              </w:rPr>
            </w:pPr>
          </w:p>
        </w:tc>
        <w:tc>
          <w:tcPr>
            <w:tcW w:w="0" w:type="auto"/>
            <w:gridSpan w:val="9"/>
            <w:shd w:val="clear" w:color="auto" w:fill="auto"/>
            <w:tcMar>
              <w:top w:w="40" w:type="dxa"/>
              <w:left w:w="20" w:type="dxa"/>
              <w:bottom w:w="40" w:type="dxa"/>
              <w:right w:w="20" w:type="dxa"/>
            </w:tcMar>
            <w:vAlign w:val="bottom"/>
          </w:tcPr>
          <w:p w14:paraId="36CA5704" w14:textId="77777777" w:rsidR="00787570" w:rsidRDefault="000D56E2">
            <w:pPr>
              <w:jc w:val="center"/>
              <w:textAlignment w:val="bottom"/>
            </w:pPr>
            <w:r>
              <w:rPr>
                <w:rFonts w:ascii="Arial" w:eastAsia="宋体" w:hAnsi="Arial" w:cs="Arial"/>
                <w:b/>
                <w:bCs/>
                <w:color w:val="333333"/>
                <w:sz w:val="18"/>
                <w:szCs w:val="18"/>
              </w:rPr>
              <w:t>Nine Months Ended</w:t>
            </w:r>
          </w:p>
        </w:tc>
        <w:tc>
          <w:tcPr>
            <w:tcW w:w="0" w:type="auto"/>
            <w:shd w:val="clear" w:color="auto" w:fill="auto"/>
          </w:tcPr>
          <w:p w14:paraId="36CA5705" w14:textId="77777777" w:rsidR="00787570" w:rsidRDefault="00787570">
            <w:pPr>
              <w:rPr>
                <w:rFonts w:ascii="宋体"/>
                <w:vanish/>
              </w:rPr>
            </w:pPr>
          </w:p>
        </w:tc>
        <w:tc>
          <w:tcPr>
            <w:tcW w:w="0" w:type="auto"/>
            <w:shd w:val="clear" w:color="auto" w:fill="auto"/>
          </w:tcPr>
          <w:p w14:paraId="36CA5706" w14:textId="77777777" w:rsidR="00787570" w:rsidRDefault="00787570">
            <w:pPr>
              <w:rPr>
                <w:rFonts w:ascii="宋体"/>
                <w:vanish/>
              </w:rPr>
            </w:pPr>
          </w:p>
        </w:tc>
        <w:tc>
          <w:tcPr>
            <w:tcW w:w="0" w:type="auto"/>
            <w:shd w:val="clear" w:color="auto" w:fill="auto"/>
          </w:tcPr>
          <w:p w14:paraId="36CA5707" w14:textId="77777777" w:rsidR="00787570" w:rsidRDefault="00787570">
            <w:pPr>
              <w:rPr>
                <w:rFonts w:ascii="宋体"/>
                <w:vanish/>
              </w:rPr>
            </w:pPr>
          </w:p>
        </w:tc>
        <w:tc>
          <w:tcPr>
            <w:tcW w:w="0" w:type="auto"/>
            <w:shd w:val="clear" w:color="auto" w:fill="auto"/>
          </w:tcPr>
          <w:p w14:paraId="36CA5708" w14:textId="77777777" w:rsidR="00787570" w:rsidRDefault="00787570">
            <w:pPr>
              <w:rPr>
                <w:rFonts w:ascii="宋体"/>
                <w:vanish/>
              </w:rPr>
            </w:pPr>
          </w:p>
        </w:tc>
        <w:tc>
          <w:tcPr>
            <w:tcW w:w="0" w:type="auto"/>
            <w:gridSpan w:val="3"/>
            <w:shd w:val="clear" w:color="auto" w:fill="auto"/>
          </w:tcPr>
          <w:p w14:paraId="36CA5709" w14:textId="77777777" w:rsidR="00787570" w:rsidRDefault="00787570">
            <w:pPr>
              <w:rPr>
                <w:rFonts w:ascii="宋体"/>
                <w:vanish/>
              </w:rPr>
            </w:pPr>
          </w:p>
        </w:tc>
        <w:tc>
          <w:tcPr>
            <w:tcW w:w="0" w:type="auto"/>
            <w:gridSpan w:val="3"/>
            <w:shd w:val="clear" w:color="auto" w:fill="auto"/>
          </w:tcPr>
          <w:p w14:paraId="36CA570A" w14:textId="77777777" w:rsidR="00787570" w:rsidRDefault="00787570">
            <w:pPr>
              <w:rPr>
                <w:rFonts w:ascii="宋体"/>
                <w:vanish/>
              </w:rPr>
            </w:pPr>
          </w:p>
        </w:tc>
      </w:tr>
      <w:tr w:rsidR="00787570" w14:paraId="36CA571B" w14:textId="77777777">
        <w:tc>
          <w:tcPr>
            <w:tcW w:w="0" w:type="auto"/>
            <w:gridSpan w:val="3"/>
            <w:shd w:val="clear" w:color="auto" w:fill="auto"/>
            <w:tcMar>
              <w:top w:w="40" w:type="dxa"/>
              <w:left w:w="20" w:type="dxa"/>
              <w:bottom w:w="40" w:type="dxa"/>
              <w:right w:w="20" w:type="dxa"/>
            </w:tcMar>
            <w:vAlign w:val="bottom"/>
          </w:tcPr>
          <w:p w14:paraId="36CA570C" w14:textId="77777777" w:rsidR="00787570" w:rsidRDefault="000D56E2">
            <w:pPr>
              <w:textAlignment w:val="bottom"/>
            </w:pPr>
            <w:r>
              <w:rPr>
                <w:rFonts w:ascii="Arial" w:eastAsia="宋体" w:hAnsi="Arial" w:cs="Arial"/>
                <w:b/>
                <w:bCs/>
                <w:color w:val="333333"/>
                <w:sz w:val="18"/>
                <w:szCs w:val="18"/>
              </w:rPr>
              <w:t>(In Millions)</w:t>
            </w:r>
          </w:p>
        </w:tc>
        <w:tc>
          <w:tcPr>
            <w:tcW w:w="0" w:type="auto"/>
            <w:gridSpan w:val="3"/>
            <w:shd w:val="clear" w:color="auto" w:fill="auto"/>
            <w:tcMar>
              <w:left w:w="20" w:type="dxa"/>
              <w:right w:w="20" w:type="dxa"/>
            </w:tcMar>
            <w:vAlign w:val="bottom"/>
          </w:tcPr>
          <w:p w14:paraId="36CA570D" w14:textId="77777777" w:rsidR="00787570" w:rsidRDefault="00787570">
            <w:pPr>
              <w:rPr>
                <w:rFonts w:ascii="宋体"/>
              </w:rPr>
            </w:pPr>
          </w:p>
        </w:tc>
        <w:tc>
          <w:tcPr>
            <w:tcW w:w="0" w:type="auto"/>
            <w:gridSpan w:val="3"/>
            <w:tcBorders>
              <w:top w:val="single" w:sz="8" w:space="0" w:color="0071C5"/>
            </w:tcBorders>
            <w:shd w:val="clear" w:color="auto" w:fill="auto"/>
            <w:tcMar>
              <w:top w:w="40" w:type="dxa"/>
              <w:left w:w="20" w:type="dxa"/>
              <w:bottom w:w="40" w:type="dxa"/>
              <w:right w:w="20" w:type="dxa"/>
            </w:tcMar>
            <w:vAlign w:val="bottom"/>
          </w:tcPr>
          <w:p w14:paraId="36CA570E" w14:textId="77777777" w:rsidR="00787570" w:rsidRDefault="000D56E2">
            <w:pPr>
              <w:jc w:val="center"/>
              <w:textAlignment w:val="bottom"/>
            </w:pPr>
            <w:r>
              <w:rPr>
                <w:rFonts w:ascii="Arial" w:eastAsia="宋体" w:hAnsi="Arial" w:cs="Arial"/>
                <w:b/>
                <w:bCs/>
                <w:color w:val="333333"/>
                <w:sz w:val="18"/>
                <w:szCs w:val="18"/>
              </w:rPr>
              <w:t>Sep 26, 2020</w:t>
            </w:r>
          </w:p>
        </w:tc>
        <w:tc>
          <w:tcPr>
            <w:tcW w:w="0" w:type="auto"/>
            <w:gridSpan w:val="3"/>
            <w:tcBorders>
              <w:top w:val="single" w:sz="8" w:space="0" w:color="0071C5"/>
            </w:tcBorders>
            <w:shd w:val="clear" w:color="auto" w:fill="auto"/>
            <w:tcMar>
              <w:left w:w="20" w:type="dxa"/>
              <w:right w:w="20" w:type="dxa"/>
            </w:tcMar>
            <w:vAlign w:val="bottom"/>
          </w:tcPr>
          <w:p w14:paraId="36CA570F" w14:textId="77777777" w:rsidR="00787570" w:rsidRDefault="00787570">
            <w:pPr>
              <w:jc w:val="right"/>
              <w:rPr>
                <w:rFonts w:ascii="宋体"/>
              </w:rPr>
            </w:pPr>
          </w:p>
        </w:tc>
        <w:tc>
          <w:tcPr>
            <w:tcW w:w="0" w:type="auto"/>
            <w:gridSpan w:val="3"/>
            <w:tcBorders>
              <w:top w:val="single" w:sz="8" w:space="0" w:color="0071C5"/>
            </w:tcBorders>
            <w:shd w:val="clear" w:color="auto" w:fill="auto"/>
            <w:tcMar>
              <w:top w:w="40" w:type="dxa"/>
              <w:left w:w="20" w:type="dxa"/>
              <w:bottom w:w="40" w:type="dxa"/>
              <w:right w:w="20" w:type="dxa"/>
            </w:tcMar>
            <w:vAlign w:val="bottom"/>
          </w:tcPr>
          <w:p w14:paraId="36CA5710" w14:textId="77777777" w:rsidR="00787570" w:rsidRDefault="000D56E2">
            <w:pPr>
              <w:jc w:val="center"/>
              <w:textAlignment w:val="bottom"/>
            </w:pPr>
            <w:r>
              <w:rPr>
                <w:rFonts w:ascii="Arial" w:eastAsia="宋体" w:hAnsi="Arial" w:cs="Arial"/>
                <w:b/>
                <w:bCs/>
                <w:color w:val="333333"/>
                <w:sz w:val="18"/>
                <w:szCs w:val="18"/>
              </w:rPr>
              <w:t>Sep 28, 2019</w:t>
            </w:r>
          </w:p>
        </w:tc>
        <w:tc>
          <w:tcPr>
            <w:tcW w:w="0" w:type="auto"/>
            <w:shd w:val="clear" w:color="auto" w:fill="auto"/>
          </w:tcPr>
          <w:p w14:paraId="36CA5711" w14:textId="77777777" w:rsidR="00787570" w:rsidRDefault="00787570">
            <w:pPr>
              <w:rPr>
                <w:rFonts w:ascii="宋体"/>
                <w:vanish/>
              </w:rPr>
            </w:pPr>
          </w:p>
        </w:tc>
        <w:tc>
          <w:tcPr>
            <w:tcW w:w="0" w:type="auto"/>
            <w:shd w:val="clear" w:color="auto" w:fill="auto"/>
          </w:tcPr>
          <w:p w14:paraId="36CA5712" w14:textId="77777777" w:rsidR="00787570" w:rsidRDefault="00787570">
            <w:pPr>
              <w:rPr>
                <w:rFonts w:ascii="宋体"/>
                <w:vanish/>
              </w:rPr>
            </w:pPr>
          </w:p>
        </w:tc>
        <w:tc>
          <w:tcPr>
            <w:tcW w:w="0" w:type="auto"/>
            <w:shd w:val="clear" w:color="auto" w:fill="auto"/>
          </w:tcPr>
          <w:p w14:paraId="36CA5713" w14:textId="77777777" w:rsidR="00787570" w:rsidRDefault="00787570">
            <w:pPr>
              <w:rPr>
                <w:rFonts w:ascii="宋体"/>
                <w:vanish/>
              </w:rPr>
            </w:pPr>
          </w:p>
        </w:tc>
        <w:tc>
          <w:tcPr>
            <w:tcW w:w="0" w:type="auto"/>
            <w:shd w:val="clear" w:color="auto" w:fill="auto"/>
          </w:tcPr>
          <w:p w14:paraId="36CA5714" w14:textId="77777777" w:rsidR="00787570" w:rsidRDefault="00787570">
            <w:pPr>
              <w:rPr>
                <w:rFonts w:ascii="宋体"/>
                <w:vanish/>
              </w:rPr>
            </w:pPr>
          </w:p>
        </w:tc>
        <w:tc>
          <w:tcPr>
            <w:tcW w:w="0" w:type="auto"/>
            <w:shd w:val="clear" w:color="auto" w:fill="auto"/>
          </w:tcPr>
          <w:p w14:paraId="36CA5715" w14:textId="77777777" w:rsidR="00787570" w:rsidRDefault="00787570">
            <w:pPr>
              <w:rPr>
                <w:rFonts w:ascii="宋体"/>
              </w:rPr>
            </w:pPr>
          </w:p>
        </w:tc>
        <w:tc>
          <w:tcPr>
            <w:tcW w:w="0" w:type="auto"/>
            <w:shd w:val="clear" w:color="auto" w:fill="auto"/>
          </w:tcPr>
          <w:p w14:paraId="36CA5716" w14:textId="77777777" w:rsidR="00787570" w:rsidRDefault="00787570">
            <w:pPr>
              <w:rPr>
                <w:rFonts w:ascii="宋体"/>
              </w:rPr>
            </w:pPr>
          </w:p>
        </w:tc>
        <w:tc>
          <w:tcPr>
            <w:tcW w:w="0" w:type="auto"/>
            <w:shd w:val="clear" w:color="auto" w:fill="auto"/>
          </w:tcPr>
          <w:p w14:paraId="36CA5717" w14:textId="77777777" w:rsidR="00787570" w:rsidRDefault="00787570">
            <w:pPr>
              <w:rPr>
                <w:rFonts w:ascii="宋体"/>
              </w:rPr>
            </w:pPr>
          </w:p>
        </w:tc>
        <w:tc>
          <w:tcPr>
            <w:tcW w:w="0" w:type="auto"/>
            <w:shd w:val="clear" w:color="auto" w:fill="auto"/>
          </w:tcPr>
          <w:p w14:paraId="36CA5718" w14:textId="77777777" w:rsidR="00787570" w:rsidRDefault="00787570">
            <w:pPr>
              <w:rPr>
                <w:rFonts w:ascii="宋体"/>
              </w:rPr>
            </w:pPr>
          </w:p>
        </w:tc>
        <w:tc>
          <w:tcPr>
            <w:tcW w:w="0" w:type="auto"/>
            <w:shd w:val="clear" w:color="auto" w:fill="auto"/>
          </w:tcPr>
          <w:p w14:paraId="36CA5719" w14:textId="77777777" w:rsidR="00787570" w:rsidRDefault="00787570">
            <w:pPr>
              <w:rPr>
                <w:rFonts w:ascii="宋体"/>
              </w:rPr>
            </w:pPr>
          </w:p>
        </w:tc>
        <w:tc>
          <w:tcPr>
            <w:tcW w:w="0" w:type="auto"/>
            <w:shd w:val="clear" w:color="auto" w:fill="auto"/>
          </w:tcPr>
          <w:p w14:paraId="36CA571A" w14:textId="77777777" w:rsidR="00787570" w:rsidRDefault="00787570">
            <w:pPr>
              <w:rPr>
                <w:rFonts w:ascii="宋体"/>
              </w:rPr>
            </w:pPr>
          </w:p>
        </w:tc>
      </w:tr>
      <w:tr w:rsidR="00787570" w14:paraId="36CA572F" w14:textId="77777777">
        <w:tc>
          <w:tcPr>
            <w:tcW w:w="0" w:type="auto"/>
            <w:gridSpan w:val="3"/>
            <w:tcBorders>
              <w:top w:val="single" w:sz="8" w:space="0" w:color="0071C5"/>
            </w:tcBorders>
            <w:shd w:val="clear" w:color="auto" w:fill="auto"/>
            <w:tcMar>
              <w:top w:w="40" w:type="dxa"/>
              <w:left w:w="20" w:type="dxa"/>
              <w:bottom w:w="40" w:type="dxa"/>
              <w:right w:w="20" w:type="dxa"/>
            </w:tcMar>
            <w:vAlign w:val="bottom"/>
          </w:tcPr>
          <w:p w14:paraId="36CA571C" w14:textId="77777777" w:rsidR="00787570" w:rsidRDefault="000D56E2">
            <w:pPr>
              <w:textAlignment w:val="bottom"/>
            </w:pPr>
            <w:r>
              <w:rPr>
                <w:rFonts w:ascii="Arial" w:eastAsia="宋体" w:hAnsi="Arial" w:cs="Arial"/>
                <w:b/>
                <w:bCs/>
                <w:color w:val="333333"/>
                <w:sz w:val="18"/>
                <w:szCs w:val="18"/>
              </w:rPr>
              <w:t>Net cash provided by operating activities</w:t>
            </w:r>
          </w:p>
        </w:tc>
        <w:tc>
          <w:tcPr>
            <w:tcW w:w="0" w:type="auto"/>
            <w:gridSpan w:val="3"/>
            <w:shd w:val="clear" w:color="auto" w:fill="auto"/>
            <w:tcMar>
              <w:left w:w="20" w:type="dxa"/>
              <w:right w:w="20" w:type="dxa"/>
            </w:tcMar>
            <w:vAlign w:val="bottom"/>
          </w:tcPr>
          <w:p w14:paraId="36CA571D" w14:textId="77777777" w:rsidR="00787570" w:rsidRDefault="00787570">
            <w:pPr>
              <w:rPr>
                <w:rFonts w:ascii="宋体"/>
              </w:rPr>
            </w:pPr>
          </w:p>
        </w:tc>
        <w:tc>
          <w:tcPr>
            <w:tcW w:w="0" w:type="auto"/>
            <w:tcBorders>
              <w:top w:val="single" w:sz="8" w:space="0" w:color="0071C5"/>
            </w:tcBorders>
            <w:shd w:val="clear" w:color="auto" w:fill="auto"/>
            <w:tcMar>
              <w:top w:w="40" w:type="dxa"/>
              <w:left w:w="20" w:type="dxa"/>
              <w:bottom w:w="40" w:type="dxa"/>
            </w:tcMar>
            <w:vAlign w:val="bottom"/>
          </w:tcPr>
          <w:p w14:paraId="36CA571E" w14:textId="77777777" w:rsidR="00787570" w:rsidRDefault="000D56E2">
            <w:pPr>
              <w:textAlignment w:val="bottom"/>
            </w:pPr>
            <w:r>
              <w:rPr>
                <w:rFonts w:ascii="Arial" w:eastAsia="宋体" w:hAnsi="Arial" w:cs="Arial"/>
                <w:b/>
                <w:bCs/>
                <w:color w:val="0071C5"/>
                <w:sz w:val="18"/>
                <w:szCs w:val="18"/>
              </w:rPr>
              <w:t>$</w:t>
            </w:r>
          </w:p>
        </w:tc>
        <w:tc>
          <w:tcPr>
            <w:tcW w:w="0" w:type="auto"/>
            <w:tcBorders>
              <w:top w:val="single" w:sz="8" w:space="0" w:color="0071C5"/>
            </w:tcBorders>
            <w:shd w:val="clear" w:color="auto" w:fill="auto"/>
            <w:tcMar>
              <w:top w:w="40" w:type="dxa"/>
              <w:bottom w:w="40" w:type="dxa"/>
              <w:right w:w="0" w:type="dxa"/>
            </w:tcMar>
            <w:vAlign w:val="bottom"/>
          </w:tcPr>
          <w:p w14:paraId="36CA571F" w14:textId="77777777" w:rsidR="00787570" w:rsidRDefault="000D56E2">
            <w:pPr>
              <w:jc w:val="right"/>
              <w:textAlignment w:val="bottom"/>
            </w:pPr>
            <w:r>
              <w:rPr>
                <w:rFonts w:ascii="Arial" w:eastAsia="宋体" w:hAnsi="Arial" w:cs="Arial"/>
                <w:b/>
                <w:bCs/>
                <w:color w:val="0071C5"/>
                <w:sz w:val="18"/>
                <w:szCs w:val="18"/>
              </w:rPr>
              <w:t>25,494</w:t>
            </w:r>
            <w:r>
              <w:rPr>
                <w:rFonts w:ascii="Arial" w:eastAsia="宋体" w:hAnsi="Arial" w:cs="Arial"/>
                <w:color w:val="0071C5"/>
                <w:sz w:val="18"/>
                <w:szCs w:val="18"/>
              </w:rPr>
              <w:t> </w:t>
            </w:r>
          </w:p>
        </w:tc>
        <w:tc>
          <w:tcPr>
            <w:tcW w:w="0" w:type="auto"/>
            <w:tcBorders>
              <w:top w:val="single" w:sz="8" w:space="0" w:color="0071C5"/>
            </w:tcBorders>
            <w:shd w:val="clear" w:color="auto" w:fill="auto"/>
            <w:tcMar>
              <w:top w:w="40" w:type="dxa"/>
              <w:bottom w:w="40" w:type="dxa"/>
              <w:right w:w="20" w:type="dxa"/>
            </w:tcMar>
            <w:vAlign w:val="bottom"/>
          </w:tcPr>
          <w:p w14:paraId="36CA5720"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5721" w14:textId="77777777" w:rsidR="00787570" w:rsidRDefault="00787570">
            <w:pPr>
              <w:rPr>
                <w:rFonts w:ascii="宋体"/>
              </w:rPr>
            </w:pPr>
          </w:p>
        </w:tc>
        <w:tc>
          <w:tcPr>
            <w:tcW w:w="0" w:type="auto"/>
            <w:tcBorders>
              <w:top w:val="single" w:sz="8" w:space="0" w:color="0071C5"/>
            </w:tcBorders>
            <w:shd w:val="clear" w:color="auto" w:fill="auto"/>
            <w:tcMar>
              <w:top w:w="40" w:type="dxa"/>
              <w:left w:w="20" w:type="dxa"/>
              <w:bottom w:w="40" w:type="dxa"/>
            </w:tcMar>
            <w:vAlign w:val="bottom"/>
          </w:tcPr>
          <w:p w14:paraId="36CA5722" w14:textId="77777777" w:rsidR="00787570" w:rsidRDefault="000D56E2">
            <w:pPr>
              <w:textAlignment w:val="bottom"/>
            </w:pPr>
            <w:r>
              <w:rPr>
                <w:rFonts w:ascii="Arial" w:eastAsia="宋体" w:hAnsi="Arial" w:cs="Arial"/>
                <w:b/>
                <w:bCs/>
                <w:color w:val="333333"/>
                <w:sz w:val="18"/>
                <w:szCs w:val="18"/>
              </w:rPr>
              <w:t>$</w:t>
            </w:r>
          </w:p>
        </w:tc>
        <w:tc>
          <w:tcPr>
            <w:tcW w:w="0" w:type="auto"/>
            <w:tcBorders>
              <w:top w:val="single" w:sz="8" w:space="0" w:color="0071C5"/>
            </w:tcBorders>
            <w:shd w:val="clear" w:color="auto" w:fill="auto"/>
            <w:tcMar>
              <w:top w:w="40" w:type="dxa"/>
              <w:bottom w:w="40" w:type="dxa"/>
              <w:right w:w="0" w:type="dxa"/>
            </w:tcMar>
            <w:vAlign w:val="bottom"/>
          </w:tcPr>
          <w:p w14:paraId="36CA5723" w14:textId="77777777" w:rsidR="00787570" w:rsidRDefault="000D56E2">
            <w:pPr>
              <w:jc w:val="right"/>
              <w:textAlignment w:val="bottom"/>
            </w:pPr>
            <w:r>
              <w:rPr>
                <w:rFonts w:ascii="Arial" w:eastAsia="宋体" w:hAnsi="Arial" w:cs="Arial"/>
                <w:b/>
                <w:bCs/>
                <w:color w:val="333333"/>
                <w:sz w:val="18"/>
                <w:szCs w:val="18"/>
              </w:rPr>
              <w:t>23,257</w:t>
            </w:r>
            <w:r>
              <w:rPr>
                <w:rFonts w:ascii="Arial" w:eastAsia="宋体" w:hAnsi="Arial" w:cs="Arial"/>
                <w:color w:val="333333"/>
                <w:sz w:val="18"/>
                <w:szCs w:val="18"/>
              </w:rPr>
              <w:t> </w:t>
            </w:r>
          </w:p>
        </w:tc>
        <w:tc>
          <w:tcPr>
            <w:tcW w:w="0" w:type="auto"/>
            <w:tcBorders>
              <w:top w:val="single" w:sz="8" w:space="0" w:color="0071C5"/>
            </w:tcBorders>
            <w:shd w:val="clear" w:color="auto" w:fill="auto"/>
            <w:tcMar>
              <w:top w:w="40" w:type="dxa"/>
              <w:bottom w:w="40" w:type="dxa"/>
              <w:right w:w="20" w:type="dxa"/>
            </w:tcMar>
            <w:vAlign w:val="bottom"/>
          </w:tcPr>
          <w:p w14:paraId="36CA5724" w14:textId="77777777" w:rsidR="00787570" w:rsidRDefault="00787570">
            <w:pPr>
              <w:jc w:val="right"/>
              <w:rPr>
                <w:rFonts w:ascii="宋体"/>
              </w:rPr>
            </w:pPr>
          </w:p>
        </w:tc>
        <w:tc>
          <w:tcPr>
            <w:tcW w:w="0" w:type="auto"/>
            <w:shd w:val="clear" w:color="auto" w:fill="auto"/>
          </w:tcPr>
          <w:p w14:paraId="36CA5725" w14:textId="77777777" w:rsidR="00787570" w:rsidRDefault="00787570">
            <w:pPr>
              <w:rPr>
                <w:rFonts w:ascii="宋体"/>
                <w:vanish/>
              </w:rPr>
            </w:pPr>
          </w:p>
        </w:tc>
        <w:tc>
          <w:tcPr>
            <w:tcW w:w="0" w:type="auto"/>
            <w:shd w:val="clear" w:color="auto" w:fill="auto"/>
          </w:tcPr>
          <w:p w14:paraId="36CA5726" w14:textId="77777777" w:rsidR="00787570" w:rsidRDefault="00787570">
            <w:pPr>
              <w:rPr>
                <w:rFonts w:ascii="宋体"/>
                <w:vanish/>
              </w:rPr>
            </w:pPr>
          </w:p>
        </w:tc>
        <w:tc>
          <w:tcPr>
            <w:tcW w:w="0" w:type="auto"/>
            <w:shd w:val="clear" w:color="auto" w:fill="auto"/>
          </w:tcPr>
          <w:p w14:paraId="36CA5727" w14:textId="77777777" w:rsidR="00787570" w:rsidRDefault="00787570">
            <w:pPr>
              <w:rPr>
                <w:rFonts w:ascii="宋体"/>
                <w:vanish/>
              </w:rPr>
            </w:pPr>
          </w:p>
        </w:tc>
        <w:tc>
          <w:tcPr>
            <w:tcW w:w="0" w:type="auto"/>
            <w:shd w:val="clear" w:color="auto" w:fill="auto"/>
          </w:tcPr>
          <w:p w14:paraId="36CA5728" w14:textId="77777777" w:rsidR="00787570" w:rsidRDefault="00787570">
            <w:pPr>
              <w:rPr>
                <w:rFonts w:ascii="宋体"/>
                <w:vanish/>
              </w:rPr>
            </w:pPr>
          </w:p>
        </w:tc>
        <w:tc>
          <w:tcPr>
            <w:tcW w:w="0" w:type="auto"/>
            <w:shd w:val="clear" w:color="auto" w:fill="auto"/>
          </w:tcPr>
          <w:p w14:paraId="36CA5729" w14:textId="77777777" w:rsidR="00787570" w:rsidRDefault="00787570">
            <w:pPr>
              <w:rPr>
                <w:rFonts w:ascii="宋体"/>
              </w:rPr>
            </w:pPr>
          </w:p>
        </w:tc>
        <w:tc>
          <w:tcPr>
            <w:tcW w:w="0" w:type="auto"/>
            <w:shd w:val="clear" w:color="auto" w:fill="auto"/>
          </w:tcPr>
          <w:p w14:paraId="36CA572A" w14:textId="77777777" w:rsidR="00787570" w:rsidRDefault="00787570">
            <w:pPr>
              <w:rPr>
                <w:rFonts w:ascii="宋体"/>
              </w:rPr>
            </w:pPr>
          </w:p>
        </w:tc>
        <w:tc>
          <w:tcPr>
            <w:tcW w:w="0" w:type="auto"/>
            <w:shd w:val="clear" w:color="auto" w:fill="auto"/>
          </w:tcPr>
          <w:p w14:paraId="36CA572B" w14:textId="77777777" w:rsidR="00787570" w:rsidRDefault="00787570">
            <w:pPr>
              <w:rPr>
                <w:rFonts w:ascii="宋体"/>
              </w:rPr>
            </w:pPr>
          </w:p>
        </w:tc>
        <w:tc>
          <w:tcPr>
            <w:tcW w:w="0" w:type="auto"/>
            <w:shd w:val="clear" w:color="auto" w:fill="auto"/>
          </w:tcPr>
          <w:p w14:paraId="36CA572C" w14:textId="77777777" w:rsidR="00787570" w:rsidRDefault="00787570">
            <w:pPr>
              <w:rPr>
                <w:rFonts w:ascii="宋体"/>
              </w:rPr>
            </w:pPr>
          </w:p>
        </w:tc>
        <w:tc>
          <w:tcPr>
            <w:tcW w:w="0" w:type="auto"/>
            <w:shd w:val="clear" w:color="auto" w:fill="auto"/>
          </w:tcPr>
          <w:p w14:paraId="36CA572D" w14:textId="77777777" w:rsidR="00787570" w:rsidRDefault="00787570">
            <w:pPr>
              <w:rPr>
                <w:rFonts w:ascii="宋体"/>
              </w:rPr>
            </w:pPr>
          </w:p>
        </w:tc>
        <w:tc>
          <w:tcPr>
            <w:tcW w:w="0" w:type="auto"/>
            <w:shd w:val="clear" w:color="auto" w:fill="auto"/>
          </w:tcPr>
          <w:p w14:paraId="36CA572E" w14:textId="77777777" w:rsidR="00787570" w:rsidRDefault="00787570">
            <w:pPr>
              <w:rPr>
                <w:rFonts w:ascii="宋体"/>
              </w:rPr>
            </w:pPr>
          </w:p>
        </w:tc>
      </w:tr>
      <w:tr w:rsidR="00787570" w14:paraId="36CA5741" w14:textId="77777777">
        <w:tc>
          <w:tcPr>
            <w:tcW w:w="0" w:type="auto"/>
            <w:gridSpan w:val="3"/>
            <w:shd w:val="clear" w:color="auto" w:fill="auto"/>
            <w:tcMar>
              <w:top w:w="40" w:type="dxa"/>
              <w:left w:w="135" w:type="dxa"/>
              <w:bottom w:w="40" w:type="dxa"/>
              <w:right w:w="20" w:type="dxa"/>
            </w:tcMar>
            <w:vAlign w:val="bottom"/>
          </w:tcPr>
          <w:p w14:paraId="36CA5730" w14:textId="77777777" w:rsidR="00787570" w:rsidRDefault="000D56E2">
            <w:pPr>
              <w:textAlignment w:val="bottom"/>
            </w:pPr>
            <w:r>
              <w:rPr>
                <w:rFonts w:ascii="Arial" w:eastAsia="宋体" w:hAnsi="Arial" w:cs="Arial"/>
                <w:color w:val="333333"/>
                <w:sz w:val="18"/>
                <w:szCs w:val="18"/>
              </w:rPr>
              <w:t>Additions to property, plant and equipment</w:t>
            </w:r>
          </w:p>
        </w:tc>
        <w:tc>
          <w:tcPr>
            <w:tcW w:w="0" w:type="auto"/>
            <w:gridSpan w:val="3"/>
            <w:shd w:val="clear" w:color="auto" w:fill="auto"/>
            <w:tcMar>
              <w:left w:w="20" w:type="dxa"/>
              <w:right w:w="20" w:type="dxa"/>
            </w:tcMar>
            <w:vAlign w:val="bottom"/>
          </w:tcPr>
          <w:p w14:paraId="36CA5731"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5732" w14:textId="77777777" w:rsidR="00787570" w:rsidRDefault="000D56E2">
            <w:pPr>
              <w:jc w:val="right"/>
              <w:textAlignment w:val="bottom"/>
            </w:pPr>
            <w:r>
              <w:rPr>
                <w:rFonts w:ascii="Arial" w:eastAsia="宋体" w:hAnsi="Arial" w:cs="Arial"/>
                <w:color w:val="0071C5"/>
                <w:sz w:val="18"/>
                <w:szCs w:val="18"/>
              </w:rPr>
              <w:t>(10,392)</w:t>
            </w:r>
          </w:p>
        </w:tc>
        <w:tc>
          <w:tcPr>
            <w:tcW w:w="0" w:type="auto"/>
            <w:shd w:val="clear" w:color="auto" w:fill="auto"/>
            <w:tcMar>
              <w:top w:w="40" w:type="dxa"/>
              <w:bottom w:w="40" w:type="dxa"/>
              <w:right w:w="20" w:type="dxa"/>
            </w:tcMar>
            <w:vAlign w:val="bottom"/>
          </w:tcPr>
          <w:p w14:paraId="36CA5733"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5734"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5735" w14:textId="77777777" w:rsidR="00787570" w:rsidRDefault="000D56E2">
            <w:pPr>
              <w:jc w:val="right"/>
              <w:textAlignment w:val="bottom"/>
            </w:pPr>
            <w:r>
              <w:rPr>
                <w:rFonts w:ascii="Arial" w:eastAsia="宋体" w:hAnsi="Arial" w:cs="Arial"/>
                <w:color w:val="333333"/>
                <w:sz w:val="18"/>
                <w:szCs w:val="18"/>
              </w:rPr>
              <w:t>(11,547)</w:t>
            </w:r>
          </w:p>
        </w:tc>
        <w:tc>
          <w:tcPr>
            <w:tcW w:w="0" w:type="auto"/>
            <w:shd w:val="clear" w:color="auto" w:fill="auto"/>
            <w:tcMar>
              <w:top w:w="40" w:type="dxa"/>
              <w:bottom w:w="40" w:type="dxa"/>
              <w:right w:w="20" w:type="dxa"/>
            </w:tcMar>
            <w:vAlign w:val="bottom"/>
          </w:tcPr>
          <w:p w14:paraId="36CA5736" w14:textId="77777777" w:rsidR="00787570" w:rsidRDefault="00787570">
            <w:pPr>
              <w:jc w:val="right"/>
              <w:rPr>
                <w:rFonts w:ascii="宋体"/>
              </w:rPr>
            </w:pPr>
          </w:p>
        </w:tc>
        <w:tc>
          <w:tcPr>
            <w:tcW w:w="0" w:type="auto"/>
            <w:shd w:val="clear" w:color="auto" w:fill="auto"/>
          </w:tcPr>
          <w:p w14:paraId="36CA5737" w14:textId="77777777" w:rsidR="00787570" w:rsidRDefault="00787570">
            <w:pPr>
              <w:rPr>
                <w:rFonts w:ascii="宋体"/>
                <w:vanish/>
              </w:rPr>
            </w:pPr>
          </w:p>
        </w:tc>
        <w:tc>
          <w:tcPr>
            <w:tcW w:w="0" w:type="auto"/>
            <w:shd w:val="clear" w:color="auto" w:fill="auto"/>
          </w:tcPr>
          <w:p w14:paraId="36CA5738" w14:textId="77777777" w:rsidR="00787570" w:rsidRDefault="00787570">
            <w:pPr>
              <w:rPr>
                <w:rFonts w:ascii="宋体"/>
                <w:vanish/>
              </w:rPr>
            </w:pPr>
          </w:p>
        </w:tc>
        <w:tc>
          <w:tcPr>
            <w:tcW w:w="0" w:type="auto"/>
            <w:shd w:val="clear" w:color="auto" w:fill="auto"/>
          </w:tcPr>
          <w:p w14:paraId="36CA5739" w14:textId="77777777" w:rsidR="00787570" w:rsidRDefault="00787570">
            <w:pPr>
              <w:rPr>
                <w:rFonts w:ascii="宋体"/>
                <w:vanish/>
              </w:rPr>
            </w:pPr>
          </w:p>
        </w:tc>
        <w:tc>
          <w:tcPr>
            <w:tcW w:w="0" w:type="auto"/>
            <w:shd w:val="clear" w:color="auto" w:fill="auto"/>
          </w:tcPr>
          <w:p w14:paraId="36CA573A" w14:textId="77777777" w:rsidR="00787570" w:rsidRDefault="00787570">
            <w:pPr>
              <w:rPr>
                <w:rFonts w:ascii="宋体"/>
                <w:vanish/>
              </w:rPr>
            </w:pPr>
          </w:p>
        </w:tc>
        <w:tc>
          <w:tcPr>
            <w:tcW w:w="0" w:type="auto"/>
            <w:shd w:val="clear" w:color="auto" w:fill="auto"/>
          </w:tcPr>
          <w:p w14:paraId="36CA573B" w14:textId="77777777" w:rsidR="00787570" w:rsidRDefault="00787570">
            <w:pPr>
              <w:rPr>
                <w:rFonts w:ascii="宋体"/>
              </w:rPr>
            </w:pPr>
          </w:p>
        </w:tc>
        <w:tc>
          <w:tcPr>
            <w:tcW w:w="0" w:type="auto"/>
            <w:shd w:val="clear" w:color="auto" w:fill="auto"/>
          </w:tcPr>
          <w:p w14:paraId="36CA573C" w14:textId="77777777" w:rsidR="00787570" w:rsidRDefault="00787570">
            <w:pPr>
              <w:rPr>
                <w:rFonts w:ascii="宋体"/>
              </w:rPr>
            </w:pPr>
          </w:p>
        </w:tc>
        <w:tc>
          <w:tcPr>
            <w:tcW w:w="0" w:type="auto"/>
            <w:shd w:val="clear" w:color="auto" w:fill="auto"/>
          </w:tcPr>
          <w:p w14:paraId="36CA573D" w14:textId="77777777" w:rsidR="00787570" w:rsidRDefault="00787570">
            <w:pPr>
              <w:rPr>
                <w:rFonts w:ascii="宋体"/>
              </w:rPr>
            </w:pPr>
          </w:p>
        </w:tc>
        <w:tc>
          <w:tcPr>
            <w:tcW w:w="0" w:type="auto"/>
            <w:shd w:val="clear" w:color="auto" w:fill="auto"/>
          </w:tcPr>
          <w:p w14:paraId="36CA573E" w14:textId="77777777" w:rsidR="00787570" w:rsidRDefault="00787570">
            <w:pPr>
              <w:rPr>
                <w:rFonts w:ascii="宋体"/>
              </w:rPr>
            </w:pPr>
          </w:p>
        </w:tc>
        <w:tc>
          <w:tcPr>
            <w:tcW w:w="0" w:type="auto"/>
            <w:shd w:val="clear" w:color="auto" w:fill="auto"/>
          </w:tcPr>
          <w:p w14:paraId="36CA573F" w14:textId="77777777" w:rsidR="00787570" w:rsidRDefault="00787570">
            <w:pPr>
              <w:rPr>
                <w:rFonts w:ascii="宋体"/>
              </w:rPr>
            </w:pPr>
          </w:p>
        </w:tc>
        <w:tc>
          <w:tcPr>
            <w:tcW w:w="0" w:type="auto"/>
            <w:shd w:val="clear" w:color="auto" w:fill="auto"/>
          </w:tcPr>
          <w:p w14:paraId="36CA5740" w14:textId="77777777" w:rsidR="00787570" w:rsidRDefault="00787570">
            <w:pPr>
              <w:rPr>
                <w:rFonts w:ascii="宋体"/>
              </w:rPr>
            </w:pPr>
          </w:p>
        </w:tc>
      </w:tr>
      <w:tr w:rsidR="00787570" w14:paraId="36CA5755" w14:textId="77777777">
        <w:tc>
          <w:tcPr>
            <w:tcW w:w="0" w:type="auto"/>
            <w:gridSpan w:val="3"/>
            <w:shd w:val="clear" w:color="auto" w:fill="auto"/>
            <w:tcMar>
              <w:top w:w="40" w:type="dxa"/>
              <w:left w:w="20" w:type="dxa"/>
              <w:bottom w:w="40" w:type="dxa"/>
              <w:right w:w="20" w:type="dxa"/>
            </w:tcMar>
            <w:vAlign w:val="bottom"/>
          </w:tcPr>
          <w:p w14:paraId="36CA5742" w14:textId="77777777" w:rsidR="00787570" w:rsidRDefault="000D56E2">
            <w:pPr>
              <w:textAlignment w:val="bottom"/>
            </w:pPr>
            <w:r>
              <w:rPr>
                <w:rFonts w:ascii="Arial" w:eastAsia="宋体" w:hAnsi="Arial" w:cs="Arial"/>
                <w:b/>
                <w:bCs/>
                <w:color w:val="333333"/>
                <w:sz w:val="18"/>
                <w:szCs w:val="18"/>
              </w:rPr>
              <w:t>Free cash flow</w:t>
            </w:r>
          </w:p>
        </w:tc>
        <w:tc>
          <w:tcPr>
            <w:tcW w:w="0" w:type="auto"/>
            <w:gridSpan w:val="3"/>
            <w:shd w:val="clear" w:color="auto" w:fill="auto"/>
            <w:tcMar>
              <w:left w:w="20" w:type="dxa"/>
              <w:right w:w="20" w:type="dxa"/>
            </w:tcMar>
            <w:vAlign w:val="bottom"/>
          </w:tcPr>
          <w:p w14:paraId="36CA5743" w14:textId="77777777" w:rsidR="00787570" w:rsidRDefault="00787570">
            <w:pPr>
              <w:rPr>
                <w:rFonts w:ascii="宋体"/>
              </w:rPr>
            </w:pPr>
          </w:p>
        </w:tc>
        <w:tc>
          <w:tcPr>
            <w:tcW w:w="0" w:type="auto"/>
            <w:tcBorders>
              <w:top w:val="single" w:sz="8" w:space="0" w:color="333333"/>
            </w:tcBorders>
            <w:shd w:val="clear" w:color="auto" w:fill="auto"/>
            <w:tcMar>
              <w:top w:w="40" w:type="dxa"/>
              <w:left w:w="20" w:type="dxa"/>
              <w:bottom w:w="40" w:type="dxa"/>
            </w:tcMar>
            <w:vAlign w:val="bottom"/>
          </w:tcPr>
          <w:p w14:paraId="36CA5744" w14:textId="77777777" w:rsidR="00787570" w:rsidRDefault="000D56E2">
            <w:pPr>
              <w:textAlignment w:val="bottom"/>
            </w:pPr>
            <w:r>
              <w:rPr>
                <w:rFonts w:ascii="Arial" w:eastAsia="宋体" w:hAnsi="Arial" w:cs="Arial"/>
                <w:b/>
                <w:bCs/>
                <w:color w:val="0071C5"/>
                <w:sz w:val="18"/>
                <w:szCs w:val="18"/>
              </w:rPr>
              <w:t>$</w:t>
            </w:r>
          </w:p>
        </w:tc>
        <w:tc>
          <w:tcPr>
            <w:tcW w:w="0" w:type="auto"/>
            <w:tcBorders>
              <w:top w:val="single" w:sz="8" w:space="0" w:color="333333"/>
            </w:tcBorders>
            <w:shd w:val="clear" w:color="auto" w:fill="auto"/>
            <w:tcMar>
              <w:top w:w="40" w:type="dxa"/>
              <w:bottom w:w="40" w:type="dxa"/>
              <w:right w:w="0" w:type="dxa"/>
            </w:tcMar>
            <w:vAlign w:val="bottom"/>
          </w:tcPr>
          <w:p w14:paraId="36CA5745" w14:textId="77777777" w:rsidR="00787570" w:rsidRDefault="000D56E2">
            <w:pPr>
              <w:jc w:val="right"/>
              <w:textAlignment w:val="bottom"/>
            </w:pPr>
            <w:r>
              <w:rPr>
                <w:rFonts w:ascii="Arial" w:eastAsia="宋体" w:hAnsi="Arial" w:cs="Arial"/>
                <w:b/>
                <w:bCs/>
                <w:color w:val="0071C5"/>
                <w:sz w:val="18"/>
                <w:szCs w:val="18"/>
              </w:rPr>
              <w:t>15,102</w:t>
            </w:r>
            <w:r>
              <w:rPr>
                <w:rFonts w:ascii="Arial" w:eastAsia="宋体" w:hAnsi="Arial" w:cs="Arial"/>
                <w:color w:val="0071C5"/>
                <w:sz w:val="18"/>
                <w:szCs w:val="18"/>
              </w:rPr>
              <w:t> </w:t>
            </w:r>
          </w:p>
        </w:tc>
        <w:tc>
          <w:tcPr>
            <w:tcW w:w="0" w:type="auto"/>
            <w:tcBorders>
              <w:top w:val="single" w:sz="8" w:space="0" w:color="333333"/>
            </w:tcBorders>
            <w:shd w:val="clear" w:color="auto" w:fill="auto"/>
            <w:tcMar>
              <w:top w:w="40" w:type="dxa"/>
              <w:bottom w:w="40" w:type="dxa"/>
              <w:right w:w="20" w:type="dxa"/>
            </w:tcMar>
            <w:vAlign w:val="bottom"/>
          </w:tcPr>
          <w:p w14:paraId="36CA5746"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5747" w14:textId="77777777" w:rsidR="00787570" w:rsidRDefault="00787570">
            <w:pPr>
              <w:rPr>
                <w:rFonts w:ascii="宋体"/>
              </w:rPr>
            </w:pPr>
          </w:p>
        </w:tc>
        <w:tc>
          <w:tcPr>
            <w:tcW w:w="0" w:type="auto"/>
            <w:tcBorders>
              <w:top w:val="single" w:sz="8" w:space="0" w:color="333333"/>
            </w:tcBorders>
            <w:shd w:val="clear" w:color="auto" w:fill="auto"/>
            <w:tcMar>
              <w:top w:w="40" w:type="dxa"/>
              <w:left w:w="20" w:type="dxa"/>
              <w:bottom w:w="40" w:type="dxa"/>
            </w:tcMar>
            <w:vAlign w:val="bottom"/>
          </w:tcPr>
          <w:p w14:paraId="36CA5748" w14:textId="77777777" w:rsidR="00787570" w:rsidRDefault="000D56E2">
            <w:pPr>
              <w:textAlignment w:val="bottom"/>
            </w:pPr>
            <w:r>
              <w:rPr>
                <w:rFonts w:ascii="Arial" w:eastAsia="宋体" w:hAnsi="Arial" w:cs="Arial"/>
                <w:b/>
                <w:bCs/>
                <w:color w:val="333333"/>
                <w:sz w:val="18"/>
                <w:szCs w:val="18"/>
              </w:rPr>
              <w:t>$</w:t>
            </w:r>
          </w:p>
        </w:tc>
        <w:tc>
          <w:tcPr>
            <w:tcW w:w="0" w:type="auto"/>
            <w:tcBorders>
              <w:top w:val="single" w:sz="8" w:space="0" w:color="333333"/>
            </w:tcBorders>
            <w:shd w:val="clear" w:color="auto" w:fill="auto"/>
            <w:tcMar>
              <w:top w:w="40" w:type="dxa"/>
              <w:bottom w:w="40" w:type="dxa"/>
              <w:right w:w="0" w:type="dxa"/>
            </w:tcMar>
            <w:vAlign w:val="bottom"/>
          </w:tcPr>
          <w:p w14:paraId="36CA5749" w14:textId="77777777" w:rsidR="00787570" w:rsidRDefault="000D56E2">
            <w:pPr>
              <w:jc w:val="right"/>
              <w:textAlignment w:val="bottom"/>
            </w:pPr>
            <w:r>
              <w:rPr>
                <w:rFonts w:ascii="Arial" w:eastAsia="宋体" w:hAnsi="Arial" w:cs="Arial"/>
                <w:b/>
                <w:bCs/>
                <w:color w:val="333333"/>
                <w:sz w:val="18"/>
                <w:szCs w:val="18"/>
              </w:rPr>
              <w:t>11,710</w:t>
            </w:r>
            <w:r>
              <w:rPr>
                <w:rFonts w:ascii="Arial" w:eastAsia="宋体" w:hAnsi="Arial" w:cs="Arial"/>
                <w:color w:val="333333"/>
                <w:sz w:val="18"/>
                <w:szCs w:val="18"/>
              </w:rPr>
              <w:t> </w:t>
            </w:r>
          </w:p>
        </w:tc>
        <w:tc>
          <w:tcPr>
            <w:tcW w:w="0" w:type="auto"/>
            <w:tcBorders>
              <w:top w:val="single" w:sz="8" w:space="0" w:color="333333"/>
            </w:tcBorders>
            <w:shd w:val="clear" w:color="auto" w:fill="auto"/>
            <w:tcMar>
              <w:top w:w="40" w:type="dxa"/>
              <w:bottom w:w="40" w:type="dxa"/>
              <w:right w:w="20" w:type="dxa"/>
            </w:tcMar>
            <w:vAlign w:val="bottom"/>
          </w:tcPr>
          <w:p w14:paraId="36CA574A" w14:textId="77777777" w:rsidR="00787570" w:rsidRDefault="00787570">
            <w:pPr>
              <w:jc w:val="right"/>
              <w:rPr>
                <w:rFonts w:ascii="宋体"/>
              </w:rPr>
            </w:pPr>
          </w:p>
        </w:tc>
        <w:tc>
          <w:tcPr>
            <w:tcW w:w="0" w:type="auto"/>
            <w:shd w:val="clear" w:color="auto" w:fill="auto"/>
          </w:tcPr>
          <w:p w14:paraId="36CA574B" w14:textId="77777777" w:rsidR="00787570" w:rsidRDefault="00787570">
            <w:pPr>
              <w:rPr>
                <w:rFonts w:ascii="宋体"/>
                <w:vanish/>
              </w:rPr>
            </w:pPr>
          </w:p>
        </w:tc>
        <w:tc>
          <w:tcPr>
            <w:tcW w:w="0" w:type="auto"/>
            <w:shd w:val="clear" w:color="auto" w:fill="auto"/>
          </w:tcPr>
          <w:p w14:paraId="36CA574C" w14:textId="77777777" w:rsidR="00787570" w:rsidRDefault="00787570">
            <w:pPr>
              <w:rPr>
                <w:rFonts w:ascii="宋体"/>
                <w:vanish/>
              </w:rPr>
            </w:pPr>
          </w:p>
        </w:tc>
        <w:tc>
          <w:tcPr>
            <w:tcW w:w="0" w:type="auto"/>
            <w:shd w:val="clear" w:color="auto" w:fill="auto"/>
          </w:tcPr>
          <w:p w14:paraId="36CA574D" w14:textId="77777777" w:rsidR="00787570" w:rsidRDefault="00787570">
            <w:pPr>
              <w:rPr>
                <w:rFonts w:ascii="宋体"/>
                <w:vanish/>
              </w:rPr>
            </w:pPr>
          </w:p>
        </w:tc>
        <w:tc>
          <w:tcPr>
            <w:tcW w:w="0" w:type="auto"/>
            <w:shd w:val="clear" w:color="auto" w:fill="auto"/>
          </w:tcPr>
          <w:p w14:paraId="36CA574E" w14:textId="77777777" w:rsidR="00787570" w:rsidRDefault="00787570">
            <w:pPr>
              <w:rPr>
                <w:rFonts w:ascii="宋体"/>
                <w:vanish/>
              </w:rPr>
            </w:pPr>
          </w:p>
        </w:tc>
        <w:tc>
          <w:tcPr>
            <w:tcW w:w="0" w:type="auto"/>
            <w:shd w:val="clear" w:color="auto" w:fill="auto"/>
          </w:tcPr>
          <w:p w14:paraId="36CA574F" w14:textId="77777777" w:rsidR="00787570" w:rsidRDefault="00787570">
            <w:pPr>
              <w:rPr>
                <w:rFonts w:ascii="宋体"/>
              </w:rPr>
            </w:pPr>
          </w:p>
        </w:tc>
        <w:tc>
          <w:tcPr>
            <w:tcW w:w="0" w:type="auto"/>
            <w:shd w:val="clear" w:color="auto" w:fill="auto"/>
          </w:tcPr>
          <w:p w14:paraId="36CA5750" w14:textId="77777777" w:rsidR="00787570" w:rsidRDefault="00787570">
            <w:pPr>
              <w:rPr>
                <w:rFonts w:ascii="宋体"/>
              </w:rPr>
            </w:pPr>
          </w:p>
        </w:tc>
        <w:tc>
          <w:tcPr>
            <w:tcW w:w="0" w:type="auto"/>
            <w:shd w:val="clear" w:color="auto" w:fill="auto"/>
          </w:tcPr>
          <w:p w14:paraId="36CA5751" w14:textId="77777777" w:rsidR="00787570" w:rsidRDefault="00787570">
            <w:pPr>
              <w:rPr>
                <w:rFonts w:ascii="宋体"/>
              </w:rPr>
            </w:pPr>
          </w:p>
        </w:tc>
        <w:tc>
          <w:tcPr>
            <w:tcW w:w="0" w:type="auto"/>
            <w:shd w:val="clear" w:color="auto" w:fill="auto"/>
          </w:tcPr>
          <w:p w14:paraId="36CA5752" w14:textId="77777777" w:rsidR="00787570" w:rsidRDefault="00787570">
            <w:pPr>
              <w:rPr>
                <w:rFonts w:ascii="宋体"/>
              </w:rPr>
            </w:pPr>
          </w:p>
        </w:tc>
        <w:tc>
          <w:tcPr>
            <w:tcW w:w="0" w:type="auto"/>
            <w:shd w:val="clear" w:color="auto" w:fill="auto"/>
          </w:tcPr>
          <w:p w14:paraId="36CA5753" w14:textId="77777777" w:rsidR="00787570" w:rsidRDefault="00787570">
            <w:pPr>
              <w:rPr>
                <w:rFonts w:ascii="宋体"/>
              </w:rPr>
            </w:pPr>
          </w:p>
        </w:tc>
        <w:tc>
          <w:tcPr>
            <w:tcW w:w="0" w:type="auto"/>
            <w:shd w:val="clear" w:color="auto" w:fill="auto"/>
          </w:tcPr>
          <w:p w14:paraId="36CA5754" w14:textId="77777777" w:rsidR="00787570" w:rsidRDefault="00787570">
            <w:pPr>
              <w:rPr>
                <w:rFonts w:ascii="宋体"/>
              </w:rPr>
            </w:pPr>
          </w:p>
        </w:tc>
      </w:tr>
      <w:tr w:rsidR="00787570" w14:paraId="36CA5765" w14:textId="77777777">
        <w:trPr>
          <w:trHeight w:val="60"/>
        </w:trPr>
        <w:tc>
          <w:tcPr>
            <w:tcW w:w="0" w:type="auto"/>
            <w:gridSpan w:val="3"/>
            <w:shd w:val="clear" w:color="auto" w:fill="auto"/>
            <w:tcMar>
              <w:left w:w="20" w:type="dxa"/>
              <w:right w:w="20" w:type="dxa"/>
            </w:tcMar>
            <w:vAlign w:val="bottom"/>
          </w:tcPr>
          <w:p w14:paraId="36CA5756"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5757" w14:textId="77777777" w:rsidR="00787570" w:rsidRDefault="00787570">
            <w:pPr>
              <w:rPr>
                <w:rFonts w:ascii="宋体"/>
              </w:rPr>
            </w:pPr>
          </w:p>
        </w:tc>
        <w:tc>
          <w:tcPr>
            <w:tcW w:w="0" w:type="auto"/>
            <w:gridSpan w:val="3"/>
            <w:tcBorders>
              <w:top w:val="double" w:sz="6" w:space="0" w:color="000000"/>
            </w:tcBorders>
            <w:shd w:val="clear" w:color="auto" w:fill="auto"/>
            <w:tcMar>
              <w:left w:w="20" w:type="dxa"/>
              <w:right w:w="20" w:type="dxa"/>
            </w:tcMar>
            <w:vAlign w:val="bottom"/>
          </w:tcPr>
          <w:p w14:paraId="36CA5758"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5759" w14:textId="77777777" w:rsidR="00787570" w:rsidRDefault="00787570">
            <w:pPr>
              <w:rPr>
                <w:rFonts w:ascii="宋体"/>
              </w:rPr>
            </w:pPr>
          </w:p>
        </w:tc>
        <w:tc>
          <w:tcPr>
            <w:tcW w:w="0" w:type="auto"/>
            <w:gridSpan w:val="3"/>
            <w:tcBorders>
              <w:top w:val="double" w:sz="6" w:space="0" w:color="000000"/>
            </w:tcBorders>
            <w:shd w:val="clear" w:color="auto" w:fill="auto"/>
            <w:tcMar>
              <w:left w:w="20" w:type="dxa"/>
              <w:right w:w="20" w:type="dxa"/>
            </w:tcMar>
            <w:vAlign w:val="bottom"/>
          </w:tcPr>
          <w:p w14:paraId="36CA575A" w14:textId="77777777" w:rsidR="00787570" w:rsidRDefault="00787570">
            <w:pPr>
              <w:rPr>
                <w:rFonts w:ascii="宋体"/>
              </w:rPr>
            </w:pPr>
          </w:p>
        </w:tc>
        <w:tc>
          <w:tcPr>
            <w:tcW w:w="0" w:type="auto"/>
            <w:shd w:val="clear" w:color="auto" w:fill="auto"/>
          </w:tcPr>
          <w:p w14:paraId="36CA575B" w14:textId="77777777" w:rsidR="00787570" w:rsidRDefault="00787570">
            <w:pPr>
              <w:rPr>
                <w:rFonts w:ascii="宋体"/>
                <w:vanish/>
              </w:rPr>
            </w:pPr>
          </w:p>
        </w:tc>
        <w:tc>
          <w:tcPr>
            <w:tcW w:w="0" w:type="auto"/>
            <w:shd w:val="clear" w:color="auto" w:fill="auto"/>
          </w:tcPr>
          <w:p w14:paraId="36CA575C" w14:textId="77777777" w:rsidR="00787570" w:rsidRDefault="00787570">
            <w:pPr>
              <w:rPr>
                <w:rFonts w:ascii="宋体"/>
                <w:vanish/>
              </w:rPr>
            </w:pPr>
          </w:p>
        </w:tc>
        <w:tc>
          <w:tcPr>
            <w:tcW w:w="0" w:type="auto"/>
            <w:shd w:val="clear" w:color="auto" w:fill="auto"/>
          </w:tcPr>
          <w:p w14:paraId="36CA575D" w14:textId="77777777" w:rsidR="00787570" w:rsidRDefault="00787570">
            <w:pPr>
              <w:rPr>
                <w:rFonts w:ascii="宋体"/>
                <w:vanish/>
              </w:rPr>
            </w:pPr>
          </w:p>
        </w:tc>
        <w:tc>
          <w:tcPr>
            <w:tcW w:w="0" w:type="auto"/>
            <w:shd w:val="clear" w:color="auto" w:fill="auto"/>
          </w:tcPr>
          <w:p w14:paraId="36CA575E" w14:textId="77777777" w:rsidR="00787570" w:rsidRDefault="00787570">
            <w:pPr>
              <w:rPr>
                <w:rFonts w:ascii="宋体"/>
                <w:vanish/>
              </w:rPr>
            </w:pPr>
          </w:p>
        </w:tc>
        <w:tc>
          <w:tcPr>
            <w:tcW w:w="0" w:type="auto"/>
            <w:shd w:val="clear" w:color="auto" w:fill="auto"/>
          </w:tcPr>
          <w:p w14:paraId="36CA575F" w14:textId="77777777" w:rsidR="00787570" w:rsidRDefault="00787570">
            <w:pPr>
              <w:rPr>
                <w:rFonts w:ascii="宋体"/>
              </w:rPr>
            </w:pPr>
          </w:p>
        </w:tc>
        <w:tc>
          <w:tcPr>
            <w:tcW w:w="0" w:type="auto"/>
            <w:shd w:val="clear" w:color="auto" w:fill="auto"/>
          </w:tcPr>
          <w:p w14:paraId="36CA5760" w14:textId="77777777" w:rsidR="00787570" w:rsidRDefault="00787570">
            <w:pPr>
              <w:rPr>
                <w:rFonts w:ascii="宋体"/>
              </w:rPr>
            </w:pPr>
          </w:p>
        </w:tc>
        <w:tc>
          <w:tcPr>
            <w:tcW w:w="0" w:type="auto"/>
            <w:shd w:val="clear" w:color="auto" w:fill="auto"/>
          </w:tcPr>
          <w:p w14:paraId="36CA5761" w14:textId="77777777" w:rsidR="00787570" w:rsidRDefault="00787570">
            <w:pPr>
              <w:rPr>
                <w:rFonts w:ascii="宋体"/>
              </w:rPr>
            </w:pPr>
          </w:p>
        </w:tc>
        <w:tc>
          <w:tcPr>
            <w:tcW w:w="0" w:type="auto"/>
            <w:shd w:val="clear" w:color="auto" w:fill="auto"/>
          </w:tcPr>
          <w:p w14:paraId="36CA5762" w14:textId="77777777" w:rsidR="00787570" w:rsidRDefault="00787570">
            <w:pPr>
              <w:rPr>
                <w:rFonts w:ascii="宋体"/>
              </w:rPr>
            </w:pPr>
          </w:p>
        </w:tc>
        <w:tc>
          <w:tcPr>
            <w:tcW w:w="0" w:type="auto"/>
            <w:shd w:val="clear" w:color="auto" w:fill="auto"/>
          </w:tcPr>
          <w:p w14:paraId="36CA5763" w14:textId="77777777" w:rsidR="00787570" w:rsidRDefault="00787570">
            <w:pPr>
              <w:rPr>
                <w:rFonts w:ascii="宋体"/>
              </w:rPr>
            </w:pPr>
          </w:p>
        </w:tc>
        <w:tc>
          <w:tcPr>
            <w:tcW w:w="0" w:type="auto"/>
            <w:shd w:val="clear" w:color="auto" w:fill="auto"/>
          </w:tcPr>
          <w:p w14:paraId="36CA5764" w14:textId="77777777" w:rsidR="00787570" w:rsidRDefault="00787570">
            <w:pPr>
              <w:rPr>
                <w:rFonts w:ascii="宋体"/>
              </w:rPr>
            </w:pPr>
          </w:p>
        </w:tc>
      </w:tr>
      <w:tr w:rsidR="00787570" w14:paraId="36CA5779" w14:textId="77777777">
        <w:tc>
          <w:tcPr>
            <w:tcW w:w="0" w:type="auto"/>
            <w:gridSpan w:val="3"/>
            <w:shd w:val="clear" w:color="auto" w:fill="auto"/>
            <w:tcMar>
              <w:top w:w="40" w:type="dxa"/>
              <w:left w:w="20" w:type="dxa"/>
              <w:bottom w:w="40" w:type="dxa"/>
              <w:right w:w="20" w:type="dxa"/>
            </w:tcMar>
            <w:vAlign w:val="bottom"/>
          </w:tcPr>
          <w:p w14:paraId="36CA5766" w14:textId="77777777" w:rsidR="00787570" w:rsidRDefault="000D56E2">
            <w:pPr>
              <w:textAlignment w:val="bottom"/>
            </w:pPr>
            <w:r>
              <w:rPr>
                <w:rFonts w:ascii="Arial" w:eastAsia="宋体" w:hAnsi="Arial" w:cs="Arial"/>
                <w:b/>
                <w:bCs/>
                <w:color w:val="333333"/>
                <w:sz w:val="18"/>
                <w:szCs w:val="18"/>
              </w:rPr>
              <w:t>Net cash used for investing activities</w:t>
            </w:r>
          </w:p>
        </w:tc>
        <w:tc>
          <w:tcPr>
            <w:tcW w:w="0" w:type="auto"/>
            <w:gridSpan w:val="3"/>
            <w:shd w:val="clear" w:color="auto" w:fill="auto"/>
            <w:tcMar>
              <w:left w:w="20" w:type="dxa"/>
              <w:right w:w="20" w:type="dxa"/>
            </w:tcMar>
            <w:vAlign w:val="bottom"/>
          </w:tcPr>
          <w:p w14:paraId="36CA5767" w14:textId="77777777" w:rsidR="00787570" w:rsidRDefault="00787570">
            <w:pPr>
              <w:rPr>
                <w:rFonts w:ascii="宋体"/>
              </w:rPr>
            </w:pPr>
          </w:p>
        </w:tc>
        <w:tc>
          <w:tcPr>
            <w:tcW w:w="0" w:type="auto"/>
            <w:shd w:val="clear" w:color="auto" w:fill="auto"/>
            <w:tcMar>
              <w:top w:w="40" w:type="dxa"/>
              <w:left w:w="20" w:type="dxa"/>
              <w:bottom w:w="40" w:type="dxa"/>
            </w:tcMar>
            <w:vAlign w:val="bottom"/>
          </w:tcPr>
          <w:p w14:paraId="36CA5768" w14:textId="77777777" w:rsidR="00787570" w:rsidRDefault="000D56E2">
            <w:pPr>
              <w:textAlignment w:val="bottom"/>
            </w:pPr>
            <w:r>
              <w:rPr>
                <w:rFonts w:ascii="Arial" w:eastAsia="宋体" w:hAnsi="Arial" w:cs="Arial"/>
                <w:b/>
                <w:bCs/>
                <w:color w:val="0071C5"/>
                <w:sz w:val="18"/>
                <w:szCs w:val="18"/>
              </w:rPr>
              <w:t>$</w:t>
            </w:r>
          </w:p>
        </w:tc>
        <w:tc>
          <w:tcPr>
            <w:tcW w:w="0" w:type="auto"/>
            <w:shd w:val="clear" w:color="auto" w:fill="auto"/>
            <w:tcMar>
              <w:top w:w="40" w:type="dxa"/>
              <w:bottom w:w="40" w:type="dxa"/>
              <w:right w:w="0" w:type="dxa"/>
            </w:tcMar>
            <w:vAlign w:val="bottom"/>
          </w:tcPr>
          <w:p w14:paraId="36CA5769" w14:textId="77777777" w:rsidR="00787570" w:rsidRDefault="000D56E2">
            <w:pPr>
              <w:jc w:val="right"/>
              <w:textAlignment w:val="bottom"/>
            </w:pPr>
            <w:r>
              <w:rPr>
                <w:rFonts w:ascii="Arial" w:eastAsia="宋体" w:hAnsi="Arial" w:cs="Arial"/>
                <w:b/>
                <w:bCs/>
                <w:color w:val="0071C5"/>
                <w:sz w:val="18"/>
                <w:szCs w:val="18"/>
              </w:rPr>
              <w:t>(15,112)</w:t>
            </w:r>
          </w:p>
        </w:tc>
        <w:tc>
          <w:tcPr>
            <w:tcW w:w="0" w:type="auto"/>
            <w:shd w:val="clear" w:color="auto" w:fill="auto"/>
            <w:tcMar>
              <w:top w:w="40" w:type="dxa"/>
              <w:bottom w:w="40" w:type="dxa"/>
              <w:right w:w="20" w:type="dxa"/>
            </w:tcMar>
            <w:vAlign w:val="bottom"/>
          </w:tcPr>
          <w:p w14:paraId="36CA576A"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576B" w14:textId="77777777" w:rsidR="00787570" w:rsidRDefault="00787570">
            <w:pPr>
              <w:rPr>
                <w:rFonts w:ascii="宋体"/>
              </w:rPr>
            </w:pPr>
          </w:p>
        </w:tc>
        <w:tc>
          <w:tcPr>
            <w:tcW w:w="0" w:type="auto"/>
            <w:shd w:val="clear" w:color="auto" w:fill="auto"/>
            <w:tcMar>
              <w:top w:w="40" w:type="dxa"/>
              <w:left w:w="20" w:type="dxa"/>
              <w:bottom w:w="40" w:type="dxa"/>
            </w:tcMar>
            <w:vAlign w:val="bottom"/>
          </w:tcPr>
          <w:p w14:paraId="36CA576C" w14:textId="77777777" w:rsidR="00787570" w:rsidRDefault="000D56E2">
            <w:pPr>
              <w:textAlignment w:val="bottom"/>
            </w:pPr>
            <w:r>
              <w:rPr>
                <w:rFonts w:ascii="Arial" w:eastAsia="宋体" w:hAnsi="Arial" w:cs="Arial"/>
                <w:b/>
                <w:bCs/>
                <w:color w:val="333333"/>
                <w:sz w:val="18"/>
                <w:szCs w:val="18"/>
              </w:rPr>
              <w:t>$</w:t>
            </w:r>
          </w:p>
        </w:tc>
        <w:tc>
          <w:tcPr>
            <w:tcW w:w="0" w:type="auto"/>
            <w:shd w:val="clear" w:color="auto" w:fill="auto"/>
            <w:tcMar>
              <w:top w:w="40" w:type="dxa"/>
              <w:bottom w:w="40" w:type="dxa"/>
              <w:right w:w="0" w:type="dxa"/>
            </w:tcMar>
            <w:vAlign w:val="bottom"/>
          </w:tcPr>
          <w:p w14:paraId="36CA576D" w14:textId="77777777" w:rsidR="00787570" w:rsidRDefault="000D56E2">
            <w:pPr>
              <w:jc w:val="right"/>
              <w:textAlignment w:val="bottom"/>
            </w:pPr>
            <w:r>
              <w:rPr>
                <w:rFonts w:ascii="Arial" w:eastAsia="宋体" w:hAnsi="Arial" w:cs="Arial"/>
                <w:b/>
                <w:bCs/>
                <w:color w:val="333333"/>
                <w:sz w:val="18"/>
                <w:szCs w:val="18"/>
              </w:rPr>
              <w:t>(9,920)</w:t>
            </w:r>
          </w:p>
        </w:tc>
        <w:tc>
          <w:tcPr>
            <w:tcW w:w="0" w:type="auto"/>
            <w:shd w:val="clear" w:color="auto" w:fill="auto"/>
            <w:tcMar>
              <w:top w:w="40" w:type="dxa"/>
              <w:bottom w:w="40" w:type="dxa"/>
              <w:right w:w="20" w:type="dxa"/>
            </w:tcMar>
            <w:vAlign w:val="bottom"/>
          </w:tcPr>
          <w:p w14:paraId="36CA576E" w14:textId="77777777" w:rsidR="00787570" w:rsidRDefault="00787570">
            <w:pPr>
              <w:jc w:val="right"/>
              <w:rPr>
                <w:rFonts w:ascii="宋体"/>
              </w:rPr>
            </w:pPr>
          </w:p>
        </w:tc>
        <w:tc>
          <w:tcPr>
            <w:tcW w:w="0" w:type="auto"/>
            <w:shd w:val="clear" w:color="auto" w:fill="auto"/>
          </w:tcPr>
          <w:p w14:paraId="36CA576F" w14:textId="77777777" w:rsidR="00787570" w:rsidRDefault="00787570">
            <w:pPr>
              <w:rPr>
                <w:rFonts w:ascii="宋体"/>
                <w:vanish/>
              </w:rPr>
            </w:pPr>
          </w:p>
        </w:tc>
        <w:tc>
          <w:tcPr>
            <w:tcW w:w="0" w:type="auto"/>
            <w:shd w:val="clear" w:color="auto" w:fill="auto"/>
          </w:tcPr>
          <w:p w14:paraId="36CA5770" w14:textId="77777777" w:rsidR="00787570" w:rsidRDefault="00787570">
            <w:pPr>
              <w:rPr>
                <w:rFonts w:ascii="宋体"/>
                <w:vanish/>
              </w:rPr>
            </w:pPr>
          </w:p>
        </w:tc>
        <w:tc>
          <w:tcPr>
            <w:tcW w:w="0" w:type="auto"/>
            <w:shd w:val="clear" w:color="auto" w:fill="auto"/>
          </w:tcPr>
          <w:p w14:paraId="36CA5771" w14:textId="77777777" w:rsidR="00787570" w:rsidRDefault="00787570">
            <w:pPr>
              <w:rPr>
                <w:rFonts w:ascii="宋体"/>
                <w:vanish/>
              </w:rPr>
            </w:pPr>
          </w:p>
        </w:tc>
        <w:tc>
          <w:tcPr>
            <w:tcW w:w="0" w:type="auto"/>
            <w:shd w:val="clear" w:color="auto" w:fill="auto"/>
          </w:tcPr>
          <w:p w14:paraId="36CA5772" w14:textId="77777777" w:rsidR="00787570" w:rsidRDefault="00787570">
            <w:pPr>
              <w:rPr>
                <w:rFonts w:ascii="宋体"/>
                <w:vanish/>
              </w:rPr>
            </w:pPr>
          </w:p>
        </w:tc>
        <w:tc>
          <w:tcPr>
            <w:tcW w:w="0" w:type="auto"/>
            <w:shd w:val="clear" w:color="auto" w:fill="auto"/>
          </w:tcPr>
          <w:p w14:paraId="36CA5773" w14:textId="77777777" w:rsidR="00787570" w:rsidRDefault="00787570">
            <w:pPr>
              <w:rPr>
                <w:rFonts w:ascii="宋体"/>
              </w:rPr>
            </w:pPr>
          </w:p>
        </w:tc>
        <w:tc>
          <w:tcPr>
            <w:tcW w:w="0" w:type="auto"/>
            <w:shd w:val="clear" w:color="auto" w:fill="auto"/>
          </w:tcPr>
          <w:p w14:paraId="36CA5774" w14:textId="77777777" w:rsidR="00787570" w:rsidRDefault="00787570">
            <w:pPr>
              <w:rPr>
                <w:rFonts w:ascii="宋体"/>
              </w:rPr>
            </w:pPr>
          </w:p>
        </w:tc>
        <w:tc>
          <w:tcPr>
            <w:tcW w:w="0" w:type="auto"/>
            <w:shd w:val="clear" w:color="auto" w:fill="auto"/>
          </w:tcPr>
          <w:p w14:paraId="36CA5775" w14:textId="77777777" w:rsidR="00787570" w:rsidRDefault="00787570">
            <w:pPr>
              <w:rPr>
                <w:rFonts w:ascii="宋体"/>
              </w:rPr>
            </w:pPr>
          </w:p>
        </w:tc>
        <w:tc>
          <w:tcPr>
            <w:tcW w:w="0" w:type="auto"/>
            <w:shd w:val="clear" w:color="auto" w:fill="auto"/>
          </w:tcPr>
          <w:p w14:paraId="36CA5776" w14:textId="77777777" w:rsidR="00787570" w:rsidRDefault="00787570">
            <w:pPr>
              <w:rPr>
                <w:rFonts w:ascii="宋体"/>
              </w:rPr>
            </w:pPr>
          </w:p>
        </w:tc>
        <w:tc>
          <w:tcPr>
            <w:tcW w:w="0" w:type="auto"/>
            <w:shd w:val="clear" w:color="auto" w:fill="auto"/>
          </w:tcPr>
          <w:p w14:paraId="36CA5777" w14:textId="77777777" w:rsidR="00787570" w:rsidRDefault="00787570">
            <w:pPr>
              <w:rPr>
                <w:rFonts w:ascii="宋体"/>
              </w:rPr>
            </w:pPr>
          </w:p>
        </w:tc>
        <w:tc>
          <w:tcPr>
            <w:tcW w:w="0" w:type="auto"/>
            <w:shd w:val="clear" w:color="auto" w:fill="auto"/>
          </w:tcPr>
          <w:p w14:paraId="36CA5778" w14:textId="77777777" w:rsidR="00787570" w:rsidRDefault="00787570">
            <w:pPr>
              <w:rPr>
                <w:rFonts w:ascii="宋体"/>
              </w:rPr>
            </w:pPr>
          </w:p>
        </w:tc>
      </w:tr>
      <w:tr w:rsidR="00787570" w14:paraId="36CA578D" w14:textId="77777777">
        <w:tc>
          <w:tcPr>
            <w:tcW w:w="0" w:type="auto"/>
            <w:gridSpan w:val="3"/>
            <w:shd w:val="clear" w:color="auto" w:fill="auto"/>
            <w:tcMar>
              <w:top w:w="40" w:type="dxa"/>
              <w:left w:w="20" w:type="dxa"/>
              <w:bottom w:w="40" w:type="dxa"/>
              <w:right w:w="20" w:type="dxa"/>
            </w:tcMar>
            <w:vAlign w:val="bottom"/>
          </w:tcPr>
          <w:p w14:paraId="36CA577A" w14:textId="77777777" w:rsidR="00787570" w:rsidRDefault="000D56E2">
            <w:pPr>
              <w:textAlignment w:val="bottom"/>
            </w:pPr>
            <w:r>
              <w:rPr>
                <w:rFonts w:ascii="Arial" w:eastAsia="宋体" w:hAnsi="Arial" w:cs="Arial"/>
                <w:b/>
                <w:bCs/>
                <w:color w:val="333333"/>
                <w:sz w:val="18"/>
                <w:szCs w:val="18"/>
              </w:rPr>
              <w:t>Net cash provided by (used for) financing activities</w:t>
            </w:r>
          </w:p>
        </w:tc>
        <w:tc>
          <w:tcPr>
            <w:tcW w:w="0" w:type="auto"/>
            <w:gridSpan w:val="3"/>
            <w:shd w:val="clear" w:color="auto" w:fill="auto"/>
            <w:tcMar>
              <w:left w:w="20" w:type="dxa"/>
              <w:right w:w="20" w:type="dxa"/>
            </w:tcMar>
            <w:vAlign w:val="bottom"/>
          </w:tcPr>
          <w:p w14:paraId="36CA577B" w14:textId="77777777" w:rsidR="00787570" w:rsidRDefault="00787570">
            <w:pPr>
              <w:rPr>
                <w:rFonts w:ascii="宋体"/>
              </w:rPr>
            </w:pPr>
          </w:p>
        </w:tc>
        <w:tc>
          <w:tcPr>
            <w:tcW w:w="0" w:type="auto"/>
            <w:shd w:val="clear" w:color="auto" w:fill="auto"/>
            <w:tcMar>
              <w:top w:w="40" w:type="dxa"/>
              <w:left w:w="20" w:type="dxa"/>
              <w:bottom w:w="40" w:type="dxa"/>
            </w:tcMar>
            <w:vAlign w:val="bottom"/>
          </w:tcPr>
          <w:p w14:paraId="36CA577C" w14:textId="77777777" w:rsidR="00787570" w:rsidRDefault="000D56E2">
            <w:pPr>
              <w:textAlignment w:val="bottom"/>
            </w:pPr>
            <w:r>
              <w:rPr>
                <w:rFonts w:ascii="Arial" w:eastAsia="宋体" w:hAnsi="Arial" w:cs="Arial"/>
                <w:b/>
                <w:bCs/>
                <w:color w:val="0071C5"/>
                <w:sz w:val="18"/>
                <w:szCs w:val="18"/>
              </w:rPr>
              <w:t>$</w:t>
            </w:r>
          </w:p>
        </w:tc>
        <w:tc>
          <w:tcPr>
            <w:tcW w:w="0" w:type="auto"/>
            <w:shd w:val="clear" w:color="auto" w:fill="auto"/>
            <w:tcMar>
              <w:top w:w="40" w:type="dxa"/>
              <w:bottom w:w="40" w:type="dxa"/>
              <w:right w:w="0" w:type="dxa"/>
            </w:tcMar>
            <w:vAlign w:val="bottom"/>
          </w:tcPr>
          <w:p w14:paraId="36CA577D" w14:textId="77777777" w:rsidR="00787570" w:rsidRDefault="000D56E2">
            <w:pPr>
              <w:jc w:val="right"/>
              <w:textAlignment w:val="bottom"/>
            </w:pPr>
            <w:r>
              <w:rPr>
                <w:rFonts w:ascii="Arial" w:eastAsia="宋体" w:hAnsi="Arial" w:cs="Arial"/>
                <w:b/>
                <w:bCs/>
                <w:color w:val="0071C5"/>
                <w:sz w:val="18"/>
                <w:szCs w:val="18"/>
              </w:rPr>
              <w:t>(11,220)</w:t>
            </w:r>
          </w:p>
        </w:tc>
        <w:tc>
          <w:tcPr>
            <w:tcW w:w="0" w:type="auto"/>
            <w:shd w:val="clear" w:color="auto" w:fill="auto"/>
            <w:tcMar>
              <w:top w:w="40" w:type="dxa"/>
              <w:bottom w:w="40" w:type="dxa"/>
              <w:right w:w="20" w:type="dxa"/>
            </w:tcMar>
            <w:vAlign w:val="bottom"/>
          </w:tcPr>
          <w:p w14:paraId="36CA577E"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577F" w14:textId="77777777" w:rsidR="00787570" w:rsidRDefault="00787570">
            <w:pPr>
              <w:rPr>
                <w:rFonts w:ascii="宋体"/>
              </w:rPr>
            </w:pPr>
          </w:p>
        </w:tc>
        <w:tc>
          <w:tcPr>
            <w:tcW w:w="0" w:type="auto"/>
            <w:shd w:val="clear" w:color="auto" w:fill="auto"/>
            <w:tcMar>
              <w:top w:w="40" w:type="dxa"/>
              <w:left w:w="20" w:type="dxa"/>
              <w:bottom w:w="40" w:type="dxa"/>
            </w:tcMar>
            <w:vAlign w:val="bottom"/>
          </w:tcPr>
          <w:p w14:paraId="36CA5780" w14:textId="77777777" w:rsidR="00787570" w:rsidRDefault="000D56E2">
            <w:pPr>
              <w:textAlignment w:val="bottom"/>
            </w:pPr>
            <w:r>
              <w:rPr>
                <w:rFonts w:ascii="Arial" w:eastAsia="宋体" w:hAnsi="Arial" w:cs="Arial"/>
                <w:b/>
                <w:bCs/>
                <w:color w:val="333333"/>
                <w:sz w:val="18"/>
                <w:szCs w:val="18"/>
              </w:rPr>
              <w:t>$</w:t>
            </w:r>
          </w:p>
        </w:tc>
        <w:tc>
          <w:tcPr>
            <w:tcW w:w="0" w:type="auto"/>
            <w:shd w:val="clear" w:color="auto" w:fill="auto"/>
            <w:tcMar>
              <w:top w:w="40" w:type="dxa"/>
              <w:bottom w:w="40" w:type="dxa"/>
              <w:right w:w="0" w:type="dxa"/>
            </w:tcMar>
            <w:vAlign w:val="bottom"/>
          </w:tcPr>
          <w:p w14:paraId="36CA5781" w14:textId="77777777" w:rsidR="00787570" w:rsidRDefault="000D56E2">
            <w:pPr>
              <w:jc w:val="right"/>
              <w:textAlignment w:val="bottom"/>
            </w:pPr>
            <w:r>
              <w:rPr>
                <w:rFonts w:ascii="Arial" w:eastAsia="宋体" w:hAnsi="Arial" w:cs="Arial"/>
                <w:b/>
                <w:bCs/>
                <w:color w:val="333333"/>
                <w:sz w:val="18"/>
                <w:szCs w:val="18"/>
              </w:rPr>
              <w:t>(12,421)</w:t>
            </w:r>
          </w:p>
        </w:tc>
        <w:tc>
          <w:tcPr>
            <w:tcW w:w="0" w:type="auto"/>
            <w:shd w:val="clear" w:color="auto" w:fill="auto"/>
            <w:tcMar>
              <w:top w:w="40" w:type="dxa"/>
              <w:bottom w:w="40" w:type="dxa"/>
              <w:right w:w="20" w:type="dxa"/>
            </w:tcMar>
            <w:vAlign w:val="bottom"/>
          </w:tcPr>
          <w:p w14:paraId="36CA5782" w14:textId="77777777" w:rsidR="00787570" w:rsidRDefault="00787570">
            <w:pPr>
              <w:jc w:val="right"/>
              <w:rPr>
                <w:rFonts w:ascii="宋体"/>
              </w:rPr>
            </w:pPr>
          </w:p>
        </w:tc>
        <w:tc>
          <w:tcPr>
            <w:tcW w:w="0" w:type="auto"/>
            <w:shd w:val="clear" w:color="auto" w:fill="auto"/>
          </w:tcPr>
          <w:p w14:paraId="36CA5783" w14:textId="77777777" w:rsidR="00787570" w:rsidRDefault="00787570">
            <w:pPr>
              <w:rPr>
                <w:rFonts w:ascii="宋体"/>
                <w:vanish/>
              </w:rPr>
            </w:pPr>
          </w:p>
        </w:tc>
        <w:tc>
          <w:tcPr>
            <w:tcW w:w="0" w:type="auto"/>
            <w:shd w:val="clear" w:color="auto" w:fill="auto"/>
          </w:tcPr>
          <w:p w14:paraId="36CA5784" w14:textId="77777777" w:rsidR="00787570" w:rsidRDefault="00787570">
            <w:pPr>
              <w:rPr>
                <w:rFonts w:ascii="宋体"/>
                <w:vanish/>
              </w:rPr>
            </w:pPr>
          </w:p>
        </w:tc>
        <w:tc>
          <w:tcPr>
            <w:tcW w:w="0" w:type="auto"/>
            <w:shd w:val="clear" w:color="auto" w:fill="auto"/>
          </w:tcPr>
          <w:p w14:paraId="36CA5785" w14:textId="77777777" w:rsidR="00787570" w:rsidRDefault="00787570">
            <w:pPr>
              <w:rPr>
                <w:rFonts w:ascii="宋体"/>
                <w:vanish/>
              </w:rPr>
            </w:pPr>
          </w:p>
        </w:tc>
        <w:tc>
          <w:tcPr>
            <w:tcW w:w="0" w:type="auto"/>
            <w:shd w:val="clear" w:color="auto" w:fill="auto"/>
          </w:tcPr>
          <w:p w14:paraId="36CA5786" w14:textId="77777777" w:rsidR="00787570" w:rsidRDefault="00787570">
            <w:pPr>
              <w:rPr>
                <w:rFonts w:ascii="宋体"/>
                <w:vanish/>
              </w:rPr>
            </w:pPr>
          </w:p>
        </w:tc>
        <w:tc>
          <w:tcPr>
            <w:tcW w:w="0" w:type="auto"/>
            <w:shd w:val="clear" w:color="auto" w:fill="auto"/>
          </w:tcPr>
          <w:p w14:paraId="36CA5787" w14:textId="77777777" w:rsidR="00787570" w:rsidRDefault="00787570">
            <w:pPr>
              <w:rPr>
                <w:rFonts w:ascii="宋体"/>
              </w:rPr>
            </w:pPr>
          </w:p>
        </w:tc>
        <w:tc>
          <w:tcPr>
            <w:tcW w:w="0" w:type="auto"/>
            <w:shd w:val="clear" w:color="auto" w:fill="auto"/>
          </w:tcPr>
          <w:p w14:paraId="36CA5788" w14:textId="77777777" w:rsidR="00787570" w:rsidRDefault="00787570">
            <w:pPr>
              <w:rPr>
                <w:rFonts w:ascii="宋体"/>
              </w:rPr>
            </w:pPr>
          </w:p>
        </w:tc>
        <w:tc>
          <w:tcPr>
            <w:tcW w:w="0" w:type="auto"/>
            <w:shd w:val="clear" w:color="auto" w:fill="auto"/>
          </w:tcPr>
          <w:p w14:paraId="36CA5789" w14:textId="77777777" w:rsidR="00787570" w:rsidRDefault="00787570">
            <w:pPr>
              <w:rPr>
                <w:rFonts w:ascii="宋体"/>
              </w:rPr>
            </w:pPr>
          </w:p>
        </w:tc>
        <w:tc>
          <w:tcPr>
            <w:tcW w:w="0" w:type="auto"/>
            <w:shd w:val="clear" w:color="auto" w:fill="auto"/>
          </w:tcPr>
          <w:p w14:paraId="36CA578A" w14:textId="77777777" w:rsidR="00787570" w:rsidRDefault="00787570">
            <w:pPr>
              <w:rPr>
                <w:rFonts w:ascii="宋体"/>
              </w:rPr>
            </w:pPr>
          </w:p>
        </w:tc>
        <w:tc>
          <w:tcPr>
            <w:tcW w:w="0" w:type="auto"/>
            <w:shd w:val="clear" w:color="auto" w:fill="auto"/>
          </w:tcPr>
          <w:p w14:paraId="36CA578B" w14:textId="77777777" w:rsidR="00787570" w:rsidRDefault="00787570">
            <w:pPr>
              <w:rPr>
                <w:rFonts w:ascii="宋体"/>
              </w:rPr>
            </w:pPr>
          </w:p>
        </w:tc>
        <w:tc>
          <w:tcPr>
            <w:tcW w:w="0" w:type="auto"/>
            <w:shd w:val="clear" w:color="auto" w:fill="auto"/>
          </w:tcPr>
          <w:p w14:paraId="36CA578C" w14:textId="77777777" w:rsidR="00787570" w:rsidRDefault="00787570">
            <w:pPr>
              <w:rPr>
                <w:rFonts w:ascii="宋体"/>
              </w:rPr>
            </w:pPr>
          </w:p>
        </w:tc>
      </w:tr>
    </w:tbl>
    <w:p w14:paraId="36CA578E" w14:textId="77777777" w:rsidR="00787570" w:rsidRDefault="00787570">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95"/>
        <w:gridCol w:w="416"/>
        <w:gridCol w:w="36"/>
        <w:gridCol w:w="47"/>
        <w:gridCol w:w="4254"/>
        <w:gridCol w:w="36"/>
        <w:gridCol w:w="47"/>
        <w:gridCol w:w="3369"/>
        <w:gridCol w:w="36"/>
      </w:tblGrid>
      <w:tr w:rsidR="00787570" w14:paraId="36CA5798" w14:textId="77777777">
        <w:tc>
          <w:tcPr>
            <w:tcW w:w="50" w:type="pct"/>
            <w:shd w:val="clear" w:color="auto" w:fill="auto"/>
            <w:vAlign w:val="bottom"/>
          </w:tcPr>
          <w:p w14:paraId="36CA578F" w14:textId="77777777" w:rsidR="00787570" w:rsidRDefault="00787570">
            <w:pPr>
              <w:rPr>
                <w:rFonts w:ascii="宋体"/>
              </w:rPr>
            </w:pPr>
          </w:p>
        </w:tc>
        <w:tc>
          <w:tcPr>
            <w:tcW w:w="220" w:type="pct"/>
            <w:shd w:val="clear" w:color="auto" w:fill="auto"/>
            <w:vAlign w:val="bottom"/>
          </w:tcPr>
          <w:p w14:paraId="36CA5790" w14:textId="77777777" w:rsidR="00787570" w:rsidRDefault="00787570">
            <w:pPr>
              <w:rPr>
                <w:rFonts w:ascii="宋体"/>
              </w:rPr>
            </w:pPr>
          </w:p>
        </w:tc>
        <w:tc>
          <w:tcPr>
            <w:tcW w:w="5" w:type="pct"/>
            <w:shd w:val="clear" w:color="auto" w:fill="auto"/>
            <w:vAlign w:val="bottom"/>
          </w:tcPr>
          <w:p w14:paraId="36CA5791" w14:textId="77777777" w:rsidR="00787570" w:rsidRDefault="00787570">
            <w:pPr>
              <w:rPr>
                <w:rFonts w:ascii="宋体"/>
              </w:rPr>
            </w:pPr>
          </w:p>
        </w:tc>
        <w:tc>
          <w:tcPr>
            <w:tcW w:w="50" w:type="pct"/>
            <w:shd w:val="clear" w:color="auto" w:fill="auto"/>
            <w:vAlign w:val="bottom"/>
          </w:tcPr>
          <w:p w14:paraId="36CA5792" w14:textId="77777777" w:rsidR="00787570" w:rsidRDefault="00787570">
            <w:pPr>
              <w:rPr>
                <w:rFonts w:ascii="宋体"/>
              </w:rPr>
            </w:pPr>
          </w:p>
        </w:tc>
        <w:tc>
          <w:tcPr>
            <w:tcW w:w="2572" w:type="pct"/>
            <w:shd w:val="clear" w:color="auto" w:fill="auto"/>
            <w:vAlign w:val="bottom"/>
          </w:tcPr>
          <w:p w14:paraId="36CA5793" w14:textId="77777777" w:rsidR="00787570" w:rsidRDefault="00787570">
            <w:pPr>
              <w:rPr>
                <w:rFonts w:ascii="宋体"/>
              </w:rPr>
            </w:pPr>
          </w:p>
        </w:tc>
        <w:tc>
          <w:tcPr>
            <w:tcW w:w="5" w:type="pct"/>
            <w:shd w:val="clear" w:color="auto" w:fill="auto"/>
            <w:vAlign w:val="bottom"/>
          </w:tcPr>
          <w:p w14:paraId="36CA5794" w14:textId="77777777" w:rsidR="00787570" w:rsidRDefault="00787570">
            <w:pPr>
              <w:rPr>
                <w:rFonts w:ascii="宋体"/>
              </w:rPr>
            </w:pPr>
          </w:p>
        </w:tc>
        <w:tc>
          <w:tcPr>
            <w:tcW w:w="50" w:type="pct"/>
            <w:shd w:val="clear" w:color="auto" w:fill="auto"/>
            <w:vAlign w:val="bottom"/>
          </w:tcPr>
          <w:p w14:paraId="36CA5795" w14:textId="77777777" w:rsidR="00787570" w:rsidRDefault="00787570">
            <w:pPr>
              <w:rPr>
                <w:rFonts w:ascii="宋体"/>
              </w:rPr>
            </w:pPr>
          </w:p>
        </w:tc>
        <w:tc>
          <w:tcPr>
            <w:tcW w:w="2042" w:type="pct"/>
            <w:shd w:val="clear" w:color="auto" w:fill="auto"/>
            <w:vAlign w:val="bottom"/>
          </w:tcPr>
          <w:p w14:paraId="36CA5796" w14:textId="77777777" w:rsidR="00787570" w:rsidRDefault="00787570">
            <w:pPr>
              <w:rPr>
                <w:rFonts w:ascii="宋体"/>
              </w:rPr>
            </w:pPr>
          </w:p>
        </w:tc>
        <w:tc>
          <w:tcPr>
            <w:tcW w:w="5" w:type="pct"/>
            <w:shd w:val="clear" w:color="auto" w:fill="auto"/>
            <w:vAlign w:val="bottom"/>
          </w:tcPr>
          <w:p w14:paraId="36CA5797" w14:textId="77777777" w:rsidR="00787570" w:rsidRDefault="00787570">
            <w:pPr>
              <w:rPr>
                <w:rFonts w:ascii="宋体"/>
              </w:rPr>
            </w:pPr>
          </w:p>
        </w:tc>
      </w:tr>
      <w:tr w:rsidR="00787570" w14:paraId="36CA579C" w14:textId="77777777">
        <w:tc>
          <w:tcPr>
            <w:tcW w:w="0" w:type="auto"/>
            <w:gridSpan w:val="3"/>
            <w:tcBorders>
              <w:top w:val="single" w:sz="8" w:space="0" w:color="0071C5"/>
            </w:tcBorders>
            <w:shd w:val="clear" w:color="auto" w:fill="auto"/>
            <w:tcMar>
              <w:left w:w="20" w:type="dxa"/>
              <w:right w:w="20" w:type="dxa"/>
            </w:tcMar>
            <w:vAlign w:val="center"/>
          </w:tcPr>
          <w:p w14:paraId="36CA5799" w14:textId="77777777" w:rsidR="00787570" w:rsidRDefault="000D56E2">
            <w:pPr>
              <w:textAlignment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Viewer9_files/intc-20200926_g2.jpg"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36CA5C90" wp14:editId="36CA5C91">
                  <wp:extent cx="304800" cy="304800"/>
                  <wp:effectExtent l="0" t="0" r="0" b="0"/>
                  <wp:docPr id="96" name="图片 146" descr="IMG_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图片 146" descr="IMG_329"/>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8" w:space="0" w:color="0071C5"/>
            </w:tcBorders>
            <w:shd w:val="clear" w:color="auto" w:fill="auto"/>
            <w:tcMar>
              <w:top w:w="40" w:type="dxa"/>
              <w:left w:w="20" w:type="dxa"/>
              <w:bottom w:w="40" w:type="dxa"/>
              <w:right w:w="20" w:type="dxa"/>
            </w:tcMar>
            <w:vAlign w:val="center"/>
          </w:tcPr>
          <w:p w14:paraId="36CA579A" w14:textId="77777777" w:rsidR="00787570" w:rsidRDefault="000D56E2">
            <w:pPr>
              <w:textAlignment w:val="center"/>
            </w:pPr>
            <w:r>
              <w:rPr>
                <w:rFonts w:ascii="Arial" w:eastAsia="宋体" w:hAnsi="Arial" w:cs="Arial"/>
                <w:color w:val="333333"/>
                <w:sz w:val="16"/>
                <w:szCs w:val="16"/>
              </w:rPr>
              <w:t>MD&amp;A</w:t>
            </w:r>
          </w:p>
        </w:tc>
        <w:tc>
          <w:tcPr>
            <w:tcW w:w="0" w:type="auto"/>
            <w:gridSpan w:val="3"/>
            <w:tcBorders>
              <w:top w:val="single" w:sz="8" w:space="0" w:color="0071C5"/>
            </w:tcBorders>
            <w:shd w:val="clear" w:color="auto" w:fill="auto"/>
            <w:tcMar>
              <w:top w:w="40" w:type="dxa"/>
              <w:left w:w="20" w:type="dxa"/>
              <w:bottom w:w="40" w:type="dxa"/>
              <w:right w:w="20" w:type="dxa"/>
            </w:tcMar>
            <w:vAlign w:val="center"/>
          </w:tcPr>
          <w:p w14:paraId="36CA579B" w14:textId="77777777" w:rsidR="00787570" w:rsidRDefault="000D56E2">
            <w:pPr>
              <w:jc w:val="right"/>
              <w:textAlignment w:val="center"/>
            </w:pPr>
            <w:r>
              <w:rPr>
                <w:rFonts w:ascii="Arial" w:eastAsia="宋体" w:hAnsi="Arial" w:cs="Arial"/>
                <w:color w:val="333333"/>
                <w:sz w:val="16"/>
                <w:szCs w:val="16"/>
              </w:rPr>
              <w:t>43</w:t>
            </w:r>
          </w:p>
        </w:tc>
      </w:tr>
    </w:tbl>
    <w:p w14:paraId="36CA579D" w14:textId="77777777" w:rsidR="00787570" w:rsidRDefault="000D56E2">
      <w:r>
        <w:pict w14:anchorId="36CA5C92">
          <v:rect id="_x0000_i1069" style="width:415.3pt;height:1.5pt" o:hralign="center" o:hrstd="t" o:hr="t" fillcolor="#a0a0a0" stroked="f"/>
        </w:pict>
      </w:r>
    </w:p>
    <w:p w14:paraId="36CA579E" w14:textId="77777777" w:rsidR="00787570" w:rsidRDefault="000D56E2">
      <w:pPr>
        <w:spacing w:after="180"/>
        <w:jc w:val="right"/>
      </w:pPr>
      <w:hyperlink r:id="rId71" w:anchor="i32771df14e9449d2bec5be911426bf04_7" w:history="1">
        <w:r>
          <w:rPr>
            <w:rStyle w:val="a5"/>
            <w:rFonts w:ascii="Arial" w:eastAsia="宋体" w:hAnsi="Arial" w:cs="Arial"/>
            <w:b/>
            <w:bCs/>
            <w:sz w:val="16"/>
            <w:szCs w:val="16"/>
          </w:rPr>
          <w:t>Table of Contents</w:t>
        </w:r>
      </w:hyperlink>
    </w:p>
    <w:p w14:paraId="36CA579F" w14:textId="77777777" w:rsidR="00787570" w:rsidRDefault="00787570">
      <w:pPr>
        <w:spacing w:after="180"/>
        <w:jc w:val="right"/>
      </w:pP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8231"/>
        <w:gridCol w:w="36"/>
      </w:tblGrid>
      <w:tr w:rsidR="00787570" w14:paraId="36CA57A3" w14:textId="77777777">
        <w:trPr>
          <w:jc w:val="center"/>
        </w:trPr>
        <w:tc>
          <w:tcPr>
            <w:tcW w:w="50" w:type="pct"/>
            <w:shd w:val="clear" w:color="auto" w:fill="auto"/>
          </w:tcPr>
          <w:p w14:paraId="36CA57A0" w14:textId="77777777" w:rsidR="00787570" w:rsidRDefault="00787570">
            <w:pPr>
              <w:rPr>
                <w:rFonts w:ascii="宋体"/>
              </w:rPr>
            </w:pPr>
          </w:p>
        </w:tc>
        <w:tc>
          <w:tcPr>
            <w:tcW w:w="4945" w:type="pct"/>
            <w:shd w:val="clear" w:color="auto" w:fill="auto"/>
          </w:tcPr>
          <w:p w14:paraId="36CA57A1" w14:textId="77777777" w:rsidR="00787570" w:rsidRDefault="00787570">
            <w:pPr>
              <w:rPr>
                <w:rFonts w:ascii="宋体"/>
              </w:rPr>
            </w:pPr>
          </w:p>
        </w:tc>
        <w:tc>
          <w:tcPr>
            <w:tcW w:w="5" w:type="pct"/>
            <w:shd w:val="clear" w:color="auto" w:fill="auto"/>
          </w:tcPr>
          <w:p w14:paraId="36CA57A2" w14:textId="77777777" w:rsidR="00787570" w:rsidRDefault="00787570">
            <w:pPr>
              <w:rPr>
                <w:rFonts w:ascii="宋体"/>
              </w:rPr>
            </w:pPr>
          </w:p>
        </w:tc>
      </w:tr>
      <w:tr w:rsidR="00787570" w14:paraId="36CA57A5" w14:textId="77777777">
        <w:trPr>
          <w:jc w:val="center"/>
        </w:trPr>
        <w:tc>
          <w:tcPr>
            <w:tcW w:w="0" w:type="auto"/>
            <w:gridSpan w:val="3"/>
            <w:shd w:val="clear" w:color="auto" w:fill="0071C5"/>
            <w:tcMar>
              <w:top w:w="40" w:type="dxa"/>
              <w:left w:w="20" w:type="dxa"/>
              <w:bottom w:w="40" w:type="dxa"/>
              <w:right w:w="20" w:type="dxa"/>
            </w:tcMar>
            <w:vAlign w:val="center"/>
          </w:tcPr>
          <w:p w14:paraId="36CA57A4" w14:textId="77777777" w:rsidR="00787570" w:rsidRDefault="000D56E2">
            <w:pPr>
              <w:textAlignment w:val="center"/>
            </w:pPr>
            <w:r>
              <w:rPr>
                <w:rFonts w:ascii="Arial" w:eastAsia="宋体" w:hAnsi="Arial" w:cs="Arial"/>
                <w:b/>
                <w:bCs/>
                <w:color w:val="FFFFFF"/>
                <w:sz w:val="36"/>
                <w:szCs w:val="36"/>
              </w:rPr>
              <w:t>OTHER KEY INFORMATION</w:t>
            </w:r>
          </w:p>
        </w:tc>
      </w:tr>
    </w:tbl>
    <w:p w14:paraId="36CA57A6" w14:textId="77777777" w:rsidR="00787570" w:rsidRDefault="000D56E2">
      <w:pPr>
        <w:spacing w:before="300" w:after="180"/>
      </w:pPr>
      <w:r>
        <w:rPr>
          <w:rFonts w:ascii="Arial" w:eastAsia="宋体" w:hAnsi="Arial" w:cs="Arial"/>
          <w:b/>
          <w:bCs/>
          <w:color w:val="0071C5"/>
          <w:sz w:val="28"/>
          <w:szCs w:val="28"/>
        </w:rPr>
        <w:t>RISK FACTORS</w:t>
      </w:r>
    </w:p>
    <w:p w14:paraId="36CA57A7" w14:textId="77777777" w:rsidR="00787570" w:rsidRDefault="000D56E2">
      <w:pPr>
        <w:spacing w:after="180"/>
      </w:pPr>
      <w:r>
        <w:rPr>
          <w:rFonts w:ascii="Arial" w:eastAsia="宋体" w:hAnsi="Arial" w:cs="Arial"/>
          <w:color w:val="333333"/>
          <w:sz w:val="18"/>
          <w:szCs w:val="18"/>
        </w:rPr>
        <w:t>The risks described in "Risk Factors" within Other Key Information in our 2019 Form 10-K and our Form 10-Q for the quarter ended March 28, 2020 (Q1 2020 Form 10-Q) could materially and adversely affect our business, financial condition, and results of oper</w:t>
      </w:r>
      <w:r>
        <w:rPr>
          <w:rFonts w:ascii="Arial" w:eastAsia="宋体" w:hAnsi="Arial" w:cs="Arial"/>
          <w:color w:val="333333"/>
          <w:sz w:val="18"/>
          <w:szCs w:val="18"/>
        </w:rPr>
        <w:t xml:space="preserve">ations, and the trading price of our common stock could decline. The Risk Factors section in our 2019 Form 10-K, as updated by our Q1 2020 Form 10-Q and the discussions of the COVID-19 pandemic in our Form 10-Q for the quarter ended June 27, 2020, remains </w:t>
      </w:r>
      <w:r>
        <w:rPr>
          <w:rFonts w:ascii="Arial" w:eastAsia="宋体" w:hAnsi="Arial" w:cs="Arial"/>
          <w:color w:val="333333"/>
          <w:sz w:val="18"/>
          <w:szCs w:val="18"/>
        </w:rPr>
        <w:t>current in all material respects. These risk factors do not identify all risks that we face—our operations could also be affected by factors that are not presently known to us or that we currently consider to be immaterial to our operations. Due to risks a</w:t>
      </w:r>
      <w:r>
        <w:rPr>
          <w:rFonts w:ascii="Arial" w:eastAsia="宋体" w:hAnsi="Arial" w:cs="Arial"/>
          <w:color w:val="333333"/>
          <w:sz w:val="18"/>
          <w:szCs w:val="18"/>
        </w:rPr>
        <w:t xml:space="preserve">nd uncertainties, known and unknown, our past financial results may not be a reliable indicator of future performance and historical trends should not be used to anticipate results or trends in future periods. </w:t>
      </w:r>
    </w:p>
    <w:p w14:paraId="36CA57A8" w14:textId="77777777" w:rsidR="00787570" w:rsidRDefault="000D56E2">
      <w:pPr>
        <w:spacing w:before="300" w:after="180"/>
      </w:pPr>
      <w:r>
        <w:rPr>
          <w:rFonts w:ascii="Arial" w:eastAsia="宋体" w:hAnsi="Arial" w:cs="Arial"/>
          <w:b/>
          <w:bCs/>
          <w:color w:val="0071C5"/>
          <w:sz w:val="28"/>
          <w:szCs w:val="28"/>
        </w:rPr>
        <w:t>CONTROLS AND PROCEDURES</w:t>
      </w:r>
    </w:p>
    <w:p w14:paraId="36CA57A9" w14:textId="77777777" w:rsidR="00787570" w:rsidRDefault="000D56E2">
      <w:pPr>
        <w:spacing w:after="120"/>
      </w:pPr>
      <w:r>
        <w:rPr>
          <w:rFonts w:ascii="Arial" w:eastAsia="宋体" w:hAnsi="Arial" w:cs="Arial"/>
          <w:b/>
          <w:bCs/>
          <w:color w:val="333333"/>
          <w:sz w:val="20"/>
          <w:szCs w:val="20"/>
        </w:rPr>
        <w:t xml:space="preserve">Inherent Limitations </w:t>
      </w:r>
      <w:r>
        <w:rPr>
          <w:rFonts w:ascii="Arial" w:eastAsia="宋体" w:hAnsi="Arial" w:cs="Arial"/>
          <w:b/>
          <w:bCs/>
          <w:color w:val="333333"/>
          <w:sz w:val="20"/>
          <w:szCs w:val="20"/>
        </w:rPr>
        <w:t>on Effectiveness of Controls</w:t>
      </w:r>
    </w:p>
    <w:p w14:paraId="36CA57AA" w14:textId="77777777" w:rsidR="00787570" w:rsidRDefault="000D56E2">
      <w:pPr>
        <w:spacing w:after="180"/>
      </w:pPr>
      <w:r>
        <w:rPr>
          <w:rFonts w:ascii="Arial" w:eastAsia="宋体" w:hAnsi="Arial" w:cs="Arial"/>
          <w:color w:val="333333"/>
          <w:sz w:val="18"/>
          <w:szCs w:val="18"/>
        </w:rPr>
        <w:t xml:space="preserve">Our management, including the principal executive officer and principal financial officer, does not expect that our disclosure controls and procedures or our internal control over financial reporting will prevent or detect all </w:t>
      </w:r>
      <w:r>
        <w:rPr>
          <w:rFonts w:ascii="Arial" w:eastAsia="宋体" w:hAnsi="Arial" w:cs="Arial"/>
          <w:color w:val="333333"/>
          <w:sz w:val="18"/>
          <w:szCs w:val="18"/>
        </w:rPr>
        <w:t>errors and all fraud. A control system, no matter how well-designed and operated, can provide only reasonable, not absolute, assurance that the control system’s objectives will be met. The design of a control system must reflect the fact that there are res</w:t>
      </w:r>
      <w:r>
        <w:rPr>
          <w:rFonts w:ascii="Arial" w:eastAsia="宋体" w:hAnsi="Arial" w:cs="Arial"/>
          <w:color w:val="333333"/>
          <w:sz w:val="18"/>
          <w:szCs w:val="18"/>
        </w:rPr>
        <w:t>ource constraints, and the benefits of controls must be considered relative to their costs. Further, because of the inherent limitations in all control systems, no evaluation of controls can provide absolute assurance that misstatements due to error or fra</w:t>
      </w:r>
      <w:r>
        <w:rPr>
          <w:rFonts w:ascii="Arial" w:eastAsia="宋体" w:hAnsi="Arial" w:cs="Arial"/>
          <w:color w:val="333333"/>
          <w:sz w:val="18"/>
          <w:szCs w:val="18"/>
        </w:rPr>
        <w:t>ud will not occur or that all control issues and instances of fraud, if any, have been detected.</w:t>
      </w:r>
    </w:p>
    <w:p w14:paraId="36CA57AB" w14:textId="77777777" w:rsidR="00787570" w:rsidRDefault="000D56E2">
      <w:pPr>
        <w:spacing w:after="120"/>
      </w:pPr>
      <w:r>
        <w:rPr>
          <w:rFonts w:ascii="Arial" w:eastAsia="宋体" w:hAnsi="Arial" w:cs="Arial"/>
          <w:b/>
          <w:bCs/>
          <w:color w:val="333333"/>
          <w:sz w:val="20"/>
          <w:szCs w:val="20"/>
        </w:rPr>
        <w:t>Evaluation of Disclosure Controls and Procedures</w:t>
      </w:r>
    </w:p>
    <w:p w14:paraId="36CA57AC" w14:textId="77777777" w:rsidR="00787570" w:rsidRDefault="000D56E2">
      <w:pPr>
        <w:spacing w:after="180"/>
      </w:pPr>
      <w:r>
        <w:rPr>
          <w:rFonts w:ascii="Arial" w:eastAsia="宋体" w:hAnsi="Arial" w:cs="Arial"/>
          <w:color w:val="333333"/>
          <w:sz w:val="18"/>
          <w:szCs w:val="18"/>
        </w:rPr>
        <w:t>Due to the COVID-19 pandemic, a significant portion of our employees are working from home. Established busine</w:t>
      </w:r>
      <w:r>
        <w:rPr>
          <w:rFonts w:ascii="Arial" w:eastAsia="宋体" w:hAnsi="Arial" w:cs="Arial"/>
          <w:color w:val="333333"/>
          <w:sz w:val="18"/>
          <w:szCs w:val="18"/>
        </w:rPr>
        <w:t>ss continuity plans remain activated in order to mitigate the impact to our control environment, operating procedures, data and internal controls. The design of our processes and controls allow for remote execution with accessibility to secure data.</w:t>
      </w:r>
    </w:p>
    <w:p w14:paraId="36CA57AD" w14:textId="77777777" w:rsidR="00787570" w:rsidRDefault="000D56E2">
      <w:pPr>
        <w:spacing w:after="180"/>
      </w:pPr>
      <w:r>
        <w:rPr>
          <w:rFonts w:ascii="Arial" w:eastAsia="宋体" w:hAnsi="Arial" w:cs="Arial"/>
          <w:color w:val="333333"/>
          <w:sz w:val="18"/>
          <w:szCs w:val="18"/>
        </w:rPr>
        <w:t xml:space="preserve">Based </w:t>
      </w:r>
      <w:r>
        <w:rPr>
          <w:rFonts w:ascii="Arial" w:eastAsia="宋体" w:hAnsi="Arial" w:cs="Arial"/>
          <w:color w:val="333333"/>
          <w:sz w:val="18"/>
          <w:szCs w:val="18"/>
        </w:rPr>
        <w:t xml:space="preserve">on management’s evaluation (with the participation of our principal executive officer and principal financial officer), as of the end of the period covered by this report, our principal executive officer and principal financial officer have concluded that </w:t>
      </w:r>
      <w:r>
        <w:rPr>
          <w:rFonts w:ascii="Arial" w:eastAsia="宋体" w:hAnsi="Arial" w:cs="Arial"/>
          <w:color w:val="333333"/>
          <w:sz w:val="18"/>
          <w:szCs w:val="18"/>
        </w:rPr>
        <w:t xml:space="preserve">our disclosure controls and procedures (as defined in Rules 13a-15(e) and 15d-15(e) under the Securities Exchange Act of 1934, as amended (the Exchange Act)), are effective to provide reasonable assurance that information required to be disclosed by us in </w:t>
      </w:r>
      <w:r>
        <w:rPr>
          <w:rFonts w:ascii="Arial" w:eastAsia="宋体" w:hAnsi="Arial" w:cs="Arial"/>
          <w:color w:val="333333"/>
          <w:sz w:val="18"/>
          <w:szCs w:val="18"/>
        </w:rPr>
        <w:t>reports that we file or submit under the Exchange Act is recorded, processed, summarized, and reported within the time periods specified in SEC rules and forms, and is accumulated and communicated to management, including our principal executive officer an</w:t>
      </w:r>
      <w:r>
        <w:rPr>
          <w:rFonts w:ascii="Arial" w:eastAsia="宋体" w:hAnsi="Arial" w:cs="Arial"/>
          <w:color w:val="333333"/>
          <w:sz w:val="18"/>
          <w:szCs w:val="18"/>
        </w:rPr>
        <w:t>d principal financial officer, as appropriate, to allow timely decisions regarding required disclosure.</w:t>
      </w:r>
    </w:p>
    <w:p w14:paraId="36CA57AE" w14:textId="77777777" w:rsidR="00787570" w:rsidRDefault="000D56E2">
      <w:pPr>
        <w:spacing w:after="120"/>
      </w:pPr>
      <w:r>
        <w:rPr>
          <w:rFonts w:ascii="Arial" w:eastAsia="宋体" w:hAnsi="Arial" w:cs="Arial"/>
          <w:b/>
          <w:bCs/>
          <w:color w:val="333333"/>
          <w:sz w:val="20"/>
          <w:szCs w:val="20"/>
        </w:rPr>
        <w:t>Changes in Internal Control Over Financial Reporting</w:t>
      </w:r>
    </w:p>
    <w:p w14:paraId="36CA57AF" w14:textId="77777777" w:rsidR="00787570" w:rsidRDefault="000D56E2">
      <w:pPr>
        <w:spacing w:after="180"/>
      </w:pPr>
      <w:r>
        <w:rPr>
          <w:rFonts w:ascii="Arial" w:eastAsia="宋体" w:hAnsi="Arial" w:cs="Arial"/>
          <w:color w:val="333333"/>
          <w:sz w:val="18"/>
          <w:szCs w:val="18"/>
        </w:rPr>
        <w:t xml:space="preserve">There were no changes to our internal control over financial reporting (as defined in Rules </w:t>
      </w:r>
      <w:r>
        <w:rPr>
          <w:rFonts w:ascii="Arial" w:eastAsia="宋体" w:hAnsi="Arial" w:cs="Arial"/>
          <w:color w:val="333333"/>
          <w:sz w:val="18"/>
          <w:szCs w:val="18"/>
        </w:rPr>
        <w:t>13a-15(f) and 15d-15(f) under the Exchange Act) that occurred during the quarter ended September 26, 2020 that have materially affected, or are reasonably likely to materially affect, our internal control over financial reporting.</w:t>
      </w:r>
    </w:p>
    <w:tbl>
      <w:tblPr>
        <w:tblW w:w="5000" w:type="pct"/>
        <w:tblCellMar>
          <w:top w:w="15" w:type="dxa"/>
          <w:left w:w="15" w:type="dxa"/>
          <w:bottom w:w="15" w:type="dxa"/>
          <w:right w:w="15" w:type="dxa"/>
        </w:tblCellMar>
        <w:tblLook w:val="04A0" w:firstRow="1" w:lastRow="0" w:firstColumn="1" w:lastColumn="0" w:noHBand="0" w:noVBand="1"/>
      </w:tblPr>
      <w:tblGrid>
        <w:gridCol w:w="95"/>
        <w:gridCol w:w="416"/>
        <w:gridCol w:w="36"/>
        <w:gridCol w:w="47"/>
        <w:gridCol w:w="4254"/>
        <w:gridCol w:w="36"/>
        <w:gridCol w:w="47"/>
        <w:gridCol w:w="3369"/>
        <w:gridCol w:w="36"/>
      </w:tblGrid>
      <w:tr w:rsidR="00787570" w14:paraId="36CA57B9" w14:textId="77777777">
        <w:tc>
          <w:tcPr>
            <w:tcW w:w="50" w:type="pct"/>
            <w:shd w:val="clear" w:color="auto" w:fill="auto"/>
            <w:vAlign w:val="bottom"/>
          </w:tcPr>
          <w:p w14:paraId="36CA57B0" w14:textId="77777777" w:rsidR="00787570" w:rsidRDefault="00787570">
            <w:pPr>
              <w:rPr>
                <w:rFonts w:ascii="宋体"/>
              </w:rPr>
            </w:pPr>
          </w:p>
        </w:tc>
        <w:tc>
          <w:tcPr>
            <w:tcW w:w="220" w:type="pct"/>
            <w:shd w:val="clear" w:color="auto" w:fill="auto"/>
            <w:vAlign w:val="bottom"/>
          </w:tcPr>
          <w:p w14:paraId="36CA57B1" w14:textId="77777777" w:rsidR="00787570" w:rsidRDefault="00787570">
            <w:pPr>
              <w:rPr>
                <w:rFonts w:ascii="宋体"/>
              </w:rPr>
            </w:pPr>
          </w:p>
        </w:tc>
        <w:tc>
          <w:tcPr>
            <w:tcW w:w="5" w:type="pct"/>
            <w:shd w:val="clear" w:color="auto" w:fill="auto"/>
            <w:vAlign w:val="bottom"/>
          </w:tcPr>
          <w:p w14:paraId="36CA57B2" w14:textId="77777777" w:rsidR="00787570" w:rsidRDefault="00787570">
            <w:pPr>
              <w:rPr>
                <w:rFonts w:ascii="宋体"/>
              </w:rPr>
            </w:pPr>
          </w:p>
        </w:tc>
        <w:tc>
          <w:tcPr>
            <w:tcW w:w="50" w:type="pct"/>
            <w:shd w:val="clear" w:color="auto" w:fill="auto"/>
            <w:vAlign w:val="bottom"/>
          </w:tcPr>
          <w:p w14:paraId="36CA57B3" w14:textId="77777777" w:rsidR="00787570" w:rsidRDefault="00787570">
            <w:pPr>
              <w:rPr>
                <w:rFonts w:ascii="宋体"/>
              </w:rPr>
            </w:pPr>
          </w:p>
        </w:tc>
        <w:tc>
          <w:tcPr>
            <w:tcW w:w="2572" w:type="pct"/>
            <w:shd w:val="clear" w:color="auto" w:fill="auto"/>
            <w:vAlign w:val="bottom"/>
          </w:tcPr>
          <w:p w14:paraId="36CA57B4" w14:textId="77777777" w:rsidR="00787570" w:rsidRDefault="00787570">
            <w:pPr>
              <w:rPr>
                <w:rFonts w:ascii="宋体"/>
              </w:rPr>
            </w:pPr>
          </w:p>
        </w:tc>
        <w:tc>
          <w:tcPr>
            <w:tcW w:w="5" w:type="pct"/>
            <w:shd w:val="clear" w:color="auto" w:fill="auto"/>
            <w:vAlign w:val="bottom"/>
          </w:tcPr>
          <w:p w14:paraId="36CA57B5" w14:textId="77777777" w:rsidR="00787570" w:rsidRDefault="00787570">
            <w:pPr>
              <w:rPr>
                <w:rFonts w:ascii="宋体"/>
              </w:rPr>
            </w:pPr>
          </w:p>
        </w:tc>
        <w:tc>
          <w:tcPr>
            <w:tcW w:w="50" w:type="pct"/>
            <w:shd w:val="clear" w:color="auto" w:fill="auto"/>
            <w:vAlign w:val="bottom"/>
          </w:tcPr>
          <w:p w14:paraId="36CA57B6" w14:textId="77777777" w:rsidR="00787570" w:rsidRDefault="00787570">
            <w:pPr>
              <w:rPr>
                <w:rFonts w:ascii="宋体"/>
              </w:rPr>
            </w:pPr>
          </w:p>
        </w:tc>
        <w:tc>
          <w:tcPr>
            <w:tcW w:w="2042" w:type="pct"/>
            <w:shd w:val="clear" w:color="auto" w:fill="auto"/>
            <w:vAlign w:val="bottom"/>
          </w:tcPr>
          <w:p w14:paraId="36CA57B7" w14:textId="77777777" w:rsidR="00787570" w:rsidRDefault="00787570">
            <w:pPr>
              <w:rPr>
                <w:rFonts w:ascii="宋体"/>
              </w:rPr>
            </w:pPr>
          </w:p>
        </w:tc>
        <w:tc>
          <w:tcPr>
            <w:tcW w:w="5" w:type="pct"/>
            <w:shd w:val="clear" w:color="auto" w:fill="auto"/>
            <w:vAlign w:val="bottom"/>
          </w:tcPr>
          <w:p w14:paraId="36CA57B8" w14:textId="77777777" w:rsidR="00787570" w:rsidRDefault="00787570">
            <w:pPr>
              <w:rPr>
                <w:rFonts w:ascii="宋体"/>
              </w:rPr>
            </w:pPr>
          </w:p>
        </w:tc>
      </w:tr>
      <w:tr w:rsidR="00787570" w14:paraId="36CA57BD" w14:textId="77777777">
        <w:tc>
          <w:tcPr>
            <w:tcW w:w="0" w:type="auto"/>
            <w:gridSpan w:val="3"/>
            <w:tcBorders>
              <w:top w:val="single" w:sz="8" w:space="0" w:color="0071C5"/>
            </w:tcBorders>
            <w:shd w:val="clear" w:color="auto" w:fill="auto"/>
            <w:tcMar>
              <w:left w:w="20" w:type="dxa"/>
              <w:right w:w="20" w:type="dxa"/>
            </w:tcMar>
            <w:vAlign w:val="center"/>
          </w:tcPr>
          <w:p w14:paraId="36CA57BA" w14:textId="77777777" w:rsidR="00787570" w:rsidRDefault="000D56E2">
            <w:pPr>
              <w:textAlignment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Viewer9_files/intc-20200926_g2.jpg"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36CA5C93" wp14:editId="36CA5C94">
                  <wp:extent cx="304800" cy="304800"/>
                  <wp:effectExtent l="0" t="0" r="0" b="0"/>
                  <wp:docPr id="42" name="图片 148" descr="IMG_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148" descr="IMG_329"/>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8" w:space="0" w:color="0071C5"/>
            </w:tcBorders>
            <w:shd w:val="clear" w:color="auto" w:fill="auto"/>
            <w:tcMar>
              <w:top w:w="40" w:type="dxa"/>
              <w:left w:w="20" w:type="dxa"/>
              <w:bottom w:w="40" w:type="dxa"/>
              <w:right w:w="20" w:type="dxa"/>
            </w:tcMar>
            <w:vAlign w:val="center"/>
          </w:tcPr>
          <w:p w14:paraId="36CA57BB" w14:textId="77777777" w:rsidR="00787570" w:rsidRDefault="000D56E2">
            <w:pPr>
              <w:textAlignment w:val="center"/>
            </w:pPr>
            <w:r>
              <w:rPr>
                <w:rFonts w:ascii="Arial" w:eastAsia="宋体" w:hAnsi="Arial" w:cs="Arial"/>
                <w:color w:val="333333"/>
                <w:sz w:val="16"/>
                <w:szCs w:val="16"/>
              </w:rPr>
              <w:t>OTHER KEY INFORMATION</w:t>
            </w:r>
          </w:p>
        </w:tc>
        <w:tc>
          <w:tcPr>
            <w:tcW w:w="0" w:type="auto"/>
            <w:gridSpan w:val="3"/>
            <w:tcBorders>
              <w:top w:val="single" w:sz="8" w:space="0" w:color="0071C5"/>
            </w:tcBorders>
            <w:shd w:val="clear" w:color="auto" w:fill="auto"/>
            <w:tcMar>
              <w:top w:w="40" w:type="dxa"/>
              <w:left w:w="20" w:type="dxa"/>
              <w:bottom w:w="40" w:type="dxa"/>
              <w:right w:w="20" w:type="dxa"/>
            </w:tcMar>
            <w:vAlign w:val="center"/>
          </w:tcPr>
          <w:p w14:paraId="36CA57BC" w14:textId="77777777" w:rsidR="00787570" w:rsidRDefault="000D56E2">
            <w:pPr>
              <w:jc w:val="right"/>
              <w:textAlignment w:val="center"/>
            </w:pPr>
            <w:r>
              <w:rPr>
                <w:rFonts w:ascii="Arial" w:eastAsia="宋体" w:hAnsi="Arial" w:cs="Arial"/>
                <w:color w:val="333333"/>
                <w:sz w:val="16"/>
                <w:szCs w:val="16"/>
              </w:rPr>
              <w:t>44</w:t>
            </w:r>
          </w:p>
        </w:tc>
      </w:tr>
    </w:tbl>
    <w:p w14:paraId="36CA57BE" w14:textId="77777777" w:rsidR="00787570" w:rsidRDefault="000D56E2">
      <w:r>
        <w:pict w14:anchorId="36CA5C95">
          <v:rect id="_x0000_i1070" style="width:415.3pt;height:1.5pt" o:hralign="center" o:hrstd="t" o:hr="t" fillcolor="#a0a0a0" stroked="f"/>
        </w:pict>
      </w:r>
    </w:p>
    <w:p w14:paraId="36CA57BF" w14:textId="77777777" w:rsidR="00787570" w:rsidRDefault="000D56E2">
      <w:pPr>
        <w:spacing w:after="180"/>
        <w:jc w:val="right"/>
      </w:pPr>
      <w:hyperlink r:id="rId72" w:anchor="i32771df14e9449d2bec5be911426bf04_7" w:history="1">
        <w:r>
          <w:rPr>
            <w:rStyle w:val="a5"/>
            <w:rFonts w:ascii="Arial" w:eastAsia="宋体" w:hAnsi="Arial" w:cs="Arial"/>
            <w:b/>
            <w:bCs/>
            <w:sz w:val="16"/>
            <w:szCs w:val="16"/>
          </w:rPr>
          <w:t>Table of Contents</w:t>
        </w:r>
      </w:hyperlink>
    </w:p>
    <w:p w14:paraId="36CA57C0" w14:textId="77777777" w:rsidR="00787570" w:rsidRDefault="00787570">
      <w:pPr>
        <w:spacing w:after="180"/>
        <w:jc w:val="right"/>
      </w:pPr>
    </w:p>
    <w:p w14:paraId="36CA57C1" w14:textId="77777777" w:rsidR="00787570" w:rsidRDefault="000D56E2">
      <w:pPr>
        <w:spacing w:before="300" w:after="180"/>
      </w:pPr>
      <w:r>
        <w:rPr>
          <w:rFonts w:ascii="Arial" w:eastAsia="宋体" w:hAnsi="Arial" w:cs="Arial"/>
          <w:b/>
          <w:bCs/>
          <w:color w:val="0071C5"/>
          <w:sz w:val="28"/>
          <w:szCs w:val="28"/>
        </w:rPr>
        <w:t>ISSUER PURCHASES OF EQUITY SECURITIES</w:t>
      </w:r>
    </w:p>
    <w:p w14:paraId="36CA57C2" w14:textId="77777777" w:rsidR="00787570" w:rsidRDefault="000D56E2">
      <w:pPr>
        <w:spacing w:after="180"/>
      </w:pPr>
      <w:r>
        <w:rPr>
          <w:rFonts w:ascii="Arial" w:eastAsia="宋体" w:hAnsi="Arial" w:cs="Arial"/>
          <w:color w:val="333333"/>
          <w:sz w:val="18"/>
          <w:szCs w:val="18"/>
        </w:rPr>
        <w:t xml:space="preserve">We have an ongoing authorization, originally approved by our Board of Directors in 2005 and subsequently amended, to </w:t>
      </w:r>
      <w:r>
        <w:rPr>
          <w:rFonts w:ascii="Arial" w:eastAsia="宋体" w:hAnsi="Arial" w:cs="Arial"/>
          <w:color w:val="333333"/>
          <w:sz w:val="18"/>
          <w:szCs w:val="18"/>
        </w:rPr>
        <w:t>repurchase shares of our common stock in open market or negotiated transactions. On March 24, 2020, we suspended stock repurchases in light of the COVID-19 pandemic. On August 19, 2020, we entered into ASR agreements to repurchase $10.0 billion of our comm</w:t>
      </w:r>
      <w:r>
        <w:rPr>
          <w:rFonts w:ascii="Arial" w:eastAsia="宋体" w:hAnsi="Arial" w:cs="Arial"/>
          <w:color w:val="333333"/>
          <w:sz w:val="18"/>
          <w:szCs w:val="18"/>
        </w:rPr>
        <w:t>on stock. As of September 26, 2020, we were authorized to repurchase up to $110.0 billion, of which $9.7 billion remained available, which reflects the deduction of the $10.0 billion in ASR agreements.</w:t>
      </w:r>
    </w:p>
    <w:p w14:paraId="36CA57C3" w14:textId="77777777" w:rsidR="00787570" w:rsidRDefault="000D56E2">
      <w:pPr>
        <w:spacing w:after="120"/>
      </w:pPr>
      <w:r>
        <w:rPr>
          <w:rFonts w:ascii="Arial" w:eastAsia="宋体" w:hAnsi="Arial" w:cs="Arial"/>
          <w:color w:val="333333"/>
          <w:sz w:val="18"/>
          <w:szCs w:val="18"/>
        </w:rPr>
        <w:t>Common stock repurchase activity under our publicly an</w:t>
      </w:r>
      <w:r>
        <w:rPr>
          <w:rFonts w:ascii="Arial" w:eastAsia="宋体" w:hAnsi="Arial" w:cs="Arial"/>
          <w:color w:val="333333"/>
          <w:sz w:val="18"/>
          <w:szCs w:val="18"/>
        </w:rPr>
        <w:t>nounced stock repurchase program during the third quarter of 2020 was as follows:</w:t>
      </w:r>
    </w:p>
    <w:tbl>
      <w:tblPr>
        <w:tblW w:w="5000" w:type="pct"/>
        <w:tblCellMar>
          <w:top w:w="15" w:type="dxa"/>
          <w:left w:w="15" w:type="dxa"/>
          <w:bottom w:w="15" w:type="dxa"/>
          <w:right w:w="15" w:type="dxa"/>
        </w:tblCellMar>
        <w:tblLook w:val="04A0" w:firstRow="1" w:lastRow="0" w:firstColumn="1" w:lastColumn="0" w:noHBand="0" w:noVBand="1"/>
      </w:tblPr>
      <w:tblGrid>
        <w:gridCol w:w="38"/>
        <w:gridCol w:w="3663"/>
        <w:gridCol w:w="37"/>
        <w:gridCol w:w="36"/>
        <w:gridCol w:w="36"/>
        <w:gridCol w:w="36"/>
        <w:gridCol w:w="76"/>
        <w:gridCol w:w="1118"/>
        <w:gridCol w:w="41"/>
        <w:gridCol w:w="36"/>
        <w:gridCol w:w="36"/>
        <w:gridCol w:w="36"/>
        <w:gridCol w:w="137"/>
        <w:gridCol w:w="1220"/>
        <w:gridCol w:w="41"/>
        <w:gridCol w:w="36"/>
        <w:gridCol w:w="36"/>
        <w:gridCol w:w="36"/>
        <w:gridCol w:w="137"/>
        <w:gridCol w:w="1463"/>
        <w:gridCol w:w="41"/>
      </w:tblGrid>
      <w:tr w:rsidR="00787570" w14:paraId="36CA57D9" w14:textId="77777777">
        <w:tc>
          <w:tcPr>
            <w:tcW w:w="50" w:type="pct"/>
            <w:shd w:val="clear" w:color="auto" w:fill="auto"/>
          </w:tcPr>
          <w:p w14:paraId="36CA57C4" w14:textId="77777777" w:rsidR="00787570" w:rsidRDefault="00787570">
            <w:pPr>
              <w:rPr>
                <w:rFonts w:ascii="宋体"/>
              </w:rPr>
            </w:pPr>
          </w:p>
        </w:tc>
        <w:tc>
          <w:tcPr>
            <w:tcW w:w="2445" w:type="pct"/>
            <w:shd w:val="clear" w:color="auto" w:fill="auto"/>
          </w:tcPr>
          <w:p w14:paraId="36CA57C5" w14:textId="77777777" w:rsidR="00787570" w:rsidRDefault="00787570">
            <w:pPr>
              <w:rPr>
                <w:rFonts w:ascii="宋体"/>
              </w:rPr>
            </w:pPr>
          </w:p>
        </w:tc>
        <w:tc>
          <w:tcPr>
            <w:tcW w:w="5" w:type="pct"/>
            <w:shd w:val="clear" w:color="auto" w:fill="auto"/>
          </w:tcPr>
          <w:p w14:paraId="36CA57C6" w14:textId="77777777" w:rsidR="00787570" w:rsidRDefault="00787570">
            <w:pPr>
              <w:rPr>
                <w:rFonts w:ascii="宋体"/>
              </w:rPr>
            </w:pPr>
          </w:p>
        </w:tc>
        <w:tc>
          <w:tcPr>
            <w:tcW w:w="5" w:type="pct"/>
            <w:shd w:val="clear" w:color="auto" w:fill="auto"/>
          </w:tcPr>
          <w:p w14:paraId="36CA57C7" w14:textId="77777777" w:rsidR="00787570" w:rsidRDefault="00787570">
            <w:pPr>
              <w:rPr>
                <w:rFonts w:ascii="宋体"/>
              </w:rPr>
            </w:pPr>
          </w:p>
        </w:tc>
        <w:tc>
          <w:tcPr>
            <w:tcW w:w="24" w:type="pct"/>
            <w:shd w:val="clear" w:color="auto" w:fill="auto"/>
          </w:tcPr>
          <w:p w14:paraId="36CA57C8" w14:textId="77777777" w:rsidR="00787570" w:rsidRDefault="00787570">
            <w:pPr>
              <w:rPr>
                <w:rFonts w:ascii="宋体"/>
              </w:rPr>
            </w:pPr>
          </w:p>
        </w:tc>
        <w:tc>
          <w:tcPr>
            <w:tcW w:w="5" w:type="pct"/>
            <w:shd w:val="clear" w:color="auto" w:fill="auto"/>
          </w:tcPr>
          <w:p w14:paraId="36CA57C9" w14:textId="77777777" w:rsidR="00787570" w:rsidRDefault="00787570">
            <w:pPr>
              <w:rPr>
                <w:rFonts w:ascii="宋体"/>
              </w:rPr>
            </w:pPr>
          </w:p>
        </w:tc>
        <w:tc>
          <w:tcPr>
            <w:tcW w:w="50" w:type="pct"/>
            <w:shd w:val="clear" w:color="auto" w:fill="auto"/>
          </w:tcPr>
          <w:p w14:paraId="36CA57CA" w14:textId="77777777" w:rsidR="00787570" w:rsidRDefault="00787570">
            <w:pPr>
              <w:rPr>
                <w:rFonts w:ascii="宋体"/>
              </w:rPr>
            </w:pPr>
          </w:p>
        </w:tc>
        <w:tc>
          <w:tcPr>
            <w:tcW w:w="744" w:type="pct"/>
            <w:shd w:val="clear" w:color="auto" w:fill="auto"/>
          </w:tcPr>
          <w:p w14:paraId="36CA57CB" w14:textId="77777777" w:rsidR="00787570" w:rsidRDefault="00787570">
            <w:pPr>
              <w:rPr>
                <w:rFonts w:ascii="宋体"/>
              </w:rPr>
            </w:pPr>
          </w:p>
        </w:tc>
        <w:tc>
          <w:tcPr>
            <w:tcW w:w="5" w:type="pct"/>
            <w:shd w:val="clear" w:color="auto" w:fill="auto"/>
          </w:tcPr>
          <w:p w14:paraId="36CA57CC" w14:textId="77777777" w:rsidR="00787570" w:rsidRDefault="00787570">
            <w:pPr>
              <w:rPr>
                <w:rFonts w:ascii="宋体"/>
              </w:rPr>
            </w:pPr>
          </w:p>
        </w:tc>
        <w:tc>
          <w:tcPr>
            <w:tcW w:w="5" w:type="pct"/>
            <w:shd w:val="clear" w:color="auto" w:fill="auto"/>
          </w:tcPr>
          <w:p w14:paraId="36CA57CD" w14:textId="77777777" w:rsidR="00787570" w:rsidRDefault="00787570">
            <w:pPr>
              <w:rPr>
                <w:rFonts w:ascii="宋体"/>
              </w:rPr>
            </w:pPr>
          </w:p>
        </w:tc>
        <w:tc>
          <w:tcPr>
            <w:tcW w:w="24" w:type="pct"/>
            <w:shd w:val="clear" w:color="auto" w:fill="auto"/>
          </w:tcPr>
          <w:p w14:paraId="36CA57CE" w14:textId="77777777" w:rsidR="00787570" w:rsidRDefault="00787570">
            <w:pPr>
              <w:rPr>
                <w:rFonts w:ascii="宋体"/>
              </w:rPr>
            </w:pPr>
          </w:p>
        </w:tc>
        <w:tc>
          <w:tcPr>
            <w:tcW w:w="5" w:type="pct"/>
            <w:shd w:val="clear" w:color="auto" w:fill="auto"/>
          </w:tcPr>
          <w:p w14:paraId="36CA57CF" w14:textId="77777777" w:rsidR="00787570" w:rsidRDefault="00787570">
            <w:pPr>
              <w:rPr>
                <w:rFonts w:ascii="宋体"/>
              </w:rPr>
            </w:pPr>
          </w:p>
        </w:tc>
        <w:tc>
          <w:tcPr>
            <w:tcW w:w="50" w:type="pct"/>
            <w:shd w:val="clear" w:color="auto" w:fill="auto"/>
          </w:tcPr>
          <w:p w14:paraId="36CA57D0" w14:textId="77777777" w:rsidR="00787570" w:rsidRDefault="00787570">
            <w:pPr>
              <w:rPr>
                <w:rFonts w:ascii="宋体"/>
              </w:rPr>
            </w:pPr>
          </w:p>
        </w:tc>
        <w:tc>
          <w:tcPr>
            <w:tcW w:w="744" w:type="pct"/>
            <w:shd w:val="clear" w:color="auto" w:fill="auto"/>
          </w:tcPr>
          <w:p w14:paraId="36CA57D1" w14:textId="77777777" w:rsidR="00787570" w:rsidRDefault="00787570">
            <w:pPr>
              <w:rPr>
                <w:rFonts w:ascii="宋体"/>
              </w:rPr>
            </w:pPr>
          </w:p>
        </w:tc>
        <w:tc>
          <w:tcPr>
            <w:tcW w:w="5" w:type="pct"/>
            <w:shd w:val="clear" w:color="auto" w:fill="auto"/>
          </w:tcPr>
          <w:p w14:paraId="36CA57D2" w14:textId="77777777" w:rsidR="00787570" w:rsidRDefault="00787570">
            <w:pPr>
              <w:rPr>
                <w:rFonts w:ascii="宋体"/>
              </w:rPr>
            </w:pPr>
          </w:p>
        </w:tc>
        <w:tc>
          <w:tcPr>
            <w:tcW w:w="5" w:type="pct"/>
            <w:shd w:val="clear" w:color="auto" w:fill="auto"/>
          </w:tcPr>
          <w:p w14:paraId="36CA57D3" w14:textId="77777777" w:rsidR="00787570" w:rsidRDefault="00787570">
            <w:pPr>
              <w:rPr>
                <w:rFonts w:ascii="宋体"/>
              </w:rPr>
            </w:pPr>
          </w:p>
        </w:tc>
        <w:tc>
          <w:tcPr>
            <w:tcW w:w="24" w:type="pct"/>
            <w:shd w:val="clear" w:color="auto" w:fill="auto"/>
          </w:tcPr>
          <w:p w14:paraId="36CA57D4" w14:textId="77777777" w:rsidR="00787570" w:rsidRDefault="00787570">
            <w:pPr>
              <w:rPr>
                <w:rFonts w:ascii="宋体"/>
              </w:rPr>
            </w:pPr>
          </w:p>
        </w:tc>
        <w:tc>
          <w:tcPr>
            <w:tcW w:w="5" w:type="pct"/>
            <w:shd w:val="clear" w:color="auto" w:fill="auto"/>
          </w:tcPr>
          <w:p w14:paraId="36CA57D5" w14:textId="77777777" w:rsidR="00787570" w:rsidRDefault="00787570">
            <w:pPr>
              <w:rPr>
                <w:rFonts w:ascii="宋体"/>
              </w:rPr>
            </w:pPr>
          </w:p>
        </w:tc>
        <w:tc>
          <w:tcPr>
            <w:tcW w:w="50" w:type="pct"/>
            <w:shd w:val="clear" w:color="auto" w:fill="auto"/>
          </w:tcPr>
          <w:p w14:paraId="36CA57D6" w14:textId="77777777" w:rsidR="00787570" w:rsidRDefault="00787570">
            <w:pPr>
              <w:rPr>
                <w:rFonts w:ascii="宋体"/>
              </w:rPr>
            </w:pPr>
          </w:p>
        </w:tc>
        <w:tc>
          <w:tcPr>
            <w:tcW w:w="744" w:type="pct"/>
            <w:shd w:val="clear" w:color="auto" w:fill="auto"/>
          </w:tcPr>
          <w:p w14:paraId="36CA57D7" w14:textId="77777777" w:rsidR="00787570" w:rsidRDefault="00787570">
            <w:pPr>
              <w:rPr>
                <w:rFonts w:ascii="宋体"/>
              </w:rPr>
            </w:pPr>
          </w:p>
        </w:tc>
        <w:tc>
          <w:tcPr>
            <w:tcW w:w="5" w:type="pct"/>
            <w:shd w:val="clear" w:color="auto" w:fill="auto"/>
          </w:tcPr>
          <w:p w14:paraId="36CA57D8" w14:textId="77777777" w:rsidR="00787570" w:rsidRDefault="00787570">
            <w:pPr>
              <w:rPr>
                <w:rFonts w:ascii="宋体"/>
              </w:rPr>
            </w:pPr>
          </w:p>
        </w:tc>
      </w:tr>
      <w:tr w:rsidR="00787570" w14:paraId="36CA57E1" w14:textId="77777777">
        <w:tc>
          <w:tcPr>
            <w:tcW w:w="0" w:type="auto"/>
            <w:gridSpan w:val="3"/>
            <w:shd w:val="clear" w:color="auto" w:fill="auto"/>
            <w:tcMar>
              <w:top w:w="40" w:type="dxa"/>
              <w:left w:w="20" w:type="dxa"/>
              <w:bottom w:w="40" w:type="dxa"/>
              <w:right w:w="20" w:type="dxa"/>
            </w:tcMar>
            <w:vAlign w:val="bottom"/>
          </w:tcPr>
          <w:p w14:paraId="36CA57DA" w14:textId="77777777" w:rsidR="00787570" w:rsidRDefault="000D56E2">
            <w:pPr>
              <w:textAlignment w:val="bottom"/>
            </w:pPr>
            <w:r>
              <w:rPr>
                <w:rFonts w:ascii="Arial" w:eastAsia="宋体" w:hAnsi="Arial" w:cs="Arial"/>
                <w:b/>
                <w:bCs/>
                <w:color w:val="333333"/>
                <w:sz w:val="18"/>
                <w:szCs w:val="18"/>
              </w:rPr>
              <w:t>Peri</w:t>
            </w:r>
            <w:r>
              <w:rPr>
                <w:rFonts w:ascii="Arial" w:eastAsia="宋体" w:hAnsi="Arial" w:cs="Arial"/>
                <w:b/>
                <w:bCs/>
                <w:color w:val="333333"/>
                <w:sz w:val="18"/>
                <w:szCs w:val="18"/>
              </w:rPr>
              <w:t>od</w:t>
            </w:r>
          </w:p>
        </w:tc>
        <w:tc>
          <w:tcPr>
            <w:tcW w:w="0" w:type="auto"/>
            <w:gridSpan w:val="3"/>
            <w:shd w:val="clear" w:color="auto" w:fill="auto"/>
            <w:tcMar>
              <w:left w:w="20" w:type="dxa"/>
              <w:right w:w="20" w:type="dxa"/>
            </w:tcMar>
            <w:vAlign w:val="bottom"/>
          </w:tcPr>
          <w:p w14:paraId="36CA57DB" w14:textId="77777777" w:rsidR="00787570" w:rsidRDefault="00787570">
            <w:pPr>
              <w:rPr>
                <w:rFonts w:ascii="宋体"/>
              </w:rPr>
            </w:pPr>
          </w:p>
        </w:tc>
        <w:tc>
          <w:tcPr>
            <w:tcW w:w="0" w:type="auto"/>
            <w:gridSpan w:val="3"/>
            <w:shd w:val="clear" w:color="auto" w:fill="auto"/>
            <w:tcMar>
              <w:top w:w="40" w:type="dxa"/>
              <w:left w:w="20" w:type="dxa"/>
              <w:bottom w:w="40" w:type="dxa"/>
              <w:right w:w="20" w:type="dxa"/>
            </w:tcMar>
            <w:vAlign w:val="bottom"/>
          </w:tcPr>
          <w:p w14:paraId="36CA57DC" w14:textId="77777777" w:rsidR="00787570" w:rsidRDefault="000D56E2">
            <w:pPr>
              <w:jc w:val="center"/>
              <w:textAlignment w:val="bottom"/>
            </w:pPr>
            <w:r>
              <w:rPr>
                <w:rFonts w:ascii="Arial" w:eastAsia="宋体" w:hAnsi="Arial" w:cs="Arial"/>
                <w:b/>
                <w:bCs/>
                <w:color w:val="333333"/>
                <w:sz w:val="18"/>
                <w:szCs w:val="18"/>
              </w:rPr>
              <w:t>Total Number</w:t>
            </w:r>
            <w:r>
              <w:rPr>
                <w:rFonts w:ascii="Arial" w:eastAsia="宋体" w:hAnsi="Arial" w:cs="Arial"/>
                <w:b/>
                <w:bCs/>
                <w:color w:val="333333"/>
                <w:sz w:val="18"/>
                <w:szCs w:val="18"/>
              </w:rPr>
              <w:br/>
              <w:t>of Shares</w:t>
            </w:r>
            <w:r>
              <w:rPr>
                <w:rFonts w:ascii="Arial" w:eastAsia="宋体" w:hAnsi="Arial" w:cs="Arial"/>
                <w:b/>
                <w:bCs/>
                <w:color w:val="333333"/>
                <w:sz w:val="18"/>
                <w:szCs w:val="18"/>
              </w:rPr>
              <w:br/>
              <w:t>Purchased</w:t>
            </w:r>
            <w:r>
              <w:rPr>
                <w:rFonts w:ascii="Arial" w:eastAsia="宋体" w:hAnsi="Arial" w:cs="Arial"/>
                <w:b/>
                <w:bCs/>
                <w:color w:val="333333"/>
                <w:sz w:val="18"/>
                <w:szCs w:val="18"/>
              </w:rPr>
              <w:br/>
              <w:t>(In Millions)</w:t>
            </w:r>
          </w:p>
        </w:tc>
        <w:tc>
          <w:tcPr>
            <w:tcW w:w="0" w:type="auto"/>
            <w:gridSpan w:val="3"/>
            <w:shd w:val="clear" w:color="auto" w:fill="auto"/>
            <w:tcMar>
              <w:left w:w="20" w:type="dxa"/>
              <w:right w:w="20" w:type="dxa"/>
            </w:tcMar>
            <w:vAlign w:val="bottom"/>
          </w:tcPr>
          <w:p w14:paraId="36CA57DD" w14:textId="77777777" w:rsidR="00787570" w:rsidRDefault="00787570">
            <w:pPr>
              <w:jc w:val="center"/>
              <w:rPr>
                <w:rFonts w:ascii="宋体"/>
              </w:rPr>
            </w:pPr>
          </w:p>
        </w:tc>
        <w:tc>
          <w:tcPr>
            <w:tcW w:w="0" w:type="auto"/>
            <w:gridSpan w:val="3"/>
            <w:shd w:val="clear" w:color="auto" w:fill="auto"/>
            <w:tcMar>
              <w:top w:w="40" w:type="dxa"/>
              <w:left w:w="20" w:type="dxa"/>
              <w:bottom w:w="40" w:type="dxa"/>
              <w:right w:w="20" w:type="dxa"/>
            </w:tcMar>
            <w:vAlign w:val="bottom"/>
          </w:tcPr>
          <w:p w14:paraId="36CA57DE" w14:textId="77777777" w:rsidR="00787570" w:rsidRDefault="000D56E2">
            <w:pPr>
              <w:jc w:val="center"/>
              <w:textAlignment w:val="bottom"/>
            </w:pPr>
            <w:r>
              <w:rPr>
                <w:rFonts w:ascii="Arial" w:eastAsia="宋体" w:hAnsi="Arial" w:cs="Arial"/>
                <w:b/>
                <w:bCs/>
                <w:color w:val="333333"/>
                <w:sz w:val="18"/>
                <w:szCs w:val="18"/>
              </w:rPr>
              <w:t>Average Price</w:t>
            </w:r>
            <w:r>
              <w:rPr>
                <w:rFonts w:ascii="Arial" w:eastAsia="宋体" w:hAnsi="Arial" w:cs="Arial"/>
                <w:b/>
                <w:bCs/>
                <w:color w:val="333333"/>
                <w:sz w:val="18"/>
                <w:szCs w:val="18"/>
              </w:rPr>
              <w:br/>
              <w:t>Paid Per Share</w:t>
            </w:r>
          </w:p>
        </w:tc>
        <w:tc>
          <w:tcPr>
            <w:tcW w:w="0" w:type="auto"/>
            <w:gridSpan w:val="3"/>
            <w:shd w:val="clear" w:color="auto" w:fill="auto"/>
            <w:tcMar>
              <w:left w:w="20" w:type="dxa"/>
              <w:right w:w="20" w:type="dxa"/>
            </w:tcMar>
            <w:vAlign w:val="bottom"/>
          </w:tcPr>
          <w:p w14:paraId="36CA57DF" w14:textId="77777777" w:rsidR="00787570" w:rsidRDefault="00787570">
            <w:pPr>
              <w:jc w:val="center"/>
              <w:rPr>
                <w:rFonts w:ascii="宋体"/>
              </w:rPr>
            </w:pPr>
          </w:p>
        </w:tc>
        <w:tc>
          <w:tcPr>
            <w:tcW w:w="0" w:type="auto"/>
            <w:gridSpan w:val="3"/>
            <w:shd w:val="clear" w:color="auto" w:fill="auto"/>
            <w:tcMar>
              <w:top w:w="40" w:type="dxa"/>
              <w:left w:w="20" w:type="dxa"/>
              <w:bottom w:w="40" w:type="dxa"/>
              <w:right w:w="20" w:type="dxa"/>
            </w:tcMar>
            <w:vAlign w:val="bottom"/>
          </w:tcPr>
          <w:p w14:paraId="36CA57E0" w14:textId="77777777" w:rsidR="00787570" w:rsidRDefault="000D56E2">
            <w:pPr>
              <w:jc w:val="center"/>
              <w:textAlignment w:val="bottom"/>
            </w:pPr>
            <w:r>
              <w:rPr>
                <w:rFonts w:ascii="Arial" w:eastAsia="宋体" w:hAnsi="Arial" w:cs="Arial"/>
                <w:b/>
                <w:bCs/>
                <w:color w:val="333333"/>
                <w:sz w:val="18"/>
                <w:szCs w:val="18"/>
              </w:rPr>
              <w:t>Dollar Value of</w:t>
            </w:r>
            <w:r>
              <w:rPr>
                <w:rFonts w:ascii="Arial" w:eastAsia="宋体" w:hAnsi="Arial" w:cs="Arial"/>
                <w:b/>
                <w:bCs/>
                <w:color w:val="333333"/>
                <w:sz w:val="18"/>
                <w:szCs w:val="18"/>
              </w:rPr>
              <w:br/>
              <w:t>Shares That May</w:t>
            </w:r>
            <w:r>
              <w:rPr>
                <w:rFonts w:ascii="Arial" w:eastAsia="宋体" w:hAnsi="Arial" w:cs="Arial"/>
                <w:b/>
                <w:bCs/>
                <w:color w:val="333333"/>
                <w:sz w:val="18"/>
                <w:szCs w:val="18"/>
              </w:rPr>
              <w:br/>
              <w:t>Yet Be Purchased</w:t>
            </w:r>
            <w:r>
              <w:rPr>
                <w:rFonts w:ascii="Arial" w:eastAsia="宋体" w:hAnsi="Arial" w:cs="Arial"/>
                <w:b/>
                <w:bCs/>
                <w:color w:val="333333"/>
                <w:sz w:val="18"/>
                <w:szCs w:val="18"/>
              </w:rPr>
              <w:br/>
              <w:t>Under the Program</w:t>
            </w:r>
            <w:r>
              <w:rPr>
                <w:rFonts w:ascii="Arial" w:eastAsia="宋体" w:hAnsi="Arial" w:cs="Arial"/>
                <w:b/>
                <w:bCs/>
                <w:color w:val="333333"/>
                <w:sz w:val="18"/>
                <w:szCs w:val="18"/>
              </w:rPr>
              <w:br/>
              <w:t>(In Millions)</w:t>
            </w:r>
          </w:p>
        </w:tc>
      </w:tr>
      <w:tr w:rsidR="00787570" w14:paraId="36CA57EE" w14:textId="77777777">
        <w:tc>
          <w:tcPr>
            <w:tcW w:w="0" w:type="auto"/>
            <w:gridSpan w:val="3"/>
            <w:tcBorders>
              <w:top w:val="single" w:sz="8" w:space="0" w:color="0071C5"/>
            </w:tcBorders>
            <w:shd w:val="clear" w:color="auto" w:fill="auto"/>
            <w:tcMar>
              <w:top w:w="40" w:type="dxa"/>
              <w:left w:w="20" w:type="dxa"/>
              <w:bottom w:w="40" w:type="dxa"/>
              <w:right w:w="20" w:type="dxa"/>
            </w:tcMar>
            <w:vAlign w:val="bottom"/>
          </w:tcPr>
          <w:p w14:paraId="36CA57E2" w14:textId="77777777" w:rsidR="00787570" w:rsidRDefault="000D56E2">
            <w:pPr>
              <w:textAlignment w:val="bottom"/>
            </w:pPr>
            <w:r>
              <w:rPr>
                <w:rFonts w:ascii="Arial" w:eastAsia="宋体" w:hAnsi="Arial" w:cs="Arial"/>
                <w:color w:val="333333"/>
                <w:sz w:val="18"/>
                <w:szCs w:val="18"/>
              </w:rPr>
              <w:t>June 28, 2020 - July 25, 2020</w:t>
            </w:r>
          </w:p>
        </w:tc>
        <w:tc>
          <w:tcPr>
            <w:tcW w:w="0" w:type="auto"/>
            <w:gridSpan w:val="3"/>
            <w:shd w:val="clear" w:color="auto" w:fill="auto"/>
            <w:tcMar>
              <w:left w:w="20" w:type="dxa"/>
              <w:right w:w="20" w:type="dxa"/>
            </w:tcMar>
            <w:vAlign w:val="bottom"/>
          </w:tcPr>
          <w:p w14:paraId="36CA57E3" w14:textId="77777777" w:rsidR="00787570" w:rsidRDefault="00787570">
            <w:pPr>
              <w:rPr>
                <w:rFonts w:ascii="宋体"/>
              </w:rPr>
            </w:pPr>
          </w:p>
        </w:tc>
        <w:tc>
          <w:tcPr>
            <w:tcW w:w="0" w:type="auto"/>
            <w:gridSpan w:val="2"/>
            <w:tcBorders>
              <w:top w:val="single" w:sz="8" w:space="0" w:color="0071C5"/>
            </w:tcBorders>
            <w:shd w:val="clear" w:color="auto" w:fill="auto"/>
            <w:tcMar>
              <w:top w:w="40" w:type="dxa"/>
              <w:left w:w="20" w:type="dxa"/>
              <w:bottom w:w="40" w:type="dxa"/>
              <w:right w:w="0" w:type="dxa"/>
            </w:tcMar>
            <w:vAlign w:val="bottom"/>
          </w:tcPr>
          <w:p w14:paraId="36CA57E4" w14:textId="77777777" w:rsidR="00787570" w:rsidRDefault="000D56E2">
            <w:pPr>
              <w:jc w:val="right"/>
              <w:textAlignment w:val="bottom"/>
            </w:pPr>
            <w:r>
              <w:rPr>
                <w:rFonts w:ascii="Arial" w:eastAsia="宋体" w:hAnsi="Arial" w:cs="Arial"/>
                <w:color w:val="0071C5"/>
                <w:sz w:val="18"/>
                <w:szCs w:val="18"/>
              </w:rPr>
              <w:t>— </w:t>
            </w:r>
          </w:p>
        </w:tc>
        <w:tc>
          <w:tcPr>
            <w:tcW w:w="0" w:type="auto"/>
            <w:tcBorders>
              <w:top w:val="single" w:sz="8" w:space="0" w:color="0071C5"/>
            </w:tcBorders>
            <w:shd w:val="clear" w:color="auto" w:fill="auto"/>
            <w:tcMar>
              <w:top w:w="40" w:type="dxa"/>
              <w:bottom w:w="40" w:type="dxa"/>
              <w:right w:w="20" w:type="dxa"/>
            </w:tcMar>
            <w:vAlign w:val="bottom"/>
          </w:tcPr>
          <w:p w14:paraId="36CA57E5"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57E6" w14:textId="77777777" w:rsidR="00787570" w:rsidRDefault="00787570">
            <w:pPr>
              <w:rPr>
                <w:rFonts w:ascii="宋体"/>
              </w:rPr>
            </w:pPr>
          </w:p>
        </w:tc>
        <w:tc>
          <w:tcPr>
            <w:tcW w:w="0" w:type="auto"/>
            <w:tcBorders>
              <w:top w:val="single" w:sz="8" w:space="0" w:color="0071C5"/>
            </w:tcBorders>
            <w:shd w:val="clear" w:color="auto" w:fill="FFFFFF"/>
            <w:tcMar>
              <w:top w:w="40" w:type="dxa"/>
              <w:left w:w="20" w:type="dxa"/>
              <w:bottom w:w="40" w:type="dxa"/>
            </w:tcMar>
            <w:vAlign w:val="bottom"/>
          </w:tcPr>
          <w:p w14:paraId="36CA57E7" w14:textId="77777777" w:rsidR="00787570" w:rsidRDefault="000D56E2">
            <w:pPr>
              <w:textAlignment w:val="bottom"/>
            </w:pPr>
            <w:r>
              <w:rPr>
                <w:rFonts w:ascii="Arial" w:eastAsia="宋体" w:hAnsi="Arial" w:cs="Arial"/>
                <w:color w:val="0071C5"/>
                <w:sz w:val="18"/>
                <w:szCs w:val="18"/>
              </w:rPr>
              <w:t>$</w:t>
            </w:r>
          </w:p>
        </w:tc>
        <w:tc>
          <w:tcPr>
            <w:tcW w:w="0" w:type="auto"/>
            <w:tcBorders>
              <w:top w:val="single" w:sz="8" w:space="0" w:color="0071C5"/>
            </w:tcBorders>
            <w:shd w:val="clear" w:color="auto" w:fill="FFFFFF"/>
            <w:tcMar>
              <w:top w:w="40" w:type="dxa"/>
              <w:bottom w:w="40" w:type="dxa"/>
              <w:right w:w="0" w:type="dxa"/>
            </w:tcMar>
            <w:vAlign w:val="bottom"/>
          </w:tcPr>
          <w:p w14:paraId="36CA57E8" w14:textId="77777777" w:rsidR="00787570" w:rsidRDefault="000D56E2">
            <w:pPr>
              <w:jc w:val="right"/>
              <w:textAlignment w:val="bottom"/>
            </w:pPr>
            <w:r>
              <w:rPr>
                <w:rFonts w:ascii="Arial" w:eastAsia="宋体" w:hAnsi="Arial" w:cs="Arial"/>
                <w:color w:val="0071C5"/>
                <w:sz w:val="18"/>
                <w:szCs w:val="18"/>
              </w:rPr>
              <w:t>— </w:t>
            </w:r>
          </w:p>
        </w:tc>
        <w:tc>
          <w:tcPr>
            <w:tcW w:w="0" w:type="auto"/>
            <w:tcBorders>
              <w:top w:val="single" w:sz="8" w:space="0" w:color="0071C5"/>
            </w:tcBorders>
            <w:shd w:val="clear" w:color="auto" w:fill="FFFFFF"/>
            <w:tcMar>
              <w:top w:w="40" w:type="dxa"/>
              <w:bottom w:w="40" w:type="dxa"/>
              <w:right w:w="20" w:type="dxa"/>
            </w:tcMar>
            <w:vAlign w:val="bottom"/>
          </w:tcPr>
          <w:p w14:paraId="36CA57E9"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57EA" w14:textId="77777777" w:rsidR="00787570" w:rsidRDefault="00787570">
            <w:pPr>
              <w:rPr>
                <w:rFonts w:ascii="宋体"/>
              </w:rPr>
            </w:pPr>
          </w:p>
        </w:tc>
        <w:tc>
          <w:tcPr>
            <w:tcW w:w="0" w:type="auto"/>
            <w:tcBorders>
              <w:top w:val="single" w:sz="8" w:space="0" w:color="0071C5"/>
            </w:tcBorders>
            <w:shd w:val="clear" w:color="auto" w:fill="auto"/>
            <w:tcMar>
              <w:top w:w="40" w:type="dxa"/>
              <w:left w:w="20" w:type="dxa"/>
              <w:bottom w:w="40" w:type="dxa"/>
            </w:tcMar>
            <w:vAlign w:val="bottom"/>
          </w:tcPr>
          <w:p w14:paraId="36CA57EB" w14:textId="77777777" w:rsidR="00787570" w:rsidRDefault="000D56E2">
            <w:pPr>
              <w:textAlignment w:val="bottom"/>
            </w:pPr>
            <w:r>
              <w:rPr>
                <w:rFonts w:ascii="Arial" w:eastAsia="宋体" w:hAnsi="Arial" w:cs="Arial"/>
                <w:b/>
                <w:bCs/>
                <w:color w:val="0071C5"/>
                <w:sz w:val="18"/>
                <w:szCs w:val="18"/>
              </w:rPr>
              <w:t>$</w:t>
            </w:r>
          </w:p>
        </w:tc>
        <w:tc>
          <w:tcPr>
            <w:tcW w:w="0" w:type="auto"/>
            <w:tcBorders>
              <w:top w:val="single" w:sz="8" w:space="0" w:color="0071C5"/>
            </w:tcBorders>
            <w:shd w:val="clear" w:color="auto" w:fill="auto"/>
            <w:tcMar>
              <w:top w:w="40" w:type="dxa"/>
              <w:bottom w:w="40" w:type="dxa"/>
              <w:right w:w="0" w:type="dxa"/>
            </w:tcMar>
            <w:vAlign w:val="bottom"/>
          </w:tcPr>
          <w:p w14:paraId="36CA57EC" w14:textId="77777777" w:rsidR="00787570" w:rsidRDefault="000D56E2">
            <w:pPr>
              <w:jc w:val="right"/>
              <w:textAlignment w:val="bottom"/>
            </w:pPr>
            <w:r>
              <w:rPr>
                <w:rFonts w:ascii="Arial" w:eastAsia="宋体" w:hAnsi="Arial" w:cs="Arial"/>
                <w:b/>
                <w:bCs/>
                <w:color w:val="0071C5"/>
                <w:sz w:val="18"/>
                <w:szCs w:val="18"/>
              </w:rPr>
              <w:t>19,658</w:t>
            </w:r>
            <w:r>
              <w:rPr>
                <w:rFonts w:ascii="Arial" w:eastAsia="宋体" w:hAnsi="Arial" w:cs="Arial"/>
                <w:color w:val="0071C5"/>
                <w:sz w:val="18"/>
                <w:szCs w:val="18"/>
              </w:rPr>
              <w:t> </w:t>
            </w:r>
          </w:p>
        </w:tc>
        <w:tc>
          <w:tcPr>
            <w:tcW w:w="0" w:type="auto"/>
            <w:tcBorders>
              <w:top w:val="single" w:sz="8" w:space="0" w:color="0071C5"/>
            </w:tcBorders>
            <w:shd w:val="clear" w:color="auto" w:fill="auto"/>
            <w:tcMar>
              <w:top w:w="40" w:type="dxa"/>
              <w:bottom w:w="40" w:type="dxa"/>
              <w:right w:w="20" w:type="dxa"/>
            </w:tcMar>
            <w:vAlign w:val="bottom"/>
          </w:tcPr>
          <w:p w14:paraId="36CA57ED" w14:textId="77777777" w:rsidR="00787570" w:rsidRDefault="00787570">
            <w:pPr>
              <w:jc w:val="right"/>
              <w:rPr>
                <w:rFonts w:ascii="宋体"/>
              </w:rPr>
            </w:pPr>
          </w:p>
        </w:tc>
      </w:tr>
      <w:tr w:rsidR="00787570" w14:paraId="36CA57F6" w14:textId="77777777">
        <w:tc>
          <w:tcPr>
            <w:tcW w:w="0" w:type="auto"/>
            <w:gridSpan w:val="3"/>
            <w:shd w:val="clear" w:color="auto" w:fill="auto"/>
            <w:tcMar>
              <w:top w:w="40" w:type="dxa"/>
              <w:left w:w="20" w:type="dxa"/>
              <w:bottom w:w="40" w:type="dxa"/>
              <w:right w:w="20" w:type="dxa"/>
            </w:tcMar>
            <w:vAlign w:val="bottom"/>
          </w:tcPr>
          <w:p w14:paraId="36CA57EF" w14:textId="77777777" w:rsidR="00787570" w:rsidRDefault="000D56E2">
            <w:pPr>
              <w:textAlignment w:val="bottom"/>
            </w:pPr>
            <w:r>
              <w:rPr>
                <w:rFonts w:ascii="Arial" w:eastAsia="宋体" w:hAnsi="Arial" w:cs="Arial"/>
                <w:color w:val="333333"/>
                <w:sz w:val="18"/>
                <w:szCs w:val="18"/>
              </w:rPr>
              <w:t>July 26, 2020 - August 22, 2020</w:t>
            </w:r>
          </w:p>
        </w:tc>
        <w:tc>
          <w:tcPr>
            <w:tcW w:w="0" w:type="auto"/>
            <w:gridSpan w:val="3"/>
            <w:shd w:val="clear" w:color="auto" w:fill="auto"/>
            <w:tcMar>
              <w:left w:w="20" w:type="dxa"/>
              <w:right w:w="20" w:type="dxa"/>
            </w:tcMar>
            <w:vAlign w:val="bottom"/>
          </w:tcPr>
          <w:p w14:paraId="36CA57F0"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57F1"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57F2" w14:textId="77777777" w:rsidR="00787570" w:rsidRDefault="00787570">
            <w:pPr>
              <w:rPr>
                <w:rFonts w:ascii="宋体"/>
              </w:rPr>
            </w:pPr>
          </w:p>
        </w:tc>
        <w:tc>
          <w:tcPr>
            <w:tcW w:w="0" w:type="auto"/>
            <w:gridSpan w:val="3"/>
            <w:shd w:val="clear" w:color="auto" w:fill="FFFFFF"/>
            <w:tcMar>
              <w:left w:w="20" w:type="dxa"/>
              <w:right w:w="20" w:type="dxa"/>
            </w:tcMar>
            <w:vAlign w:val="bottom"/>
          </w:tcPr>
          <w:p w14:paraId="36CA57F3"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57F4"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57F5" w14:textId="77777777" w:rsidR="00787570" w:rsidRDefault="00787570">
            <w:pPr>
              <w:jc w:val="right"/>
              <w:rPr>
                <w:rFonts w:ascii="宋体"/>
              </w:rPr>
            </w:pPr>
          </w:p>
        </w:tc>
      </w:tr>
      <w:tr w:rsidR="00787570" w14:paraId="36CA5803" w14:textId="77777777">
        <w:tc>
          <w:tcPr>
            <w:tcW w:w="0" w:type="auto"/>
            <w:gridSpan w:val="3"/>
            <w:shd w:val="clear" w:color="auto" w:fill="auto"/>
            <w:tcMar>
              <w:top w:w="40" w:type="dxa"/>
              <w:left w:w="20" w:type="dxa"/>
              <w:bottom w:w="40" w:type="dxa"/>
              <w:right w:w="20" w:type="dxa"/>
            </w:tcMar>
            <w:vAlign w:val="bottom"/>
          </w:tcPr>
          <w:p w14:paraId="36CA57F7" w14:textId="77777777" w:rsidR="00787570" w:rsidRDefault="000D56E2">
            <w:pPr>
              <w:textAlignment w:val="bottom"/>
            </w:pPr>
            <w:r>
              <w:rPr>
                <w:rFonts w:ascii="Arial" w:eastAsia="宋体" w:hAnsi="Arial" w:cs="Arial"/>
                <w:color w:val="333333"/>
                <w:sz w:val="18"/>
                <w:szCs w:val="18"/>
              </w:rPr>
              <w:t>Accelerated Share Repurchases</w:t>
            </w:r>
            <w:r>
              <w:rPr>
                <w:rFonts w:ascii="Arial" w:eastAsia="宋体" w:hAnsi="Arial" w:cs="Arial"/>
                <w:color w:val="333333"/>
                <w:sz w:val="11"/>
                <w:szCs w:val="11"/>
              </w:rPr>
              <w:t>1</w:t>
            </w:r>
          </w:p>
        </w:tc>
        <w:tc>
          <w:tcPr>
            <w:tcW w:w="0" w:type="auto"/>
            <w:gridSpan w:val="3"/>
            <w:shd w:val="clear" w:color="auto" w:fill="auto"/>
            <w:tcMar>
              <w:left w:w="20" w:type="dxa"/>
              <w:right w:w="20" w:type="dxa"/>
            </w:tcMar>
            <w:vAlign w:val="bottom"/>
          </w:tcPr>
          <w:p w14:paraId="36CA57F8"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57F9" w14:textId="77777777" w:rsidR="00787570" w:rsidRDefault="000D56E2">
            <w:pPr>
              <w:jc w:val="right"/>
              <w:textAlignment w:val="bottom"/>
            </w:pPr>
            <w:r>
              <w:rPr>
                <w:rFonts w:ascii="Arial" w:eastAsia="宋体" w:hAnsi="Arial" w:cs="Arial"/>
                <w:color w:val="0071C5"/>
                <w:sz w:val="18"/>
                <w:szCs w:val="18"/>
              </w:rPr>
              <w:t>166 </w:t>
            </w:r>
          </w:p>
        </w:tc>
        <w:tc>
          <w:tcPr>
            <w:tcW w:w="0" w:type="auto"/>
            <w:shd w:val="clear" w:color="auto" w:fill="auto"/>
            <w:tcMar>
              <w:top w:w="40" w:type="dxa"/>
              <w:bottom w:w="40" w:type="dxa"/>
              <w:right w:w="20" w:type="dxa"/>
            </w:tcMar>
            <w:vAlign w:val="bottom"/>
          </w:tcPr>
          <w:p w14:paraId="36CA57FA"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57FB" w14:textId="77777777" w:rsidR="00787570" w:rsidRDefault="00787570">
            <w:pPr>
              <w:jc w:val="center"/>
              <w:rPr>
                <w:rFonts w:ascii="宋体"/>
              </w:rPr>
            </w:pPr>
          </w:p>
        </w:tc>
        <w:tc>
          <w:tcPr>
            <w:tcW w:w="0" w:type="auto"/>
            <w:shd w:val="clear" w:color="auto" w:fill="FFFFFF"/>
            <w:tcMar>
              <w:top w:w="40" w:type="dxa"/>
              <w:left w:w="20" w:type="dxa"/>
              <w:bottom w:w="40" w:type="dxa"/>
            </w:tcMar>
            <w:vAlign w:val="bottom"/>
          </w:tcPr>
          <w:p w14:paraId="36CA57FC" w14:textId="77777777" w:rsidR="00787570" w:rsidRDefault="000D56E2">
            <w:pPr>
              <w:textAlignment w:val="bottom"/>
            </w:pPr>
            <w:r>
              <w:rPr>
                <w:rFonts w:ascii="Arial" w:eastAsia="宋体" w:hAnsi="Arial" w:cs="Arial"/>
                <w:color w:val="0071C5"/>
                <w:sz w:val="18"/>
                <w:szCs w:val="18"/>
              </w:rPr>
              <w:t>$</w:t>
            </w:r>
          </w:p>
        </w:tc>
        <w:tc>
          <w:tcPr>
            <w:tcW w:w="0" w:type="auto"/>
            <w:shd w:val="clear" w:color="auto" w:fill="FFFFFF"/>
            <w:tcMar>
              <w:top w:w="40" w:type="dxa"/>
              <w:bottom w:w="40" w:type="dxa"/>
              <w:right w:w="0" w:type="dxa"/>
            </w:tcMar>
            <w:vAlign w:val="bottom"/>
          </w:tcPr>
          <w:p w14:paraId="36CA57FD" w14:textId="77777777" w:rsidR="00787570" w:rsidRDefault="000D56E2">
            <w:pPr>
              <w:jc w:val="right"/>
              <w:textAlignment w:val="bottom"/>
            </w:pPr>
            <w:r>
              <w:rPr>
                <w:rFonts w:ascii="Arial" w:eastAsia="宋体" w:hAnsi="Arial" w:cs="Arial"/>
                <w:color w:val="0071C5"/>
                <w:sz w:val="18"/>
                <w:szCs w:val="18"/>
              </w:rPr>
              <w:t>— </w:t>
            </w:r>
          </w:p>
        </w:tc>
        <w:tc>
          <w:tcPr>
            <w:tcW w:w="0" w:type="auto"/>
            <w:shd w:val="clear" w:color="auto" w:fill="FFFFFF"/>
            <w:tcMar>
              <w:top w:w="40" w:type="dxa"/>
              <w:bottom w:w="40" w:type="dxa"/>
              <w:right w:w="20" w:type="dxa"/>
            </w:tcMar>
            <w:vAlign w:val="bottom"/>
          </w:tcPr>
          <w:p w14:paraId="36CA57FE"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57FF" w14:textId="77777777" w:rsidR="00787570" w:rsidRDefault="00787570">
            <w:pPr>
              <w:rPr>
                <w:rFonts w:ascii="宋体"/>
              </w:rPr>
            </w:pPr>
          </w:p>
        </w:tc>
        <w:tc>
          <w:tcPr>
            <w:tcW w:w="0" w:type="auto"/>
            <w:shd w:val="clear" w:color="auto" w:fill="auto"/>
            <w:tcMar>
              <w:top w:w="40" w:type="dxa"/>
              <w:left w:w="20" w:type="dxa"/>
              <w:bottom w:w="40" w:type="dxa"/>
            </w:tcMar>
            <w:vAlign w:val="bottom"/>
          </w:tcPr>
          <w:p w14:paraId="36CA5800" w14:textId="77777777" w:rsidR="00787570" w:rsidRDefault="000D56E2">
            <w:pPr>
              <w:textAlignment w:val="bottom"/>
            </w:pPr>
            <w:r>
              <w:rPr>
                <w:rFonts w:ascii="Arial" w:eastAsia="宋体" w:hAnsi="Arial" w:cs="Arial"/>
                <w:b/>
                <w:bCs/>
                <w:color w:val="0071C5"/>
                <w:sz w:val="18"/>
                <w:szCs w:val="18"/>
              </w:rPr>
              <w:t>$</w:t>
            </w:r>
          </w:p>
        </w:tc>
        <w:tc>
          <w:tcPr>
            <w:tcW w:w="0" w:type="auto"/>
            <w:shd w:val="clear" w:color="auto" w:fill="auto"/>
            <w:tcMar>
              <w:top w:w="40" w:type="dxa"/>
              <w:bottom w:w="40" w:type="dxa"/>
              <w:right w:w="0" w:type="dxa"/>
            </w:tcMar>
            <w:vAlign w:val="bottom"/>
          </w:tcPr>
          <w:p w14:paraId="36CA5801" w14:textId="77777777" w:rsidR="00787570" w:rsidRDefault="000D56E2">
            <w:pPr>
              <w:jc w:val="right"/>
              <w:textAlignment w:val="bottom"/>
            </w:pPr>
            <w:r>
              <w:rPr>
                <w:rFonts w:ascii="Arial" w:eastAsia="宋体" w:hAnsi="Arial" w:cs="Arial"/>
                <w:b/>
                <w:bCs/>
                <w:color w:val="0071C5"/>
                <w:sz w:val="18"/>
                <w:szCs w:val="18"/>
              </w:rPr>
              <w:t>9,658</w:t>
            </w:r>
            <w:r>
              <w:rPr>
                <w:rFonts w:ascii="Arial" w:eastAsia="宋体" w:hAnsi="Arial" w:cs="Arial"/>
                <w:color w:val="0071C5"/>
                <w:sz w:val="18"/>
                <w:szCs w:val="18"/>
              </w:rPr>
              <w:t> </w:t>
            </w:r>
          </w:p>
        </w:tc>
        <w:tc>
          <w:tcPr>
            <w:tcW w:w="0" w:type="auto"/>
            <w:shd w:val="clear" w:color="auto" w:fill="auto"/>
            <w:tcMar>
              <w:top w:w="40" w:type="dxa"/>
              <w:bottom w:w="40" w:type="dxa"/>
              <w:right w:w="20" w:type="dxa"/>
            </w:tcMar>
            <w:vAlign w:val="bottom"/>
          </w:tcPr>
          <w:p w14:paraId="36CA5802" w14:textId="77777777" w:rsidR="00787570" w:rsidRDefault="00787570">
            <w:pPr>
              <w:jc w:val="right"/>
              <w:rPr>
                <w:rFonts w:ascii="宋体"/>
              </w:rPr>
            </w:pPr>
          </w:p>
        </w:tc>
      </w:tr>
      <w:tr w:rsidR="00787570" w14:paraId="36CA5810" w14:textId="77777777">
        <w:tc>
          <w:tcPr>
            <w:tcW w:w="0" w:type="auto"/>
            <w:gridSpan w:val="3"/>
            <w:shd w:val="clear" w:color="auto" w:fill="auto"/>
            <w:tcMar>
              <w:top w:w="40" w:type="dxa"/>
              <w:left w:w="20" w:type="dxa"/>
              <w:bottom w:w="40" w:type="dxa"/>
              <w:right w:w="20" w:type="dxa"/>
            </w:tcMar>
            <w:vAlign w:val="bottom"/>
          </w:tcPr>
          <w:p w14:paraId="36CA5804" w14:textId="77777777" w:rsidR="00787570" w:rsidRDefault="000D56E2">
            <w:pPr>
              <w:textAlignment w:val="bottom"/>
            </w:pPr>
            <w:r>
              <w:rPr>
                <w:rFonts w:ascii="Arial" w:eastAsia="宋体" w:hAnsi="Arial" w:cs="Arial"/>
                <w:color w:val="333333"/>
                <w:sz w:val="18"/>
                <w:szCs w:val="18"/>
              </w:rPr>
              <w:t>August 23, 2020 - September 26, 2020</w:t>
            </w:r>
          </w:p>
        </w:tc>
        <w:tc>
          <w:tcPr>
            <w:tcW w:w="0" w:type="auto"/>
            <w:gridSpan w:val="3"/>
            <w:shd w:val="clear" w:color="auto" w:fill="auto"/>
            <w:tcMar>
              <w:left w:w="20" w:type="dxa"/>
              <w:right w:w="20" w:type="dxa"/>
            </w:tcMar>
            <w:vAlign w:val="bottom"/>
          </w:tcPr>
          <w:p w14:paraId="36CA5805" w14:textId="77777777" w:rsidR="00787570" w:rsidRDefault="00787570">
            <w:pPr>
              <w:rPr>
                <w:rFonts w:ascii="宋体"/>
              </w:rPr>
            </w:pPr>
          </w:p>
        </w:tc>
        <w:tc>
          <w:tcPr>
            <w:tcW w:w="0" w:type="auto"/>
            <w:gridSpan w:val="2"/>
            <w:shd w:val="clear" w:color="auto" w:fill="auto"/>
            <w:tcMar>
              <w:top w:w="40" w:type="dxa"/>
              <w:left w:w="20" w:type="dxa"/>
              <w:bottom w:w="40" w:type="dxa"/>
              <w:right w:w="0" w:type="dxa"/>
            </w:tcMar>
            <w:vAlign w:val="bottom"/>
          </w:tcPr>
          <w:p w14:paraId="36CA5806" w14:textId="77777777" w:rsidR="00787570" w:rsidRDefault="000D56E2">
            <w:pPr>
              <w:jc w:val="right"/>
              <w:textAlignment w:val="bottom"/>
            </w:pPr>
            <w:r>
              <w:rPr>
                <w:rFonts w:ascii="Arial" w:eastAsia="宋体" w:hAnsi="Arial" w:cs="Arial"/>
                <w:color w:val="0071C5"/>
                <w:sz w:val="18"/>
                <w:szCs w:val="18"/>
              </w:rPr>
              <w:t>— </w:t>
            </w:r>
          </w:p>
        </w:tc>
        <w:tc>
          <w:tcPr>
            <w:tcW w:w="0" w:type="auto"/>
            <w:shd w:val="clear" w:color="auto" w:fill="auto"/>
            <w:tcMar>
              <w:top w:w="40" w:type="dxa"/>
              <w:bottom w:w="40" w:type="dxa"/>
              <w:right w:w="20" w:type="dxa"/>
            </w:tcMar>
            <w:vAlign w:val="bottom"/>
          </w:tcPr>
          <w:p w14:paraId="36CA5807"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5808" w14:textId="77777777" w:rsidR="00787570" w:rsidRDefault="00787570">
            <w:pPr>
              <w:rPr>
                <w:rFonts w:ascii="宋体"/>
              </w:rPr>
            </w:pPr>
          </w:p>
        </w:tc>
        <w:tc>
          <w:tcPr>
            <w:tcW w:w="0" w:type="auto"/>
            <w:shd w:val="clear" w:color="auto" w:fill="FFFFFF"/>
            <w:tcMar>
              <w:top w:w="40" w:type="dxa"/>
              <w:left w:w="20" w:type="dxa"/>
              <w:bottom w:w="40" w:type="dxa"/>
            </w:tcMar>
            <w:vAlign w:val="bottom"/>
          </w:tcPr>
          <w:p w14:paraId="36CA5809" w14:textId="77777777" w:rsidR="00787570" w:rsidRDefault="000D56E2">
            <w:pPr>
              <w:textAlignment w:val="bottom"/>
            </w:pPr>
            <w:r>
              <w:rPr>
                <w:rFonts w:ascii="Arial" w:eastAsia="宋体" w:hAnsi="Arial" w:cs="Arial"/>
                <w:color w:val="0071C5"/>
                <w:sz w:val="18"/>
                <w:szCs w:val="18"/>
              </w:rPr>
              <w:t>$</w:t>
            </w:r>
          </w:p>
        </w:tc>
        <w:tc>
          <w:tcPr>
            <w:tcW w:w="0" w:type="auto"/>
            <w:shd w:val="clear" w:color="auto" w:fill="FFFFFF"/>
            <w:tcMar>
              <w:top w:w="40" w:type="dxa"/>
              <w:bottom w:w="40" w:type="dxa"/>
              <w:right w:w="0" w:type="dxa"/>
            </w:tcMar>
            <w:vAlign w:val="bottom"/>
          </w:tcPr>
          <w:p w14:paraId="36CA580A" w14:textId="77777777" w:rsidR="00787570" w:rsidRDefault="000D56E2">
            <w:pPr>
              <w:jc w:val="right"/>
              <w:textAlignment w:val="bottom"/>
            </w:pPr>
            <w:r>
              <w:rPr>
                <w:rFonts w:ascii="Arial" w:eastAsia="宋体" w:hAnsi="Arial" w:cs="Arial"/>
                <w:color w:val="0071C5"/>
                <w:sz w:val="18"/>
                <w:szCs w:val="18"/>
              </w:rPr>
              <w:t>— </w:t>
            </w:r>
          </w:p>
        </w:tc>
        <w:tc>
          <w:tcPr>
            <w:tcW w:w="0" w:type="auto"/>
            <w:shd w:val="clear" w:color="auto" w:fill="FFFFFF"/>
            <w:tcMar>
              <w:top w:w="40" w:type="dxa"/>
              <w:bottom w:w="40" w:type="dxa"/>
              <w:right w:w="20" w:type="dxa"/>
            </w:tcMar>
            <w:vAlign w:val="bottom"/>
          </w:tcPr>
          <w:p w14:paraId="36CA580B"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580C" w14:textId="77777777" w:rsidR="00787570" w:rsidRDefault="00787570">
            <w:pPr>
              <w:rPr>
                <w:rFonts w:ascii="宋体"/>
              </w:rPr>
            </w:pPr>
          </w:p>
        </w:tc>
        <w:tc>
          <w:tcPr>
            <w:tcW w:w="0" w:type="auto"/>
            <w:shd w:val="clear" w:color="auto" w:fill="auto"/>
            <w:tcMar>
              <w:top w:w="40" w:type="dxa"/>
              <w:left w:w="20" w:type="dxa"/>
              <w:bottom w:w="40" w:type="dxa"/>
            </w:tcMar>
            <w:vAlign w:val="bottom"/>
          </w:tcPr>
          <w:p w14:paraId="36CA580D" w14:textId="77777777" w:rsidR="00787570" w:rsidRDefault="000D56E2">
            <w:pPr>
              <w:textAlignment w:val="bottom"/>
            </w:pPr>
            <w:r>
              <w:rPr>
                <w:rFonts w:ascii="Arial" w:eastAsia="宋体" w:hAnsi="Arial" w:cs="Arial"/>
                <w:b/>
                <w:bCs/>
                <w:color w:val="0071C5"/>
                <w:sz w:val="18"/>
                <w:szCs w:val="18"/>
              </w:rPr>
              <w:t>$</w:t>
            </w:r>
          </w:p>
        </w:tc>
        <w:tc>
          <w:tcPr>
            <w:tcW w:w="0" w:type="auto"/>
            <w:shd w:val="clear" w:color="auto" w:fill="auto"/>
            <w:tcMar>
              <w:top w:w="40" w:type="dxa"/>
              <w:bottom w:w="40" w:type="dxa"/>
              <w:right w:w="0" w:type="dxa"/>
            </w:tcMar>
            <w:vAlign w:val="bottom"/>
          </w:tcPr>
          <w:p w14:paraId="36CA580E" w14:textId="77777777" w:rsidR="00787570" w:rsidRDefault="000D56E2">
            <w:pPr>
              <w:jc w:val="right"/>
              <w:textAlignment w:val="bottom"/>
            </w:pPr>
            <w:r>
              <w:rPr>
                <w:rFonts w:ascii="Arial" w:eastAsia="宋体" w:hAnsi="Arial" w:cs="Arial"/>
                <w:b/>
                <w:bCs/>
                <w:color w:val="0071C5"/>
                <w:sz w:val="18"/>
                <w:szCs w:val="18"/>
              </w:rPr>
              <w:t>9,658</w:t>
            </w:r>
            <w:r>
              <w:rPr>
                <w:rFonts w:ascii="Arial" w:eastAsia="宋体" w:hAnsi="Arial" w:cs="Arial"/>
                <w:color w:val="0071C5"/>
                <w:sz w:val="18"/>
                <w:szCs w:val="18"/>
              </w:rPr>
              <w:t> </w:t>
            </w:r>
          </w:p>
        </w:tc>
        <w:tc>
          <w:tcPr>
            <w:tcW w:w="0" w:type="auto"/>
            <w:shd w:val="clear" w:color="auto" w:fill="auto"/>
            <w:tcMar>
              <w:top w:w="40" w:type="dxa"/>
              <w:bottom w:w="40" w:type="dxa"/>
              <w:right w:w="20" w:type="dxa"/>
            </w:tcMar>
            <w:vAlign w:val="bottom"/>
          </w:tcPr>
          <w:p w14:paraId="36CA580F" w14:textId="77777777" w:rsidR="00787570" w:rsidRDefault="00787570">
            <w:pPr>
              <w:jc w:val="right"/>
              <w:rPr>
                <w:rFonts w:ascii="宋体"/>
              </w:rPr>
            </w:pPr>
          </w:p>
        </w:tc>
      </w:tr>
      <w:tr w:rsidR="00787570" w14:paraId="36CA5819" w14:textId="77777777">
        <w:tc>
          <w:tcPr>
            <w:tcW w:w="0" w:type="auto"/>
            <w:gridSpan w:val="3"/>
            <w:shd w:val="clear" w:color="auto" w:fill="auto"/>
            <w:tcMar>
              <w:top w:w="40" w:type="dxa"/>
              <w:left w:w="20" w:type="dxa"/>
              <w:bottom w:w="40" w:type="dxa"/>
              <w:right w:w="20" w:type="dxa"/>
            </w:tcMar>
            <w:vAlign w:val="bottom"/>
          </w:tcPr>
          <w:p w14:paraId="36CA5811" w14:textId="77777777" w:rsidR="00787570" w:rsidRDefault="000D56E2">
            <w:pPr>
              <w:textAlignment w:val="bottom"/>
            </w:pPr>
            <w:r>
              <w:rPr>
                <w:rFonts w:ascii="Arial" w:eastAsia="宋体" w:hAnsi="Arial" w:cs="Arial"/>
                <w:b/>
                <w:bCs/>
                <w:color w:val="333333"/>
                <w:sz w:val="18"/>
                <w:szCs w:val="18"/>
              </w:rPr>
              <w:t>Total</w:t>
            </w:r>
          </w:p>
        </w:tc>
        <w:tc>
          <w:tcPr>
            <w:tcW w:w="0" w:type="auto"/>
            <w:gridSpan w:val="3"/>
            <w:shd w:val="clear" w:color="auto" w:fill="auto"/>
            <w:tcMar>
              <w:left w:w="20" w:type="dxa"/>
              <w:right w:w="20" w:type="dxa"/>
            </w:tcMar>
            <w:vAlign w:val="bottom"/>
          </w:tcPr>
          <w:p w14:paraId="36CA5812" w14:textId="77777777" w:rsidR="00787570" w:rsidRDefault="00787570">
            <w:pPr>
              <w:rPr>
                <w:rFonts w:ascii="宋体"/>
              </w:rPr>
            </w:pPr>
          </w:p>
        </w:tc>
        <w:tc>
          <w:tcPr>
            <w:tcW w:w="0" w:type="auto"/>
            <w:gridSpan w:val="2"/>
            <w:tcBorders>
              <w:top w:val="single" w:sz="8" w:space="0" w:color="333333"/>
              <w:bottom w:val="double" w:sz="6" w:space="0" w:color="333333"/>
            </w:tcBorders>
            <w:shd w:val="clear" w:color="auto" w:fill="auto"/>
            <w:tcMar>
              <w:top w:w="40" w:type="dxa"/>
              <w:left w:w="20" w:type="dxa"/>
              <w:bottom w:w="40" w:type="dxa"/>
              <w:right w:w="0" w:type="dxa"/>
            </w:tcMar>
            <w:vAlign w:val="bottom"/>
          </w:tcPr>
          <w:p w14:paraId="36CA5813" w14:textId="77777777" w:rsidR="00787570" w:rsidRDefault="000D56E2">
            <w:pPr>
              <w:jc w:val="right"/>
              <w:textAlignment w:val="bottom"/>
            </w:pPr>
            <w:r>
              <w:rPr>
                <w:rFonts w:ascii="Arial" w:eastAsia="宋体" w:hAnsi="Arial" w:cs="Arial"/>
                <w:b/>
                <w:bCs/>
                <w:color w:val="026DCE"/>
                <w:sz w:val="18"/>
                <w:szCs w:val="18"/>
              </w:rPr>
              <w:t>166</w:t>
            </w:r>
            <w:r>
              <w:rPr>
                <w:rFonts w:ascii="Arial" w:eastAsia="宋体" w:hAnsi="Arial" w:cs="Arial"/>
                <w:color w:val="026DCE"/>
                <w:sz w:val="18"/>
                <w:szCs w:val="18"/>
              </w:rPr>
              <w:t> </w:t>
            </w:r>
          </w:p>
        </w:tc>
        <w:tc>
          <w:tcPr>
            <w:tcW w:w="0" w:type="auto"/>
            <w:tcBorders>
              <w:top w:val="single" w:sz="8" w:space="0" w:color="333333"/>
              <w:bottom w:val="double" w:sz="6" w:space="0" w:color="333333"/>
            </w:tcBorders>
            <w:shd w:val="clear" w:color="auto" w:fill="auto"/>
            <w:tcMar>
              <w:top w:w="40" w:type="dxa"/>
              <w:bottom w:w="40" w:type="dxa"/>
              <w:right w:w="20" w:type="dxa"/>
            </w:tcMar>
            <w:vAlign w:val="bottom"/>
          </w:tcPr>
          <w:p w14:paraId="36CA5814" w14:textId="77777777" w:rsidR="00787570" w:rsidRDefault="00787570">
            <w:pPr>
              <w:jc w:val="right"/>
              <w:rPr>
                <w:rFonts w:ascii="宋体"/>
              </w:rPr>
            </w:pPr>
          </w:p>
        </w:tc>
        <w:tc>
          <w:tcPr>
            <w:tcW w:w="0" w:type="auto"/>
            <w:gridSpan w:val="3"/>
            <w:shd w:val="clear" w:color="auto" w:fill="auto"/>
            <w:tcMar>
              <w:left w:w="20" w:type="dxa"/>
              <w:right w:w="20" w:type="dxa"/>
            </w:tcMar>
            <w:vAlign w:val="bottom"/>
          </w:tcPr>
          <w:p w14:paraId="36CA5815"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5816"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5817"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5818" w14:textId="77777777" w:rsidR="00787570" w:rsidRDefault="00787570">
            <w:pPr>
              <w:rPr>
                <w:rFonts w:ascii="宋体"/>
              </w:rPr>
            </w:pPr>
          </w:p>
        </w:tc>
      </w:tr>
    </w:tbl>
    <w:p w14:paraId="36CA581A" w14:textId="77777777" w:rsidR="00787570" w:rsidRDefault="000D56E2">
      <w:pPr>
        <w:spacing w:after="180"/>
        <w:ind w:hanging="180"/>
      </w:pPr>
      <w:r>
        <w:rPr>
          <w:rFonts w:ascii="Arial" w:eastAsia="宋体" w:hAnsi="Arial" w:cs="Arial"/>
          <w:i/>
          <w:iCs/>
          <w:color w:val="333333"/>
          <w:sz w:val="10"/>
          <w:szCs w:val="10"/>
        </w:rPr>
        <w:t xml:space="preserve">1 </w:t>
      </w:r>
      <w:r>
        <w:rPr>
          <w:rFonts w:ascii="Arial" w:eastAsia="宋体" w:hAnsi="Arial" w:cs="Arial"/>
          <w:i/>
          <w:iCs/>
          <w:color w:val="333333"/>
          <w:sz w:val="16"/>
          <w:szCs w:val="16"/>
        </w:rPr>
        <w:t xml:space="preserve">In August 2020, we entered into ASR agreements under which we paid an </w:t>
      </w:r>
      <w:r>
        <w:rPr>
          <w:rFonts w:ascii="Arial" w:eastAsia="宋体" w:hAnsi="Arial" w:cs="Arial"/>
          <w:i/>
          <w:iCs/>
          <w:color w:val="333333"/>
          <w:sz w:val="16"/>
          <w:szCs w:val="16"/>
        </w:rPr>
        <w:t>aggregate of $10.0 billion and received an aggregate initial share delivery of 166 million shares of our common stock, which were immediately retired. The final number of shares to be repurchased under the ASR agreements and the average price paid per shar</w:t>
      </w:r>
      <w:r>
        <w:rPr>
          <w:rFonts w:ascii="Arial" w:eastAsia="宋体" w:hAnsi="Arial" w:cs="Arial"/>
          <w:i/>
          <w:iCs/>
          <w:color w:val="333333"/>
          <w:sz w:val="16"/>
          <w:szCs w:val="16"/>
        </w:rPr>
        <w:t>e will be determined upon settlement of the agreements by the end of 2020.</w:t>
      </w:r>
    </w:p>
    <w:p w14:paraId="36CA581B" w14:textId="77777777" w:rsidR="00787570" w:rsidRDefault="000D56E2">
      <w:pPr>
        <w:spacing w:after="180"/>
      </w:pPr>
      <w:r>
        <w:rPr>
          <w:rFonts w:ascii="Arial" w:eastAsia="宋体" w:hAnsi="Arial" w:cs="Arial"/>
          <w:color w:val="333333"/>
          <w:sz w:val="18"/>
          <w:szCs w:val="18"/>
        </w:rPr>
        <w:t>We issue RSUs as part of our equity incentive plans. In our Consolidated Condensed Financial Statements, we treat shares of common stock withheld for tax purposes on behalf of our e</w:t>
      </w:r>
      <w:r>
        <w:rPr>
          <w:rFonts w:ascii="Arial" w:eastAsia="宋体" w:hAnsi="Arial" w:cs="Arial"/>
          <w:color w:val="333333"/>
          <w:sz w:val="18"/>
          <w:szCs w:val="18"/>
        </w:rPr>
        <w:t>mployees in connection with the vesting of RSUs as common stock repurchases because they reduce the number of shares that would have been issued upon vesting. These withheld shares of common stock are not considered common stock repurchases under our autho</w:t>
      </w:r>
      <w:r>
        <w:rPr>
          <w:rFonts w:ascii="Arial" w:eastAsia="宋体" w:hAnsi="Arial" w:cs="Arial"/>
          <w:color w:val="333333"/>
          <w:sz w:val="18"/>
          <w:szCs w:val="18"/>
        </w:rPr>
        <w:t>rized common stock repurchase program and accordingly are not included in the preceding table.</w:t>
      </w:r>
    </w:p>
    <w:p w14:paraId="36CA581C" w14:textId="77777777" w:rsidR="00787570" w:rsidRDefault="00787570">
      <w:pPr>
        <w:spacing w:after="180"/>
      </w:pPr>
    </w:p>
    <w:tbl>
      <w:tblPr>
        <w:tblW w:w="5000" w:type="pct"/>
        <w:tblCellMar>
          <w:top w:w="15" w:type="dxa"/>
          <w:left w:w="15" w:type="dxa"/>
          <w:bottom w:w="15" w:type="dxa"/>
          <w:right w:w="15" w:type="dxa"/>
        </w:tblCellMar>
        <w:tblLook w:val="04A0" w:firstRow="1" w:lastRow="0" w:firstColumn="1" w:lastColumn="0" w:noHBand="0" w:noVBand="1"/>
      </w:tblPr>
      <w:tblGrid>
        <w:gridCol w:w="95"/>
        <w:gridCol w:w="416"/>
        <w:gridCol w:w="36"/>
        <w:gridCol w:w="47"/>
        <w:gridCol w:w="4254"/>
        <w:gridCol w:w="36"/>
        <w:gridCol w:w="47"/>
        <w:gridCol w:w="3369"/>
        <w:gridCol w:w="36"/>
      </w:tblGrid>
      <w:tr w:rsidR="00787570" w14:paraId="36CA5826" w14:textId="77777777">
        <w:tc>
          <w:tcPr>
            <w:tcW w:w="50" w:type="pct"/>
            <w:shd w:val="clear" w:color="auto" w:fill="auto"/>
            <w:vAlign w:val="bottom"/>
          </w:tcPr>
          <w:p w14:paraId="36CA581D" w14:textId="77777777" w:rsidR="00787570" w:rsidRDefault="00787570">
            <w:pPr>
              <w:rPr>
                <w:rFonts w:ascii="宋体"/>
              </w:rPr>
            </w:pPr>
          </w:p>
        </w:tc>
        <w:tc>
          <w:tcPr>
            <w:tcW w:w="220" w:type="pct"/>
            <w:shd w:val="clear" w:color="auto" w:fill="auto"/>
            <w:vAlign w:val="bottom"/>
          </w:tcPr>
          <w:p w14:paraId="36CA581E" w14:textId="77777777" w:rsidR="00787570" w:rsidRDefault="00787570">
            <w:pPr>
              <w:rPr>
                <w:rFonts w:ascii="宋体"/>
              </w:rPr>
            </w:pPr>
          </w:p>
        </w:tc>
        <w:tc>
          <w:tcPr>
            <w:tcW w:w="5" w:type="pct"/>
            <w:shd w:val="clear" w:color="auto" w:fill="auto"/>
            <w:vAlign w:val="bottom"/>
          </w:tcPr>
          <w:p w14:paraId="36CA581F" w14:textId="77777777" w:rsidR="00787570" w:rsidRDefault="00787570">
            <w:pPr>
              <w:rPr>
                <w:rFonts w:ascii="宋体"/>
              </w:rPr>
            </w:pPr>
          </w:p>
        </w:tc>
        <w:tc>
          <w:tcPr>
            <w:tcW w:w="50" w:type="pct"/>
            <w:shd w:val="clear" w:color="auto" w:fill="auto"/>
            <w:vAlign w:val="bottom"/>
          </w:tcPr>
          <w:p w14:paraId="36CA5820" w14:textId="77777777" w:rsidR="00787570" w:rsidRDefault="00787570">
            <w:pPr>
              <w:rPr>
                <w:rFonts w:ascii="宋体"/>
              </w:rPr>
            </w:pPr>
          </w:p>
        </w:tc>
        <w:tc>
          <w:tcPr>
            <w:tcW w:w="2572" w:type="pct"/>
            <w:shd w:val="clear" w:color="auto" w:fill="auto"/>
            <w:vAlign w:val="bottom"/>
          </w:tcPr>
          <w:p w14:paraId="36CA5821" w14:textId="77777777" w:rsidR="00787570" w:rsidRDefault="00787570">
            <w:pPr>
              <w:rPr>
                <w:rFonts w:ascii="宋体"/>
              </w:rPr>
            </w:pPr>
          </w:p>
        </w:tc>
        <w:tc>
          <w:tcPr>
            <w:tcW w:w="5" w:type="pct"/>
            <w:shd w:val="clear" w:color="auto" w:fill="auto"/>
            <w:vAlign w:val="bottom"/>
          </w:tcPr>
          <w:p w14:paraId="36CA5822" w14:textId="77777777" w:rsidR="00787570" w:rsidRDefault="00787570">
            <w:pPr>
              <w:rPr>
                <w:rFonts w:ascii="宋体"/>
              </w:rPr>
            </w:pPr>
          </w:p>
        </w:tc>
        <w:tc>
          <w:tcPr>
            <w:tcW w:w="50" w:type="pct"/>
            <w:shd w:val="clear" w:color="auto" w:fill="auto"/>
            <w:vAlign w:val="bottom"/>
          </w:tcPr>
          <w:p w14:paraId="36CA5823" w14:textId="77777777" w:rsidR="00787570" w:rsidRDefault="00787570">
            <w:pPr>
              <w:rPr>
                <w:rFonts w:ascii="宋体"/>
              </w:rPr>
            </w:pPr>
          </w:p>
        </w:tc>
        <w:tc>
          <w:tcPr>
            <w:tcW w:w="2042" w:type="pct"/>
            <w:shd w:val="clear" w:color="auto" w:fill="auto"/>
            <w:vAlign w:val="bottom"/>
          </w:tcPr>
          <w:p w14:paraId="36CA5824" w14:textId="77777777" w:rsidR="00787570" w:rsidRDefault="00787570">
            <w:pPr>
              <w:rPr>
                <w:rFonts w:ascii="宋体"/>
              </w:rPr>
            </w:pPr>
          </w:p>
        </w:tc>
        <w:tc>
          <w:tcPr>
            <w:tcW w:w="5" w:type="pct"/>
            <w:shd w:val="clear" w:color="auto" w:fill="auto"/>
            <w:vAlign w:val="bottom"/>
          </w:tcPr>
          <w:p w14:paraId="36CA5825" w14:textId="77777777" w:rsidR="00787570" w:rsidRDefault="00787570">
            <w:pPr>
              <w:rPr>
                <w:rFonts w:ascii="宋体"/>
              </w:rPr>
            </w:pPr>
          </w:p>
        </w:tc>
      </w:tr>
      <w:tr w:rsidR="00787570" w14:paraId="36CA582A" w14:textId="77777777">
        <w:tc>
          <w:tcPr>
            <w:tcW w:w="0" w:type="auto"/>
            <w:gridSpan w:val="3"/>
            <w:tcBorders>
              <w:top w:val="single" w:sz="8" w:space="0" w:color="0071C5"/>
            </w:tcBorders>
            <w:shd w:val="clear" w:color="auto" w:fill="auto"/>
            <w:tcMar>
              <w:left w:w="20" w:type="dxa"/>
              <w:right w:w="20" w:type="dxa"/>
            </w:tcMar>
            <w:vAlign w:val="center"/>
          </w:tcPr>
          <w:p w14:paraId="36CA5827" w14:textId="77777777" w:rsidR="00787570" w:rsidRDefault="000D56E2">
            <w:pPr>
              <w:textAlignment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Viewer9_files/intc-20200926_g2.jpg"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36CA5C96" wp14:editId="36CA5C97">
                  <wp:extent cx="304800" cy="304800"/>
                  <wp:effectExtent l="0" t="0" r="0" b="0"/>
                  <wp:docPr id="95" name="图片 150" descr="IMG_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图片 150" descr="IMG_329"/>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8" w:space="0" w:color="0071C5"/>
            </w:tcBorders>
            <w:shd w:val="clear" w:color="auto" w:fill="auto"/>
            <w:tcMar>
              <w:top w:w="40" w:type="dxa"/>
              <w:left w:w="20" w:type="dxa"/>
              <w:bottom w:w="40" w:type="dxa"/>
              <w:right w:w="20" w:type="dxa"/>
            </w:tcMar>
            <w:vAlign w:val="center"/>
          </w:tcPr>
          <w:p w14:paraId="36CA5828" w14:textId="77777777" w:rsidR="00787570" w:rsidRDefault="000D56E2">
            <w:pPr>
              <w:textAlignment w:val="center"/>
            </w:pPr>
            <w:r>
              <w:rPr>
                <w:rFonts w:ascii="Arial" w:eastAsia="宋体" w:hAnsi="Arial" w:cs="Arial"/>
                <w:color w:val="333333"/>
                <w:sz w:val="16"/>
                <w:szCs w:val="16"/>
              </w:rPr>
              <w:t>OTHER KEY INFORMATION</w:t>
            </w:r>
          </w:p>
        </w:tc>
        <w:tc>
          <w:tcPr>
            <w:tcW w:w="0" w:type="auto"/>
            <w:gridSpan w:val="3"/>
            <w:tcBorders>
              <w:top w:val="single" w:sz="8" w:space="0" w:color="0071C5"/>
            </w:tcBorders>
            <w:shd w:val="clear" w:color="auto" w:fill="auto"/>
            <w:tcMar>
              <w:top w:w="40" w:type="dxa"/>
              <w:left w:w="20" w:type="dxa"/>
              <w:bottom w:w="40" w:type="dxa"/>
              <w:right w:w="20" w:type="dxa"/>
            </w:tcMar>
            <w:vAlign w:val="center"/>
          </w:tcPr>
          <w:p w14:paraId="36CA5829" w14:textId="77777777" w:rsidR="00787570" w:rsidRDefault="000D56E2">
            <w:pPr>
              <w:jc w:val="right"/>
              <w:textAlignment w:val="center"/>
            </w:pPr>
            <w:r>
              <w:rPr>
                <w:rFonts w:ascii="Arial" w:eastAsia="宋体" w:hAnsi="Arial" w:cs="Arial"/>
                <w:color w:val="333333"/>
                <w:sz w:val="16"/>
                <w:szCs w:val="16"/>
              </w:rPr>
              <w:t>45</w:t>
            </w:r>
          </w:p>
        </w:tc>
      </w:tr>
    </w:tbl>
    <w:p w14:paraId="36CA582B" w14:textId="77777777" w:rsidR="00787570" w:rsidRDefault="000D56E2">
      <w:r>
        <w:pict w14:anchorId="36CA5C98">
          <v:rect id="_x0000_i1071" style="width:415.3pt;height:1.5pt" o:hralign="center" o:hrstd="t" o:hr="t" fillcolor="#a0a0a0" stroked="f"/>
        </w:pict>
      </w:r>
    </w:p>
    <w:p w14:paraId="36CA582C" w14:textId="77777777" w:rsidR="00787570" w:rsidRDefault="000D56E2">
      <w:pPr>
        <w:spacing w:after="180"/>
        <w:jc w:val="right"/>
      </w:pPr>
      <w:hyperlink r:id="rId73" w:anchor="i32771df14e9449d2bec5be911426bf04_7" w:history="1">
        <w:r>
          <w:rPr>
            <w:rStyle w:val="a5"/>
            <w:rFonts w:ascii="Arial" w:eastAsia="宋体" w:hAnsi="Arial" w:cs="Arial"/>
            <w:b/>
            <w:bCs/>
            <w:sz w:val="16"/>
            <w:szCs w:val="16"/>
          </w:rPr>
          <w:t>Table of Contents</w:t>
        </w:r>
      </w:hyperlink>
    </w:p>
    <w:p w14:paraId="36CA582D" w14:textId="77777777" w:rsidR="00787570" w:rsidRDefault="00787570">
      <w:pPr>
        <w:spacing w:after="180"/>
        <w:jc w:val="right"/>
      </w:pPr>
    </w:p>
    <w:p w14:paraId="36CA582E" w14:textId="77777777" w:rsidR="00787570" w:rsidRDefault="000D56E2">
      <w:pPr>
        <w:spacing w:after="180"/>
      </w:pPr>
      <w:r>
        <w:rPr>
          <w:rFonts w:ascii="Arial" w:eastAsia="宋体" w:hAnsi="Arial" w:cs="Arial"/>
          <w:b/>
          <w:bCs/>
          <w:color w:val="0071C5"/>
          <w:sz w:val="28"/>
          <w:szCs w:val="28"/>
        </w:rPr>
        <w:t>EXHIBITS</w:t>
      </w:r>
    </w:p>
    <w:tbl>
      <w:tblPr>
        <w:tblW w:w="4986" w:type="pct"/>
        <w:tblCellMar>
          <w:top w:w="15" w:type="dxa"/>
          <w:left w:w="15" w:type="dxa"/>
          <w:bottom w:w="15" w:type="dxa"/>
          <w:right w:w="15" w:type="dxa"/>
        </w:tblCellMar>
        <w:tblLook w:val="04A0" w:firstRow="1" w:lastRow="0" w:firstColumn="1" w:lastColumn="0" w:noHBand="0" w:noVBand="1"/>
      </w:tblPr>
      <w:tblGrid>
        <w:gridCol w:w="78"/>
        <w:gridCol w:w="686"/>
        <w:gridCol w:w="36"/>
        <w:gridCol w:w="36"/>
        <w:gridCol w:w="36"/>
        <w:gridCol w:w="36"/>
        <w:gridCol w:w="39"/>
        <w:gridCol w:w="2211"/>
        <w:gridCol w:w="38"/>
        <w:gridCol w:w="36"/>
        <w:gridCol w:w="36"/>
        <w:gridCol w:w="36"/>
        <w:gridCol w:w="92"/>
        <w:gridCol w:w="389"/>
        <w:gridCol w:w="37"/>
        <w:gridCol w:w="37"/>
        <w:gridCol w:w="37"/>
        <w:gridCol w:w="37"/>
        <w:gridCol w:w="88"/>
        <w:gridCol w:w="805"/>
        <w:gridCol w:w="38"/>
        <w:gridCol w:w="37"/>
        <w:gridCol w:w="37"/>
        <w:gridCol w:w="36"/>
        <w:gridCol w:w="96"/>
        <w:gridCol w:w="536"/>
        <w:gridCol w:w="36"/>
        <w:gridCol w:w="36"/>
        <w:gridCol w:w="36"/>
        <w:gridCol w:w="36"/>
        <w:gridCol w:w="81"/>
        <w:gridCol w:w="752"/>
        <w:gridCol w:w="36"/>
        <w:gridCol w:w="36"/>
        <w:gridCol w:w="36"/>
        <w:gridCol w:w="36"/>
        <w:gridCol w:w="100"/>
        <w:gridCol w:w="802"/>
        <w:gridCol w:w="36"/>
        <w:gridCol w:w="36"/>
        <w:gridCol w:w="36"/>
        <w:gridCol w:w="36"/>
        <w:gridCol w:w="36"/>
        <w:gridCol w:w="36"/>
        <w:gridCol w:w="36"/>
        <w:gridCol w:w="36"/>
        <w:gridCol w:w="36"/>
        <w:gridCol w:w="36"/>
        <w:gridCol w:w="36"/>
        <w:gridCol w:w="36"/>
        <w:gridCol w:w="36"/>
        <w:gridCol w:w="36"/>
        <w:gridCol w:w="36"/>
        <w:gridCol w:w="36"/>
        <w:gridCol w:w="36"/>
        <w:gridCol w:w="36"/>
        <w:gridCol w:w="36"/>
      </w:tblGrid>
      <w:tr w:rsidR="00787570" w14:paraId="36CA5856" w14:textId="77777777">
        <w:trPr>
          <w:gridAfter w:val="18"/>
        </w:trPr>
        <w:tc>
          <w:tcPr>
            <w:tcW w:w="50" w:type="pct"/>
            <w:shd w:val="clear" w:color="auto" w:fill="auto"/>
          </w:tcPr>
          <w:p w14:paraId="36CA582F" w14:textId="77777777" w:rsidR="00787570" w:rsidRDefault="00787570">
            <w:pPr>
              <w:rPr>
                <w:rFonts w:ascii="宋体"/>
              </w:rPr>
            </w:pPr>
          </w:p>
        </w:tc>
        <w:tc>
          <w:tcPr>
            <w:tcW w:w="445" w:type="pct"/>
            <w:shd w:val="clear" w:color="auto" w:fill="auto"/>
          </w:tcPr>
          <w:p w14:paraId="36CA5830" w14:textId="77777777" w:rsidR="00787570" w:rsidRDefault="00787570">
            <w:pPr>
              <w:rPr>
                <w:rFonts w:ascii="宋体"/>
              </w:rPr>
            </w:pPr>
          </w:p>
        </w:tc>
        <w:tc>
          <w:tcPr>
            <w:tcW w:w="5" w:type="pct"/>
            <w:shd w:val="clear" w:color="auto" w:fill="auto"/>
          </w:tcPr>
          <w:p w14:paraId="36CA5831" w14:textId="77777777" w:rsidR="00787570" w:rsidRDefault="00787570">
            <w:pPr>
              <w:rPr>
                <w:rFonts w:ascii="宋体"/>
              </w:rPr>
            </w:pPr>
          </w:p>
        </w:tc>
        <w:tc>
          <w:tcPr>
            <w:tcW w:w="5" w:type="pct"/>
            <w:shd w:val="clear" w:color="auto" w:fill="auto"/>
          </w:tcPr>
          <w:p w14:paraId="36CA5832" w14:textId="77777777" w:rsidR="00787570" w:rsidRDefault="00787570">
            <w:pPr>
              <w:rPr>
                <w:rFonts w:ascii="宋体"/>
              </w:rPr>
            </w:pPr>
          </w:p>
        </w:tc>
        <w:tc>
          <w:tcPr>
            <w:tcW w:w="24" w:type="pct"/>
            <w:shd w:val="clear" w:color="auto" w:fill="auto"/>
          </w:tcPr>
          <w:p w14:paraId="36CA5833" w14:textId="77777777" w:rsidR="00787570" w:rsidRDefault="00787570">
            <w:pPr>
              <w:rPr>
                <w:rFonts w:ascii="宋体"/>
              </w:rPr>
            </w:pPr>
          </w:p>
        </w:tc>
        <w:tc>
          <w:tcPr>
            <w:tcW w:w="5" w:type="pct"/>
            <w:shd w:val="clear" w:color="auto" w:fill="auto"/>
          </w:tcPr>
          <w:p w14:paraId="36CA5834" w14:textId="77777777" w:rsidR="00787570" w:rsidRDefault="00787570">
            <w:pPr>
              <w:rPr>
                <w:rFonts w:ascii="宋体"/>
              </w:rPr>
            </w:pPr>
          </w:p>
        </w:tc>
        <w:tc>
          <w:tcPr>
            <w:tcW w:w="50" w:type="pct"/>
            <w:shd w:val="clear" w:color="auto" w:fill="auto"/>
          </w:tcPr>
          <w:p w14:paraId="36CA5835" w14:textId="77777777" w:rsidR="00787570" w:rsidRDefault="00787570">
            <w:pPr>
              <w:rPr>
                <w:rFonts w:ascii="宋体"/>
              </w:rPr>
            </w:pPr>
          </w:p>
        </w:tc>
        <w:tc>
          <w:tcPr>
            <w:tcW w:w="2143" w:type="pct"/>
            <w:shd w:val="clear" w:color="auto" w:fill="auto"/>
          </w:tcPr>
          <w:p w14:paraId="36CA5836" w14:textId="77777777" w:rsidR="00787570" w:rsidRDefault="00787570">
            <w:pPr>
              <w:rPr>
                <w:rFonts w:ascii="宋体"/>
              </w:rPr>
            </w:pPr>
          </w:p>
        </w:tc>
        <w:tc>
          <w:tcPr>
            <w:tcW w:w="5" w:type="pct"/>
            <w:shd w:val="clear" w:color="auto" w:fill="auto"/>
          </w:tcPr>
          <w:p w14:paraId="36CA5837" w14:textId="77777777" w:rsidR="00787570" w:rsidRDefault="00787570">
            <w:pPr>
              <w:rPr>
                <w:rFonts w:ascii="宋体"/>
              </w:rPr>
            </w:pPr>
          </w:p>
        </w:tc>
        <w:tc>
          <w:tcPr>
            <w:tcW w:w="5" w:type="pct"/>
            <w:shd w:val="clear" w:color="auto" w:fill="auto"/>
          </w:tcPr>
          <w:p w14:paraId="36CA5838" w14:textId="77777777" w:rsidR="00787570" w:rsidRDefault="00787570">
            <w:pPr>
              <w:rPr>
                <w:rFonts w:ascii="宋体"/>
              </w:rPr>
            </w:pPr>
          </w:p>
        </w:tc>
        <w:tc>
          <w:tcPr>
            <w:tcW w:w="24" w:type="pct"/>
            <w:shd w:val="clear" w:color="auto" w:fill="auto"/>
          </w:tcPr>
          <w:p w14:paraId="36CA5839" w14:textId="77777777" w:rsidR="00787570" w:rsidRDefault="00787570">
            <w:pPr>
              <w:rPr>
                <w:rFonts w:ascii="宋体"/>
              </w:rPr>
            </w:pPr>
          </w:p>
        </w:tc>
        <w:tc>
          <w:tcPr>
            <w:tcW w:w="5" w:type="pct"/>
            <w:shd w:val="clear" w:color="auto" w:fill="auto"/>
          </w:tcPr>
          <w:p w14:paraId="36CA583A" w14:textId="77777777" w:rsidR="00787570" w:rsidRDefault="00787570">
            <w:pPr>
              <w:rPr>
                <w:rFonts w:ascii="宋体"/>
              </w:rPr>
            </w:pPr>
          </w:p>
        </w:tc>
        <w:tc>
          <w:tcPr>
            <w:tcW w:w="50" w:type="pct"/>
            <w:shd w:val="clear" w:color="auto" w:fill="auto"/>
          </w:tcPr>
          <w:p w14:paraId="36CA583B" w14:textId="77777777" w:rsidR="00787570" w:rsidRDefault="00787570">
            <w:pPr>
              <w:rPr>
                <w:rFonts w:ascii="宋体"/>
              </w:rPr>
            </w:pPr>
          </w:p>
        </w:tc>
        <w:tc>
          <w:tcPr>
            <w:tcW w:w="212" w:type="pct"/>
            <w:shd w:val="clear" w:color="auto" w:fill="auto"/>
          </w:tcPr>
          <w:p w14:paraId="36CA583C" w14:textId="77777777" w:rsidR="00787570" w:rsidRDefault="00787570">
            <w:pPr>
              <w:rPr>
                <w:rFonts w:ascii="宋体"/>
              </w:rPr>
            </w:pPr>
          </w:p>
        </w:tc>
        <w:tc>
          <w:tcPr>
            <w:tcW w:w="5" w:type="pct"/>
            <w:shd w:val="clear" w:color="auto" w:fill="auto"/>
          </w:tcPr>
          <w:p w14:paraId="36CA583D" w14:textId="77777777" w:rsidR="00787570" w:rsidRDefault="00787570">
            <w:pPr>
              <w:rPr>
                <w:rFonts w:ascii="宋体"/>
              </w:rPr>
            </w:pPr>
          </w:p>
        </w:tc>
        <w:tc>
          <w:tcPr>
            <w:tcW w:w="5" w:type="pct"/>
            <w:shd w:val="clear" w:color="auto" w:fill="auto"/>
          </w:tcPr>
          <w:p w14:paraId="36CA583E" w14:textId="77777777" w:rsidR="00787570" w:rsidRDefault="00787570">
            <w:pPr>
              <w:rPr>
                <w:rFonts w:ascii="宋体"/>
              </w:rPr>
            </w:pPr>
          </w:p>
        </w:tc>
        <w:tc>
          <w:tcPr>
            <w:tcW w:w="24" w:type="pct"/>
            <w:shd w:val="clear" w:color="auto" w:fill="auto"/>
          </w:tcPr>
          <w:p w14:paraId="36CA583F" w14:textId="77777777" w:rsidR="00787570" w:rsidRDefault="00787570">
            <w:pPr>
              <w:rPr>
                <w:rFonts w:ascii="宋体"/>
              </w:rPr>
            </w:pPr>
          </w:p>
        </w:tc>
        <w:tc>
          <w:tcPr>
            <w:tcW w:w="5" w:type="pct"/>
            <w:shd w:val="clear" w:color="auto" w:fill="auto"/>
          </w:tcPr>
          <w:p w14:paraId="36CA5840" w14:textId="77777777" w:rsidR="00787570" w:rsidRDefault="00787570">
            <w:pPr>
              <w:rPr>
                <w:rFonts w:ascii="宋体"/>
              </w:rPr>
            </w:pPr>
          </w:p>
        </w:tc>
        <w:tc>
          <w:tcPr>
            <w:tcW w:w="50" w:type="pct"/>
            <w:shd w:val="clear" w:color="auto" w:fill="auto"/>
          </w:tcPr>
          <w:p w14:paraId="36CA5841" w14:textId="77777777" w:rsidR="00787570" w:rsidRDefault="00787570">
            <w:pPr>
              <w:rPr>
                <w:rFonts w:ascii="宋体"/>
              </w:rPr>
            </w:pPr>
          </w:p>
        </w:tc>
        <w:tc>
          <w:tcPr>
            <w:tcW w:w="458" w:type="pct"/>
            <w:shd w:val="clear" w:color="auto" w:fill="auto"/>
          </w:tcPr>
          <w:p w14:paraId="36CA5842" w14:textId="77777777" w:rsidR="00787570" w:rsidRDefault="00787570">
            <w:pPr>
              <w:rPr>
                <w:rFonts w:ascii="宋体"/>
              </w:rPr>
            </w:pPr>
          </w:p>
        </w:tc>
        <w:tc>
          <w:tcPr>
            <w:tcW w:w="5" w:type="pct"/>
            <w:shd w:val="clear" w:color="auto" w:fill="auto"/>
          </w:tcPr>
          <w:p w14:paraId="36CA5843" w14:textId="77777777" w:rsidR="00787570" w:rsidRDefault="00787570">
            <w:pPr>
              <w:rPr>
                <w:rFonts w:ascii="宋体"/>
              </w:rPr>
            </w:pPr>
          </w:p>
        </w:tc>
        <w:tc>
          <w:tcPr>
            <w:tcW w:w="5" w:type="pct"/>
            <w:shd w:val="clear" w:color="auto" w:fill="auto"/>
          </w:tcPr>
          <w:p w14:paraId="36CA5844" w14:textId="77777777" w:rsidR="00787570" w:rsidRDefault="00787570">
            <w:pPr>
              <w:rPr>
                <w:rFonts w:ascii="宋体"/>
              </w:rPr>
            </w:pPr>
          </w:p>
        </w:tc>
        <w:tc>
          <w:tcPr>
            <w:tcW w:w="24" w:type="pct"/>
            <w:shd w:val="clear" w:color="auto" w:fill="auto"/>
          </w:tcPr>
          <w:p w14:paraId="36CA5845" w14:textId="77777777" w:rsidR="00787570" w:rsidRDefault="00787570">
            <w:pPr>
              <w:rPr>
                <w:rFonts w:ascii="宋体"/>
              </w:rPr>
            </w:pPr>
          </w:p>
        </w:tc>
        <w:tc>
          <w:tcPr>
            <w:tcW w:w="5" w:type="pct"/>
            <w:shd w:val="clear" w:color="auto" w:fill="auto"/>
          </w:tcPr>
          <w:p w14:paraId="36CA5846" w14:textId="77777777" w:rsidR="00787570" w:rsidRDefault="00787570">
            <w:pPr>
              <w:rPr>
                <w:rFonts w:ascii="宋体"/>
              </w:rPr>
            </w:pPr>
          </w:p>
        </w:tc>
        <w:tc>
          <w:tcPr>
            <w:tcW w:w="50" w:type="pct"/>
            <w:shd w:val="clear" w:color="auto" w:fill="auto"/>
          </w:tcPr>
          <w:p w14:paraId="36CA5847" w14:textId="77777777" w:rsidR="00787570" w:rsidRDefault="00787570">
            <w:pPr>
              <w:rPr>
                <w:rFonts w:ascii="宋体"/>
              </w:rPr>
            </w:pPr>
          </w:p>
        </w:tc>
        <w:tc>
          <w:tcPr>
            <w:tcW w:w="280" w:type="pct"/>
            <w:shd w:val="clear" w:color="auto" w:fill="auto"/>
          </w:tcPr>
          <w:p w14:paraId="36CA5848" w14:textId="77777777" w:rsidR="00787570" w:rsidRDefault="00787570">
            <w:pPr>
              <w:rPr>
                <w:rFonts w:ascii="宋体"/>
              </w:rPr>
            </w:pPr>
          </w:p>
        </w:tc>
        <w:tc>
          <w:tcPr>
            <w:tcW w:w="5" w:type="pct"/>
            <w:shd w:val="clear" w:color="auto" w:fill="auto"/>
          </w:tcPr>
          <w:p w14:paraId="36CA5849" w14:textId="77777777" w:rsidR="00787570" w:rsidRDefault="00787570">
            <w:pPr>
              <w:rPr>
                <w:rFonts w:ascii="宋体"/>
              </w:rPr>
            </w:pPr>
          </w:p>
        </w:tc>
        <w:tc>
          <w:tcPr>
            <w:tcW w:w="5" w:type="pct"/>
            <w:shd w:val="clear" w:color="auto" w:fill="auto"/>
          </w:tcPr>
          <w:p w14:paraId="36CA584A" w14:textId="77777777" w:rsidR="00787570" w:rsidRDefault="00787570">
            <w:pPr>
              <w:rPr>
                <w:rFonts w:ascii="宋体"/>
              </w:rPr>
            </w:pPr>
          </w:p>
        </w:tc>
        <w:tc>
          <w:tcPr>
            <w:tcW w:w="24" w:type="pct"/>
            <w:shd w:val="clear" w:color="auto" w:fill="auto"/>
          </w:tcPr>
          <w:p w14:paraId="36CA584B" w14:textId="77777777" w:rsidR="00787570" w:rsidRDefault="00787570">
            <w:pPr>
              <w:rPr>
                <w:rFonts w:ascii="宋体"/>
              </w:rPr>
            </w:pPr>
          </w:p>
        </w:tc>
        <w:tc>
          <w:tcPr>
            <w:tcW w:w="5" w:type="pct"/>
            <w:shd w:val="clear" w:color="auto" w:fill="auto"/>
          </w:tcPr>
          <w:p w14:paraId="36CA584C" w14:textId="77777777" w:rsidR="00787570" w:rsidRDefault="00787570">
            <w:pPr>
              <w:rPr>
                <w:rFonts w:ascii="宋体"/>
              </w:rPr>
            </w:pPr>
          </w:p>
        </w:tc>
        <w:tc>
          <w:tcPr>
            <w:tcW w:w="50" w:type="pct"/>
            <w:shd w:val="clear" w:color="auto" w:fill="auto"/>
          </w:tcPr>
          <w:p w14:paraId="36CA584D" w14:textId="77777777" w:rsidR="00787570" w:rsidRDefault="00787570">
            <w:pPr>
              <w:rPr>
                <w:rFonts w:ascii="宋体"/>
              </w:rPr>
            </w:pPr>
          </w:p>
        </w:tc>
        <w:tc>
          <w:tcPr>
            <w:tcW w:w="465" w:type="pct"/>
            <w:shd w:val="clear" w:color="auto" w:fill="auto"/>
          </w:tcPr>
          <w:p w14:paraId="36CA584E" w14:textId="77777777" w:rsidR="00787570" w:rsidRDefault="00787570">
            <w:pPr>
              <w:rPr>
                <w:rFonts w:ascii="宋体"/>
              </w:rPr>
            </w:pPr>
          </w:p>
        </w:tc>
        <w:tc>
          <w:tcPr>
            <w:tcW w:w="5" w:type="pct"/>
            <w:shd w:val="clear" w:color="auto" w:fill="auto"/>
          </w:tcPr>
          <w:p w14:paraId="36CA584F" w14:textId="77777777" w:rsidR="00787570" w:rsidRDefault="00787570">
            <w:pPr>
              <w:rPr>
                <w:rFonts w:ascii="宋体"/>
              </w:rPr>
            </w:pPr>
          </w:p>
        </w:tc>
        <w:tc>
          <w:tcPr>
            <w:tcW w:w="5" w:type="pct"/>
            <w:shd w:val="clear" w:color="auto" w:fill="auto"/>
          </w:tcPr>
          <w:p w14:paraId="36CA5850" w14:textId="77777777" w:rsidR="00787570" w:rsidRDefault="00787570">
            <w:pPr>
              <w:rPr>
                <w:rFonts w:ascii="宋体"/>
              </w:rPr>
            </w:pPr>
          </w:p>
        </w:tc>
        <w:tc>
          <w:tcPr>
            <w:tcW w:w="24" w:type="pct"/>
            <w:shd w:val="clear" w:color="auto" w:fill="auto"/>
          </w:tcPr>
          <w:p w14:paraId="36CA5851" w14:textId="77777777" w:rsidR="00787570" w:rsidRDefault="00787570">
            <w:pPr>
              <w:rPr>
                <w:rFonts w:ascii="宋体"/>
              </w:rPr>
            </w:pPr>
          </w:p>
        </w:tc>
        <w:tc>
          <w:tcPr>
            <w:tcW w:w="5" w:type="pct"/>
            <w:shd w:val="clear" w:color="auto" w:fill="auto"/>
          </w:tcPr>
          <w:p w14:paraId="36CA5852" w14:textId="77777777" w:rsidR="00787570" w:rsidRDefault="00787570">
            <w:pPr>
              <w:rPr>
                <w:rFonts w:ascii="宋体"/>
              </w:rPr>
            </w:pPr>
          </w:p>
        </w:tc>
        <w:tc>
          <w:tcPr>
            <w:tcW w:w="50" w:type="pct"/>
            <w:shd w:val="clear" w:color="auto" w:fill="auto"/>
          </w:tcPr>
          <w:p w14:paraId="36CA5853" w14:textId="77777777" w:rsidR="00787570" w:rsidRDefault="00787570">
            <w:pPr>
              <w:rPr>
                <w:rFonts w:ascii="宋体"/>
              </w:rPr>
            </w:pPr>
          </w:p>
        </w:tc>
        <w:tc>
          <w:tcPr>
            <w:tcW w:w="404" w:type="pct"/>
            <w:shd w:val="clear" w:color="auto" w:fill="auto"/>
          </w:tcPr>
          <w:p w14:paraId="36CA5854" w14:textId="77777777" w:rsidR="00787570" w:rsidRDefault="00787570">
            <w:pPr>
              <w:rPr>
                <w:rFonts w:ascii="宋体"/>
              </w:rPr>
            </w:pPr>
          </w:p>
        </w:tc>
        <w:tc>
          <w:tcPr>
            <w:tcW w:w="5" w:type="pct"/>
            <w:shd w:val="clear" w:color="auto" w:fill="auto"/>
          </w:tcPr>
          <w:p w14:paraId="36CA5855" w14:textId="77777777" w:rsidR="00787570" w:rsidRDefault="00787570">
            <w:pPr>
              <w:rPr>
                <w:rFonts w:ascii="宋体"/>
              </w:rPr>
            </w:pPr>
          </w:p>
        </w:tc>
      </w:tr>
      <w:tr w:rsidR="00787570" w14:paraId="36CA5864" w14:textId="77777777">
        <w:tc>
          <w:tcPr>
            <w:tcW w:w="0" w:type="auto"/>
            <w:gridSpan w:val="3"/>
            <w:shd w:val="clear" w:color="auto" w:fill="auto"/>
            <w:tcMar>
              <w:top w:w="40" w:type="dxa"/>
              <w:left w:w="20" w:type="dxa"/>
              <w:bottom w:w="40" w:type="dxa"/>
              <w:right w:w="20" w:type="dxa"/>
            </w:tcMar>
            <w:vAlign w:val="bottom"/>
          </w:tcPr>
          <w:p w14:paraId="36CA5857" w14:textId="77777777" w:rsidR="00787570" w:rsidRDefault="000D56E2">
            <w:pPr>
              <w:textAlignment w:val="bottom"/>
            </w:pPr>
            <w:r>
              <w:rPr>
                <w:rFonts w:ascii="Arial" w:eastAsia="宋体" w:hAnsi="Arial" w:cs="Arial"/>
                <w:color w:val="333333"/>
                <w:sz w:val="18"/>
                <w:szCs w:val="18"/>
              </w:rPr>
              <w:t> </w:t>
            </w:r>
          </w:p>
        </w:tc>
        <w:tc>
          <w:tcPr>
            <w:tcW w:w="0" w:type="auto"/>
            <w:gridSpan w:val="3"/>
            <w:shd w:val="clear" w:color="auto" w:fill="auto"/>
            <w:tcMar>
              <w:left w:w="20" w:type="dxa"/>
              <w:right w:w="20" w:type="dxa"/>
            </w:tcMar>
            <w:vAlign w:val="bottom"/>
          </w:tcPr>
          <w:p w14:paraId="36CA5858" w14:textId="77777777" w:rsidR="00787570" w:rsidRDefault="00787570">
            <w:pPr>
              <w:rPr>
                <w:rFonts w:ascii="宋体"/>
              </w:rPr>
            </w:pPr>
          </w:p>
        </w:tc>
        <w:tc>
          <w:tcPr>
            <w:tcW w:w="0" w:type="auto"/>
            <w:gridSpan w:val="3"/>
            <w:shd w:val="clear" w:color="auto" w:fill="auto"/>
            <w:tcMar>
              <w:top w:w="40" w:type="dxa"/>
              <w:left w:w="20" w:type="dxa"/>
              <w:bottom w:w="40" w:type="dxa"/>
              <w:right w:w="20" w:type="dxa"/>
            </w:tcMar>
            <w:vAlign w:val="bottom"/>
          </w:tcPr>
          <w:p w14:paraId="36CA5859" w14:textId="77777777" w:rsidR="00787570" w:rsidRDefault="000D56E2">
            <w:pPr>
              <w:textAlignment w:val="bottom"/>
            </w:pPr>
            <w:r>
              <w:rPr>
                <w:rFonts w:ascii="Arial" w:eastAsia="宋体" w:hAnsi="Arial" w:cs="Arial"/>
                <w:color w:val="333333"/>
                <w:sz w:val="18"/>
                <w:szCs w:val="18"/>
              </w:rPr>
              <w:t> </w:t>
            </w:r>
          </w:p>
        </w:tc>
        <w:tc>
          <w:tcPr>
            <w:tcW w:w="0" w:type="auto"/>
            <w:gridSpan w:val="3"/>
            <w:shd w:val="clear" w:color="auto" w:fill="auto"/>
            <w:tcMar>
              <w:left w:w="20" w:type="dxa"/>
              <w:right w:w="20" w:type="dxa"/>
            </w:tcMar>
            <w:vAlign w:val="bottom"/>
          </w:tcPr>
          <w:p w14:paraId="36CA585A" w14:textId="77777777" w:rsidR="00787570" w:rsidRDefault="00787570">
            <w:pPr>
              <w:rPr>
                <w:rFonts w:ascii="宋体"/>
              </w:rPr>
            </w:pPr>
          </w:p>
        </w:tc>
        <w:tc>
          <w:tcPr>
            <w:tcW w:w="0" w:type="auto"/>
            <w:gridSpan w:val="21"/>
            <w:shd w:val="clear" w:color="auto" w:fill="auto"/>
            <w:tcMar>
              <w:top w:w="40" w:type="dxa"/>
              <w:left w:w="20" w:type="dxa"/>
              <w:bottom w:w="40" w:type="dxa"/>
              <w:right w:w="20" w:type="dxa"/>
            </w:tcMar>
            <w:vAlign w:val="bottom"/>
          </w:tcPr>
          <w:p w14:paraId="36CA585B" w14:textId="77777777" w:rsidR="00787570" w:rsidRDefault="000D56E2">
            <w:pPr>
              <w:jc w:val="center"/>
              <w:textAlignment w:val="bottom"/>
            </w:pPr>
            <w:r>
              <w:rPr>
                <w:rFonts w:ascii="Arial" w:eastAsia="宋体" w:hAnsi="Arial" w:cs="Arial"/>
                <w:b/>
                <w:bCs/>
                <w:color w:val="333333"/>
                <w:sz w:val="18"/>
                <w:szCs w:val="18"/>
              </w:rPr>
              <w:t>Incorporated by Reference</w:t>
            </w:r>
          </w:p>
        </w:tc>
        <w:tc>
          <w:tcPr>
            <w:tcW w:w="0" w:type="auto"/>
            <w:gridSpan w:val="3"/>
            <w:shd w:val="clear" w:color="auto" w:fill="auto"/>
          </w:tcPr>
          <w:p w14:paraId="36CA585C" w14:textId="77777777" w:rsidR="00787570" w:rsidRDefault="00787570">
            <w:pPr>
              <w:rPr>
                <w:rFonts w:ascii="宋体"/>
                <w:vanish/>
              </w:rPr>
            </w:pPr>
          </w:p>
        </w:tc>
        <w:tc>
          <w:tcPr>
            <w:tcW w:w="0" w:type="auto"/>
            <w:gridSpan w:val="3"/>
            <w:shd w:val="clear" w:color="auto" w:fill="auto"/>
          </w:tcPr>
          <w:p w14:paraId="36CA585D" w14:textId="77777777" w:rsidR="00787570" w:rsidRDefault="00787570">
            <w:pPr>
              <w:rPr>
                <w:rFonts w:ascii="宋体"/>
                <w:vanish/>
              </w:rPr>
            </w:pPr>
          </w:p>
        </w:tc>
        <w:tc>
          <w:tcPr>
            <w:tcW w:w="0" w:type="auto"/>
            <w:gridSpan w:val="3"/>
            <w:shd w:val="clear" w:color="auto" w:fill="auto"/>
          </w:tcPr>
          <w:p w14:paraId="36CA585E" w14:textId="77777777" w:rsidR="00787570" w:rsidRDefault="00787570">
            <w:pPr>
              <w:rPr>
                <w:rFonts w:ascii="宋体"/>
                <w:vanish/>
              </w:rPr>
            </w:pPr>
          </w:p>
        </w:tc>
        <w:tc>
          <w:tcPr>
            <w:tcW w:w="0" w:type="auto"/>
            <w:gridSpan w:val="3"/>
            <w:shd w:val="clear" w:color="auto" w:fill="auto"/>
          </w:tcPr>
          <w:p w14:paraId="36CA585F" w14:textId="77777777" w:rsidR="00787570" w:rsidRDefault="00787570">
            <w:pPr>
              <w:rPr>
                <w:rFonts w:ascii="宋体"/>
                <w:vanish/>
              </w:rPr>
            </w:pPr>
          </w:p>
        </w:tc>
        <w:tc>
          <w:tcPr>
            <w:tcW w:w="0" w:type="auto"/>
            <w:gridSpan w:val="3"/>
            <w:shd w:val="clear" w:color="auto" w:fill="auto"/>
          </w:tcPr>
          <w:p w14:paraId="36CA5860" w14:textId="77777777" w:rsidR="00787570" w:rsidRDefault="00787570">
            <w:pPr>
              <w:rPr>
                <w:rFonts w:ascii="宋体"/>
                <w:vanish/>
              </w:rPr>
            </w:pPr>
          </w:p>
        </w:tc>
        <w:tc>
          <w:tcPr>
            <w:tcW w:w="0" w:type="auto"/>
            <w:gridSpan w:val="3"/>
            <w:shd w:val="clear" w:color="auto" w:fill="auto"/>
          </w:tcPr>
          <w:p w14:paraId="36CA5861" w14:textId="77777777" w:rsidR="00787570" w:rsidRDefault="00787570">
            <w:pPr>
              <w:rPr>
                <w:rFonts w:ascii="宋体"/>
                <w:vanish/>
              </w:rPr>
            </w:pPr>
          </w:p>
        </w:tc>
        <w:tc>
          <w:tcPr>
            <w:tcW w:w="0" w:type="auto"/>
            <w:gridSpan w:val="3"/>
            <w:shd w:val="clear" w:color="auto" w:fill="auto"/>
            <w:tcMar>
              <w:left w:w="20" w:type="dxa"/>
              <w:right w:w="20" w:type="dxa"/>
            </w:tcMar>
            <w:vAlign w:val="bottom"/>
          </w:tcPr>
          <w:p w14:paraId="36CA5862" w14:textId="77777777" w:rsidR="00787570" w:rsidRDefault="00787570">
            <w:pPr>
              <w:rPr>
                <w:rFonts w:ascii="宋体"/>
              </w:rPr>
            </w:pPr>
          </w:p>
        </w:tc>
        <w:tc>
          <w:tcPr>
            <w:tcW w:w="0" w:type="auto"/>
            <w:gridSpan w:val="3"/>
            <w:shd w:val="clear" w:color="auto" w:fill="auto"/>
            <w:tcMar>
              <w:top w:w="40" w:type="dxa"/>
              <w:left w:w="20" w:type="dxa"/>
              <w:bottom w:w="40" w:type="dxa"/>
              <w:right w:w="20" w:type="dxa"/>
            </w:tcMar>
            <w:vAlign w:val="bottom"/>
          </w:tcPr>
          <w:p w14:paraId="36CA5863" w14:textId="77777777" w:rsidR="00787570" w:rsidRDefault="000D56E2">
            <w:pPr>
              <w:textAlignment w:val="bottom"/>
            </w:pPr>
            <w:r>
              <w:rPr>
                <w:rFonts w:ascii="Arial" w:eastAsia="宋体" w:hAnsi="Arial" w:cs="Arial"/>
                <w:color w:val="333333"/>
                <w:sz w:val="18"/>
                <w:szCs w:val="18"/>
              </w:rPr>
              <w:t> </w:t>
            </w:r>
          </w:p>
        </w:tc>
      </w:tr>
      <w:tr w:rsidR="00787570" w14:paraId="36CA5884" w14:textId="77777777">
        <w:tc>
          <w:tcPr>
            <w:tcW w:w="0" w:type="auto"/>
            <w:gridSpan w:val="3"/>
            <w:shd w:val="clear" w:color="auto" w:fill="auto"/>
            <w:tcMar>
              <w:top w:w="40" w:type="dxa"/>
              <w:left w:w="20" w:type="dxa"/>
              <w:bottom w:w="40" w:type="dxa"/>
              <w:right w:w="20" w:type="dxa"/>
            </w:tcMar>
            <w:vAlign w:val="bottom"/>
          </w:tcPr>
          <w:p w14:paraId="36CA5865" w14:textId="77777777" w:rsidR="00787570" w:rsidRDefault="000D56E2">
            <w:pPr>
              <w:jc w:val="center"/>
              <w:textAlignment w:val="bottom"/>
            </w:pPr>
            <w:r>
              <w:rPr>
                <w:rFonts w:ascii="Arial" w:eastAsia="宋体" w:hAnsi="Arial" w:cs="Arial"/>
                <w:b/>
                <w:bCs/>
                <w:color w:val="333333"/>
                <w:sz w:val="18"/>
                <w:szCs w:val="18"/>
              </w:rPr>
              <w:t>Exhibit</w:t>
            </w:r>
            <w:r>
              <w:rPr>
                <w:rFonts w:ascii="Arial" w:eastAsia="宋体" w:hAnsi="Arial" w:cs="Arial"/>
                <w:b/>
                <w:bCs/>
                <w:color w:val="333333"/>
                <w:sz w:val="18"/>
                <w:szCs w:val="18"/>
              </w:rPr>
              <w:br/>
              <w:t>Number</w:t>
            </w:r>
          </w:p>
        </w:tc>
        <w:tc>
          <w:tcPr>
            <w:tcW w:w="0" w:type="auto"/>
            <w:gridSpan w:val="3"/>
            <w:shd w:val="clear" w:color="auto" w:fill="auto"/>
            <w:tcMar>
              <w:left w:w="20" w:type="dxa"/>
              <w:right w:w="20" w:type="dxa"/>
            </w:tcMar>
            <w:vAlign w:val="bottom"/>
          </w:tcPr>
          <w:p w14:paraId="36CA5866" w14:textId="77777777" w:rsidR="00787570" w:rsidRDefault="00787570">
            <w:pPr>
              <w:rPr>
                <w:rFonts w:ascii="宋体"/>
              </w:rPr>
            </w:pPr>
          </w:p>
        </w:tc>
        <w:tc>
          <w:tcPr>
            <w:tcW w:w="0" w:type="auto"/>
            <w:gridSpan w:val="3"/>
            <w:shd w:val="clear" w:color="auto" w:fill="auto"/>
            <w:tcMar>
              <w:top w:w="40" w:type="dxa"/>
              <w:left w:w="20" w:type="dxa"/>
              <w:bottom w:w="40" w:type="dxa"/>
              <w:right w:w="20" w:type="dxa"/>
            </w:tcMar>
            <w:vAlign w:val="bottom"/>
          </w:tcPr>
          <w:p w14:paraId="36CA5867" w14:textId="77777777" w:rsidR="00787570" w:rsidRDefault="000D56E2">
            <w:pPr>
              <w:jc w:val="center"/>
              <w:textAlignment w:val="bottom"/>
            </w:pPr>
            <w:r>
              <w:rPr>
                <w:rFonts w:ascii="Arial" w:eastAsia="宋体" w:hAnsi="Arial" w:cs="Arial"/>
                <w:b/>
                <w:bCs/>
                <w:color w:val="333333"/>
                <w:sz w:val="18"/>
                <w:szCs w:val="18"/>
              </w:rPr>
              <w:t>Exhibit Description</w:t>
            </w:r>
          </w:p>
        </w:tc>
        <w:tc>
          <w:tcPr>
            <w:tcW w:w="0" w:type="auto"/>
            <w:gridSpan w:val="3"/>
            <w:shd w:val="clear" w:color="auto" w:fill="auto"/>
            <w:tcMar>
              <w:left w:w="20" w:type="dxa"/>
              <w:right w:w="20" w:type="dxa"/>
            </w:tcMar>
            <w:vAlign w:val="bottom"/>
          </w:tcPr>
          <w:p w14:paraId="36CA5868" w14:textId="77777777" w:rsidR="00787570" w:rsidRDefault="00787570">
            <w:pPr>
              <w:rPr>
                <w:rFonts w:ascii="宋体"/>
              </w:rPr>
            </w:pPr>
          </w:p>
        </w:tc>
        <w:tc>
          <w:tcPr>
            <w:tcW w:w="0" w:type="auto"/>
            <w:gridSpan w:val="3"/>
            <w:tcBorders>
              <w:top w:val="single" w:sz="8" w:space="0" w:color="0071C5"/>
            </w:tcBorders>
            <w:shd w:val="clear" w:color="auto" w:fill="auto"/>
            <w:tcMar>
              <w:top w:w="40" w:type="dxa"/>
              <w:left w:w="20" w:type="dxa"/>
              <w:bottom w:w="40" w:type="dxa"/>
              <w:right w:w="20" w:type="dxa"/>
            </w:tcMar>
            <w:vAlign w:val="bottom"/>
          </w:tcPr>
          <w:p w14:paraId="36CA5869" w14:textId="77777777" w:rsidR="00787570" w:rsidRDefault="000D56E2">
            <w:pPr>
              <w:jc w:val="center"/>
              <w:textAlignment w:val="bottom"/>
            </w:pPr>
            <w:r>
              <w:rPr>
                <w:rFonts w:ascii="Arial" w:eastAsia="宋体" w:hAnsi="Arial" w:cs="Arial"/>
                <w:b/>
                <w:bCs/>
                <w:color w:val="333333"/>
                <w:sz w:val="18"/>
                <w:szCs w:val="18"/>
              </w:rPr>
              <w:t>Form</w:t>
            </w:r>
          </w:p>
        </w:tc>
        <w:tc>
          <w:tcPr>
            <w:tcW w:w="0" w:type="auto"/>
            <w:gridSpan w:val="3"/>
            <w:tcBorders>
              <w:top w:val="single" w:sz="8" w:space="0" w:color="0071C5"/>
            </w:tcBorders>
            <w:shd w:val="clear" w:color="auto" w:fill="auto"/>
            <w:tcMar>
              <w:left w:w="20" w:type="dxa"/>
              <w:right w:w="20" w:type="dxa"/>
            </w:tcMar>
            <w:vAlign w:val="bottom"/>
          </w:tcPr>
          <w:p w14:paraId="36CA586A" w14:textId="77777777" w:rsidR="00787570" w:rsidRDefault="00787570">
            <w:pPr>
              <w:rPr>
                <w:rFonts w:ascii="宋体"/>
              </w:rPr>
            </w:pPr>
          </w:p>
        </w:tc>
        <w:tc>
          <w:tcPr>
            <w:tcW w:w="0" w:type="auto"/>
            <w:gridSpan w:val="3"/>
            <w:tcBorders>
              <w:top w:val="single" w:sz="8" w:space="0" w:color="0071C5"/>
            </w:tcBorders>
            <w:shd w:val="clear" w:color="auto" w:fill="auto"/>
            <w:tcMar>
              <w:top w:w="40" w:type="dxa"/>
              <w:left w:w="20" w:type="dxa"/>
              <w:bottom w:w="40" w:type="dxa"/>
              <w:right w:w="20" w:type="dxa"/>
            </w:tcMar>
            <w:vAlign w:val="bottom"/>
          </w:tcPr>
          <w:p w14:paraId="36CA586B" w14:textId="77777777" w:rsidR="00787570" w:rsidRDefault="000D56E2">
            <w:pPr>
              <w:jc w:val="center"/>
              <w:textAlignment w:val="bottom"/>
            </w:pPr>
            <w:r>
              <w:rPr>
                <w:rFonts w:ascii="Arial" w:eastAsia="宋体" w:hAnsi="Arial" w:cs="Arial"/>
                <w:b/>
                <w:bCs/>
                <w:color w:val="333333"/>
                <w:sz w:val="18"/>
                <w:szCs w:val="18"/>
              </w:rPr>
              <w:t>File Number</w:t>
            </w:r>
          </w:p>
        </w:tc>
        <w:tc>
          <w:tcPr>
            <w:tcW w:w="0" w:type="auto"/>
            <w:gridSpan w:val="3"/>
            <w:tcBorders>
              <w:top w:val="single" w:sz="8" w:space="0" w:color="0071C5"/>
            </w:tcBorders>
            <w:shd w:val="clear" w:color="auto" w:fill="auto"/>
            <w:tcMar>
              <w:left w:w="20" w:type="dxa"/>
              <w:right w:w="20" w:type="dxa"/>
            </w:tcMar>
            <w:vAlign w:val="bottom"/>
          </w:tcPr>
          <w:p w14:paraId="36CA586C" w14:textId="77777777" w:rsidR="00787570" w:rsidRDefault="00787570">
            <w:pPr>
              <w:rPr>
                <w:rFonts w:ascii="宋体"/>
              </w:rPr>
            </w:pPr>
          </w:p>
        </w:tc>
        <w:tc>
          <w:tcPr>
            <w:tcW w:w="0" w:type="auto"/>
            <w:gridSpan w:val="3"/>
            <w:tcBorders>
              <w:top w:val="single" w:sz="8" w:space="0" w:color="0071C5"/>
            </w:tcBorders>
            <w:shd w:val="clear" w:color="auto" w:fill="auto"/>
            <w:tcMar>
              <w:top w:w="40" w:type="dxa"/>
              <w:left w:w="20" w:type="dxa"/>
              <w:bottom w:w="40" w:type="dxa"/>
              <w:right w:w="20" w:type="dxa"/>
            </w:tcMar>
            <w:vAlign w:val="bottom"/>
          </w:tcPr>
          <w:p w14:paraId="36CA586D" w14:textId="77777777" w:rsidR="00787570" w:rsidRDefault="000D56E2">
            <w:pPr>
              <w:jc w:val="center"/>
              <w:textAlignment w:val="bottom"/>
            </w:pPr>
            <w:r>
              <w:rPr>
                <w:rFonts w:ascii="Arial" w:eastAsia="宋体" w:hAnsi="Arial" w:cs="Arial"/>
                <w:b/>
                <w:bCs/>
                <w:color w:val="333333"/>
                <w:sz w:val="18"/>
                <w:szCs w:val="18"/>
              </w:rPr>
              <w:t>Exhibit</w:t>
            </w:r>
          </w:p>
        </w:tc>
        <w:tc>
          <w:tcPr>
            <w:tcW w:w="0" w:type="auto"/>
            <w:gridSpan w:val="3"/>
            <w:tcBorders>
              <w:top w:val="single" w:sz="8" w:space="0" w:color="0071C5"/>
            </w:tcBorders>
            <w:shd w:val="clear" w:color="auto" w:fill="auto"/>
            <w:tcMar>
              <w:left w:w="20" w:type="dxa"/>
              <w:right w:w="20" w:type="dxa"/>
            </w:tcMar>
            <w:vAlign w:val="bottom"/>
          </w:tcPr>
          <w:p w14:paraId="36CA586E" w14:textId="77777777" w:rsidR="00787570" w:rsidRDefault="00787570">
            <w:pPr>
              <w:rPr>
                <w:rFonts w:ascii="宋体"/>
              </w:rPr>
            </w:pPr>
          </w:p>
        </w:tc>
        <w:tc>
          <w:tcPr>
            <w:tcW w:w="0" w:type="auto"/>
            <w:gridSpan w:val="3"/>
            <w:tcBorders>
              <w:top w:val="single" w:sz="8" w:space="0" w:color="0071C5"/>
            </w:tcBorders>
            <w:shd w:val="clear" w:color="auto" w:fill="auto"/>
            <w:tcMar>
              <w:top w:w="40" w:type="dxa"/>
              <w:left w:w="20" w:type="dxa"/>
              <w:bottom w:w="40" w:type="dxa"/>
              <w:right w:w="20" w:type="dxa"/>
            </w:tcMar>
            <w:vAlign w:val="bottom"/>
          </w:tcPr>
          <w:p w14:paraId="36CA586F" w14:textId="77777777" w:rsidR="00787570" w:rsidRDefault="000D56E2">
            <w:pPr>
              <w:jc w:val="center"/>
              <w:textAlignment w:val="bottom"/>
            </w:pPr>
            <w:r>
              <w:rPr>
                <w:rFonts w:ascii="Arial" w:eastAsia="宋体" w:hAnsi="Arial" w:cs="Arial"/>
                <w:b/>
                <w:bCs/>
                <w:color w:val="333333"/>
                <w:sz w:val="18"/>
                <w:szCs w:val="18"/>
              </w:rPr>
              <w:t>Filing</w:t>
            </w:r>
            <w:r>
              <w:rPr>
                <w:rFonts w:ascii="Arial" w:eastAsia="宋体" w:hAnsi="Arial" w:cs="Arial"/>
                <w:b/>
                <w:bCs/>
                <w:color w:val="333333"/>
                <w:sz w:val="18"/>
                <w:szCs w:val="18"/>
              </w:rPr>
              <w:br/>
              <w:t>Date</w:t>
            </w:r>
          </w:p>
        </w:tc>
        <w:tc>
          <w:tcPr>
            <w:tcW w:w="0" w:type="auto"/>
            <w:gridSpan w:val="3"/>
            <w:shd w:val="clear" w:color="auto" w:fill="auto"/>
            <w:tcMar>
              <w:left w:w="20" w:type="dxa"/>
              <w:right w:w="20" w:type="dxa"/>
            </w:tcMar>
            <w:vAlign w:val="bottom"/>
          </w:tcPr>
          <w:p w14:paraId="36CA5870" w14:textId="77777777" w:rsidR="00787570" w:rsidRDefault="00787570">
            <w:pPr>
              <w:rPr>
                <w:rFonts w:ascii="宋体"/>
              </w:rPr>
            </w:pPr>
          </w:p>
        </w:tc>
        <w:tc>
          <w:tcPr>
            <w:tcW w:w="0" w:type="auto"/>
            <w:gridSpan w:val="3"/>
            <w:shd w:val="clear" w:color="auto" w:fill="auto"/>
            <w:tcMar>
              <w:top w:w="40" w:type="dxa"/>
              <w:left w:w="20" w:type="dxa"/>
              <w:bottom w:w="40" w:type="dxa"/>
              <w:right w:w="20" w:type="dxa"/>
            </w:tcMar>
            <w:vAlign w:val="bottom"/>
          </w:tcPr>
          <w:p w14:paraId="36CA5871" w14:textId="77777777" w:rsidR="00787570" w:rsidRDefault="000D56E2">
            <w:pPr>
              <w:jc w:val="center"/>
              <w:textAlignment w:val="bottom"/>
            </w:pPr>
            <w:r>
              <w:rPr>
                <w:rFonts w:ascii="Arial" w:eastAsia="宋体" w:hAnsi="Arial" w:cs="Arial"/>
                <w:b/>
                <w:bCs/>
                <w:color w:val="333333"/>
                <w:sz w:val="18"/>
                <w:szCs w:val="18"/>
              </w:rPr>
              <w:t>Filed or</w:t>
            </w:r>
            <w:r>
              <w:rPr>
                <w:rFonts w:ascii="Arial" w:eastAsia="宋体" w:hAnsi="Arial" w:cs="Arial"/>
                <w:b/>
                <w:bCs/>
                <w:color w:val="333333"/>
                <w:sz w:val="18"/>
                <w:szCs w:val="18"/>
              </w:rPr>
              <w:br/>
              <w:t>Furnished</w:t>
            </w:r>
            <w:r>
              <w:rPr>
                <w:rFonts w:ascii="Arial" w:eastAsia="宋体" w:hAnsi="Arial" w:cs="Arial"/>
                <w:b/>
                <w:bCs/>
                <w:color w:val="333333"/>
                <w:sz w:val="18"/>
                <w:szCs w:val="18"/>
              </w:rPr>
              <w:br/>
              <w:t>Herewith</w:t>
            </w:r>
          </w:p>
        </w:tc>
        <w:tc>
          <w:tcPr>
            <w:tcW w:w="0" w:type="auto"/>
            <w:shd w:val="clear" w:color="auto" w:fill="auto"/>
          </w:tcPr>
          <w:p w14:paraId="36CA5872" w14:textId="77777777" w:rsidR="00787570" w:rsidRDefault="00787570">
            <w:pPr>
              <w:rPr>
                <w:rFonts w:ascii="宋体"/>
              </w:rPr>
            </w:pPr>
          </w:p>
        </w:tc>
        <w:tc>
          <w:tcPr>
            <w:tcW w:w="0" w:type="auto"/>
            <w:shd w:val="clear" w:color="auto" w:fill="auto"/>
          </w:tcPr>
          <w:p w14:paraId="36CA5873" w14:textId="77777777" w:rsidR="00787570" w:rsidRDefault="00787570">
            <w:pPr>
              <w:rPr>
                <w:rFonts w:ascii="宋体"/>
              </w:rPr>
            </w:pPr>
          </w:p>
        </w:tc>
        <w:tc>
          <w:tcPr>
            <w:tcW w:w="0" w:type="auto"/>
            <w:shd w:val="clear" w:color="auto" w:fill="auto"/>
          </w:tcPr>
          <w:p w14:paraId="36CA5874" w14:textId="77777777" w:rsidR="00787570" w:rsidRDefault="00787570">
            <w:pPr>
              <w:rPr>
                <w:rFonts w:ascii="宋体"/>
              </w:rPr>
            </w:pPr>
          </w:p>
        </w:tc>
        <w:tc>
          <w:tcPr>
            <w:tcW w:w="0" w:type="auto"/>
            <w:shd w:val="clear" w:color="auto" w:fill="auto"/>
          </w:tcPr>
          <w:p w14:paraId="36CA5875" w14:textId="77777777" w:rsidR="00787570" w:rsidRDefault="00787570">
            <w:pPr>
              <w:rPr>
                <w:rFonts w:ascii="宋体"/>
              </w:rPr>
            </w:pPr>
          </w:p>
        </w:tc>
        <w:tc>
          <w:tcPr>
            <w:tcW w:w="0" w:type="auto"/>
            <w:shd w:val="clear" w:color="auto" w:fill="auto"/>
          </w:tcPr>
          <w:p w14:paraId="36CA5876" w14:textId="77777777" w:rsidR="00787570" w:rsidRDefault="00787570">
            <w:pPr>
              <w:rPr>
                <w:rFonts w:ascii="宋体"/>
              </w:rPr>
            </w:pPr>
          </w:p>
        </w:tc>
        <w:tc>
          <w:tcPr>
            <w:tcW w:w="0" w:type="auto"/>
            <w:shd w:val="clear" w:color="auto" w:fill="auto"/>
          </w:tcPr>
          <w:p w14:paraId="36CA5877" w14:textId="77777777" w:rsidR="00787570" w:rsidRDefault="00787570">
            <w:pPr>
              <w:rPr>
                <w:rFonts w:ascii="宋体"/>
              </w:rPr>
            </w:pPr>
          </w:p>
        </w:tc>
        <w:tc>
          <w:tcPr>
            <w:tcW w:w="0" w:type="auto"/>
            <w:shd w:val="clear" w:color="auto" w:fill="auto"/>
          </w:tcPr>
          <w:p w14:paraId="36CA5878" w14:textId="77777777" w:rsidR="00787570" w:rsidRDefault="00787570">
            <w:pPr>
              <w:rPr>
                <w:rFonts w:ascii="宋体"/>
              </w:rPr>
            </w:pPr>
          </w:p>
        </w:tc>
        <w:tc>
          <w:tcPr>
            <w:tcW w:w="0" w:type="auto"/>
            <w:shd w:val="clear" w:color="auto" w:fill="auto"/>
          </w:tcPr>
          <w:p w14:paraId="36CA5879" w14:textId="77777777" w:rsidR="00787570" w:rsidRDefault="00787570">
            <w:pPr>
              <w:rPr>
                <w:rFonts w:ascii="宋体"/>
              </w:rPr>
            </w:pPr>
          </w:p>
        </w:tc>
        <w:tc>
          <w:tcPr>
            <w:tcW w:w="0" w:type="auto"/>
            <w:shd w:val="clear" w:color="auto" w:fill="auto"/>
          </w:tcPr>
          <w:p w14:paraId="36CA587A" w14:textId="77777777" w:rsidR="00787570" w:rsidRDefault="00787570">
            <w:pPr>
              <w:rPr>
                <w:rFonts w:ascii="宋体"/>
              </w:rPr>
            </w:pPr>
          </w:p>
        </w:tc>
        <w:tc>
          <w:tcPr>
            <w:tcW w:w="0" w:type="auto"/>
            <w:shd w:val="clear" w:color="auto" w:fill="auto"/>
          </w:tcPr>
          <w:p w14:paraId="36CA587B" w14:textId="77777777" w:rsidR="00787570" w:rsidRDefault="00787570">
            <w:pPr>
              <w:rPr>
                <w:rFonts w:ascii="宋体"/>
              </w:rPr>
            </w:pPr>
          </w:p>
        </w:tc>
        <w:tc>
          <w:tcPr>
            <w:tcW w:w="0" w:type="auto"/>
            <w:shd w:val="clear" w:color="auto" w:fill="auto"/>
          </w:tcPr>
          <w:p w14:paraId="36CA587C" w14:textId="77777777" w:rsidR="00787570" w:rsidRDefault="00787570">
            <w:pPr>
              <w:rPr>
                <w:rFonts w:ascii="宋体"/>
              </w:rPr>
            </w:pPr>
          </w:p>
        </w:tc>
        <w:tc>
          <w:tcPr>
            <w:tcW w:w="0" w:type="auto"/>
            <w:shd w:val="clear" w:color="auto" w:fill="auto"/>
          </w:tcPr>
          <w:p w14:paraId="36CA587D" w14:textId="77777777" w:rsidR="00787570" w:rsidRDefault="00787570">
            <w:pPr>
              <w:rPr>
                <w:rFonts w:ascii="宋体"/>
              </w:rPr>
            </w:pPr>
          </w:p>
        </w:tc>
        <w:tc>
          <w:tcPr>
            <w:tcW w:w="0" w:type="auto"/>
            <w:shd w:val="clear" w:color="auto" w:fill="auto"/>
          </w:tcPr>
          <w:p w14:paraId="36CA587E" w14:textId="77777777" w:rsidR="00787570" w:rsidRDefault="00787570">
            <w:pPr>
              <w:rPr>
                <w:rFonts w:ascii="宋体"/>
              </w:rPr>
            </w:pPr>
          </w:p>
        </w:tc>
        <w:tc>
          <w:tcPr>
            <w:tcW w:w="0" w:type="auto"/>
            <w:shd w:val="clear" w:color="auto" w:fill="auto"/>
          </w:tcPr>
          <w:p w14:paraId="36CA587F" w14:textId="77777777" w:rsidR="00787570" w:rsidRDefault="00787570">
            <w:pPr>
              <w:rPr>
                <w:rFonts w:ascii="宋体"/>
              </w:rPr>
            </w:pPr>
          </w:p>
        </w:tc>
        <w:tc>
          <w:tcPr>
            <w:tcW w:w="0" w:type="auto"/>
            <w:shd w:val="clear" w:color="auto" w:fill="auto"/>
          </w:tcPr>
          <w:p w14:paraId="36CA5880" w14:textId="77777777" w:rsidR="00787570" w:rsidRDefault="00787570">
            <w:pPr>
              <w:rPr>
                <w:rFonts w:ascii="宋体"/>
              </w:rPr>
            </w:pPr>
          </w:p>
        </w:tc>
        <w:tc>
          <w:tcPr>
            <w:tcW w:w="0" w:type="auto"/>
            <w:shd w:val="clear" w:color="auto" w:fill="auto"/>
          </w:tcPr>
          <w:p w14:paraId="36CA5881" w14:textId="77777777" w:rsidR="00787570" w:rsidRDefault="00787570">
            <w:pPr>
              <w:rPr>
                <w:rFonts w:ascii="宋体"/>
              </w:rPr>
            </w:pPr>
          </w:p>
        </w:tc>
        <w:tc>
          <w:tcPr>
            <w:tcW w:w="0" w:type="auto"/>
            <w:shd w:val="clear" w:color="auto" w:fill="auto"/>
          </w:tcPr>
          <w:p w14:paraId="36CA5882" w14:textId="77777777" w:rsidR="00787570" w:rsidRDefault="00787570">
            <w:pPr>
              <w:rPr>
                <w:rFonts w:ascii="宋体"/>
              </w:rPr>
            </w:pPr>
          </w:p>
        </w:tc>
        <w:tc>
          <w:tcPr>
            <w:tcW w:w="0" w:type="auto"/>
            <w:shd w:val="clear" w:color="auto" w:fill="auto"/>
          </w:tcPr>
          <w:p w14:paraId="36CA5883" w14:textId="77777777" w:rsidR="00787570" w:rsidRDefault="00787570">
            <w:pPr>
              <w:rPr>
                <w:rFonts w:ascii="宋体"/>
              </w:rPr>
            </w:pPr>
          </w:p>
        </w:tc>
      </w:tr>
      <w:tr w:rsidR="00787570" w14:paraId="36CA58A4" w14:textId="77777777">
        <w:tc>
          <w:tcPr>
            <w:tcW w:w="0" w:type="auto"/>
            <w:gridSpan w:val="3"/>
            <w:tcBorders>
              <w:top w:val="single" w:sz="8" w:space="0" w:color="0071C5"/>
            </w:tcBorders>
            <w:shd w:val="clear" w:color="auto" w:fill="auto"/>
            <w:tcMar>
              <w:top w:w="40" w:type="dxa"/>
              <w:left w:w="20" w:type="dxa"/>
              <w:bottom w:w="40" w:type="dxa"/>
              <w:right w:w="20" w:type="dxa"/>
            </w:tcMar>
          </w:tcPr>
          <w:p w14:paraId="36CA5885" w14:textId="77777777" w:rsidR="00787570" w:rsidRDefault="000D56E2">
            <w:pPr>
              <w:jc w:val="center"/>
              <w:textAlignment w:val="top"/>
            </w:pPr>
            <w:r>
              <w:rPr>
                <w:rFonts w:ascii="Arial" w:eastAsia="宋体" w:hAnsi="Arial" w:cs="Arial"/>
                <w:color w:val="333333"/>
                <w:sz w:val="18"/>
                <w:szCs w:val="18"/>
              </w:rPr>
              <w:t>3.1</w:t>
            </w:r>
          </w:p>
        </w:tc>
        <w:tc>
          <w:tcPr>
            <w:tcW w:w="0" w:type="auto"/>
            <w:gridSpan w:val="3"/>
            <w:shd w:val="clear" w:color="auto" w:fill="auto"/>
            <w:tcMar>
              <w:left w:w="20" w:type="dxa"/>
              <w:right w:w="20" w:type="dxa"/>
            </w:tcMar>
            <w:vAlign w:val="bottom"/>
          </w:tcPr>
          <w:p w14:paraId="36CA5886" w14:textId="77777777" w:rsidR="00787570" w:rsidRDefault="00787570">
            <w:pPr>
              <w:rPr>
                <w:rFonts w:ascii="宋体"/>
              </w:rPr>
            </w:pPr>
          </w:p>
        </w:tc>
        <w:tc>
          <w:tcPr>
            <w:tcW w:w="0" w:type="auto"/>
            <w:gridSpan w:val="3"/>
            <w:tcBorders>
              <w:top w:val="single" w:sz="8" w:space="0" w:color="0071C5"/>
            </w:tcBorders>
            <w:shd w:val="clear" w:color="auto" w:fill="auto"/>
            <w:tcMar>
              <w:top w:w="40" w:type="dxa"/>
              <w:left w:w="20" w:type="dxa"/>
              <w:bottom w:w="40" w:type="dxa"/>
              <w:right w:w="20" w:type="dxa"/>
            </w:tcMar>
          </w:tcPr>
          <w:p w14:paraId="36CA5887" w14:textId="77777777" w:rsidR="00787570" w:rsidRDefault="000D56E2">
            <w:pPr>
              <w:textAlignment w:val="top"/>
            </w:pPr>
            <w:hyperlink r:id="rId74" w:history="1">
              <w:r>
                <w:rPr>
                  <w:rStyle w:val="a5"/>
                  <w:rFonts w:ascii="Arial" w:eastAsia="宋体" w:hAnsi="Arial" w:cs="Arial"/>
                  <w:sz w:val="18"/>
                  <w:szCs w:val="18"/>
                </w:rPr>
                <w:t xml:space="preserve">Third Restated Certificate of Incorporation of Intel Corporation, dated </w:t>
              </w:r>
              <w:r>
                <w:rPr>
                  <w:rStyle w:val="a5"/>
                  <w:rFonts w:ascii="Arial" w:eastAsia="宋体" w:hAnsi="Arial" w:cs="Arial"/>
                  <w:sz w:val="18"/>
                  <w:szCs w:val="18"/>
                </w:rPr>
                <w:t>May 17, 2006</w:t>
              </w:r>
            </w:hyperlink>
          </w:p>
        </w:tc>
        <w:tc>
          <w:tcPr>
            <w:tcW w:w="0" w:type="auto"/>
            <w:gridSpan w:val="3"/>
            <w:shd w:val="clear" w:color="auto" w:fill="auto"/>
            <w:tcMar>
              <w:left w:w="20" w:type="dxa"/>
              <w:right w:w="20" w:type="dxa"/>
            </w:tcMar>
            <w:vAlign w:val="bottom"/>
          </w:tcPr>
          <w:p w14:paraId="36CA5888" w14:textId="77777777" w:rsidR="00787570" w:rsidRDefault="00787570">
            <w:pPr>
              <w:rPr>
                <w:rFonts w:ascii="宋体"/>
              </w:rPr>
            </w:pPr>
          </w:p>
        </w:tc>
        <w:tc>
          <w:tcPr>
            <w:tcW w:w="0" w:type="auto"/>
            <w:gridSpan w:val="3"/>
            <w:tcBorders>
              <w:top w:val="single" w:sz="8" w:space="0" w:color="0071C5"/>
            </w:tcBorders>
            <w:shd w:val="clear" w:color="auto" w:fill="auto"/>
            <w:tcMar>
              <w:top w:w="40" w:type="dxa"/>
              <w:left w:w="20" w:type="dxa"/>
              <w:bottom w:w="40" w:type="dxa"/>
              <w:right w:w="20" w:type="dxa"/>
            </w:tcMar>
          </w:tcPr>
          <w:p w14:paraId="36CA5889" w14:textId="77777777" w:rsidR="00787570" w:rsidRDefault="000D56E2">
            <w:pPr>
              <w:jc w:val="center"/>
              <w:textAlignment w:val="top"/>
            </w:pPr>
            <w:r>
              <w:rPr>
                <w:rFonts w:ascii="Arial" w:eastAsia="宋体" w:hAnsi="Arial" w:cs="Arial"/>
                <w:color w:val="333333"/>
                <w:sz w:val="18"/>
                <w:szCs w:val="18"/>
              </w:rPr>
              <w:t>8-K</w:t>
            </w:r>
          </w:p>
        </w:tc>
        <w:tc>
          <w:tcPr>
            <w:tcW w:w="0" w:type="auto"/>
            <w:gridSpan w:val="3"/>
            <w:shd w:val="clear" w:color="auto" w:fill="auto"/>
            <w:tcMar>
              <w:left w:w="20" w:type="dxa"/>
              <w:right w:w="20" w:type="dxa"/>
            </w:tcMar>
            <w:vAlign w:val="bottom"/>
          </w:tcPr>
          <w:p w14:paraId="36CA588A" w14:textId="77777777" w:rsidR="00787570" w:rsidRDefault="00787570">
            <w:pPr>
              <w:rPr>
                <w:rFonts w:ascii="宋体"/>
              </w:rPr>
            </w:pPr>
          </w:p>
        </w:tc>
        <w:tc>
          <w:tcPr>
            <w:tcW w:w="0" w:type="auto"/>
            <w:gridSpan w:val="3"/>
            <w:tcBorders>
              <w:top w:val="single" w:sz="8" w:space="0" w:color="0071C5"/>
            </w:tcBorders>
            <w:shd w:val="clear" w:color="auto" w:fill="auto"/>
            <w:tcMar>
              <w:top w:w="40" w:type="dxa"/>
              <w:left w:w="20" w:type="dxa"/>
              <w:bottom w:w="40" w:type="dxa"/>
              <w:right w:w="20" w:type="dxa"/>
            </w:tcMar>
          </w:tcPr>
          <w:p w14:paraId="36CA588B" w14:textId="77777777" w:rsidR="00787570" w:rsidRDefault="000D56E2">
            <w:pPr>
              <w:jc w:val="center"/>
              <w:textAlignment w:val="top"/>
            </w:pPr>
            <w:r>
              <w:rPr>
                <w:rFonts w:ascii="Arial" w:eastAsia="宋体" w:hAnsi="Arial" w:cs="Arial"/>
                <w:color w:val="333333"/>
                <w:sz w:val="18"/>
                <w:szCs w:val="18"/>
              </w:rPr>
              <w:t>000-06217</w:t>
            </w:r>
          </w:p>
        </w:tc>
        <w:tc>
          <w:tcPr>
            <w:tcW w:w="0" w:type="auto"/>
            <w:gridSpan w:val="3"/>
            <w:shd w:val="clear" w:color="auto" w:fill="auto"/>
            <w:tcMar>
              <w:left w:w="20" w:type="dxa"/>
              <w:right w:w="20" w:type="dxa"/>
            </w:tcMar>
            <w:vAlign w:val="bottom"/>
          </w:tcPr>
          <w:p w14:paraId="36CA588C" w14:textId="77777777" w:rsidR="00787570" w:rsidRDefault="00787570">
            <w:pPr>
              <w:rPr>
                <w:rFonts w:ascii="宋体"/>
              </w:rPr>
            </w:pPr>
          </w:p>
        </w:tc>
        <w:tc>
          <w:tcPr>
            <w:tcW w:w="0" w:type="auto"/>
            <w:gridSpan w:val="3"/>
            <w:tcBorders>
              <w:top w:val="single" w:sz="8" w:space="0" w:color="0071C5"/>
            </w:tcBorders>
            <w:shd w:val="clear" w:color="auto" w:fill="auto"/>
            <w:tcMar>
              <w:top w:w="40" w:type="dxa"/>
              <w:left w:w="20" w:type="dxa"/>
              <w:bottom w:w="40" w:type="dxa"/>
              <w:right w:w="20" w:type="dxa"/>
            </w:tcMar>
          </w:tcPr>
          <w:p w14:paraId="36CA588D" w14:textId="77777777" w:rsidR="00787570" w:rsidRDefault="000D56E2">
            <w:pPr>
              <w:jc w:val="center"/>
              <w:textAlignment w:val="top"/>
            </w:pPr>
            <w:r>
              <w:rPr>
                <w:rFonts w:ascii="Arial" w:eastAsia="宋体" w:hAnsi="Arial" w:cs="Arial"/>
                <w:color w:val="333333"/>
                <w:sz w:val="18"/>
                <w:szCs w:val="18"/>
              </w:rPr>
              <w:t>3.1</w:t>
            </w:r>
          </w:p>
        </w:tc>
        <w:tc>
          <w:tcPr>
            <w:tcW w:w="0" w:type="auto"/>
            <w:gridSpan w:val="3"/>
            <w:shd w:val="clear" w:color="auto" w:fill="auto"/>
            <w:tcMar>
              <w:left w:w="20" w:type="dxa"/>
              <w:right w:w="20" w:type="dxa"/>
            </w:tcMar>
            <w:vAlign w:val="bottom"/>
          </w:tcPr>
          <w:p w14:paraId="36CA588E" w14:textId="77777777" w:rsidR="00787570" w:rsidRDefault="00787570">
            <w:pPr>
              <w:rPr>
                <w:rFonts w:ascii="宋体"/>
              </w:rPr>
            </w:pPr>
          </w:p>
        </w:tc>
        <w:tc>
          <w:tcPr>
            <w:tcW w:w="0" w:type="auto"/>
            <w:gridSpan w:val="3"/>
            <w:tcBorders>
              <w:top w:val="single" w:sz="8" w:space="0" w:color="0071C5"/>
            </w:tcBorders>
            <w:shd w:val="clear" w:color="auto" w:fill="auto"/>
            <w:tcMar>
              <w:top w:w="40" w:type="dxa"/>
              <w:left w:w="20" w:type="dxa"/>
              <w:bottom w:w="40" w:type="dxa"/>
              <w:right w:w="20" w:type="dxa"/>
            </w:tcMar>
          </w:tcPr>
          <w:p w14:paraId="36CA588F" w14:textId="77777777" w:rsidR="00787570" w:rsidRDefault="000D56E2">
            <w:pPr>
              <w:jc w:val="center"/>
              <w:textAlignment w:val="top"/>
            </w:pPr>
            <w:r>
              <w:rPr>
                <w:rFonts w:ascii="Arial" w:eastAsia="宋体" w:hAnsi="Arial" w:cs="Arial"/>
                <w:color w:val="333333"/>
                <w:sz w:val="18"/>
                <w:szCs w:val="18"/>
              </w:rPr>
              <w:t>5/22/2006</w:t>
            </w:r>
          </w:p>
        </w:tc>
        <w:tc>
          <w:tcPr>
            <w:tcW w:w="0" w:type="auto"/>
            <w:gridSpan w:val="3"/>
            <w:shd w:val="clear" w:color="auto" w:fill="auto"/>
            <w:tcMar>
              <w:left w:w="20" w:type="dxa"/>
              <w:right w:w="20" w:type="dxa"/>
            </w:tcMar>
            <w:vAlign w:val="bottom"/>
          </w:tcPr>
          <w:p w14:paraId="36CA5890" w14:textId="77777777" w:rsidR="00787570" w:rsidRDefault="00787570">
            <w:pPr>
              <w:rPr>
                <w:rFonts w:ascii="宋体"/>
              </w:rPr>
            </w:pPr>
          </w:p>
        </w:tc>
        <w:tc>
          <w:tcPr>
            <w:tcW w:w="0" w:type="auto"/>
            <w:gridSpan w:val="3"/>
            <w:tcBorders>
              <w:top w:val="single" w:sz="8" w:space="0" w:color="0071C5"/>
            </w:tcBorders>
            <w:shd w:val="clear" w:color="auto" w:fill="auto"/>
            <w:tcMar>
              <w:left w:w="20" w:type="dxa"/>
              <w:right w:w="20" w:type="dxa"/>
            </w:tcMar>
            <w:vAlign w:val="bottom"/>
          </w:tcPr>
          <w:p w14:paraId="36CA5891" w14:textId="77777777" w:rsidR="00787570" w:rsidRDefault="00787570">
            <w:pPr>
              <w:rPr>
                <w:rFonts w:ascii="宋体"/>
              </w:rPr>
            </w:pPr>
          </w:p>
        </w:tc>
        <w:tc>
          <w:tcPr>
            <w:tcW w:w="0" w:type="auto"/>
            <w:shd w:val="clear" w:color="auto" w:fill="auto"/>
          </w:tcPr>
          <w:p w14:paraId="36CA5892" w14:textId="77777777" w:rsidR="00787570" w:rsidRDefault="00787570">
            <w:pPr>
              <w:rPr>
                <w:rFonts w:ascii="宋体"/>
              </w:rPr>
            </w:pPr>
          </w:p>
        </w:tc>
        <w:tc>
          <w:tcPr>
            <w:tcW w:w="0" w:type="auto"/>
            <w:shd w:val="clear" w:color="auto" w:fill="auto"/>
          </w:tcPr>
          <w:p w14:paraId="36CA5893" w14:textId="77777777" w:rsidR="00787570" w:rsidRDefault="00787570">
            <w:pPr>
              <w:rPr>
                <w:rFonts w:ascii="宋体"/>
              </w:rPr>
            </w:pPr>
          </w:p>
        </w:tc>
        <w:tc>
          <w:tcPr>
            <w:tcW w:w="0" w:type="auto"/>
            <w:shd w:val="clear" w:color="auto" w:fill="auto"/>
          </w:tcPr>
          <w:p w14:paraId="36CA5894" w14:textId="77777777" w:rsidR="00787570" w:rsidRDefault="00787570">
            <w:pPr>
              <w:rPr>
                <w:rFonts w:ascii="宋体"/>
              </w:rPr>
            </w:pPr>
          </w:p>
        </w:tc>
        <w:tc>
          <w:tcPr>
            <w:tcW w:w="0" w:type="auto"/>
            <w:shd w:val="clear" w:color="auto" w:fill="auto"/>
          </w:tcPr>
          <w:p w14:paraId="36CA5895" w14:textId="77777777" w:rsidR="00787570" w:rsidRDefault="00787570">
            <w:pPr>
              <w:rPr>
                <w:rFonts w:ascii="宋体"/>
              </w:rPr>
            </w:pPr>
          </w:p>
        </w:tc>
        <w:tc>
          <w:tcPr>
            <w:tcW w:w="0" w:type="auto"/>
            <w:shd w:val="clear" w:color="auto" w:fill="auto"/>
          </w:tcPr>
          <w:p w14:paraId="36CA5896" w14:textId="77777777" w:rsidR="00787570" w:rsidRDefault="00787570">
            <w:pPr>
              <w:rPr>
                <w:rFonts w:ascii="宋体"/>
              </w:rPr>
            </w:pPr>
          </w:p>
        </w:tc>
        <w:tc>
          <w:tcPr>
            <w:tcW w:w="0" w:type="auto"/>
            <w:shd w:val="clear" w:color="auto" w:fill="auto"/>
          </w:tcPr>
          <w:p w14:paraId="36CA5897" w14:textId="77777777" w:rsidR="00787570" w:rsidRDefault="00787570">
            <w:pPr>
              <w:rPr>
                <w:rFonts w:ascii="宋体"/>
              </w:rPr>
            </w:pPr>
          </w:p>
        </w:tc>
        <w:tc>
          <w:tcPr>
            <w:tcW w:w="0" w:type="auto"/>
            <w:shd w:val="clear" w:color="auto" w:fill="auto"/>
          </w:tcPr>
          <w:p w14:paraId="36CA5898" w14:textId="77777777" w:rsidR="00787570" w:rsidRDefault="00787570">
            <w:pPr>
              <w:rPr>
                <w:rFonts w:ascii="宋体"/>
              </w:rPr>
            </w:pPr>
          </w:p>
        </w:tc>
        <w:tc>
          <w:tcPr>
            <w:tcW w:w="0" w:type="auto"/>
            <w:shd w:val="clear" w:color="auto" w:fill="auto"/>
          </w:tcPr>
          <w:p w14:paraId="36CA5899" w14:textId="77777777" w:rsidR="00787570" w:rsidRDefault="00787570">
            <w:pPr>
              <w:rPr>
                <w:rFonts w:ascii="宋体"/>
              </w:rPr>
            </w:pPr>
          </w:p>
        </w:tc>
        <w:tc>
          <w:tcPr>
            <w:tcW w:w="0" w:type="auto"/>
            <w:shd w:val="clear" w:color="auto" w:fill="auto"/>
          </w:tcPr>
          <w:p w14:paraId="36CA589A" w14:textId="77777777" w:rsidR="00787570" w:rsidRDefault="00787570">
            <w:pPr>
              <w:rPr>
                <w:rFonts w:ascii="宋体"/>
              </w:rPr>
            </w:pPr>
          </w:p>
        </w:tc>
        <w:tc>
          <w:tcPr>
            <w:tcW w:w="0" w:type="auto"/>
            <w:shd w:val="clear" w:color="auto" w:fill="auto"/>
          </w:tcPr>
          <w:p w14:paraId="36CA589B" w14:textId="77777777" w:rsidR="00787570" w:rsidRDefault="00787570">
            <w:pPr>
              <w:rPr>
                <w:rFonts w:ascii="宋体"/>
              </w:rPr>
            </w:pPr>
          </w:p>
        </w:tc>
        <w:tc>
          <w:tcPr>
            <w:tcW w:w="0" w:type="auto"/>
            <w:shd w:val="clear" w:color="auto" w:fill="auto"/>
          </w:tcPr>
          <w:p w14:paraId="36CA589C" w14:textId="77777777" w:rsidR="00787570" w:rsidRDefault="00787570">
            <w:pPr>
              <w:rPr>
                <w:rFonts w:ascii="宋体"/>
              </w:rPr>
            </w:pPr>
          </w:p>
        </w:tc>
        <w:tc>
          <w:tcPr>
            <w:tcW w:w="0" w:type="auto"/>
            <w:shd w:val="clear" w:color="auto" w:fill="auto"/>
          </w:tcPr>
          <w:p w14:paraId="36CA589D" w14:textId="77777777" w:rsidR="00787570" w:rsidRDefault="00787570">
            <w:pPr>
              <w:rPr>
                <w:rFonts w:ascii="宋体"/>
              </w:rPr>
            </w:pPr>
          </w:p>
        </w:tc>
        <w:tc>
          <w:tcPr>
            <w:tcW w:w="0" w:type="auto"/>
            <w:shd w:val="clear" w:color="auto" w:fill="auto"/>
          </w:tcPr>
          <w:p w14:paraId="36CA589E" w14:textId="77777777" w:rsidR="00787570" w:rsidRDefault="00787570">
            <w:pPr>
              <w:rPr>
                <w:rFonts w:ascii="宋体"/>
              </w:rPr>
            </w:pPr>
          </w:p>
        </w:tc>
        <w:tc>
          <w:tcPr>
            <w:tcW w:w="0" w:type="auto"/>
            <w:shd w:val="clear" w:color="auto" w:fill="auto"/>
          </w:tcPr>
          <w:p w14:paraId="36CA589F" w14:textId="77777777" w:rsidR="00787570" w:rsidRDefault="00787570">
            <w:pPr>
              <w:rPr>
                <w:rFonts w:ascii="宋体"/>
              </w:rPr>
            </w:pPr>
          </w:p>
        </w:tc>
        <w:tc>
          <w:tcPr>
            <w:tcW w:w="0" w:type="auto"/>
            <w:shd w:val="clear" w:color="auto" w:fill="auto"/>
          </w:tcPr>
          <w:p w14:paraId="36CA58A0" w14:textId="77777777" w:rsidR="00787570" w:rsidRDefault="00787570">
            <w:pPr>
              <w:rPr>
                <w:rFonts w:ascii="宋体"/>
              </w:rPr>
            </w:pPr>
          </w:p>
        </w:tc>
        <w:tc>
          <w:tcPr>
            <w:tcW w:w="0" w:type="auto"/>
            <w:shd w:val="clear" w:color="auto" w:fill="auto"/>
          </w:tcPr>
          <w:p w14:paraId="36CA58A1" w14:textId="77777777" w:rsidR="00787570" w:rsidRDefault="00787570">
            <w:pPr>
              <w:rPr>
                <w:rFonts w:ascii="宋体"/>
              </w:rPr>
            </w:pPr>
          </w:p>
        </w:tc>
        <w:tc>
          <w:tcPr>
            <w:tcW w:w="0" w:type="auto"/>
            <w:shd w:val="clear" w:color="auto" w:fill="auto"/>
          </w:tcPr>
          <w:p w14:paraId="36CA58A2" w14:textId="77777777" w:rsidR="00787570" w:rsidRDefault="00787570">
            <w:pPr>
              <w:rPr>
                <w:rFonts w:ascii="宋体"/>
              </w:rPr>
            </w:pPr>
          </w:p>
        </w:tc>
        <w:tc>
          <w:tcPr>
            <w:tcW w:w="0" w:type="auto"/>
            <w:shd w:val="clear" w:color="auto" w:fill="auto"/>
          </w:tcPr>
          <w:p w14:paraId="36CA58A3" w14:textId="77777777" w:rsidR="00787570" w:rsidRDefault="00787570">
            <w:pPr>
              <w:rPr>
                <w:rFonts w:ascii="宋体"/>
              </w:rPr>
            </w:pPr>
          </w:p>
        </w:tc>
      </w:tr>
      <w:tr w:rsidR="00787570" w14:paraId="36CA58C4" w14:textId="77777777">
        <w:tc>
          <w:tcPr>
            <w:tcW w:w="0" w:type="auto"/>
            <w:gridSpan w:val="3"/>
            <w:shd w:val="clear" w:color="auto" w:fill="auto"/>
            <w:tcMar>
              <w:top w:w="40" w:type="dxa"/>
              <w:left w:w="20" w:type="dxa"/>
              <w:bottom w:w="40" w:type="dxa"/>
              <w:right w:w="20" w:type="dxa"/>
            </w:tcMar>
          </w:tcPr>
          <w:p w14:paraId="36CA58A5" w14:textId="77777777" w:rsidR="00787570" w:rsidRDefault="000D56E2">
            <w:pPr>
              <w:jc w:val="center"/>
              <w:textAlignment w:val="top"/>
            </w:pPr>
            <w:r>
              <w:rPr>
                <w:rFonts w:ascii="Arial" w:eastAsia="宋体" w:hAnsi="Arial" w:cs="Arial"/>
                <w:color w:val="333333"/>
                <w:sz w:val="18"/>
                <w:szCs w:val="18"/>
              </w:rPr>
              <w:t>3.2</w:t>
            </w:r>
          </w:p>
        </w:tc>
        <w:tc>
          <w:tcPr>
            <w:tcW w:w="0" w:type="auto"/>
            <w:gridSpan w:val="3"/>
            <w:shd w:val="clear" w:color="auto" w:fill="auto"/>
            <w:tcMar>
              <w:left w:w="20" w:type="dxa"/>
              <w:right w:w="20" w:type="dxa"/>
            </w:tcMar>
            <w:vAlign w:val="bottom"/>
          </w:tcPr>
          <w:p w14:paraId="36CA58A6" w14:textId="77777777" w:rsidR="00787570" w:rsidRDefault="00787570">
            <w:pPr>
              <w:rPr>
                <w:rFonts w:ascii="宋体"/>
              </w:rPr>
            </w:pPr>
          </w:p>
        </w:tc>
        <w:tc>
          <w:tcPr>
            <w:tcW w:w="0" w:type="auto"/>
            <w:gridSpan w:val="3"/>
            <w:shd w:val="clear" w:color="auto" w:fill="auto"/>
            <w:tcMar>
              <w:top w:w="40" w:type="dxa"/>
              <w:left w:w="20" w:type="dxa"/>
              <w:bottom w:w="40" w:type="dxa"/>
              <w:right w:w="20" w:type="dxa"/>
            </w:tcMar>
          </w:tcPr>
          <w:p w14:paraId="36CA58A7" w14:textId="77777777" w:rsidR="00787570" w:rsidRDefault="000D56E2">
            <w:pPr>
              <w:textAlignment w:val="top"/>
            </w:pPr>
            <w:hyperlink r:id="rId75" w:history="1">
              <w:r>
                <w:rPr>
                  <w:rStyle w:val="a5"/>
                  <w:rFonts w:ascii="Arial" w:eastAsia="宋体" w:hAnsi="Arial" w:cs="Arial"/>
                  <w:sz w:val="18"/>
                  <w:szCs w:val="18"/>
                </w:rPr>
                <w:t>Intel Corporation Bylaws, as ame</w:t>
              </w:r>
              <w:r>
                <w:rPr>
                  <w:rStyle w:val="a5"/>
                  <w:rFonts w:ascii="Arial" w:eastAsia="宋体" w:hAnsi="Arial" w:cs="Arial"/>
                  <w:sz w:val="18"/>
                  <w:szCs w:val="18"/>
                </w:rPr>
                <w:t>nded and restated on January 16, 2019</w:t>
              </w:r>
            </w:hyperlink>
          </w:p>
        </w:tc>
        <w:tc>
          <w:tcPr>
            <w:tcW w:w="0" w:type="auto"/>
            <w:gridSpan w:val="3"/>
            <w:shd w:val="clear" w:color="auto" w:fill="auto"/>
            <w:tcMar>
              <w:left w:w="20" w:type="dxa"/>
              <w:right w:w="20" w:type="dxa"/>
            </w:tcMar>
            <w:vAlign w:val="bottom"/>
          </w:tcPr>
          <w:p w14:paraId="36CA58A8" w14:textId="77777777" w:rsidR="00787570" w:rsidRDefault="00787570">
            <w:pPr>
              <w:rPr>
                <w:rFonts w:ascii="宋体"/>
              </w:rPr>
            </w:pPr>
          </w:p>
        </w:tc>
        <w:tc>
          <w:tcPr>
            <w:tcW w:w="0" w:type="auto"/>
            <w:gridSpan w:val="3"/>
            <w:shd w:val="clear" w:color="auto" w:fill="auto"/>
            <w:tcMar>
              <w:top w:w="40" w:type="dxa"/>
              <w:left w:w="20" w:type="dxa"/>
              <w:bottom w:w="40" w:type="dxa"/>
              <w:right w:w="20" w:type="dxa"/>
            </w:tcMar>
          </w:tcPr>
          <w:p w14:paraId="36CA58A9" w14:textId="77777777" w:rsidR="00787570" w:rsidRDefault="000D56E2">
            <w:pPr>
              <w:jc w:val="center"/>
              <w:textAlignment w:val="top"/>
            </w:pPr>
            <w:r>
              <w:rPr>
                <w:rFonts w:ascii="Arial" w:eastAsia="宋体" w:hAnsi="Arial" w:cs="Arial"/>
                <w:color w:val="333333"/>
                <w:sz w:val="18"/>
                <w:szCs w:val="18"/>
              </w:rPr>
              <w:t>8-K</w:t>
            </w:r>
          </w:p>
        </w:tc>
        <w:tc>
          <w:tcPr>
            <w:tcW w:w="0" w:type="auto"/>
            <w:gridSpan w:val="3"/>
            <w:shd w:val="clear" w:color="auto" w:fill="auto"/>
            <w:tcMar>
              <w:left w:w="20" w:type="dxa"/>
              <w:right w:w="20" w:type="dxa"/>
            </w:tcMar>
            <w:vAlign w:val="bottom"/>
          </w:tcPr>
          <w:p w14:paraId="36CA58AA" w14:textId="77777777" w:rsidR="00787570" w:rsidRDefault="00787570">
            <w:pPr>
              <w:rPr>
                <w:rFonts w:ascii="宋体"/>
              </w:rPr>
            </w:pPr>
          </w:p>
        </w:tc>
        <w:tc>
          <w:tcPr>
            <w:tcW w:w="0" w:type="auto"/>
            <w:gridSpan w:val="3"/>
            <w:shd w:val="clear" w:color="auto" w:fill="auto"/>
            <w:tcMar>
              <w:top w:w="40" w:type="dxa"/>
              <w:left w:w="20" w:type="dxa"/>
              <w:bottom w:w="40" w:type="dxa"/>
              <w:right w:w="20" w:type="dxa"/>
            </w:tcMar>
          </w:tcPr>
          <w:p w14:paraId="36CA58AB" w14:textId="77777777" w:rsidR="00787570" w:rsidRDefault="000D56E2">
            <w:pPr>
              <w:jc w:val="center"/>
              <w:textAlignment w:val="top"/>
            </w:pPr>
            <w:r>
              <w:rPr>
                <w:rFonts w:ascii="Arial" w:eastAsia="宋体" w:hAnsi="Arial" w:cs="Arial"/>
                <w:color w:val="333333"/>
                <w:sz w:val="18"/>
                <w:szCs w:val="18"/>
              </w:rPr>
              <w:t>000-06217</w:t>
            </w:r>
          </w:p>
        </w:tc>
        <w:tc>
          <w:tcPr>
            <w:tcW w:w="0" w:type="auto"/>
            <w:gridSpan w:val="3"/>
            <w:shd w:val="clear" w:color="auto" w:fill="auto"/>
            <w:tcMar>
              <w:left w:w="20" w:type="dxa"/>
              <w:right w:w="20" w:type="dxa"/>
            </w:tcMar>
            <w:vAlign w:val="bottom"/>
          </w:tcPr>
          <w:p w14:paraId="36CA58AC" w14:textId="77777777" w:rsidR="00787570" w:rsidRDefault="00787570">
            <w:pPr>
              <w:rPr>
                <w:rFonts w:ascii="宋体"/>
              </w:rPr>
            </w:pPr>
          </w:p>
        </w:tc>
        <w:tc>
          <w:tcPr>
            <w:tcW w:w="0" w:type="auto"/>
            <w:gridSpan w:val="3"/>
            <w:shd w:val="clear" w:color="auto" w:fill="auto"/>
            <w:tcMar>
              <w:top w:w="40" w:type="dxa"/>
              <w:left w:w="20" w:type="dxa"/>
              <w:bottom w:w="40" w:type="dxa"/>
              <w:right w:w="20" w:type="dxa"/>
            </w:tcMar>
          </w:tcPr>
          <w:p w14:paraId="36CA58AD" w14:textId="77777777" w:rsidR="00787570" w:rsidRDefault="000D56E2">
            <w:pPr>
              <w:jc w:val="center"/>
              <w:textAlignment w:val="top"/>
            </w:pPr>
            <w:r>
              <w:rPr>
                <w:rFonts w:ascii="Arial" w:eastAsia="宋体" w:hAnsi="Arial" w:cs="Arial"/>
                <w:color w:val="333333"/>
                <w:sz w:val="18"/>
                <w:szCs w:val="18"/>
              </w:rPr>
              <w:t>3.2</w:t>
            </w:r>
          </w:p>
        </w:tc>
        <w:tc>
          <w:tcPr>
            <w:tcW w:w="0" w:type="auto"/>
            <w:gridSpan w:val="3"/>
            <w:shd w:val="clear" w:color="auto" w:fill="auto"/>
            <w:tcMar>
              <w:left w:w="20" w:type="dxa"/>
              <w:right w:w="20" w:type="dxa"/>
            </w:tcMar>
            <w:vAlign w:val="bottom"/>
          </w:tcPr>
          <w:p w14:paraId="36CA58AE" w14:textId="77777777" w:rsidR="00787570" w:rsidRDefault="00787570">
            <w:pPr>
              <w:rPr>
                <w:rFonts w:ascii="宋体"/>
              </w:rPr>
            </w:pPr>
          </w:p>
        </w:tc>
        <w:tc>
          <w:tcPr>
            <w:tcW w:w="0" w:type="auto"/>
            <w:gridSpan w:val="3"/>
            <w:shd w:val="clear" w:color="auto" w:fill="auto"/>
            <w:tcMar>
              <w:top w:w="40" w:type="dxa"/>
              <w:left w:w="20" w:type="dxa"/>
              <w:bottom w:w="40" w:type="dxa"/>
              <w:right w:w="20" w:type="dxa"/>
            </w:tcMar>
          </w:tcPr>
          <w:p w14:paraId="36CA58AF" w14:textId="77777777" w:rsidR="00787570" w:rsidRDefault="000D56E2">
            <w:pPr>
              <w:jc w:val="center"/>
              <w:textAlignment w:val="top"/>
            </w:pPr>
            <w:r>
              <w:rPr>
                <w:rFonts w:ascii="Arial" w:eastAsia="宋体" w:hAnsi="Arial" w:cs="Arial"/>
                <w:color w:val="333333"/>
                <w:sz w:val="18"/>
                <w:szCs w:val="18"/>
              </w:rPr>
              <w:t>1/17/2019</w:t>
            </w:r>
          </w:p>
        </w:tc>
        <w:tc>
          <w:tcPr>
            <w:tcW w:w="0" w:type="auto"/>
            <w:gridSpan w:val="3"/>
            <w:shd w:val="clear" w:color="auto" w:fill="auto"/>
            <w:tcMar>
              <w:left w:w="20" w:type="dxa"/>
              <w:right w:w="20" w:type="dxa"/>
            </w:tcMar>
            <w:vAlign w:val="bottom"/>
          </w:tcPr>
          <w:p w14:paraId="36CA58B0"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58B1" w14:textId="77777777" w:rsidR="00787570" w:rsidRDefault="00787570">
            <w:pPr>
              <w:rPr>
                <w:rFonts w:ascii="宋体"/>
              </w:rPr>
            </w:pPr>
          </w:p>
        </w:tc>
        <w:tc>
          <w:tcPr>
            <w:tcW w:w="0" w:type="auto"/>
            <w:shd w:val="clear" w:color="auto" w:fill="auto"/>
          </w:tcPr>
          <w:p w14:paraId="36CA58B2" w14:textId="77777777" w:rsidR="00787570" w:rsidRDefault="00787570">
            <w:pPr>
              <w:rPr>
                <w:rFonts w:ascii="宋体"/>
              </w:rPr>
            </w:pPr>
          </w:p>
        </w:tc>
        <w:tc>
          <w:tcPr>
            <w:tcW w:w="0" w:type="auto"/>
            <w:shd w:val="clear" w:color="auto" w:fill="auto"/>
          </w:tcPr>
          <w:p w14:paraId="36CA58B3" w14:textId="77777777" w:rsidR="00787570" w:rsidRDefault="00787570">
            <w:pPr>
              <w:rPr>
                <w:rFonts w:ascii="宋体"/>
              </w:rPr>
            </w:pPr>
          </w:p>
        </w:tc>
        <w:tc>
          <w:tcPr>
            <w:tcW w:w="0" w:type="auto"/>
            <w:shd w:val="clear" w:color="auto" w:fill="auto"/>
          </w:tcPr>
          <w:p w14:paraId="36CA58B4" w14:textId="77777777" w:rsidR="00787570" w:rsidRDefault="00787570">
            <w:pPr>
              <w:rPr>
                <w:rFonts w:ascii="宋体"/>
              </w:rPr>
            </w:pPr>
          </w:p>
        </w:tc>
        <w:tc>
          <w:tcPr>
            <w:tcW w:w="0" w:type="auto"/>
            <w:shd w:val="clear" w:color="auto" w:fill="auto"/>
          </w:tcPr>
          <w:p w14:paraId="36CA58B5" w14:textId="77777777" w:rsidR="00787570" w:rsidRDefault="00787570">
            <w:pPr>
              <w:rPr>
                <w:rFonts w:ascii="宋体"/>
              </w:rPr>
            </w:pPr>
          </w:p>
        </w:tc>
        <w:tc>
          <w:tcPr>
            <w:tcW w:w="0" w:type="auto"/>
            <w:shd w:val="clear" w:color="auto" w:fill="auto"/>
          </w:tcPr>
          <w:p w14:paraId="36CA58B6" w14:textId="77777777" w:rsidR="00787570" w:rsidRDefault="00787570">
            <w:pPr>
              <w:rPr>
                <w:rFonts w:ascii="宋体"/>
              </w:rPr>
            </w:pPr>
          </w:p>
        </w:tc>
        <w:tc>
          <w:tcPr>
            <w:tcW w:w="0" w:type="auto"/>
            <w:shd w:val="clear" w:color="auto" w:fill="auto"/>
          </w:tcPr>
          <w:p w14:paraId="36CA58B7" w14:textId="77777777" w:rsidR="00787570" w:rsidRDefault="00787570">
            <w:pPr>
              <w:rPr>
                <w:rFonts w:ascii="宋体"/>
              </w:rPr>
            </w:pPr>
          </w:p>
        </w:tc>
        <w:tc>
          <w:tcPr>
            <w:tcW w:w="0" w:type="auto"/>
            <w:shd w:val="clear" w:color="auto" w:fill="auto"/>
          </w:tcPr>
          <w:p w14:paraId="36CA58B8" w14:textId="77777777" w:rsidR="00787570" w:rsidRDefault="00787570">
            <w:pPr>
              <w:rPr>
                <w:rFonts w:ascii="宋体"/>
              </w:rPr>
            </w:pPr>
          </w:p>
        </w:tc>
        <w:tc>
          <w:tcPr>
            <w:tcW w:w="0" w:type="auto"/>
            <w:shd w:val="clear" w:color="auto" w:fill="auto"/>
          </w:tcPr>
          <w:p w14:paraId="36CA58B9" w14:textId="77777777" w:rsidR="00787570" w:rsidRDefault="00787570">
            <w:pPr>
              <w:rPr>
                <w:rFonts w:ascii="宋体"/>
              </w:rPr>
            </w:pPr>
          </w:p>
        </w:tc>
        <w:tc>
          <w:tcPr>
            <w:tcW w:w="0" w:type="auto"/>
            <w:shd w:val="clear" w:color="auto" w:fill="auto"/>
          </w:tcPr>
          <w:p w14:paraId="36CA58BA" w14:textId="77777777" w:rsidR="00787570" w:rsidRDefault="00787570">
            <w:pPr>
              <w:rPr>
                <w:rFonts w:ascii="宋体"/>
              </w:rPr>
            </w:pPr>
          </w:p>
        </w:tc>
        <w:tc>
          <w:tcPr>
            <w:tcW w:w="0" w:type="auto"/>
            <w:shd w:val="clear" w:color="auto" w:fill="auto"/>
          </w:tcPr>
          <w:p w14:paraId="36CA58BB" w14:textId="77777777" w:rsidR="00787570" w:rsidRDefault="00787570">
            <w:pPr>
              <w:rPr>
                <w:rFonts w:ascii="宋体"/>
              </w:rPr>
            </w:pPr>
          </w:p>
        </w:tc>
        <w:tc>
          <w:tcPr>
            <w:tcW w:w="0" w:type="auto"/>
            <w:shd w:val="clear" w:color="auto" w:fill="auto"/>
          </w:tcPr>
          <w:p w14:paraId="36CA58BC" w14:textId="77777777" w:rsidR="00787570" w:rsidRDefault="00787570">
            <w:pPr>
              <w:rPr>
                <w:rFonts w:ascii="宋体"/>
              </w:rPr>
            </w:pPr>
          </w:p>
        </w:tc>
        <w:tc>
          <w:tcPr>
            <w:tcW w:w="0" w:type="auto"/>
            <w:shd w:val="clear" w:color="auto" w:fill="auto"/>
          </w:tcPr>
          <w:p w14:paraId="36CA58BD" w14:textId="77777777" w:rsidR="00787570" w:rsidRDefault="00787570">
            <w:pPr>
              <w:rPr>
                <w:rFonts w:ascii="宋体"/>
              </w:rPr>
            </w:pPr>
          </w:p>
        </w:tc>
        <w:tc>
          <w:tcPr>
            <w:tcW w:w="0" w:type="auto"/>
            <w:shd w:val="clear" w:color="auto" w:fill="auto"/>
          </w:tcPr>
          <w:p w14:paraId="36CA58BE" w14:textId="77777777" w:rsidR="00787570" w:rsidRDefault="00787570">
            <w:pPr>
              <w:rPr>
                <w:rFonts w:ascii="宋体"/>
              </w:rPr>
            </w:pPr>
          </w:p>
        </w:tc>
        <w:tc>
          <w:tcPr>
            <w:tcW w:w="0" w:type="auto"/>
            <w:shd w:val="clear" w:color="auto" w:fill="auto"/>
          </w:tcPr>
          <w:p w14:paraId="36CA58BF" w14:textId="77777777" w:rsidR="00787570" w:rsidRDefault="00787570">
            <w:pPr>
              <w:rPr>
                <w:rFonts w:ascii="宋体"/>
              </w:rPr>
            </w:pPr>
          </w:p>
        </w:tc>
        <w:tc>
          <w:tcPr>
            <w:tcW w:w="0" w:type="auto"/>
            <w:shd w:val="clear" w:color="auto" w:fill="auto"/>
          </w:tcPr>
          <w:p w14:paraId="36CA58C0" w14:textId="77777777" w:rsidR="00787570" w:rsidRDefault="00787570">
            <w:pPr>
              <w:rPr>
                <w:rFonts w:ascii="宋体"/>
              </w:rPr>
            </w:pPr>
          </w:p>
        </w:tc>
        <w:tc>
          <w:tcPr>
            <w:tcW w:w="0" w:type="auto"/>
            <w:shd w:val="clear" w:color="auto" w:fill="auto"/>
          </w:tcPr>
          <w:p w14:paraId="36CA58C1" w14:textId="77777777" w:rsidR="00787570" w:rsidRDefault="00787570">
            <w:pPr>
              <w:rPr>
                <w:rFonts w:ascii="宋体"/>
              </w:rPr>
            </w:pPr>
          </w:p>
        </w:tc>
        <w:tc>
          <w:tcPr>
            <w:tcW w:w="0" w:type="auto"/>
            <w:shd w:val="clear" w:color="auto" w:fill="auto"/>
          </w:tcPr>
          <w:p w14:paraId="36CA58C2" w14:textId="77777777" w:rsidR="00787570" w:rsidRDefault="00787570">
            <w:pPr>
              <w:rPr>
                <w:rFonts w:ascii="宋体"/>
              </w:rPr>
            </w:pPr>
          </w:p>
        </w:tc>
        <w:tc>
          <w:tcPr>
            <w:tcW w:w="0" w:type="auto"/>
            <w:shd w:val="clear" w:color="auto" w:fill="auto"/>
          </w:tcPr>
          <w:p w14:paraId="36CA58C3" w14:textId="77777777" w:rsidR="00787570" w:rsidRDefault="00787570">
            <w:pPr>
              <w:rPr>
                <w:rFonts w:ascii="宋体"/>
              </w:rPr>
            </w:pPr>
          </w:p>
        </w:tc>
      </w:tr>
      <w:tr w:rsidR="00787570" w14:paraId="36CA58E4" w14:textId="77777777">
        <w:tc>
          <w:tcPr>
            <w:tcW w:w="0" w:type="auto"/>
            <w:gridSpan w:val="3"/>
            <w:shd w:val="clear" w:color="auto" w:fill="auto"/>
            <w:tcMar>
              <w:top w:w="40" w:type="dxa"/>
              <w:left w:w="20" w:type="dxa"/>
              <w:bottom w:w="40" w:type="dxa"/>
              <w:right w:w="20" w:type="dxa"/>
            </w:tcMar>
          </w:tcPr>
          <w:p w14:paraId="36CA58C5" w14:textId="77777777" w:rsidR="00787570" w:rsidRDefault="000D56E2">
            <w:pPr>
              <w:jc w:val="center"/>
              <w:textAlignment w:val="top"/>
            </w:pPr>
            <w:r>
              <w:rPr>
                <w:rFonts w:ascii="Arial" w:eastAsia="宋体" w:hAnsi="Arial" w:cs="Arial"/>
                <w:color w:val="333333"/>
                <w:sz w:val="18"/>
                <w:szCs w:val="18"/>
              </w:rPr>
              <w:t>10.1</w:t>
            </w:r>
            <w:r>
              <w:rPr>
                <w:rFonts w:ascii="Arial" w:eastAsia="宋体" w:hAnsi="Arial" w:cs="Arial"/>
                <w:color w:val="333333"/>
                <w:sz w:val="11"/>
                <w:szCs w:val="11"/>
              </w:rPr>
              <w:t>†</w:t>
            </w:r>
          </w:p>
        </w:tc>
        <w:tc>
          <w:tcPr>
            <w:tcW w:w="0" w:type="auto"/>
            <w:gridSpan w:val="3"/>
            <w:shd w:val="clear" w:color="auto" w:fill="auto"/>
            <w:tcMar>
              <w:left w:w="20" w:type="dxa"/>
              <w:right w:w="20" w:type="dxa"/>
            </w:tcMar>
            <w:vAlign w:val="bottom"/>
          </w:tcPr>
          <w:p w14:paraId="36CA58C6" w14:textId="77777777" w:rsidR="00787570" w:rsidRDefault="00787570">
            <w:pPr>
              <w:rPr>
                <w:rFonts w:ascii="宋体"/>
              </w:rPr>
            </w:pPr>
          </w:p>
        </w:tc>
        <w:tc>
          <w:tcPr>
            <w:tcW w:w="0" w:type="auto"/>
            <w:gridSpan w:val="3"/>
            <w:shd w:val="clear" w:color="auto" w:fill="auto"/>
            <w:tcMar>
              <w:top w:w="40" w:type="dxa"/>
              <w:left w:w="20" w:type="dxa"/>
              <w:bottom w:w="40" w:type="dxa"/>
              <w:right w:w="20" w:type="dxa"/>
            </w:tcMar>
          </w:tcPr>
          <w:p w14:paraId="36CA58C7" w14:textId="77777777" w:rsidR="00787570" w:rsidRDefault="000D56E2">
            <w:pPr>
              <w:textAlignment w:val="top"/>
            </w:pPr>
            <w:hyperlink r:id="rId76" w:history="1">
              <w:r>
                <w:rPr>
                  <w:rStyle w:val="a5"/>
                  <w:rFonts w:ascii="Arial" w:eastAsia="宋体" w:hAnsi="Arial" w:cs="Arial"/>
                  <w:sz w:val="18"/>
                  <w:szCs w:val="18"/>
                </w:rPr>
                <w:t xml:space="preserve">Separation Agreement and General Release of Claims between Intel Corporation </w:t>
              </w:r>
              <w:r>
                <w:rPr>
                  <w:rStyle w:val="a5"/>
                  <w:rFonts w:ascii="Arial" w:eastAsia="宋体" w:hAnsi="Arial" w:cs="Arial"/>
                  <w:sz w:val="18"/>
                  <w:szCs w:val="18"/>
                </w:rPr>
                <w:t>and Dr. Venkata Renduchintala, dated August 11, 2020</w:t>
              </w:r>
            </w:hyperlink>
          </w:p>
        </w:tc>
        <w:tc>
          <w:tcPr>
            <w:tcW w:w="0" w:type="auto"/>
            <w:gridSpan w:val="3"/>
            <w:shd w:val="clear" w:color="auto" w:fill="auto"/>
            <w:tcMar>
              <w:left w:w="20" w:type="dxa"/>
              <w:right w:w="20" w:type="dxa"/>
            </w:tcMar>
            <w:vAlign w:val="bottom"/>
          </w:tcPr>
          <w:p w14:paraId="36CA58C8" w14:textId="77777777" w:rsidR="00787570" w:rsidRDefault="00787570">
            <w:pPr>
              <w:rPr>
                <w:rFonts w:ascii="宋体"/>
              </w:rPr>
            </w:pPr>
          </w:p>
        </w:tc>
        <w:tc>
          <w:tcPr>
            <w:tcW w:w="0" w:type="auto"/>
            <w:gridSpan w:val="3"/>
            <w:shd w:val="clear" w:color="auto" w:fill="auto"/>
            <w:tcMar>
              <w:top w:w="40" w:type="dxa"/>
              <w:left w:w="20" w:type="dxa"/>
              <w:bottom w:w="40" w:type="dxa"/>
              <w:right w:w="20" w:type="dxa"/>
            </w:tcMar>
          </w:tcPr>
          <w:p w14:paraId="36CA58C9" w14:textId="77777777" w:rsidR="00787570" w:rsidRDefault="000D56E2">
            <w:pPr>
              <w:jc w:val="center"/>
              <w:textAlignment w:val="top"/>
            </w:pPr>
            <w:r>
              <w:rPr>
                <w:rFonts w:ascii="Arial" w:eastAsia="宋体" w:hAnsi="Arial" w:cs="Arial"/>
                <w:color w:val="333333"/>
                <w:sz w:val="18"/>
                <w:szCs w:val="18"/>
              </w:rPr>
              <w:t>8-K</w:t>
            </w:r>
          </w:p>
        </w:tc>
        <w:tc>
          <w:tcPr>
            <w:tcW w:w="0" w:type="auto"/>
            <w:gridSpan w:val="3"/>
            <w:shd w:val="clear" w:color="auto" w:fill="auto"/>
            <w:tcMar>
              <w:left w:w="20" w:type="dxa"/>
              <w:right w:w="20" w:type="dxa"/>
            </w:tcMar>
            <w:vAlign w:val="bottom"/>
          </w:tcPr>
          <w:p w14:paraId="36CA58CA" w14:textId="77777777" w:rsidR="00787570" w:rsidRDefault="00787570">
            <w:pPr>
              <w:rPr>
                <w:rFonts w:ascii="宋体"/>
              </w:rPr>
            </w:pPr>
          </w:p>
        </w:tc>
        <w:tc>
          <w:tcPr>
            <w:tcW w:w="0" w:type="auto"/>
            <w:gridSpan w:val="3"/>
            <w:shd w:val="clear" w:color="auto" w:fill="auto"/>
            <w:tcMar>
              <w:top w:w="40" w:type="dxa"/>
              <w:left w:w="20" w:type="dxa"/>
              <w:bottom w:w="40" w:type="dxa"/>
              <w:right w:w="20" w:type="dxa"/>
            </w:tcMar>
          </w:tcPr>
          <w:p w14:paraId="36CA58CB" w14:textId="77777777" w:rsidR="00787570" w:rsidRDefault="000D56E2">
            <w:pPr>
              <w:jc w:val="center"/>
              <w:textAlignment w:val="top"/>
            </w:pPr>
            <w:r>
              <w:rPr>
                <w:rFonts w:ascii="Arial" w:eastAsia="宋体" w:hAnsi="Arial" w:cs="Arial"/>
                <w:color w:val="333333"/>
                <w:sz w:val="18"/>
                <w:szCs w:val="18"/>
              </w:rPr>
              <w:t>000-06217</w:t>
            </w:r>
          </w:p>
        </w:tc>
        <w:tc>
          <w:tcPr>
            <w:tcW w:w="0" w:type="auto"/>
            <w:gridSpan w:val="3"/>
            <w:shd w:val="clear" w:color="auto" w:fill="auto"/>
            <w:tcMar>
              <w:left w:w="20" w:type="dxa"/>
              <w:right w:w="20" w:type="dxa"/>
            </w:tcMar>
            <w:vAlign w:val="bottom"/>
          </w:tcPr>
          <w:p w14:paraId="36CA58CC" w14:textId="77777777" w:rsidR="00787570" w:rsidRDefault="00787570">
            <w:pPr>
              <w:rPr>
                <w:rFonts w:ascii="宋体"/>
              </w:rPr>
            </w:pPr>
          </w:p>
        </w:tc>
        <w:tc>
          <w:tcPr>
            <w:tcW w:w="0" w:type="auto"/>
            <w:gridSpan w:val="3"/>
            <w:shd w:val="clear" w:color="auto" w:fill="auto"/>
            <w:tcMar>
              <w:top w:w="40" w:type="dxa"/>
              <w:left w:w="20" w:type="dxa"/>
              <w:bottom w:w="40" w:type="dxa"/>
              <w:right w:w="20" w:type="dxa"/>
            </w:tcMar>
          </w:tcPr>
          <w:p w14:paraId="36CA58CD" w14:textId="77777777" w:rsidR="00787570" w:rsidRDefault="000D56E2">
            <w:pPr>
              <w:jc w:val="center"/>
              <w:textAlignment w:val="top"/>
            </w:pPr>
            <w:r>
              <w:rPr>
                <w:rFonts w:ascii="Arial" w:eastAsia="宋体" w:hAnsi="Arial" w:cs="Arial"/>
                <w:color w:val="333333"/>
                <w:sz w:val="18"/>
                <w:szCs w:val="18"/>
              </w:rPr>
              <w:t>10.1</w:t>
            </w:r>
          </w:p>
        </w:tc>
        <w:tc>
          <w:tcPr>
            <w:tcW w:w="0" w:type="auto"/>
            <w:gridSpan w:val="3"/>
            <w:shd w:val="clear" w:color="auto" w:fill="auto"/>
            <w:tcMar>
              <w:left w:w="20" w:type="dxa"/>
              <w:right w:w="20" w:type="dxa"/>
            </w:tcMar>
            <w:vAlign w:val="bottom"/>
          </w:tcPr>
          <w:p w14:paraId="36CA58CE" w14:textId="77777777" w:rsidR="00787570" w:rsidRDefault="00787570">
            <w:pPr>
              <w:rPr>
                <w:rFonts w:ascii="宋体"/>
              </w:rPr>
            </w:pPr>
          </w:p>
        </w:tc>
        <w:tc>
          <w:tcPr>
            <w:tcW w:w="0" w:type="auto"/>
            <w:gridSpan w:val="3"/>
            <w:shd w:val="clear" w:color="auto" w:fill="auto"/>
            <w:tcMar>
              <w:top w:w="40" w:type="dxa"/>
              <w:left w:w="20" w:type="dxa"/>
              <w:bottom w:w="40" w:type="dxa"/>
              <w:right w:w="20" w:type="dxa"/>
            </w:tcMar>
          </w:tcPr>
          <w:p w14:paraId="36CA58CF" w14:textId="77777777" w:rsidR="00787570" w:rsidRDefault="000D56E2">
            <w:pPr>
              <w:jc w:val="center"/>
              <w:textAlignment w:val="top"/>
            </w:pPr>
            <w:r>
              <w:rPr>
                <w:rFonts w:ascii="Arial" w:eastAsia="宋体" w:hAnsi="Arial" w:cs="Arial"/>
                <w:color w:val="333333"/>
                <w:sz w:val="18"/>
                <w:szCs w:val="18"/>
              </w:rPr>
              <w:t>8/14/2020</w:t>
            </w:r>
          </w:p>
        </w:tc>
        <w:tc>
          <w:tcPr>
            <w:tcW w:w="0" w:type="auto"/>
            <w:gridSpan w:val="3"/>
            <w:shd w:val="clear" w:color="auto" w:fill="auto"/>
            <w:tcMar>
              <w:left w:w="20" w:type="dxa"/>
              <w:right w:w="20" w:type="dxa"/>
            </w:tcMar>
            <w:vAlign w:val="bottom"/>
          </w:tcPr>
          <w:p w14:paraId="36CA58D0" w14:textId="77777777" w:rsidR="00787570" w:rsidRDefault="00787570">
            <w:pPr>
              <w:rPr>
                <w:rFonts w:ascii="宋体"/>
              </w:rPr>
            </w:pPr>
          </w:p>
        </w:tc>
        <w:tc>
          <w:tcPr>
            <w:tcW w:w="0" w:type="auto"/>
            <w:gridSpan w:val="3"/>
            <w:shd w:val="clear" w:color="auto" w:fill="auto"/>
            <w:tcMar>
              <w:left w:w="20" w:type="dxa"/>
              <w:right w:w="20" w:type="dxa"/>
            </w:tcMar>
          </w:tcPr>
          <w:p w14:paraId="36CA58D1" w14:textId="77777777" w:rsidR="00787570" w:rsidRDefault="00787570">
            <w:pPr>
              <w:jc w:val="center"/>
              <w:rPr>
                <w:rFonts w:ascii="宋体"/>
              </w:rPr>
            </w:pPr>
          </w:p>
        </w:tc>
        <w:tc>
          <w:tcPr>
            <w:tcW w:w="0" w:type="auto"/>
            <w:shd w:val="clear" w:color="auto" w:fill="auto"/>
          </w:tcPr>
          <w:p w14:paraId="36CA58D2" w14:textId="77777777" w:rsidR="00787570" w:rsidRDefault="00787570">
            <w:pPr>
              <w:rPr>
                <w:rFonts w:ascii="宋体"/>
              </w:rPr>
            </w:pPr>
          </w:p>
        </w:tc>
        <w:tc>
          <w:tcPr>
            <w:tcW w:w="0" w:type="auto"/>
            <w:shd w:val="clear" w:color="auto" w:fill="auto"/>
          </w:tcPr>
          <w:p w14:paraId="36CA58D3" w14:textId="77777777" w:rsidR="00787570" w:rsidRDefault="00787570">
            <w:pPr>
              <w:rPr>
                <w:rFonts w:ascii="宋体"/>
              </w:rPr>
            </w:pPr>
          </w:p>
        </w:tc>
        <w:tc>
          <w:tcPr>
            <w:tcW w:w="0" w:type="auto"/>
            <w:shd w:val="clear" w:color="auto" w:fill="auto"/>
          </w:tcPr>
          <w:p w14:paraId="36CA58D4" w14:textId="77777777" w:rsidR="00787570" w:rsidRDefault="00787570">
            <w:pPr>
              <w:rPr>
                <w:rFonts w:ascii="宋体"/>
              </w:rPr>
            </w:pPr>
          </w:p>
        </w:tc>
        <w:tc>
          <w:tcPr>
            <w:tcW w:w="0" w:type="auto"/>
            <w:shd w:val="clear" w:color="auto" w:fill="auto"/>
          </w:tcPr>
          <w:p w14:paraId="36CA58D5" w14:textId="77777777" w:rsidR="00787570" w:rsidRDefault="00787570">
            <w:pPr>
              <w:rPr>
                <w:rFonts w:ascii="宋体"/>
              </w:rPr>
            </w:pPr>
          </w:p>
        </w:tc>
        <w:tc>
          <w:tcPr>
            <w:tcW w:w="0" w:type="auto"/>
            <w:shd w:val="clear" w:color="auto" w:fill="auto"/>
          </w:tcPr>
          <w:p w14:paraId="36CA58D6" w14:textId="77777777" w:rsidR="00787570" w:rsidRDefault="00787570">
            <w:pPr>
              <w:rPr>
                <w:rFonts w:ascii="宋体"/>
              </w:rPr>
            </w:pPr>
          </w:p>
        </w:tc>
        <w:tc>
          <w:tcPr>
            <w:tcW w:w="0" w:type="auto"/>
            <w:shd w:val="clear" w:color="auto" w:fill="auto"/>
          </w:tcPr>
          <w:p w14:paraId="36CA58D7" w14:textId="77777777" w:rsidR="00787570" w:rsidRDefault="00787570">
            <w:pPr>
              <w:rPr>
                <w:rFonts w:ascii="宋体"/>
              </w:rPr>
            </w:pPr>
          </w:p>
        </w:tc>
        <w:tc>
          <w:tcPr>
            <w:tcW w:w="0" w:type="auto"/>
            <w:shd w:val="clear" w:color="auto" w:fill="auto"/>
          </w:tcPr>
          <w:p w14:paraId="36CA58D8" w14:textId="77777777" w:rsidR="00787570" w:rsidRDefault="00787570">
            <w:pPr>
              <w:rPr>
                <w:rFonts w:ascii="宋体"/>
              </w:rPr>
            </w:pPr>
          </w:p>
        </w:tc>
        <w:tc>
          <w:tcPr>
            <w:tcW w:w="0" w:type="auto"/>
            <w:shd w:val="clear" w:color="auto" w:fill="auto"/>
          </w:tcPr>
          <w:p w14:paraId="36CA58D9" w14:textId="77777777" w:rsidR="00787570" w:rsidRDefault="00787570">
            <w:pPr>
              <w:rPr>
                <w:rFonts w:ascii="宋体"/>
              </w:rPr>
            </w:pPr>
          </w:p>
        </w:tc>
        <w:tc>
          <w:tcPr>
            <w:tcW w:w="0" w:type="auto"/>
            <w:shd w:val="clear" w:color="auto" w:fill="auto"/>
          </w:tcPr>
          <w:p w14:paraId="36CA58DA" w14:textId="77777777" w:rsidR="00787570" w:rsidRDefault="00787570">
            <w:pPr>
              <w:rPr>
                <w:rFonts w:ascii="宋体"/>
              </w:rPr>
            </w:pPr>
          </w:p>
        </w:tc>
        <w:tc>
          <w:tcPr>
            <w:tcW w:w="0" w:type="auto"/>
            <w:shd w:val="clear" w:color="auto" w:fill="auto"/>
          </w:tcPr>
          <w:p w14:paraId="36CA58DB" w14:textId="77777777" w:rsidR="00787570" w:rsidRDefault="00787570">
            <w:pPr>
              <w:rPr>
                <w:rFonts w:ascii="宋体"/>
              </w:rPr>
            </w:pPr>
          </w:p>
        </w:tc>
        <w:tc>
          <w:tcPr>
            <w:tcW w:w="0" w:type="auto"/>
            <w:shd w:val="clear" w:color="auto" w:fill="auto"/>
          </w:tcPr>
          <w:p w14:paraId="36CA58DC" w14:textId="77777777" w:rsidR="00787570" w:rsidRDefault="00787570">
            <w:pPr>
              <w:rPr>
                <w:rFonts w:ascii="宋体"/>
              </w:rPr>
            </w:pPr>
          </w:p>
        </w:tc>
        <w:tc>
          <w:tcPr>
            <w:tcW w:w="0" w:type="auto"/>
            <w:shd w:val="clear" w:color="auto" w:fill="auto"/>
          </w:tcPr>
          <w:p w14:paraId="36CA58DD" w14:textId="77777777" w:rsidR="00787570" w:rsidRDefault="00787570">
            <w:pPr>
              <w:rPr>
                <w:rFonts w:ascii="宋体"/>
              </w:rPr>
            </w:pPr>
          </w:p>
        </w:tc>
        <w:tc>
          <w:tcPr>
            <w:tcW w:w="0" w:type="auto"/>
            <w:shd w:val="clear" w:color="auto" w:fill="auto"/>
          </w:tcPr>
          <w:p w14:paraId="36CA58DE" w14:textId="77777777" w:rsidR="00787570" w:rsidRDefault="00787570">
            <w:pPr>
              <w:rPr>
                <w:rFonts w:ascii="宋体"/>
              </w:rPr>
            </w:pPr>
          </w:p>
        </w:tc>
        <w:tc>
          <w:tcPr>
            <w:tcW w:w="0" w:type="auto"/>
            <w:shd w:val="clear" w:color="auto" w:fill="auto"/>
          </w:tcPr>
          <w:p w14:paraId="36CA58DF" w14:textId="77777777" w:rsidR="00787570" w:rsidRDefault="00787570">
            <w:pPr>
              <w:rPr>
                <w:rFonts w:ascii="宋体"/>
              </w:rPr>
            </w:pPr>
          </w:p>
        </w:tc>
        <w:tc>
          <w:tcPr>
            <w:tcW w:w="0" w:type="auto"/>
            <w:shd w:val="clear" w:color="auto" w:fill="auto"/>
          </w:tcPr>
          <w:p w14:paraId="36CA58E0" w14:textId="77777777" w:rsidR="00787570" w:rsidRDefault="00787570">
            <w:pPr>
              <w:rPr>
                <w:rFonts w:ascii="宋体"/>
              </w:rPr>
            </w:pPr>
          </w:p>
        </w:tc>
        <w:tc>
          <w:tcPr>
            <w:tcW w:w="0" w:type="auto"/>
            <w:shd w:val="clear" w:color="auto" w:fill="auto"/>
          </w:tcPr>
          <w:p w14:paraId="36CA58E1" w14:textId="77777777" w:rsidR="00787570" w:rsidRDefault="00787570">
            <w:pPr>
              <w:rPr>
                <w:rFonts w:ascii="宋体"/>
              </w:rPr>
            </w:pPr>
          </w:p>
        </w:tc>
        <w:tc>
          <w:tcPr>
            <w:tcW w:w="0" w:type="auto"/>
            <w:shd w:val="clear" w:color="auto" w:fill="auto"/>
          </w:tcPr>
          <w:p w14:paraId="36CA58E2" w14:textId="77777777" w:rsidR="00787570" w:rsidRDefault="00787570">
            <w:pPr>
              <w:rPr>
                <w:rFonts w:ascii="宋体"/>
              </w:rPr>
            </w:pPr>
          </w:p>
        </w:tc>
        <w:tc>
          <w:tcPr>
            <w:tcW w:w="0" w:type="auto"/>
            <w:shd w:val="clear" w:color="auto" w:fill="auto"/>
          </w:tcPr>
          <w:p w14:paraId="36CA58E3" w14:textId="77777777" w:rsidR="00787570" w:rsidRDefault="00787570">
            <w:pPr>
              <w:rPr>
                <w:rFonts w:ascii="宋体"/>
              </w:rPr>
            </w:pPr>
          </w:p>
        </w:tc>
      </w:tr>
      <w:tr w:rsidR="00787570" w14:paraId="36CA5904" w14:textId="77777777">
        <w:tc>
          <w:tcPr>
            <w:tcW w:w="0" w:type="auto"/>
            <w:gridSpan w:val="3"/>
            <w:shd w:val="clear" w:color="auto" w:fill="auto"/>
            <w:tcMar>
              <w:top w:w="40" w:type="dxa"/>
              <w:left w:w="20" w:type="dxa"/>
              <w:bottom w:w="40" w:type="dxa"/>
              <w:right w:w="20" w:type="dxa"/>
            </w:tcMar>
          </w:tcPr>
          <w:p w14:paraId="36CA58E5" w14:textId="77777777" w:rsidR="00787570" w:rsidRDefault="000D56E2">
            <w:pPr>
              <w:jc w:val="center"/>
              <w:textAlignment w:val="top"/>
            </w:pPr>
            <w:r>
              <w:rPr>
                <w:rFonts w:ascii="Arial" w:eastAsia="宋体" w:hAnsi="Arial" w:cs="Arial"/>
                <w:color w:val="333333"/>
                <w:sz w:val="18"/>
                <w:szCs w:val="18"/>
              </w:rPr>
              <w:t>31.1</w:t>
            </w:r>
          </w:p>
        </w:tc>
        <w:tc>
          <w:tcPr>
            <w:tcW w:w="0" w:type="auto"/>
            <w:gridSpan w:val="3"/>
            <w:shd w:val="clear" w:color="auto" w:fill="auto"/>
            <w:tcMar>
              <w:left w:w="20" w:type="dxa"/>
              <w:right w:w="20" w:type="dxa"/>
            </w:tcMar>
            <w:vAlign w:val="bottom"/>
          </w:tcPr>
          <w:p w14:paraId="36CA58E6" w14:textId="77777777" w:rsidR="00787570" w:rsidRDefault="00787570">
            <w:pPr>
              <w:rPr>
                <w:rFonts w:ascii="宋体"/>
              </w:rPr>
            </w:pPr>
          </w:p>
        </w:tc>
        <w:tc>
          <w:tcPr>
            <w:tcW w:w="0" w:type="auto"/>
            <w:gridSpan w:val="3"/>
            <w:shd w:val="clear" w:color="auto" w:fill="auto"/>
            <w:tcMar>
              <w:top w:w="40" w:type="dxa"/>
              <w:left w:w="20" w:type="dxa"/>
              <w:bottom w:w="40" w:type="dxa"/>
              <w:right w:w="20" w:type="dxa"/>
            </w:tcMar>
          </w:tcPr>
          <w:p w14:paraId="36CA58E7" w14:textId="77777777" w:rsidR="00787570" w:rsidRDefault="000D56E2">
            <w:pPr>
              <w:textAlignment w:val="top"/>
            </w:pPr>
            <w:hyperlink r:id="rId77" w:history="1">
              <w:r>
                <w:rPr>
                  <w:rStyle w:val="a5"/>
                  <w:rFonts w:ascii="Arial" w:eastAsia="宋体" w:hAnsi="Arial" w:cs="Arial"/>
                  <w:sz w:val="18"/>
                  <w:szCs w:val="18"/>
                </w:rPr>
                <w:t xml:space="preserve">Certification of the Chief Executive Officer pursuant to Rule 13a-14(a) </w:t>
              </w:r>
              <w:r>
                <w:rPr>
                  <w:rStyle w:val="a5"/>
                  <w:rFonts w:ascii="Arial" w:eastAsia="宋体" w:hAnsi="Arial" w:cs="Arial"/>
                  <w:sz w:val="18"/>
                  <w:szCs w:val="18"/>
                </w:rPr>
                <w:t>of the Exchange Act</w:t>
              </w:r>
            </w:hyperlink>
          </w:p>
        </w:tc>
        <w:tc>
          <w:tcPr>
            <w:tcW w:w="0" w:type="auto"/>
            <w:gridSpan w:val="3"/>
            <w:shd w:val="clear" w:color="auto" w:fill="auto"/>
            <w:tcMar>
              <w:left w:w="20" w:type="dxa"/>
              <w:right w:w="20" w:type="dxa"/>
            </w:tcMar>
            <w:vAlign w:val="bottom"/>
          </w:tcPr>
          <w:p w14:paraId="36CA58E8"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58E9"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58EA"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58EB"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58EC"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58ED"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58EE"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58EF"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58F0" w14:textId="77777777" w:rsidR="00787570" w:rsidRDefault="00787570">
            <w:pPr>
              <w:rPr>
                <w:rFonts w:ascii="宋体"/>
              </w:rPr>
            </w:pPr>
          </w:p>
        </w:tc>
        <w:tc>
          <w:tcPr>
            <w:tcW w:w="0" w:type="auto"/>
            <w:gridSpan w:val="3"/>
            <w:shd w:val="clear" w:color="auto" w:fill="auto"/>
            <w:tcMar>
              <w:top w:w="40" w:type="dxa"/>
              <w:left w:w="20" w:type="dxa"/>
              <w:bottom w:w="40" w:type="dxa"/>
              <w:right w:w="20" w:type="dxa"/>
            </w:tcMar>
          </w:tcPr>
          <w:p w14:paraId="36CA58F1" w14:textId="77777777" w:rsidR="00787570" w:rsidRDefault="000D56E2">
            <w:pPr>
              <w:jc w:val="center"/>
              <w:textAlignment w:val="top"/>
            </w:pPr>
            <w:r>
              <w:rPr>
                <w:rFonts w:ascii="Arial" w:eastAsia="宋体" w:hAnsi="Arial" w:cs="Arial"/>
                <w:color w:val="333333"/>
                <w:sz w:val="18"/>
                <w:szCs w:val="18"/>
              </w:rPr>
              <w:t>X</w:t>
            </w:r>
          </w:p>
        </w:tc>
        <w:tc>
          <w:tcPr>
            <w:tcW w:w="0" w:type="auto"/>
            <w:shd w:val="clear" w:color="auto" w:fill="auto"/>
          </w:tcPr>
          <w:p w14:paraId="36CA58F2" w14:textId="77777777" w:rsidR="00787570" w:rsidRDefault="00787570">
            <w:pPr>
              <w:rPr>
                <w:rFonts w:ascii="宋体"/>
              </w:rPr>
            </w:pPr>
          </w:p>
        </w:tc>
        <w:tc>
          <w:tcPr>
            <w:tcW w:w="0" w:type="auto"/>
            <w:shd w:val="clear" w:color="auto" w:fill="auto"/>
          </w:tcPr>
          <w:p w14:paraId="36CA58F3" w14:textId="77777777" w:rsidR="00787570" w:rsidRDefault="00787570">
            <w:pPr>
              <w:rPr>
                <w:rFonts w:ascii="宋体"/>
              </w:rPr>
            </w:pPr>
          </w:p>
        </w:tc>
        <w:tc>
          <w:tcPr>
            <w:tcW w:w="0" w:type="auto"/>
            <w:shd w:val="clear" w:color="auto" w:fill="auto"/>
          </w:tcPr>
          <w:p w14:paraId="36CA58F4" w14:textId="77777777" w:rsidR="00787570" w:rsidRDefault="00787570">
            <w:pPr>
              <w:rPr>
                <w:rFonts w:ascii="宋体"/>
              </w:rPr>
            </w:pPr>
          </w:p>
        </w:tc>
        <w:tc>
          <w:tcPr>
            <w:tcW w:w="0" w:type="auto"/>
            <w:shd w:val="clear" w:color="auto" w:fill="auto"/>
          </w:tcPr>
          <w:p w14:paraId="36CA58F5" w14:textId="77777777" w:rsidR="00787570" w:rsidRDefault="00787570">
            <w:pPr>
              <w:rPr>
                <w:rFonts w:ascii="宋体"/>
              </w:rPr>
            </w:pPr>
          </w:p>
        </w:tc>
        <w:tc>
          <w:tcPr>
            <w:tcW w:w="0" w:type="auto"/>
            <w:shd w:val="clear" w:color="auto" w:fill="auto"/>
          </w:tcPr>
          <w:p w14:paraId="36CA58F6" w14:textId="77777777" w:rsidR="00787570" w:rsidRDefault="00787570">
            <w:pPr>
              <w:rPr>
                <w:rFonts w:ascii="宋体"/>
              </w:rPr>
            </w:pPr>
          </w:p>
        </w:tc>
        <w:tc>
          <w:tcPr>
            <w:tcW w:w="0" w:type="auto"/>
            <w:shd w:val="clear" w:color="auto" w:fill="auto"/>
          </w:tcPr>
          <w:p w14:paraId="36CA58F7" w14:textId="77777777" w:rsidR="00787570" w:rsidRDefault="00787570">
            <w:pPr>
              <w:rPr>
                <w:rFonts w:ascii="宋体"/>
              </w:rPr>
            </w:pPr>
          </w:p>
        </w:tc>
        <w:tc>
          <w:tcPr>
            <w:tcW w:w="0" w:type="auto"/>
            <w:shd w:val="clear" w:color="auto" w:fill="auto"/>
          </w:tcPr>
          <w:p w14:paraId="36CA58F8" w14:textId="77777777" w:rsidR="00787570" w:rsidRDefault="00787570">
            <w:pPr>
              <w:rPr>
                <w:rFonts w:ascii="宋体"/>
              </w:rPr>
            </w:pPr>
          </w:p>
        </w:tc>
        <w:tc>
          <w:tcPr>
            <w:tcW w:w="0" w:type="auto"/>
            <w:shd w:val="clear" w:color="auto" w:fill="auto"/>
          </w:tcPr>
          <w:p w14:paraId="36CA58F9" w14:textId="77777777" w:rsidR="00787570" w:rsidRDefault="00787570">
            <w:pPr>
              <w:rPr>
                <w:rFonts w:ascii="宋体"/>
              </w:rPr>
            </w:pPr>
          </w:p>
        </w:tc>
        <w:tc>
          <w:tcPr>
            <w:tcW w:w="0" w:type="auto"/>
            <w:shd w:val="clear" w:color="auto" w:fill="auto"/>
          </w:tcPr>
          <w:p w14:paraId="36CA58FA" w14:textId="77777777" w:rsidR="00787570" w:rsidRDefault="00787570">
            <w:pPr>
              <w:rPr>
                <w:rFonts w:ascii="宋体"/>
              </w:rPr>
            </w:pPr>
          </w:p>
        </w:tc>
        <w:tc>
          <w:tcPr>
            <w:tcW w:w="0" w:type="auto"/>
            <w:shd w:val="clear" w:color="auto" w:fill="auto"/>
          </w:tcPr>
          <w:p w14:paraId="36CA58FB" w14:textId="77777777" w:rsidR="00787570" w:rsidRDefault="00787570">
            <w:pPr>
              <w:rPr>
                <w:rFonts w:ascii="宋体"/>
              </w:rPr>
            </w:pPr>
          </w:p>
        </w:tc>
        <w:tc>
          <w:tcPr>
            <w:tcW w:w="0" w:type="auto"/>
            <w:shd w:val="clear" w:color="auto" w:fill="auto"/>
          </w:tcPr>
          <w:p w14:paraId="36CA58FC" w14:textId="77777777" w:rsidR="00787570" w:rsidRDefault="00787570">
            <w:pPr>
              <w:rPr>
                <w:rFonts w:ascii="宋体"/>
              </w:rPr>
            </w:pPr>
          </w:p>
        </w:tc>
        <w:tc>
          <w:tcPr>
            <w:tcW w:w="0" w:type="auto"/>
            <w:shd w:val="clear" w:color="auto" w:fill="auto"/>
          </w:tcPr>
          <w:p w14:paraId="36CA58FD" w14:textId="77777777" w:rsidR="00787570" w:rsidRDefault="00787570">
            <w:pPr>
              <w:rPr>
                <w:rFonts w:ascii="宋体"/>
              </w:rPr>
            </w:pPr>
          </w:p>
        </w:tc>
        <w:tc>
          <w:tcPr>
            <w:tcW w:w="0" w:type="auto"/>
            <w:shd w:val="clear" w:color="auto" w:fill="auto"/>
          </w:tcPr>
          <w:p w14:paraId="36CA58FE" w14:textId="77777777" w:rsidR="00787570" w:rsidRDefault="00787570">
            <w:pPr>
              <w:rPr>
                <w:rFonts w:ascii="宋体"/>
              </w:rPr>
            </w:pPr>
          </w:p>
        </w:tc>
        <w:tc>
          <w:tcPr>
            <w:tcW w:w="0" w:type="auto"/>
            <w:shd w:val="clear" w:color="auto" w:fill="auto"/>
          </w:tcPr>
          <w:p w14:paraId="36CA58FF" w14:textId="77777777" w:rsidR="00787570" w:rsidRDefault="00787570">
            <w:pPr>
              <w:rPr>
                <w:rFonts w:ascii="宋体"/>
              </w:rPr>
            </w:pPr>
          </w:p>
        </w:tc>
        <w:tc>
          <w:tcPr>
            <w:tcW w:w="0" w:type="auto"/>
            <w:shd w:val="clear" w:color="auto" w:fill="auto"/>
          </w:tcPr>
          <w:p w14:paraId="36CA5900" w14:textId="77777777" w:rsidR="00787570" w:rsidRDefault="00787570">
            <w:pPr>
              <w:rPr>
                <w:rFonts w:ascii="宋体"/>
              </w:rPr>
            </w:pPr>
          </w:p>
        </w:tc>
        <w:tc>
          <w:tcPr>
            <w:tcW w:w="0" w:type="auto"/>
            <w:shd w:val="clear" w:color="auto" w:fill="auto"/>
          </w:tcPr>
          <w:p w14:paraId="36CA5901" w14:textId="77777777" w:rsidR="00787570" w:rsidRDefault="00787570">
            <w:pPr>
              <w:rPr>
                <w:rFonts w:ascii="宋体"/>
              </w:rPr>
            </w:pPr>
          </w:p>
        </w:tc>
        <w:tc>
          <w:tcPr>
            <w:tcW w:w="0" w:type="auto"/>
            <w:shd w:val="clear" w:color="auto" w:fill="auto"/>
          </w:tcPr>
          <w:p w14:paraId="36CA5902" w14:textId="77777777" w:rsidR="00787570" w:rsidRDefault="00787570">
            <w:pPr>
              <w:rPr>
                <w:rFonts w:ascii="宋体"/>
              </w:rPr>
            </w:pPr>
          </w:p>
        </w:tc>
        <w:tc>
          <w:tcPr>
            <w:tcW w:w="0" w:type="auto"/>
            <w:shd w:val="clear" w:color="auto" w:fill="auto"/>
          </w:tcPr>
          <w:p w14:paraId="36CA5903" w14:textId="77777777" w:rsidR="00787570" w:rsidRDefault="00787570">
            <w:pPr>
              <w:rPr>
                <w:rFonts w:ascii="宋体"/>
              </w:rPr>
            </w:pPr>
          </w:p>
        </w:tc>
      </w:tr>
      <w:tr w:rsidR="00787570" w14:paraId="36CA5924" w14:textId="77777777">
        <w:tc>
          <w:tcPr>
            <w:tcW w:w="0" w:type="auto"/>
            <w:gridSpan w:val="3"/>
            <w:shd w:val="clear" w:color="auto" w:fill="auto"/>
            <w:tcMar>
              <w:top w:w="40" w:type="dxa"/>
              <w:left w:w="20" w:type="dxa"/>
              <w:bottom w:w="40" w:type="dxa"/>
              <w:right w:w="20" w:type="dxa"/>
            </w:tcMar>
          </w:tcPr>
          <w:p w14:paraId="36CA5905" w14:textId="77777777" w:rsidR="00787570" w:rsidRDefault="000D56E2">
            <w:pPr>
              <w:jc w:val="center"/>
              <w:textAlignment w:val="top"/>
            </w:pPr>
            <w:r>
              <w:rPr>
                <w:rFonts w:ascii="Arial" w:eastAsia="宋体" w:hAnsi="Arial" w:cs="Arial"/>
                <w:color w:val="333333"/>
                <w:sz w:val="18"/>
                <w:szCs w:val="18"/>
              </w:rPr>
              <w:t>31.2</w:t>
            </w:r>
          </w:p>
        </w:tc>
        <w:tc>
          <w:tcPr>
            <w:tcW w:w="0" w:type="auto"/>
            <w:gridSpan w:val="3"/>
            <w:shd w:val="clear" w:color="auto" w:fill="auto"/>
            <w:tcMar>
              <w:left w:w="20" w:type="dxa"/>
              <w:right w:w="20" w:type="dxa"/>
            </w:tcMar>
            <w:vAlign w:val="bottom"/>
          </w:tcPr>
          <w:p w14:paraId="36CA5906" w14:textId="77777777" w:rsidR="00787570" w:rsidRDefault="00787570">
            <w:pPr>
              <w:rPr>
                <w:rFonts w:ascii="宋体"/>
              </w:rPr>
            </w:pPr>
          </w:p>
        </w:tc>
        <w:tc>
          <w:tcPr>
            <w:tcW w:w="0" w:type="auto"/>
            <w:gridSpan w:val="3"/>
            <w:shd w:val="clear" w:color="auto" w:fill="auto"/>
            <w:tcMar>
              <w:top w:w="40" w:type="dxa"/>
              <w:left w:w="20" w:type="dxa"/>
              <w:bottom w:w="40" w:type="dxa"/>
              <w:right w:w="20" w:type="dxa"/>
            </w:tcMar>
          </w:tcPr>
          <w:p w14:paraId="36CA5907" w14:textId="77777777" w:rsidR="00787570" w:rsidRDefault="000D56E2">
            <w:pPr>
              <w:textAlignment w:val="top"/>
            </w:pPr>
            <w:hyperlink r:id="rId78" w:history="1">
              <w:r>
                <w:rPr>
                  <w:rStyle w:val="a5"/>
                  <w:rFonts w:ascii="Arial" w:eastAsia="宋体" w:hAnsi="Arial" w:cs="Arial"/>
                  <w:sz w:val="18"/>
                  <w:szCs w:val="18"/>
                </w:rPr>
                <w:t>Certification of the Chief Financial Officer pursuant to Rule 13a-14(a) of the Exchange Act</w:t>
              </w:r>
            </w:hyperlink>
          </w:p>
        </w:tc>
        <w:tc>
          <w:tcPr>
            <w:tcW w:w="0" w:type="auto"/>
            <w:gridSpan w:val="3"/>
            <w:shd w:val="clear" w:color="auto" w:fill="auto"/>
            <w:tcMar>
              <w:left w:w="20" w:type="dxa"/>
              <w:right w:w="20" w:type="dxa"/>
            </w:tcMar>
            <w:vAlign w:val="bottom"/>
          </w:tcPr>
          <w:p w14:paraId="36CA5908"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5909"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590A"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590B"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590C"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590D"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590E"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590F"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5910" w14:textId="77777777" w:rsidR="00787570" w:rsidRDefault="00787570">
            <w:pPr>
              <w:rPr>
                <w:rFonts w:ascii="宋体"/>
              </w:rPr>
            </w:pPr>
          </w:p>
        </w:tc>
        <w:tc>
          <w:tcPr>
            <w:tcW w:w="0" w:type="auto"/>
            <w:gridSpan w:val="3"/>
            <w:shd w:val="clear" w:color="auto" w:fill="auto"/>
            <w:tcMar>
              <w:top w:w="40" w:type="dxa"/>
              <w:left w:w="20" w:type="dxa"/>
              <w:bottom w:w="40" w:type="dxa"/>
              <w:right w:w="20" w:type="dxa"/>
            </w:tcMar>
          </w:tcPr>
          <w:p w14:paraId="36CA5911" w14:textId="77777777" w:rsidR="00787570" w:rsidRDefault="000D56E2">
            <w:pPr>
              <w:jc w:val="center"/>
              <w:textAlignment w:val="top"/>
            </w:pPr>
            <w:r>
              <w:rPr>
                <w:rFonts w:ascii="Arial" w:eastAsia="宋体" w:hAnsi="Arial" w:cs="Arial"/>
                <w:color w:val="333333"/>
                <w:sz w:val="18"/>
                <w:szCs w:val="18"/>
              </w:rPr>
              <w:t>X</w:t>
            </w:r>
          </w:p>
        </w:tc>
        <w:tc>
          <w:tcPr>
            <w:tcW w:w="0" w:type="auto"/>
            <w:shd w:val="clear" w:color="auto" w:fill="auto"/>
          </w:tcPr>
          <w:p w14:paraId="36CA5912" w14:textId="77777777" w:rsidR="00787570" w:rsidRDefault="00787570">
            <w:pPr>
              <w:rPr>
                <w:rFonts w:ascii="宋体"/>
              </w:rPr>
            </w:pPr>
          </w:p>
        </w:tc>
        <w:tc>
          <w:tcPr>
            <w:tcW w:w="0" w:type="auto"/>
            <w:shd w:val="clear" w:color="auto" w:fill="auto"/>
          </w:tcPr>
          <w:p w14:paraId="36CA5913" w14:textId="77777777" w:rsidR="00787570" w:rsidRDefault="00787570">
            <w:pPr>
              <w:rPr>
                <w:rFonts w:ascii="宋体"/>
              </w:rPr>
            </w:pPr>
          </w:p>
        </w:tc>
        <w:tc>
          <w:tcPr>
            <w:tcW w:w="0" w:type="auto"/>
            <w:shd w:val="clear" w:color="auto" w:fill="auto"/>
          </w:tcPr>
          <w:p w14:paraId="36CA5914" w14:textId="77777777" w:rsidR="00787570" w:rsidRDefault="00787570">
            <w:pPr>
              <w:rPr>
                <w:rFonts w:ascii="宋体"/>
              </w:rPr>
            </w:pPr>
          </w:p>
        </w:tc>
        <w:tc>
          <w:tcPr>
            <w:tcW w:w="0" w:type="auto"/>
            <w:shd w:val="clear" w:color="auto" w:fill="auto"/>
          </w:tcPr>
          <w:p w14:paraId="36CA5915" w14:textId="77777777" w:rsidR="00787570" w:rsidRDefault="00787570">
            <w:pPr>
              <w:rPr>
                <w:rFonts w:ascii="宋体"/>
              </w:rPr>
            </w:pPr>
          </w:p>
        </w:tc>
        <w:tc>
          <w:tcPr>
            <w:tcW w:w="0" w:type="auto"/>
            <w:shd w:val="clear" w:color="auto" w:fill="auto"/>
          </w:tcPr>
          <w:p w14:paraId="36CA5916" w14:textId="77777777" w:rsidR="00787570" w:rsidRDefault="00787570">
            <w:pPr>
              <w:rPr>
                <w:rFonts w:ascii="宋体"/>
              </w:rPr>
            </w:pPr>
          </w:p>
        </w:tc>
        <w:tc>
          <w:tcPr>
            <w:tcW w:w="0" w:type="auto"/>
            <w:shd w:val="clear" w:color="auto" w:fill="auto"/>
          </w:tcPr>
          <w:p w14:paraId="36CA5917" w14:textId="77777777" w:rsidR="00787570" w:rsidRDefault="00787570">
            <w:pPr>
              <w:rPr>
                <w:rFonts w:ascii="宋体"/>
              </w:rPr>
            </w:pPr>
          </w:p>
        </w:tc>
        <w:tc>
          <w:tcPr>
            <w:tcW w:w="0" w:type="auto"/>
            <w:shd w:val="clear" w:color="auto" w:fill="auto"/>
          </w:tcPr>
          <w:p w14:paraId="36CA5918" w14:textId="77777777" w:rsidR="00787570" w:rsidRDefault="00787570">
            <w:pPr>
              <w:rPr>
                <w:rFonts w:ascii="宋体"/>
              </w:rPr>
            </w:pPr>
          </w:p>
        </w:tc>
        <w:tc>
          <w:tcPr>
            <w:tcW w:w="0" w:type="auto"/>
            <w:shd w:val="clear" w:color="auto" w:fill="auto"/>
          </w:tcPr>
          <w:p w14:paraId="36CA5919" w14:textId="77777777" w:rsidR="00787570" w:rsidRDefault="00787570">
            <w:pPr>
              <w:rPr>
                <w:rFonts w:ascii="宋体"/>
              </w:rPr>
            </w:pPr>
          </w:p>
        </w:tc>
        <w:tc>
          <w:tcPr>
            <w:tcW w:w="0" w:type="auto"/>
            <w:shd w:val="clear" w:color="auto" w:fill="auto"/>
          </w:tcPr>
          <w:p w14:paraId="36CA591A" w14:textId="77777777" w:rsidR="00787570" w:rsidRDefault="00787570">
            <w:pPr>
              <w:rPr>
                <w:rFonts w:ascii="宋体"/>
              </w:rPr>
            </w:pPr>
          </w:p>
        </w:tc>
        <w:tc>
          <w:tcPr>
            <w:tcW w:w="0" w:type="auto"/>
            <w:shd w:val="clear" w:color="auto" w:fill="auto"/>
          </w:tcPr>
          <w:p w14:paraId="36CA591B" w14:textId="77777777" w:rsidR="00787570" w:rsidRDefault="00787570">
            <w:pPr>
              <w:rPr>
                <w:rFonts w:ascii="宋体"/>
              </w:rPr>
            </w:pPr>
          </w:p>
        </w:tc>
        <w:tc>
          <w:tcPr>
            <w:tcW w:w="0" w:type="auto"/>
            <w:shd w:val="clear" w:color="auto" w:fill="auto"/>
          </w:tcPr>
          <w:p w14:paraId="36CA591C" w14:textId="77777777" w:rsidR="00787570" w:rsidRDefault="00787570">
            <w:pPr>
              <w:rPr>
                <w:rFonts w:ascii="宋体"/>
              </w:rPr>
            </w:pPr>
          </w:p>
        </w:tc>
        <w:tc>
          <w:tcPr>
            <w:tcW w:w="0" w:type="auto"/>
            <w:shd w:val="clear" w:color="auto" w:fill="auto"/>
          </w:tcPr>
          <w:p w14:paraId="36CA591D" w14:textId="77777777" w:rsidR="00787570" w:rsidRDefault="00787570">
            <w:pPr>
              <w:rPr>
                <w:rFonts w:ascii="宋体"/>
              </w:rPr>
            </w:pPr>
          </w:p>
        </w:tc>
        <w:tc>
          <w:tcPr>
            <w:tcW w:w="0" w:type="auto"/>
            <w:shd w:val="clear" w:color="auto" w:fill="auto"/>
          </w:tcPr>
          <w:p w14:paraId="36CA591E" w14:textId="77777777" w:rsidR="00787570" w:rsidRDefault="00787570">
            <w:pPr>
              <w:rPr>
                <w:rFonts w:ascii="宋体"/>
              </w:rPr>
            </w:pPr>
          </w:p>
        </w:tc>
        <w:tc>
          <w:tcPr>
            <w:tcW w:w="0" w:type="auto"/>
            <w:shd w:val="clear" w:color="auto" w:fill="auto"/>
          </w:tcPr>
          <w:p w14:paraId="36CA591F" w14:textId="77777777" w:rsidR="00787570" w:rsidRDefault="00787570">
            <w:pPr>
              <w:rPr>
                <w:rFonts w:ascii="宋体"/>
              </w:rPr>
            </w:pPr>
          </w:p>
        </w:tc>
        <w:tc>
          <w:tcPr>
            <w:tcW w:w="0" w:type="auto"/>
            <w:shd w:val="clear" w:color="auto" w:fill="auto"/>
          </w:tcPr>
          <w:p w14:paraId="36CA5920" w14:textId="77777777" w:rsidR="00787570" w:rsidRDefault="00787570">
            <w:pPr>
              <w:rPr>
                <w:rFonts w:ascii="宋体"/>
              </w:rPr>
            </w:pPr>
          </w:p>
        </w:tc>
        <w:tc>
          <w:tcPr>
            <w:tcW w:w="0" w:type="auto"/>
            <w:shd w:val="clear" w:color="auto" w:fill="auto"/>
          </w:tcPr>
          <w:p w14:paraId="36CA5921" w14:textId="77777777" w:rsidR="00787570" w:rsidRDefault="00787570">
            <w:pPr>
              <w:rPr>
                <w:rFonts w:ascii="宋体"/>
              </w:rPr>
            </w:pPr>
          </w:p>
        </w:tc>
        <w:tc>
          <w:tcPr>
            <w:tcW w:w="0" w:type="auto"/>
            <w:shd w:val="clear" w:color="auto" w:fill="auto"/>
          </w:tcPr>
          <w:p w14:paraId="36CA5922" w14:textId="77777777" w:rsidR="00787570" w:rsidRDefault="00787570">
            <w:pPr>
              <w:rPr>
                <w:rFonts w:ascii="宋体"/>
              </w:rPr>
            </w:pPr>
          </w:p>
        </w:tc>
        <w:tc>
          <w:tcPr>
            <w:tcW w:w="0" w:type="auto"/>
            <w:shd w:val="clear" w:color="auto" w:fill="auto"/>
          </w:tcPr>
          <w:p w14:paraId="36CA5923" w14:textId="77777777" w:rsidR="00787570" w:rsidRDefault="00787570">
            <w:pPr>
              <w:rPr>
                <w:rFonts w:ascii="宋体"/>
              </w:rPr>
            </w:pPr>
          </w:p>
        </w:tc>
      </w:tr>
      <w:tr w:rsidR="00787570" w14:paraId="36CA5944" w14:textId="77777777">
        <w:trPr>
          <w:hidden/>
        </w:trPr>
        <w:tc>
          <w:tcPr>
            <w:tcW w:w="0" w:type="auto"/>
            <w:gridSpan w:val="3"/>
            <w:shd w:val="clear" w:color="auto" w:fill="auto"/>
          </w:tcPr>
          <w:p w14:paraId="36CA5925" w14:textId="77777777" w:rsidR="00787570" w:rsidRDefault="00787570">
            <w:pPr>
              <w:rPr>
                <w:rFonts w:ascii="宋体"/>
                <w:vanish/>
              </w:rPr>
            </w:pPr>
          </w:p>
        </w:tc>
        <w:tc>
          <w:tcPr>
            <w:tcW w:w="0" w:type="auto"/>
            <w:gridSpan w:val="3"/>
            <w:shd w:val="clear" w:color="auto" w:fill="auto"/>
          </w:tcPr>
          <w:p w14:paraId="36CA5926" w14:textId="77777777" w:rsidR="00787570" w:rsidRDefault="00787570">
            <w:pPr>
              <w:rPr>
                <w:rFonts w:ascii="宋体"/>
                <w:vanish/>
              </w:rPr>
            </w:pPr>
          </w:p>
        </w:tc>
        <w:tc>
          <w:tcPr>
            <w:tcW w:w="0" w:type="auto"/>
            <w:gridSpan w:val="3"/>
            <w:shd w:val="clear" w:color="auto" w:fill="auto"/>
          </w:tcPr>
          <w:p w14:paraId="36CA5927" w14:textId="77777777" w:rsidR="00787570" w:rsidRDefault="00787570">
            <w:pPr>
              <w:rPr>
                <w:rFonts w:ascii="宋体"/>
                <w:vanish/>
              </w:rPr>
            </w:pPr>
          </w:p>
        </w:tc>
        <w:tc>
          <w:tcPr>
            <w:tcW w:w="0" w:type="auto"/>
            <w:gridSpan w:val="3"/>
            <w:shd w:val="clear" w:color="auto" w:fill="auto"/>
          </w:tcPr>
          <w:p w14:paraId="36CA5928" w14:textId="77777777" w:rsidR="00787570" w:rsidRDefault="00787570">
            <w:pPr>
              <w:rPr>
                <w:rFonts w:ascii="宋体"/>
                <w:vanish/>
              </w:rPr>
            </w:pPr>
          </w:p>
        </w:tc>
        <w:tc>
          <w:tcPr>
            <w:tcW w:w="0" w:type="auto"/>
            <w:gridSpan w:val="3"/>
            <w:shd w:val="clear" w:color="auto" w:fill="auto"/>
          </w:tcPr>
          <w:p w14:paraId="36CA5929" w14:textId="77777777" w:rsidR="00787570" w:rsidRDefault="00787570">
            <w:pPr>
              <w:rPr>
                <w:rFonts w:ascii="宋体"/>
                <w:vanish/>
              </w:rPr>
            </w:pPr>
          </w:p>
        </w:tc>
        <w:tc>
          <w:tcPr>
            <w:tcW w:w="0" w:type="auto"/>
            <w:gridSpan w:val="3"/>
            <w:shd w:val="clear" w:color="auto" w:fill="auto"/>
          </w:tcPr>
          <w:p w14:paraId="36CA592A" w14:textId="77777777" w:rsidR="00787570" w:rsidRDefault="00787570">
            <w:pPr>
              <w:rPr>
                <w:rFonts w:ascii="宋体"/>
                <w:vanish/>
              </w:rPr>
            </w:pPr>
          </w:p>
        </w:tc>
        <w:tc>
          <w:tcPr>
            <w:tcW w:w="0" w:type="auto"/>
            <w:gridSpan w:val="3"/>
            <w:shd w:val="clear" w:color="auto" w:fill="auto"/>
          </w:tcPr>
          <w:p w14:paraId="36CA592B" w14:textId="77777777" w:rsidR="00787570" w:rsidRDefault="00787570">
            <w:pPr>
              <w:rPr>
                <w:rFonts w:ascii="宋体"/>
                <w:vanish/>
              </w:rPr>
            </w:pPr>
          </w:p>
        </w:tc>
        <w:tc>
          <w:tcPr>
            <w:tcW w:w="0" w:type="auto"/>
            <w:gridSpan w:val="3"/>
            <w:shd w:val="clear" w:color="auto" w:fill="auto"/>
          </w:tcPr>
          <w:p w14:paraId="36CA592C" w14:textId="77777777" w:rsidR="00787570" w:rsidRDefault="00787570">
            <w:pPr>
              <w:rPr>
                <w:rFonts w:ascii="宋体"/>
                <w:vanish/>
              </w:rPr>
            </w:pPr>
          </w:p>
        </w:tc>
        <w:tc>
          <w:tcPr>
            <w:tcW w:w="0" w:type="auto"/>
            <w:gridSpan w:val="3"/>
            <w:shd w:val="clear" w:color="auto" w:fill="auto"/>
          </w:tcPr>
          <w:p w14:paraId="36CA592D" w14:textId="77777777" w:rsidR="00787570" w:rsidRDefault="00787570">
            <w:pPr>
              <w:rPr>
                <w:rFonts w:ascii="宋体"/>
                <w:vanish/>
              </w:rPr>
            </w:pPr>
          </w:p>
        </w:tc>
        <w:tc>
          <w:tcPr>
            <w:tcW w:w="0" w:type="auto"/>
            <w:gridSpan w:val="3"/>
            <w:shd w:val="clear" w:color="auto" w:fill="auto"/>
          </w:tcPr>
          <w:p w14:paraId="36CA592E" w14:textId="77777777" w:rsidR="00787570" w:rsidRDefault="00787570">
            <w:pPr>
              <w:rPr>
                <w:rFonts w:ascii="宋体"/>
                <w:vanish/>
              </w:rPr>
            </w:pPr>
          </w:p>
        </w:tc>
        <w:tc>
          <w:tcPr>
            <w:tcW w:w="0" w:type="auto"/>
            <w:gridSpan w:val="3"/>
            <w:shd w:val="clear" w:color="auto" w:fill="auto"/>
          </w:tcPr>
          <w:p w14:paraId="36CA592F" w14:textId="77777777" w:rsidR="00787570" w:rsidRDefault="00787570">
            <w:pPr>
              <w:rPr>
                <w:rFonts w:ascii="宋体"/>
                <w:vanish/>
              </w:rPr>
            </w:pPr>
          </w:p>
        </w:tc>
        <w:tc>
          <w:tcPr>
            <w:tcW w:w="0" w:type="auto"/>
            <w:gridSpan w:val="3"/>
            <w:shd w:val="clear" w:color="auto" w:fill="auto"/>
          </w:tcPr>
          <w:p w14:paraId="36CA5930" w14:textId="77777777" w:rsidR="00787570" w:rsidRDefault="00787570">
            <w:pPr>
              <w:rPr>
                <w:rFonts w:ascii="宋体"/>
                <w:vanish/>
              </w:rPr>
            </w:pPr>
          </w:p>
        </w:tc>
        <w:tc>
          <w:tcPr>
            <w:tcW w:w="0" w:type="auto"/>
            <w:gridSpan w:val="3"/>
            <w:shd w:val="clear" w:color="auto" w:fill="auto"/>
          </w:tcPr>
          <w:p w14:paraId="36CA5931" w14:textId="77777777" w:rsidR="00787570" w:rsidRDefault="00787570">
            <w:pPr>
              <w:rPr>
                <w:rFonts w:ascii="宋体"/>
                <w:vanish/>
              </w:rPr>
            </w:pPr>
          </w:p>
        </w:tc>
        <w:tc>
          <w:tcPr>
            <w:tcW w:w="0" w:type="auto"/>
            <w:shd w:val="clear" w:color="auto" w:fill="auto"/>
          </w:tcPr>
          <w:p w14:paraId="36CA5932" w14:textId="77777777" w:rsidR="00787570" w:rsidRDefault="00787570">
            <w:pPr>
              <w:rPr>
                <w:rFonts w:ascii="宋体"/>
              </w:rPr>
            </w:pPr>
          </w:p>
        </w:tc>
        <w:tc>
          <w:tcPr>
            <w:tcW w:w="0" w:type="auto"/>
            <w:shd w:val="clear" w:color="auto" w:fill="auto"/>
          </w:tcPr>
          <w:p w14:paraId="36CA5933" w14:textId="77777777" w:rsidR="00787570" w:rsidRDefault="00787570">
            <w:pPr>
              <w:rPr>
                <w:rFonts w:ascii="宋体"/>
              </w:rPr>
            </w:pPr>
          </w:p>
        </w:tc>
        <w:tc>
          <w:tcPr>
            <w:tcW w:w="0" w:type="auto"/>
            <w:shd w:val="clear" w:color="auto" w:fill="auto"/>
          </w:tcPr>
          <w:p w14:paraId="36CA5934" w14:textId="77777777" w:rsidR="00787570" w:rsidRDefault="00787570">
            <w:pPr>
              <w:rPr>
                <w:rFonts w:ascii="宋体"/>
              </w:rPr>
            </w:pPr>
          </w:p>
        </w:tc>
        <w:tc>
          <w:tcPr>
            <w:tcW w:w="0" w:type="auto"/>
            <w:shd w:val="clear" w:color="auto" w:fill="auto"/>
          </w:tcPr>
          <w:p w14:paraId="36CA5935" w14:textId="77777777" w:rsidR="00787570" w:rsidRDefault="00787570">
            <w:pPr>
              <w:rPr>
                <w:rFonts w:ascii="宋体"/>
              </w:rPr>
            </w:pPr>
          </w:p>
        </w:tc>
        <w:tc>
          <w:tcPr>
            <w:tcW w:w="0" w:type="auto"/>
            <w:shd w:val="clear" w:color="auto" w:fill="auto"/>
          </w:tcPr>
          <w:p w14:paraId="36CA5936" w14:textId="77777777" w:rsidR="00787570" w:rsidRDefault="00787570">
            <w:pPr>
              <w:rPr>
                <w:rFonts w:ascii="宋体"/>
              </w:rPr>
            </w:pPr>
          </w:p>
        </w:tc>
        <w:tc>
          <w:tcPr>
            <w:tcW w:w="0" w:type="auto"/>
            <w:shd w:val="clear" w:color="auto" w:fill="auto"/>
          </w:tcPr>
          <w:p w14:paraId="36CA5937" w14:textId="77777777" w:rsidR="00787570" w:rsidRDefault="00787570">
            <w:pPr>
              <w:rPr>
                <w:rFonts w:ascii="宋体"/>
              </w:rPr>
            </w:pPr>
          </w:p>
        </w:tc>
        <w:tc>
          <w:tcPr>
            <w:tcW w:w="0" w:type="auto"/>
            <w:shd w:val="clear" w:color="auto" w:fill="auto"/>
          </w:tcPr>
          <w:p w14:paraId="36CA5938" w14:textId="77777777" w:rsidR="00787570" w:rsidRDefault="00787570">
            <w:pPr>
              <w:rPr>
                <w:rFonts w:ascii="宋体"/>
              </w:rPr>
            </w:pPr>
          </w:p>
        </w:tc>
        <w:tc>
          <w:tcPr>
            <w:tcW w:w="0" w:type="auto"/>
            <w:shd w:val="clear" w:color="auto" w:fill="auto"/>
          </w:tcPr>
          <w:p w14:paraId="36CA5939" w14:textId="77777777" w:rsidR="00787570" w:rsidRDefault="00787570">
            <w:pPr>
              <w:rPr>
                <w:rFonts w:ascii="宋体"/>
              </w:rPr>
            </w:pPr>
          </w:p>
        </w:tc>
        <w:tc>
          <w:tcPr>
            <w:tcW w:w="0" w:type="auto"/>
            <w:shd w:val="clear" w:color="auto" w:fill="auto"/>
          </w:tcPr>
          <w:p w14:paraId="36CA593A" w14:textId="77777777" w:rsidR="00787570" w:rsidRDefault="00787570">
            <w:pPr>
              <w:rPr>
                <w:rFonts w:ascii="宋体"/>
              </w:rPr>
            </w:pPr>
          </w:p>
        </w:tc>
        <w:tc>
          <w:tcPr>
            <w:tcW w:w="0" w:type="auto"/>
            <w:shd w:val="clear" w:color="auto" w:fill="auto"/>
          </w:tcPr>
          <w:p w14:paraId="36CA593B" w14:textId="77777777" w:rsidR="00787570" w:rsidRDefault="00787570">
            <w:pPr>
              <w:rPr>
                <w:rFonts w:ascii="宋体"/>
              </w:rPr>
            </w:pPr>
          </w:p>
        </w:tc>
        <w:tc>
          <w:tcPr>
            <w:tcW w:w="0" w:type="auto"/>
            <w:shd w:val="clear" w:color="auto" w:fill="auto"/>
          </w:tcPr>
          <w:p w14:paraId="36CA593C" w14:textId="77777777" w:rsidR="00787570" w:rsidRDefault="00787570">
            <w:pPr>
              <w:rPr>
                <w:rFonts w:ascii="宋体"/>
              </w:rPr>
            </w:pPr>
          </w:p>
        </w:tc>
        <w:tc>
          <w:tcPr>
            <w:tcW w:w="0" w:type="auto"/>
            <w:shd w:val="clear" w:color="auto" w:fill="auto"/>
          </w:tcPr>
          <w:p w14:paraId="36CA593D" w14:textId="77777777" w:rsidR="00787570" w:rsidRDefault="00787570">
            <w:pPr>
              <w:rPr>
                <w:rFonts w:ascii="宋体"/>
              </w:rPr>
            </w:pPr>
          </w:p>
        </w:tc>
        <w:tc>
          <w:tcPr>
            <w:tcW w:w="0" w:type="auto"/>
            <w:shd w:val="clear" w:color="auto" w:fill="auto"/>
          </w:tcPr>
          <w:p w14:paraId="36CA593E" w14:textId="77777777" w:rsidR="00787570" w:rsidRDefault="00787570">
            <w:pPr>
              <w:rPr>
                <w:rFonts w:ascii="宋体"/>
              </w:rPr>
            </w:pPr>
          </w:p>
        </w:tc>
        <w:tc>
          <w:tcPr>
            <w:tcW w:w="0" w:type="auto"/>
            <w:shd w:val="clear" w:color="auto" w:fill="auto"/>
          </w:tcPr>
          <w:p w14:paraId="36CA593F" w14:textId="77777777" w:rsidR="00787570" w:rsidRDefault="00787570">
            <w:pPr>
              <w:rPr>
                <w:rFonts w:ascii="宋体"/>
              </w:rPr>
            </w:pPr>
          </w:p>
        </w:tc>
        <w:tc>
          <w:tcPr>
            <w:tcW w:w="0" w:type="auto"/>
            <w:shd w:val="clear" w:color="auto" w:fill="auto"/>
          </w:tcPr>
          <w:p w14:paraId="36CA5940" w14:textId="77777777" w:rsidR="00787570" w:rsidRDefault="00787570">
            <w:pPr>
              <w:rPr>
                <w:rFonts w:ascii="宋体"/>
              </w:rPr>
            </w:pPr>
          </w:p>
        </w:tc>
        <w:tc>
          <w:tcPr>
            <w:tcW w:w="0" w:type="auto"/>
            <w:shd w:val="clear" w:color="auto" w:fill="auto"/>
          </w:tcPr>
          <w:p w14:paraId="36CA5941" w14:textId="77777777" w:rsidR="00787570" w:rsidRDefault="00787570">
            <w:pPr>
              <w:rPr>
                <w:rFonts w:ascii="宋体"/>
              </w:rPr>
            </w:pPr>
          </w:p>
        </w:tc>
        <w:tc>
          <w:tcPr>
            <w:tcW w:w="0" w:type="auto"/>
            <w:shd w:val="clear" w:color="auto" w:fill="auto"/>
          </w:tcPr>
          <w:p w14:paraId="36CA5942" w14:textId="77777777" w:rsidR="00787570" w:rsidRDefault="00787570">
            <w:pPr>
              <w:rPr>
                <w:rFonts w:ascii="宋体"/>
              </w:rPr>
            </w:pPr>
          </w:p>
        </w:tc>
        <w:tc>
          <w:tcPr>
            <w:tcW w:w="0" w:type="auto"/>
            <w:shd w:val="clear" w:color="auto" w:fill="auto"/>
          </w:tcPr>
          <w:p w14:paraId="36CA5943" w14:textId="77777777" w:rsidR="00787570" w:rsidRDefault="00787570">
            <w:pPr>
              <w:rPr>
                <w:rFonts w:ascii="宋体"/>
              </w:rPr>
            </w:pPr>
          </w:p>
        </w:tc>
      </w:tr>
      <w:tr w:rsidR="00787570" w14:paraId="36CA5964" w14:textId="77777777">
        <w:tc>
          <w:tcPr>
            <w:tcW w:w="0" w:type="auto"/>
            <w:gridSpan w:val="3"/>
            <w:shd w:val="clear" w:color="auto" w:fill="auto"/>
            <w:tcMar>
              <w:top w:w="40" w:type="dxa"/>
              <w:left w:w="20" w:type="dxa"/>
              <w:bottom w:w="40" w:type="dxa"/>
              <w:right w:w="20" w:type="dxa"/>
            </w:tcMar>
          </w:tcPr>
          <w:p w14:paraId="36CA5945" w14:textId="77777777" w:rsidR="00787570" w:rsidRDefault="000D56E2">
            <w:pPr>
              <w:jc w:val="center"/>
              <w:textAlignment w:val="top"/>
            </w:pPr>
            <w:r>
              <w:rPr>
                <w:rFonts w:ascii="Arial" w:eastAsia="宋体" w:hAnsi="Arial" w:cs="Arial"/>
                <w:color w:val="333333"/>
                <w:sz w:val="18"/>
                <w:szCs w:val="18"/>
              </w:rPr>
              <w:t>32.1</w:t>
            </w:r>
          </w:p>
        </w:tc>
        <w:tc>
          <w:tcPr>
            <w:tcW w:w="0" w:type="auto"/>
            <w:gridSpan w:val="3"/>
            <w:shd w:val="clear" w:color="auto" w:fill="auto"/>
            <w:tcMar>
              <w:left w:w="20" w:type="dxa"/>
              <w:right w:w="20" w:type="dxa"/>
            </w:tcMar>
            <w:vAlign w:val="bottom"/>
          </w:tcPr>
          <w:p w14:paraId="36CA5946" w14:textId="77777777" w:rsidR="00787570" w:rsidRDefault="00787570">
            <w:pPr>
              <w:rPr>
                <w:rFonts w:ascii="宋体"/>
              </w:rPr>
            </w:pPr>
          </w:p>
        </w:tc>
        <w:tc>
          <w:tcPr>
            <w:tcW w:w="0" w:type="auto"/>
            <w:gridSpan w:val="3"/>
            <w:shd w:val="clear" w:color="auto" w:fill="auto"/>
            <w:tcMar>
              <w:top w:w="40" w:type="dxa"/>
              <w:left w:w="20" w:type="dxa"/>
              <w:bottom w:w="40" w:type="dxa"/>
              <w:right w:w="20" w:type="dxa"/>
            </w:tcMar>
          </w:tcPr>
          <w:p w14:paraId="36CA5947" w14:textId="77777777" w:rsidR="00787570" w:rsidRDefault="000D56E2">
            <w:pPr>
              <w:textAlignment w:val="top"/>
            </w:pPr>
            <w:hyperlink r:id="rId79" w:history="1">
              <w:r>
                <w:rPr>
                  <w:rStyle w:val="a5"/>
                  <w:rFonts w:ascii="Arial" w:eastAsia="宋体" w:hAnsi="Arial" w:cs="Arial"/>
                  <w:sz w:val="18"/>
                  <w:szCs w:val="18"/>
                </w:rPr>
                <w:t>Certification of the Chief Executive Officer and the Chief Financial Officer pursuant to Rule 13a-14(b) of the Exchange Act and 18 U.S.C. Section 1350</w:t>
              </w:r>
            </w:hyperlink>
          </w:p>
        </w:tc>
        <w:tc>
          <w:tcPr>
            <w:tcW w:w="0" w:type="auto"/>
            <w:gridSpan w:val="3"/>
            <w:shd w:val="clear" w:color="auto" w:fill="auto"/>
            <w:tcMar>
              <w:left w:w="20" w:type="dxa"/>
              <w:right w:w="20" w:type="dxa"/>
            </w:tcMar>
            <w:vAlign w:val="bottom"/>
          </w:tcPr>
          <w:p w14:paraId="36CA5948"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5949"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594A"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594B"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594C"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594D"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594E"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594F"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5950" w14:textId="77777777" w:rsidR="00787570" w:rsidRDefault="00787570">
            <w:pPr>
              <w:rPr>
                <w:rFonts w:ascii="宋体"/>
              </w:rPr>
            </w:pPr>
          </w:p>
        </w:tc>
        <w:tc>
          <w:tcPr>
            <w:tcW w:w="0" w:type="auto"/>
            <w:gridSpan w:val="3"/>
            <w:shd w:val="clear" w:color="auto" w:fill="auto"/>
            <w:tcMar>
              <w:top w:w="40" w:type="dxa"/>
              <w:left w:w="20" w:type="dxa"/>
              <w:bottom w:w="40" w:type="dxa"/>
              <w:right w:w="20" w:type="dxa"/>
            </w:tcMar>
          </w:tcPr>
          <w:p w14:paraId="36CA5951" w14:textId="77777777" w:rsidR="00787570" w:rsidRDefault="000D56E2">
            <w:pPr>
              <w:jc w:val="center"/>
              <w:textAlignment w:val="top"/>
            </w:pPr>
            <w:r>
              <w:rPr>
                <w:rFonts w:ascii="Arial" w:eastAsia="宋体" w:hAnsi="Arial" w:cs="Arial"/>
                <w:color w:val="333333"/>
                <w:sz w:val="18"/>
                <w:szCs w:val="18"/>
              </w:rPr>
              <w:t>X</w:t>
            </w:r>
          </w:p>
        </w:tc>
        <w:tc>
          <w:tcPr>
            <w:tcW w:w="0" w:type="auto"/>
            <w:shd w:val="clear" w:color="auto" w:fill="auto"/>
          </w:tcPr>
          <w:p w14:paraId="36CA5952" w14:textId="77777777" w:rsidR="00787570" w:rsidRDefault="00787570">
            <w:pPr>
              <w:rPr>
                <w:rFonts w:ascii="宋体"/>
              </w:rPr>
            </w:pPr>
          </w:p>
        </w:tc>
        <w:tc>
          <w:tcPr>
            <w:tcW w:w="0" w:type="auto"/>
            <w:shd w:val="clear" w:color="auto" w:fill="auto"/>
          </w:tcPr>
          <w:p w14:paraId="36CA5953" w14:textId="77777777" w:rsidR="00787570" w:rsidRDefault="00787570">
            <w:pPr>
              <w:rPr>
                <w:rFonts w:ascii="宋体"/>
              </w:rPr>
            </w:pPr>
          </w:p>
        </w:tc>
        <w:tc>
          <w:tcPr>
            <w:tcW w:w="0" w:type="auto"/>
            <w:shd w:val="clear" w:color="auto" w:fill="auto"/>
          </w:tcPr>
          <w:p w14:paraId="36CA5954" w14:textId="77777777" w:rsidR="00787570" w:rsidRDefault="00787570">
            <w:pPr>
              <w:rPr>
                <w:rFonts w:ascii="宋体"/>
              </w:rPr>
            </w:pPr>
          </w:p>
        </w:tc>
        <w:tc>
          <w:tcPr>
            <w:tcW w:w="0" w:type="auto"/>
            <w:shd w:val="clear" w:color="auto" w:fill="auto"/>
          </w:tcPr>
          <w:p w14:paraId="36CA5955" w14:textId="77777777" w:rsidR="00787570" w:rsidRDefault="00787570">
            <w:pPr>
              <w:rPr>
                <w:rFonts w:ascii="宋体"/>
              </w:rPr>
            </w:pPr>
          </w:p>
        </w:tc>
        <w:tc>
          <w:tcPr>
            <w:tcW w:w="0" w:type="auto"/>
            <w:shd w:val="clear" w:color="auto" w:fill="auto"/>
          </w:tcPr>
          <w:p w14:paraId="36CA5956" w14:textId="77777777" w:rsidR="00787570" w:rsidRDefault="00787570">
            <w:pPr>
              <w:rPr>
                <w:rFonts w:ascii="宋体"/>
              </w:rPr>
            </w:pPr>
          </w:p>
        </w:tc>
        <w:tc>
          <w:tcPr>
            <w:tcW w:w="0" w:type="auto"/>
            <w:shd w:val="clear" w:color="auto" w:fill="auto"/>
          </w:tcPr>
          <w:p w14:paraId="36CA5957" w14:textId="77777777" w:rsidR="00787570" w:rsidRDefault="00787570">
            <w:pPr>
              <w:rPr>
                <w:rFonts w:ascii="宋体"/>
              </w:rPr>
            </w:pPr>
          </w:p>
        </w:tc>
        <w:tc>
          <w:tcPr>
            <w:tcW w:w="0" w:type="auto"/>
            <w:shd w:val="clear" w:color="auto" w:fill="auto"/>
          </w:tcPr>
          <w:p w14:paraId="36CA5958" w14:textId="77777777" w:rsidR="00787570" w:rsidRDefault="00787570">
            <w:pPr>
              <w:rPr>
                <w:rFonts w:ascii="宋体"/>
              </w:rPr>
            </w:pPr>
          </w:p>
        </w:tc>
        <w:tc>
          <w:tcPr>
            <w:tcW w:w="0" w:type="auto"/>
            <w:shd w:val="clear" w:color="auto" w:fill="auto"/>
          </w:tcPr>
          <w:p w14:paraId="36CA5959" w14:textId="77777777" w:rsidR="00787570" w:rsidRDefault="00787570">
            <w:pPr>
              <w:rPr>
                <w:rFonts w:ascii="宋体"/>
              </w:rPr>
            </w:pPr>
          </w:p>
        </w:tc>
        <w:tc>
          <w:tcPr>
            <w:tcW w:w="0" w:type="auto"/>
            <w:shd w:val="clear" w:color="auto" w:fill="auto"/>
          </w:tcPr>
          <w:p w14:paraId="36CA595A" w14:textId="77777777" w:rsidR="00787570" w:rsidRDefault="00787570">
            <w:pPr>
              <w:rPr>
                <w:rFonts w:ascii="宋体"/>
              </w:rPr>
            </w:pPr>
          </w:p>
        </w:tc>
        <w:tc>
          <w:tcPr>
            <w:tcW w:w="0" w:type="auto"/>
            <w:shd w:val="clear" w:color="auto" w:fill="auto"/>
          </w:tcPr>
          <w:p w14:paraId="36CA595B" w14:textId="77777777" w:rsidR="00787570" w:rsidRDefault="00787570">
            <w:pPr>
              <w:rPr>
                <w:rFonts w:ascii="宋体"/>
              </w:rPr>
            </w:pPr>
          </w:p>
        </w:tc>
        <w:tc>
          <w:tcPr>
            <w:tcW w:w="0" w:type="auto"/>
            <w:shd w:val="clear" w:color="auto" w:fill="auto"/>
          </w:tcPr>
          <w:p w14:paraId="36CA595C" w14:textId="77777777" w:rsidR="00787570" w:rsidRDefault="00787570">
            <w:pPr>
              <w:rPr>
                <w:rFonts w:ascii="宋体"/>
              </w:rPr>
            </w:pPr>
          </w:p>
        </w:tc>
        <w:tc>
          <w:tcPr>
            <w:tcW w:w="0" w:type="auto"/>
            <w:shd w:val="clear" w:color="auto" w:fill="auto"/>
          </w:tcPr>
          <w:p w14:paraId="36CA595D" w14:textId="77777777" w:rsidR="00787570" w:rsidRDefault="00787570">
            <w:pPr>
              <w:rPr>
                <w:rFonts w:ascii="宋体"/>
              </w:rPr>
            </w:pPr>
          </w:p>
        </w:tc>
        <w:tc>
          <w:tcPr>
            <w:tcW w:w="0" w:type="auto"/>
            <w:shd w:val="clear" w:color="auto" w:fill="auto"/>
          </w:tcPr>
          <w:p w14:paraId="36CA595E" w14:textId="77777777" w:rsidR="00787570" w:rsidRDefault="00787570">
            <w:pPr>
              <w:rPr>
                <w:rFonts w:ascii="宋体"/>
              </w:rPr>
            </w:pPr>
          </w:p>
        </w:tc>
        <w:tc>
          <w:tcPr>
            <w:tcW w:w="0" w:type="auto"/>
            <w:shd w:val="clear" w:color="auto" w:fill="auto"/>
          </w:tcPr>
          <w:p w14:paraId="36CA595F" w14:textId="77777777" w:rsidR="00787570" w:rsidRDefault="00787570">
            <w:pPr>
              <w:rPr>
                <w:rFonts w:ascii="宋体"/>
              </w:rPr>
            </w:pPr>
          </w:p>
        </w:tc>
        <w:tc>
          <w:tcPr>
            <w:tcW w:w="0" w:type="auto"/>
            <w:shd w:val="clear" w:color="auto" w:fill="auto"/>
          </w:tcPr>
          <w:p w14:paraId="36CA5960" w14:textId="77777777" w:rsidR="00787570" w:rsidRDefault="00787570">
            <w:pPr>
              <w:rPr>
                <w:rFonts w:ascii="宋体"/>
              </w:rPr>
            </w:pPr>
          </w:p>
        </w:tc>
        <w:tc>
          <w:tcPr>
            <w:tcW w:w="0" w:type="auto"/>
            <w:shd w:val="clear" w:color="auto" w:fill="auto"/>
          </w:tcPr>
          <w:p w14:paraId="36CA5961" w14:textId="77777777" w:rsidR="00787570" w:rsidRDefault="00787570">
            <w:pPr>
              <w:rPr>
                <w:rFonts w:ascii="宋体"/>
              </w:rPr>
            </w:pPr>
          </w:p>
        </w:tc>
        <w:tc>
          <w:tcPr>
            <w:tcW w:w="0" w:type="auto"/>
            <w:shd w:val="clear" w:color="auto" w:fill="auto"/>
          </w:tcPr>
          <w:p w14:paraId="36CA5962" w14:textId="77777777" w:rsidR="00787570" w:rsidRDefault="00787570">
            <w:pPr>
              <w:rPr>
                <w:rFonts w:ascii="宋体"/>
              </w:rPr>
            </w:pPr>
          </w:p>
        </w:tc>
        <w:tc>
          <w:tcPr>
            <w:tcW w:w="0" w:type="auto"/>
            <w:shd w:val="clear" w:color="auto" w:fill="auto"/>
          </w:tcPr>
          <w:p w14:paraId="36CA5963" w14:textId="77777777" w:rsidR="00787570" w:rsidRDefault="00787570">
            <w:pPr>
              <w:rPr>
                <w:rFonts w:ascii="宋体"/>
              </w:rPr>
            </w:pPr>
          </w:p>
        </w:tc>
      </w:tr>
      <w:tr w:rsidR="00787570" w14:paraId="36CA5984" w14:textId="77777777">
        <w:tc>
          <w:tcPr>
            <w:tcW w:w="0" w:type="auto"/>
            <w:gridSpan w:val="3"/>
            <w:shd w:val="clear" w:color="auto" w:fill="auto"/>
            <w:tcMar>
              <w:top w:w="40" w:type="dxa"/>
              <w:left w:w="20" w:type="dxa"/>
              <w:bottom w:w="40" w:type="dxa"/>
              <w:right w:w="20" w:type="dxa"/>
            </w:tcMar>
          </w:tcPr>
          <w:p w14:paraId="36CA5965" w14:textId="77777777" w:rsidR="00787570" w:rsidRDefault="000D56E2">
            <w:pPr>
              <w:jc w:val="center"/>
              <w:textAlignment w:val="top"/>
            </w:pPr>
            <w:r>
              <w:rPr>
                <w:rFonts w:ascii="Arial" w:eastAsia="宋体" w:hAnsi="Arial" w:cs="Arial"/>
                <w:color w:val="333333"/>
                <w:sz w:val="18"/>
                <w:szCs w:val="18"/>
              </w:rPr>
              <w:t>101.INS</w:t>
            </w:r>
          </w:p>
        </w:tc>
        <w:tc>
          <w:tcPr>
            <w:tcW w:w="0" w:type="auto"/>
            <w:gridSpan w:val="3"/>
            <w:shd w:val="clear" w:color="auto" w:fill="auto"/>
            <w:tcMar>
              <w:left w:w="20" w:type="dxa"/>
              <w:right w:w="20" w:type="dxa"/>
            </w:tcMar>
            <w:vAlign w:val="bottom"/>
          </w:tcPr>
          <w:p w14:paraId="36CA5966" w14:textId="77777777" w:rsidR="00787570" w:rsidRDefault="00787570">
            <w:pPr>
              <w:rPr>
                <w:rFonts w:ascii="宋体"/>
              </w:rPr>
            </w:pPr>
          </w:p>
        </w:tc>
        <w:tc>
          <w:tcPr>
            <w:tcW w:w="0" w:type="auto"/>
            <w:gridSpan w:val="3"/>
            <w:shd w:val="clear" w:color="auto" w:fill="auto"/>
            <w:tcMar>
              <w:top w:w="40" w:type="dxa"/>
              <w:left w:w="20" w:type="dxa"/>
              <w:bottom w:w="40" w:type="dxa"/>
              <w:right w:w="20" w:type="dxa"/>
            </w:tcMar>
          </w:tcPr>
          <w:p w14:paraId="36CA5967" w14:textId="77777777" w:rsidR="00787570" w:rsidRDefault="000D56E2">
            <w:pPr>
              <w:textAlignment w:val="top"/>
            </w:pPr>
            <w:r>
              <w:rPr>
                <w:rFonts w:ascii="Arial" w:eastAsia="宋体" w:hAnsi="Arial" w:cs="Arial"/>
                <w:color w:val="333333"/>
                <w:sz w:val="18"/>
                <w:szCs w:val="18"/>
              </w:rPr>
              <w:t>XBRL Instance Document - the instance document does not appear in the Interactive Data File because its XBRL tags are embedded within the Inline XBRL document</w:t>
            </w:r>
          </w:p>
        </w:tc>
        <w:tc>
          <w:tcPr>
            <w:tcW w:w="0" w:type="auto"/>
            <w:gridSpan w:val="3"/>
            <w:shd w:val="clear" w:color="auto" w:fill="auto"/>
            <w:tcMar>
              <w:left w:w="20" w:type="dxa"/>
              <w:right w:w="20" w:type="dxa"/>
            </w:tcMar>
            <w:vAlign w:val="bottom"/>
          </w:tcPr>
          <w:p w14:paraId="36CA5968"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5969"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596A"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596B"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596C"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596D"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596E"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596F"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5970" w14:textId="77777777" w:rsidR="00787570" w:rsidRDefault="00787570">
            <w:pPr>
              <w:rPr>
                <w:rFonts w:ascii="宋体"/>
              </w:rPr>
            </w:pPr>
          </w:p>
        </w:tc>
        <w:tc>
          <w:tcPr>
            <w:tcW w:w="0" w:type="auto"/>
            <w:gridSpan w:val="3"/>
            <w:shd w:val="clear" w:color="auto" w:fill="auto"/>
            <w:tcMar>
              <w:top w:w="40" w:type="dxa"/>
              <w:left w:w="20" w:type="dxa"/>
              <w:bottom w:w="40" w:type="dxa"/>
              <w:right w:w="20" w:type="dxa"/>
            </w:tcMar>
          </w:tcPr>
          <w:p w14:paraId="36CA5971" w14:textId="77777777" w:rsidR="00787570" w:rsidRDefault="000D56E2">
            <w:pPr>
              <w:jc w:val="center"/>
              <w:textAlignment w:val="top"/>
            </w:pPr>
            <w:r>
              <w:rPr>
                <w:rFonts w:ascii="Arial" w:eastAsia="宋体" w:hAnsi="Arial" w:cs="Arial"/>
                <w:color w:val="333333"/>
                <w:sz w:val="18"/>
                <w:szCs w:val="18"/>
              </w:rPr>
              <w:t>X</w:t>
            </w:r>
          </w:p>
        </w:tc>
        <w:tc>
          <w:tcPr>
            <w:tcW w:w="0" w:type="auto"/>
            <w:shd w:val="clear" w:color="auto" w:fill="auto"/>
          </w:tcPr>
          <w:p w14:paraId="36CA5972" w14:textId="77777777" w:rsidR="00787570" w:rsidRDefault="00787570">
            <w:pPr>
              <w:rPr>
                <w:rFonts w:ascii="宋体"/>
              </w:rPr>
            </w:pPr>
          </w:p>
        </w:tc>
        <w:tc>
          <w:tcPr>
            <w:tcW w:w="0" w:type="auto"/>
            <w:shd w:val="clear" w:color="auto" w:fill="auto"/>
          </w:tcPr>
          <w:p w14:paraId="36CA5973" w14:textId="77777777" w:rsidR="00787570" w:rsidRDefault="00787570">
            <w:pPr>
              <w:rPr>
                <w:rFonts w:ascii="宋体"/>
              </w:rPr>
            </w:pPr>
          </w:p>
        </w:tc>
        <w:tc>
          <w:tcPr>
            <w:tcW w:w="0" w:type="auto"/>
            <w:shd w:val="clear" w:color="auto" w:fill="auto"/>
          </w:tcPr>
          <w:p w14:paraId="36CA5974" w14:textId="77777777" w:rsidR="00787570" w:rsidRDefault="00787570">
            <w:pPr>
              <w:rPr>
                <w:rFonts w:ascii="宋体"/>
              </w:rPr>
            </w:pPr>
          </w:p>
        </w:tc>
        <w:tc>
          <w:tcPr>
            <w:tcW w:w="0" w:type="auto"/>
            <w:shd w:val="clear" w:color="auto" w:fill="auto"/>
          </w:tcPr>
          <w:p w14:paraId="36CA5975" w14:textId="77777777" w:rsidR="00787570" w:rsidRDefault="00787570">
            <w:pPr>
              <w:rPr>
                <w:rFonts w:ascii="宋体"/>
              </w:rPr>
            </w:pPr>
          </w:p>
        </w:tc>
        <w:tc>
          <w:tcPr>
            <w:tcW w:w="0" w:type="auto"/>
            <w:shd w:val="clear" w:color="auto" w:fill="auto"/>
          </w:tcPr>
          <w:p w14:paraId="36CA5976" w14:textId="77777777" w:rsidR="00787570" w:rsidRDefault="00787570">
            <w:pPr>
              <w:rPr>
                <w:rFonts w:ascii="宋体"/>
              </w:rPr>
            </w:pPr>
          </w:p>
        </w:tc>
        <w:tc>
          <w:tcPr>
            <w:tcW w:w="0" w:type="auto"/>
            <w:shd w:val="clear" w:color="auto" w:fill="auto"/>
          </w:tcPr>
          <w:p w14:paraId="36CA5977" w14:textId="77777777" w:rsidR="00787570" w:rsidRDefault="00787570">
            <w:pPr>
              <w:rPr>
                <w:rFonts w:ascii="宋体"/>
              </w:rPr>
            </w:pPr>
          </w:p>
        </w:tc>
        <w:tc>
          <w:tcPr>
            <w:tcW w:w="0" w:type="auto"/>
            <w:shd w:val="clear" w:color="auto" w:fill="auto"/>
          </w:tcPr>
          <w:p w14:paraId="36CA5978" w14:textId="77777777" w:rsidR="00787570" w:rsidRDefault="00787570">
            <w:pPr>
              <w:rPr>
                <w:rFonts w:ascii="宋体"/>
              </w:rPr>
            </w:pPr>
          </w:p>
        </w:tc>
        <w:tc>
          <w:tcPr>
            <w:tcW w:w="0" w:type="auto"/>
            <w:shd w:val="clear" w:color="auto" w:fill="auto"/>
          </w:tcPr>
          <w:p w14:paraId="36CA5979" w14:textId="77777777" w:rsidR="00787570" w:rsidRDefault="00787570">
            <w:pPr>
              <w:rPr>
                <w:rFonts w:ascii="宋体"/>
              </w:rPr>
            </w:pPr>
          </w:p>
        </w:tc>
        <w:tc>
          <w:tcPr>
            <w:tcW w:w="0" w:type="auto"/>
            <w:shd w:val="clear" w:color="auto" w:fill="auto"/>
          </w:tcPr>
          <w:p w14:paraId="36CA597A" w14:textId="77777777" w:rsidR="00787570" w:rsidRDefault="00787570">
            <w:pPr>
              <w:rPr>
                <w:rFonts w:ascii="宋体"/>
              </w:rPr>
            </w:pPr>
          </w:p>
        </w:tc>
        <w:tc>
          <w:tcPr>
            <w:tcW w:w="0" w:type="auto"/>
            <w:shd w:val="clear" w:color="auto" w:fill="auto"/>
          </w:tcPr>
          <w:p w14:paraId="36CA597B" w14:textId="77777777" w:rsidR="00787570" w:rsidRDefault="00787570">
            <w:pPr>
              <w:rPr>
                <w:rFonts w:ascii="宋体"/>
              </w:rPr>
            </w:pPr>
          </w:p>
        </w:tc>
        <w:tc>
          <w:tcPr>
            <w:tcW w:w="0" w:type="auto"/>
            <w:shd w:val="clear" w:color="auto" w:fill="auto"/>
          </w:tcPr>
          <w:p w14:paraId="36CA597C" w14:textId="77777777" w:rsidR="00787570" w:rsidRDefault="00787570">
            <w:pPr>
              <w:rPr>
                <w:rFonts w:ascii="宋体"/>
              </w:rPr>
            </w:pPr>
          </w:p>
        </w:tc>
        <w:tc>
          <w:tcPr>
            <w:tcW w:w="0" w:type="auto"/>
            <w:shd w:val="clear" w:color="auto" w:fill="auto"/>
          </w:tcPr>
          <w:p w14:paraId="36CA597D" w14:textId="77777777" w:rsidR="00787570" w:rsidRDefault="00787570">
            <w:pPr>
              <w:rPr>
                <w:rFonts w:ascii="宋体"/>
              </w:rPr>
            </w:pPr>
          </w:p>
        </w:tc>
        <w:tc>
          <w:tcPr>
            <w:tcW w:w="0" w:type="auto"/>
            <w:shd w:val="clear" w:color="auto" w:fill="auto"/>
          </w:tcPr>
          <w:p w14:paraId="36CA597E" w14:textId="77777777" w:rsidR="00787570" w:rsidRDefault="00787570">
            <w:pPr>
              <w:rPr>
                <w:rFonts w:ascii="宋体"/>
              </w:rPr>
            </w:pPr>
          </w:p>
        </w:tc>
        <w:tc>
          <w:tcPr>
            <w:tcW w:w="0" w:type="auto"/>
            <w:shd w:val="clear" w:color="auto" w:fill="auto"/>
          </w:tcPr>
          <w:p w14:paraId="36CA597F" w14:textId="77777777" w:rsidR="00787570" w:rsidRDefault="00787570">
            <w:pPr>
              <w:rPr>
                <w:rFonts w:ascii="宋体"/>
              </w:rPr>
            </w:pPr>
          </w:p>
        </w:tc>
        <w:tc>
          <w:tcPr>
            <w:tcW w:w="0" w:type="auto"/>
            <w:shd w:val="clear" w:color="auto" w:fill="auto"/>
          </w:tcPr>
          <w:p w14:paraId="36CA5980" w14:textId="77777777" w:rsidR="00787570" w:rsidRDefault="00787570">
            <w:pPr>
              <w:rPr>
                <w:rFonts w:ascii="宋体"/>
              </w:rPr>
            </w:pPr>
          </w:p>
        </w:tc>
        <w:tc>
          <w:tcPr>
            <w:tcW w:w="0" w:type="auto"/>
            <w:shd w:val="clear" w:color="auto" w:fill="auto"/>
          </w:tcPr>
          <w:p w14:paraId="36CA5981" w14:textId="77777777" w:rsidR="00787570" w:rsidRDefault="00787570">
            <w:pPr>
              <w:rPr>
                <w:rFonts w:ascii="宋体"/>
              </w:rPr>
            </w:pPr>
          </w:p>
        </w:tc>
        <w:tc>
          <w:tcPr>
            <w:tcW w:w="0" w:type="auto"/>
            <w:shd w:val="clear" w:color="auto" w:fill="auto"/>
          </w:tcPr>
          <w:p w14:paraId="36CA5982" w14:textId="77777777" w:rsidR="00787570" w:rsidRDefault="00787570">
            <w:pPr>
              <w:rPr>
                <w:rFonts w:ascii="宋体"/>
              </w:rPr>
            </w:pPr>
          </w:p>
        </w:tc>
        <w:tc>
          <w:tcPr>
            <w:tcW w:w="0" w:type="auto"/>
            <w:shd w:val="clear" w:color="auto" w:fill="auto"/>
          </w:tcPr>
          <w:p w14:paraId="36CA5983" w14:textId="77777777" w:rsidR="00787570" w:rsidRDefault="00787570">
            <w:pPr>
              <w:rPr>
                <w:rFonts w:ascii="宋体"/>
              </w:rPr>
            </w:pPr>
          </w:p>
        </w:tc>
      </w:tr>
      <w:tr w:rsidR="00787570" w14:paraId="36CA59A4" w14:textId="77777777">
        <w:tc>
          <w:tcPr>
            <w:tcW w:w="0" w:type="auto"/>
            <w:gridSpan w:val="3"/>
            <w:shd w:val="clear" w:color="auto" w:fill="auto"/>
            <w:tcMar>
              <w:top w:w="40" w:type="dxa"/>
              <w:left w:w="20" w:type="dxa"/>
              <w:bottom w:w="40" w:type="dxa"/>
              <w:right w:w="20" w:type="dxa"/>
            </w:tcMar>
          </w:tcPr>
          <w:p w14:paraId="36CA5985" w14:textId="77777777" w:rsidR="00787570" w:rsidRDefault="000D56E2">
            <w:pPr>
              <w:jc w:val="center"/>
              <w:textAlignment w:val="top"/>
            </w:pPr>
            <w:r>
              <w:rPr>
                <w:rFonts w:ascii="Arial" w:eastAsia="宋体" w:hAnsi="Arial" w:cs="Arial"/>
                <w:color w:val="333333"/>
                <w:sz w:val="18"/>
                <w:szCs w:val="18"/>
              </w:rPr>
              <w:t>101.SCH</w:t>
            </w:r>
          </w:p>
        </w:tc>
        <w:tc>
          <w:tcPr>
            <w:tcW w:w="0" w:type="auto"/>
            <w:gridSpan w:val="3"/>
            <w:shd w:val="clear" w:color="auto" w:fill="auto"/>
            <w:tcMar>
              <w:left w:w="20" w:type="dxa"/>
              <w:right w:w="20" w:type="dxa"/>
            </w:tcMar>
            <w:vAlign w:val="bottom"/>
          </w:tcPr>
          <w:p w14:paraId="36CA5986" w14:textId="77777777" w:rsidR="00787570" w:rsidRDefault="00787570">
            <w:pPr>
              <w:rPr>
                <w:rFonts w:ascii="宋体"/>
              </w:rPr>
            </w:pPr>
          </w:p>
        </w:tc>
        <w:tc>
          <w:tcPr>
            <w:tcW w:w="0" w:type="auto"/>
            <w:gridSpan w:val="3"/>
            <w:shd w:val="clear" w:color="auto" w:fill="auto"/>
            <w:tcMar>
              <w:top w:w="40" w:type="dxa"/>
              <w:left w:w="20" w:type="dxa"/>
              <w:bottom w:w="40" w:type="dxa"/>
              <w:right w:w="20" w:type="dxa"/>
            </w:tcMar>
          </w:tcPr>
          <w:p w14:paraId="36CA5987" w14:textId="77777777" w:rsidR="00787570" w:rsidRDefault="000D56E2">
            <w:pPr>
              <w:textAlignment w:val="top"/>
            </w:pPr>
            <w:r>
              <w:rPr>
                <w:rFonts w:ascii="Arial" w:eastAsia="宋体" w:hAnsi="Arial" w:cs="Arial"/>
                <w:color w:val="333333"/>
                <w:sz w:val="18"/>
                <w:szCs w:val="18"/>
              </w:rPr>
              <w:t>XBRL Taxonomy Extension Schema Document</w:t>
            </w:r>
          </w:p>
        </w:tc>
        <w:tc>
          <w:tcPr>
            <w:tcW w:w="0" w:type="auto"/>
            <w:gridSpan w:val="3"/>
            <w:shd w:val="clear" w:color="auto" w:fill="auto"/>
            <w:tcMar>
              <w:left w:w="20" w:type="dxa"/>
              <w:right w:w="20" w:type="dxa"/>
            </w:tcMar>
            <w:vAlign w:val="bottom"/>
          </w:tcPr>
          <w:p w14:paraId="36CA5988"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5989"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598A"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598B"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598C"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598D"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598E"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598F"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5990" w14:textId="77777777" w:rsidR="00787570" w:rsidRDefault="00787570">
            <w:pPr>
              <w:rPr>
                <w:rFonts w:ascii="宋体"/>
              </w:rPr>
            </w:pPr>
          </w:p>
        </w:tc>
        <w:tc>
          <w:tcPr>
            <w:tcW w:w="0" w:type="auto"/>
            <w:gridSpan w:val="3"/>
            <w:shd w:val="clear" w:color="auto" w:fill="auto"/>
            <w:tcMar>
              <w:top w:w="40" w:type="dxa"/>
              <w:left w:w="20" w:type="dxa"/>
              <w:bottom w:w="40" w:type="dxa"/>
              <w:right w:w="20" w:type="dxa"/>
            </w:tcMar>
          </w:tcPr>
          <w:p w14:paraId="36CA5991" w14:textId="77777777" w:rsidR="00787570" w:rsidRDefault="000D56E2">
            <w:pPr>
              <w:jc w:val="center"/>
              <w:textAlignment w:val="top"/>
            </w:pPr>
            <w:r>
              <w:rPr>
                <w:rFonts w:ascii="Arial" w:eastAsia="宋体" w:hAnsi="Arial" w:cs="Arial"/>
                <w:color w:val="333333"/>
                <w:sz w:val="18"/>
                <w:szCs w:val="18"/>
              </w:rPr>
              <w:t>X</w:t>
            </w:r>
          </w:p>
        </w:tc>
        <w:tc>
          <w:tcPr>
            <w:tcW w:w="0" w:type="auto"/>
            <w:shd w:val="clear" w:color="auto" w:fill="auto"/>
          </w:tcPr>
          <w:p w14:paraId="36CA5992" w14:textId="77777777" w:rsidR="00787570" w:rsidRDefault="00787570">
            <w:pPr>
              <w:rPr>
                <w:rFonts w:ascii="宋体"/>
              </w:rPr>
            </w:pPr>
          </w:p>
        </w:tc>
        <w:tc>
          <w:tcPr>
            <w:tcW w:w="0" w:type="auto"/>
            <w:shd w:val="clear" w:color="auto" w:fill="auto"/>
          </w:tcPr>
          <w:p w14:paraId="36CA5993" w14:textId="77777777" w:rsidR="00787570" w:rsidRDefault="00787570">
            <w:pPr>
              <w:rPr>
                <w:rFonts w:ascii="宋体"/>
              </w:rPr>
            </w:pPr>
          </w:p>
        </w:tc>
        <w:tc>
          <w:tcPr>
            <w:tcW w:w="0" w:type="auto"/>
            <w:shd w:val="clear" w:color="auto" w:fill="auto"/>
          </w:tcPr>
          <w:p w14:paraId="36CA5994" w14:textId="77777777" w:rsidR="00787570" w:rsidRDefault="00787570">
            <w:pPr>
              <w:rPr>
                <w:rFonts w:ascii="宋体"/>
              </w:rPr>
            </w:pPr>
          </w:p>
        </w:tc>
        <w:tc>
          <w:tcPr>
            <w:tcW w:w="0" w:type="auto"/>
            <w:shd w:val="clear" w:color="auto" w:fill="auto"/>
          </w:tcPr>
          <w:p w14:paraId="36CA5995" w14:textId="77777777" w:rsidR="00787570" w:rsidRDefault="00787570">
            <w:pPr>
              <w:rPr>
                <w:rFonts w:ascii="宋体"/>
              </w:rPr>
            </w:pPr>
          </w:p>
        </w:tc>
        <w:tc>
          <w:tcPr>
            <w:tcW w:w="0" w:type="auto"/>
            <w:shd w:val="clear" w:color="auto" w:fill="auto"/>
          </w:tcPr>
          <w:p w14:paraId="36CA5996" w14:textId="77777777" w:rsidR="00787570" w:rsidRDefault="00787570">
            <w:pPr>
              <w:rPr>
                <w:rFonts w:ascii="宋体"/>
              </w:rPr>
            </w:pPr>
          </w:p>
        </w:tc>
        <w:tc>
          <w:tcPr>
            <w:tcW w:w="0" w:type="auto"/>
            <w:shd w:val="clear" w:color="auto" w:fill="auto"/>
          </w:tcPr>
          <w:p w14:paraId="36CA5997" w14:textId="77777777" w:rsidR="00787570" w:rsidRDefault="00787570">
            <w:pPr>
              <w:rPr>
                <w:rFonts w:ascii="宋体"/>
              </w:rPr>
            </w:pPr>
          </w:p>
        </w:tc>
        <w:tc>
          <w:tcPr>
            <w:tcW w:w="0" w:type="auto"/>
            <w:shd w:val="clear" w:color="auto" w:fill="auto"/>
          </w:tcPr>
          <w:p w14:paraId="36CA5998" w14:textId="77777777" w:rsidR="00787570" w:rsidRDefault="00787570">
            <w:pPr>
              <w:rPr>
                <w:rFonts w:ascii="宋体"/>
              </w:rPr>
            </w:pPr>
          </w:p>
        </w:tc>
        <w:tc>
          <w:tcPr>
            <w:tcW w:w="0" w:type="auto"/>
            <w:shd w:val="clear" w:color="auto" w:fill="auto"/>
          </w:tcPr>
          <w:p w14:paraId="36CA5999" w14:textId="77777777" w:rsidR="00787570" w:rsidRDefault="00787570">
            <w:pPr>
              <w:rPr>
                <w:rFonts w:ascii="宋体"/>
              </w:rPr>
            </w:pPr>
          </w:p>
        </w:tc>
        <w:tc>
          <w:tcPr>
            <w:tcW w:w="0" w:type="auto"/>
            <w:shd w:val="clear" w:color="auto" w:fill="auto"/>
          </w:tcPr>
          <w:p w14:paraId="36CA599A" w14:textId="77777777" w:rsidR="00787570" w:rsidRDefault="00787570">
            <w:pPr>
              <w:rPr>
                <w:rFonts w:ascii="宋体"/>
              </w:rPr>
            </w:pPr>
          </w:p>
        </w:tc>
        <w:tc>
          <w:tcPr>
            <w:tcW w:w="0" w:type="auto"/>
            <w:shd w:val="clear" w:color="auto" w:fill="auto"/>
          </w:tcPr>
          <w:p w14:paraId="36CA599B" w14:textId="77777777" w:rsidR="00787570" w:rsidRDefault="00787570">
            <w:pPr>
              <w:rPr>
                <w:rFonts w:ascii="宋体"/>
              </w:rPr>
            </w:pPr>
          </w:p>
        </w:tc>
        <w:tc>
          <w:tcPr>
            <w:tcW w:w="0" w:type="auto"/>
            <w:shd w:val="clear" w:color="auto" w:fill="auto"/>
          </w:tcPr>
          <w:p w14:paraId="36CA599C" w14:textId="77777777" w:rsidR="00787570" w:rsidRDefault="00787570">
            <w:pPr>
              <w:rPr>
                <w:rFonts w:ascii="宋体"/>
              </w:rPr>
            </w:pPr>
          </w:p>
        </w:tc>
        <w:tc>
          <w:tcPr>
            <w:tcW w:w="0" w:type="auto"/>
            <w:shd w:val="clear" w:color="auto" w:fill="auto"/>
          </w:tcPr>
          <w:p w14:paraId="36CA599D" w14:textId="77777777" w:rsidR="00787570" w:rsidRDefault="00787570">
            <w:pPr>
              <w:rPr>
                <w:rFonts w:ascii="宋体"/>
              </w:rPr>
            </w:pPr>
          </w:p>
        </w:tc>
        <w:tc>
          <w:tcPr>
            <w:tcW w:w="0" w:type="auto"/>
            <w:shd w:val="clear" w:color="auto" w:fill="auto"/>
          </w:tcPr>
          <w:p w14:paraId="36CA599E" w14:textId="77777777" w:rsidR="00787570" w:rsidRDefault="00787570">
            <w:pPr>
              <w:rPr>
                <w:rFonts w:ascii="宋体"/>
              </w:rPr>
            </w:pPr>
          </w:p>
        </w:tc>
        <w:tc>
          <w:tcPr>
            <w:tcW w:w="0" w:type="auto"/>
            <w:shd w:val="clear" w:color="auto" w:fill="auto"/>
          </w:tcPr>
          <w:p w14:paraId="36CA599F" w14:textId="77777777" w:rsidR="00787570" w:rsidRDefault="00787570">
            <w:pPr>
              <w:rPr>
                <w:rFonts w:ascii="宋体"/>
              </w:rPr>
            </w:pPr>
          </w:p>
        </w:tc>
        <w:tc>
          <w:tcPr>
            <w:tcW w:w="0" w:type="auto"/>
            <w:shd w:val="clear" w:color="auto" w:fill="auto"/>
          </w:tcPr>
          <w:p w14:paraId="36CA59A0" w14:textId="77777777" w:rsidR="00787570" w:rsidRDefault="00787570">
            <w:pPr>
              <w:rPr>
                <w:rFonts w:ascii="宋体"/>
              </w:rPr>
            </w:pPr>
          </w:p>
        </w:tc>
        <w:tc>
          <w:tcPr>
            <w:tcW w:w="0" w:type="auto"/>
            <w:shd w:val="clear" w:color="auto" w:fill="auto"/>
          </w:tcPr>
          <w:p w14:paraId="36CA59A1" w14:textId="77777777" w:rsidR="00787570" w:rsidRDefault="00787570">
            <w:pPr>
              <w:rPr>
                <w:rFonts w:ascii="宋体"/>
              </w:rPr>
            </w:pPr>
          </w:p>
        </w:tc>
        <w:tc>
          <w:tcPr>
            <w:tcW w:w="0" w:type="auto"/>
            <w:shd w:val="clear" w:color="auto" w:fill="auto"/>
          </w:tcPr>
          <w:p w14:paraId="36CA59A2" w14:textId="77777777" w:rsidR="00787570" w:rsidRDefault="00787570">
            <w:pPr>
              <w:rPr>
                <w:rFonts w:ascii="宋体"/>
              </w:rPr>
            </w:pPr>
          </w:p>
        </w:tc>
        <w:tc>
          <w:tcPr>
            <w:tcW w:w="0" w:type="auto"/>
            <w:shd w:val="clear" w:color="auto" w:fill="auto"/>
          </w:tcPr>
          <w:p w14:paraId="36CA59A3" w14:textId="77777777" w:rsidR="00787570" w:rsidRDefault="00787570">
            <w:pPr>
              <w:rPr>
                <w:rFonts w:ascii="宋体"/>
              </w:rPr>
            </w:pPr>
          </w:p>
        </w:tc>
      </w:tr>
      <w:tr w:rsidR="00787570" w14:paraId="36CA59C4" w14:textId="77777777">
        <w:tc>
          <w:tcPr>
            <w:tcW w:w="0" w:type="auto"/>
            <w:gridSpan w:val="3"/>
            <w:shd w:val="clear" w:color="auto" w:fill="auto"/>
            <w:tcMar>
              <w:top w:w="40" w:type="dxa"/>
              <w:left w:w="20" w:type="dxa"/>
              <w:bottom w:w="40" w:type="dxa"/>
              <w:right w:w="20" w:type="dxa"/>
            </w:tcMar>
          </w:tcPr>
          <w:p w14:paraId="36CA59A5" w14:textId="77777777" w:rsidR="00787570" w:rsidRDefault="000D56E2">
            <w:pPr>
              <w:jc w:val="center"/>
              <w:textAlignment w:val="top"/>
            </w:pPr>
            <w:r>
              <w:rPr>
                <w:rFonts w:ascii="Arial" w:eastAsia="宋体" w:hAnsi="Arial" w:cs="Arial"/>
                <w:color w:val="333333"/>
                <w:sz w:val="18"/>
                <w:szCs w:val="18"/>
              </w:rPr>
              <w:t>101.CAL</w:t>
            </w:r>
          </w:p>
        </w:tc>
        <w:tc>
          <w:tcPr>
            <w:tcW w:w="0" w:type="auto"/>
            <w:gridSpan w:val="3"/>
            <w:shd w:val="clear" w:color="auto" w:fill="auto"/>
            <w:tcMar>
              <w:left w:w="20" w:type="dxa"/>
              <w:right w:w="20" w:type="dxa"/>
            </w:tcMar>
            <w:vAlign w:val="bottom"/>
          </w:tcPr>
          <w:p w14:paraId="36CA59A6" w14:textId="77777777" w:rsidR="00787570" w:rsidRDefault="00787570">
            <w:pPr>
              <w:rPr>
                <w:rFonts w:ascii="宋体"/>
              </w:rPr>
            </w:pPr>
          </w:p>
        </w:tc>
        <w:tc>
          <w:tcPr>
            <w:tcW w:w="0" w:type="auto"/>
            <w:gridSpan w:val="3"/>
            <w:shd w:val="clear" w:color="auto" w:fill="auto"/>
            <w:tcMar>
              <w:top w:w="40" w:type="dxa"/>
              <w:left w:w="20" w:type="dxa"/>
              <w:bottom w:w="40" w:type="dxa"/>
              <w:right w:w="20" w:type="dxa"/>
            </w:tcMar>
          </w:tcPr>
          <w:p w14:paraId="36CA59A7" w14:textId="77777777" w:rsidR="00787570" w:rsidRDefault="000D56E2">
            <w:pPr>
              <w:textAlignment w:val="top"/>
            </w:pPr>
            <w:r>
              <w:rPr>
                <w:rFonts w:ascii="Arial" w:eastAsia="宋体" w:hAnsi="Arial" w:cs="Arial"/>
                <w:color w:val="333333"/>
                <w:sz w:val="18"/>
                <w:szCs w:val="18"/>
              </w:rPr>
              <w:t>XBRL Taxonomy Extension Calculation Linkbase Document</w:t>
            </w:r>
          </w:p>
        </w:tc>
        <w:tc>
          <w:tcPr>
            <w:tcW w:w="0" w:type="auto"/>
            <w:gridSpan w:val="3"/>
            <w:shd w:val="clear" w:color="auto" w:fill="auto"/>
            <w:tcMar>
              <w:left w:w="20" w:type="dxa"/>
              <w:right w:w="20" w:type="dxa"/>
            </w:tcMar>
            <w:vAlign w:val="bottom"/>
          </w:tcPr>
          <w:p w14:paraId="36CA59A8"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59A9"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59AA"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59AB"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59AC"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59AD"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59AE"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59AF"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59B0" w14:textId="77777777" w:rsidR="00787570" w:rsidRDefault="00787570">
            <w:pPr>
              <w:rPr>
                <w:rFonts w:ascii="宋体"/>
              </w:rPr>
            </w:pPr>
          </w:p>
        </w:tc>
        <w:tc>
          <w:tcPr>
            <w:tcW w:w="0" w:type="auto"/>
            <w:gridSpan w:val="3"/>
            <w:shd w:val="clear" w:color="auto" w:fill="auto"/>
            <w:tcMar>
              <w:top w:w="40" w:type="dxa"/>
              <w:left w:w="20" w:type="dxa"/>
              <w:bottom w:w="40" w:type="dxa"/>
              <w:right w:w="20" w:type="dxa"/>
            </w:tcMar>
          </w:tcPr>
          <w:p w14:paraId="36CA59B1" w14:textId="77777777" w:rsidR="00787570" w:rsidRDefault="000D56E2">
            <w:pPr>
              <w:jc w:val="center"/>
              <w:textAlignment w:val="top"/>
            </w:pPr>
            <w:r>
              <w:rPr>
                <w:rFonts w:ascii="Arial" w:eastAsia="宋体" w:hAnsi="Arial" w:cs="Arial"/>
                <w:color w:val="333333"/>
                <w:sz w:val="18"/>
                <w:szCs w:val="18"/>
              </w:rPr>
              <w:t>X</w:t>
            </w:r>
          </w:p>
        </w:tc>
        <w:tc>
          <w:tcPr>
            <w:tcW w:w="0" w:type="auto"/>
            <w:shd w:val="clear" w:color="auto" w:fill="auto"/>
          </w:tcPr>
          <w:p w14:paraId="36CA59B2" w14:textId="77777777" w:rsidR="00787570" w:rsidRDefault="00787570">
            <w:pPr>
              <w:rPr>
                <w:rFonts w:ascii="宋体"/>
              </w:rPr>
            </w:pPr>
          </w:p>
        </w:tc>
        <w:tc>
          <w:tcPr>
            <w:tcW w:w="0" w:type="auto"/>
            <w:shd w:val="clear" w:color="auto" w:fill="auto"/>
          </w:tcPr>
          <w:p w14:paraId="36CA59B3" w14:textId="77777777" w:rsidR="00787570" w:rsidRDefault="00787570">
            <w:pPr>
              <w:rPr>
                <w:rFonts w:ascii="宋体"/>
              </w:rPr>
            </w:pPr>
          </w:p>
        </w:tc>
        <w:tc>
          <w:tcPr>
            <w:tcW w:w="0" w:type="auto"/>
            <w:shd w:val="clear" w:color="auto" w:fill="auto"/>
          </w:tcPr>
          <w:p w14:paraId="36CA59B4" w14:textId="77777777" w:rsidR="00787570" w:rsidRDefault="00787570">
            <w:pPr>
              <w:rPr>
                <w:rFonts w:ascii="宋体"/>
              </w:rPr>
            </w:pPr>
          </w:p>
        </w:tc>
        <w:tc>
          <w:tcPr>
            <w:tcW w:w="0" w:type="auto"/>
            <w:shd w:val="clear" w:color="auto" w:fill="auto"/>
          </w:tcPr>
          <w:p w14:paraId="36CA59B5" w14:textId="77777777" w:rsidR="00787570" w:rsidRDefault="00787570">
            <w:pPr>
              <w:rPr>
                <w:rFonts w:ascii="宋体"/>
              </w:rPr>
            </w:pPr>
          </w:p>
        </w:tc>
        <w:tc>
          <w:tcPr>
            <w:tcW w:w="0" w:type="auto"/>
            <w:shd w:val="clear" w:color="auto" w:fill="auto"/>
          </w:tcPr>
          <w:p w14:paraId="36CA59B6" w14:textId="77777777" w:rsidR="00787570" w:rsidRDefault="00787570">
            <w:pPr>
              <w:rPr>
                <w:rFonts w:ascii="宋体"/>
              </w:rPr>
            </w:pPr>
          </w:p>
        </w:tc>
        <w:tc>
          <w:tcPr>
            <w:tcW w:w="0" w:type="auto"/>
            <w:shd w:val="clear" w:color="auto" w:fill="auto"/>
          </w:tcPr>
          <w:p w14:paraId="36CA59B7" w14:textId="77777777" w:rsidR="00787570" w:rsidRDefault="00787570">
            <w:pPr>
              <w:rPr>
                <w:rFonts w:ascii="宋体"/>
              </w:rPr>
            </w:pPr>
          </w:p>
        </w:tc>
        <w:tc>
          <w:tcPr>
            <w:tcW w:w="0" w:type="auto"/>
            <w:shd w:val="clear" w:color="auto" w:fill="auto"/>
          </w:tcPr>
          <w:p w14:paraId="36CA59B8" w14:textId="77777777" w:rsidR="00787570" w:rsidRDefault="00787570">
            <w:pPr>
              <w:rPr>
                <w:rFonts w:ascii="宋体"/>
              </w:rPr>
            </w:pPr>
          </w:p>
        </w:tc>
        <w:tc>
          <w:tcPr>
            <w:tcW w:w="0" w:type="auto"/>
            <w:shd w:val="clear" w:color="auto" w:fill="auto"/>
          </w:tcPr>
          <w:p w14:paraId="36CA59B9" w14:textId="77777777" w:rsidR="00787570" w:rsidRDefault="00787570">
            <w:pPr>
              <w:rPr>
                <w:rFonts w:ascii="宋体"/>
              </w:rPr>
            </w:pPr>
          </w:p>
        </w:tc>
        <w:tc>
          <w:tcPr>
            <w:tcW w:w="0" w:type="auto"/>
            <w:shd w:val="clear" w:color="auto" w:fill="auto"/>
          </w:tcPr>
          <w:p w14:paraId="36CA59BA" w14:textId="77777777" w:rsidR="00787570" w:rsidRDefault="00787570">
            <w:pPr>
              <w:rPr>
                <w:rFonts w:ascii="宋体"/>
              </w:rPr>
            </w:pPr>
          </w:p>
        </w:tc>
        <w:tc>
          <w:tcPr>
            <w:tcW w:w="0" w:type="auto"/>
            <w:shd w:val="clear" w:color="auto" w:fill="auto"/>
          </w:tcPr>
          <w:p w14:paraId="36CA59BB" w14:textId="77777777" w:rsidR="00787570" w:rsidRDefault="00787570">
            <w:pPr>
              <w:rPr>
                <w:rFonts w:ascii="宋体"/>
              </w:rPr>
            </w:pPr>
          </w:p>
        </w:tc>
        <w:tc>
          <w:tcPr>
            <w:tcW w:w="0" w:type="auto"/>
            <w:shd w:val="clear" w:color="auto" w:fill="auto"/>
          </w:tcPr>
          <w:p w14:paraId="36CA59BC" w14:textId="77777777" w:rsidR="00787570" w:rsidRDefault="00787570">
            <w:pPr>
              <w:rPr>
                <w:rFonts w:ascii="宋体"/>
              </w:rPr>
            </w:pPr>
          </w:p>
        </w:tc>
        <w:tc>
          <w:tcPr>
            <w:tcW w:w="0" w:type="auto"/>
            <w:shd w:val="clear" w:color="auto" w:fill="auto"/>
          </w:tcPr>
          <w:p w14:paraId="36CA59BD" w14:textId="77777777" w:rsidR="00787570" w:rsidRDefault="00787570">
            <w:pPr>
              <w:rPr>
                <w:rFonts w:ascii="宋体"/>
              </w:rPr>
            </w:pPr>
          </w:p>
        </w:tc>
        <w:tc>
          <w:tcPr>
            <w:tcW w:w="0" w:type="auto"/>
            <w:shd w:val="clear" w:color="auto" w:fill="auto"/>
          </w:tcPr>
          <w:p w14:paraId="36CA59BE" w14:textId="77777777" w:rsidR="00787570" w:rsidRDefault="00787570">
            <w:pPr>
              <w:rPr>
                <w:rFonts w:ascii="宋体"/>
              </w:rPr>
            </w:pPr>
          </w:p>
        </w:tc>
        <w:tc>
          <w:tcPr>
            <w:tcW w:w="0" w:type="auto"/>
            <w:shd w:val="clear" w:color="auto" w:fill="auto"/>
          </w:tcPr>
          <w:p w14:paraId="36CA59BF" w14:textId="77777777" w:rsidR="00787570" w:rsidRDefault="00787570">
            <w:pPr>
              <w:rPr>
                <w:rFonts w:ascii="宋体"/>
              </w:rPr>
            </w:pPr>
          </w:p>
        </w:tc>
        <w:tc>
          <w:tcPr>
            <w:tcW w:w="0" w:type="auto"/>
            <w:shd w:val="clear" w:color="auto" w:fill="auto"/>
          </w:tcPr>
          <w:p w14:paraId="36CA59C0" w14:textId="77777777" w:rsidR="00787570" w:rsidRDefault="00787570">
            <w:pPr>
              <w:rPr>
                <w:rFonts w:ascii="宋体"/>
              </w:rPr>
            </w:pPr>
          </w:p>
        </w:tc>
        <w:tc>
          <w:tcPr>
            <w:tcW w:w="0" w:type="auto"/>
            <w:shd w:val="clear" w:color="auto" w:fill="auto"/>
          </w:tcPr>
          <w:p w14:paraId="36CA59C1" w14:textId="77777777" w:rsidR="00787570" w:rsidRDefault="00787570">
            <w:pPr>
              <w:rPr>
                <w:rFonts w:ascii="宋体"/>
              </w:rPr>
            </w:pPr>
          </w:p>
        </w:tc>
        <w:tc>
          <w:tcPr>
            <w:tcW w:w="0" w:type="auto"/>
            <w:shd w:val="clear" w:color="auto" w:fill="auto"/>
          </w:tcPr>
          <w:p w14:paraId="36CA59C2" w14:textId="77777777" w:rsidR="00787570" w:rsidRDefault="00787570">
            <w:pPr>
              <w:rPr>
                <w:rFonts w:ascii="宋体"/>
              </w:rPr>
            </w:pPr>
          </w:p>
        </w:tc>
        <w:tc>
          <w:tcPr>
            <w:tcW w:w="0" w:type="auto"/>
            <w:shd w:val="clear" w:color="auto" w:fill="auto"/>
          </w:tcPr>
          <w:p w14:paraId="36CA59C3" w14:textId="77777777" w:rsidR="00787570" w:rsidRDefault="00787570">
            <w:pPr>
              <w:rPr>
                <w:rFonts w:ascii="宋体"/>
              </w:rPr>
            </w:pPr>
          </w:p>
        </w:tc>
      </w:tr>
      <w:tr w:rsidR="00787570" w14:paraId="36CA59E4" w14:textId="77777777">
        <w:tc>
          <w:tcPr>
            <w:tcW w:w="0" w:type="auto"/>
            <w:gridSpan w:val="3"/>
            <w:shd w:val="clear" w:color="auto" w:fill="auto"/>
            <w:tcMar>
              <w:top w:w="40" w:type="dxa"/>
              <w:left w:w="20" w:type="dxa"/>
              <w:bottom w:w="40" w:type="dxa"/>
              <w:right w:w="20" w:type="dxa"/>
            </w:tcMar>
          </w:tcPr>
          <w:p w14:paraId="36CA59C5" w14:textId="77777777" w:rsidR="00787570" w:rsidRDefault="000D56E2">
            <w:pPr>
              <w:jc w:val="center"/>
              <w:textAlignment w:val="top"/>
            </w:pPr>
            <w:r>
              <w:rPr>
                <w:rFonts w:ascii="Arial" w:eastAsia="宋体" w:hAnsi="Arial" w:cs="Arial"/>
                <w:color w:val="333333"/>
                <w:sz w:val="18"/>
                <w:szCs w:val="18"/>
              </w:rPr>
              <w:t>101.DEF</w:t>
            </w:r>
          </w:p>
        </w:tc>
        <w:tc>
          <w:tcPr>
            <w:tcW w:w="0" w:type="auto"/>
            <w:gridSpan w:val="3"/>
            <w:shd w:val="clear" w:color="auto" w:fill="auto"/>
            <w:tcMar>
              <w:left w:w="20" w:type="dxa"/>
              <w:right w:w="20" w:type="dxa"/>
            </w:tcMar>
            <w:vAlign w:val="bottom"/>
          </w:tcPr>
          <w:p w14:paraId="36CA59C6" w14:textId="77777777" w:rsidR="00787570" w:rsidRDefault="00787570">
            <w:pPr>
              <w:rPr>
                <w:rFonts w:ascii="宋体"/>
              </w:rPr>
            </w:pPr>
          </w:p>
        </w:tc>
        <w:tc>
          <w:tcPr>
            <w:tcW w:w="0" w:type="auto"/>
            <w:gridSpan w:val="3"/>
            <w:shd w:val="clear" w:color="auto" w:fill="auto"/>
            <w:tcMar>
              <w:top w:w="40" w:type="dxa"/>
              <w:left w:w="20" w:type="dxa"/>
              <w:bottom w:w="40" w:type="dxa"/>
              <w:right w:w="20" w:type="dxa"/>
            </w:tcMar>
          </w:tcPr>
          <w:p w14:paraId="36CA59C7" w14:textId="77777777" w:rsidR="00787570" w:rsidRDefault="000D56E2">
            <w:pPr>
              <w:textAlignment w:val="top"/>
            </w:pPr>
            <w:r>
              <w:rPr>
                <w:rFonts w:ascii="Arial" w:eastAsia="宋体" w:hAnsi="Arial" w:cs="Arial"/>
                <w:color w:val="333333"/>
                <w:sz w:val="18"/>
                <w:szCs w:val="18"/>
              </w:rPr>
              <w:t>XBRL Taxonomy Extension Definition Linkbase Document</w:t>
            </w:r>
          </w:p>
        </w:tc>
        <w:tc>
          <w:tcPr>
            <w:tcW w:w="0" w:type="auto"/>
            <w:gridSpan w:val="3"/>
            <w:shd w:val="clear" w:color="auto" w:fill="auto"/>
            <w:tcMar>
              <w:left w:w="20" w:type="dxa"/>
              <w:right w:w="20" w:type="dxa"/>
            </w:tcMar>
            <w:vAlign w:val="bottom"/>
          </w:tcPr>
          <w:p w14:paraId="36CA59C8"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59C9"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59CA"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59CB"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59CC"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59CD"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59CE"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59CF"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59D0" w14:textId="77777777" w:rsidR="00787570" w:rsidRDefault="00787570">
            <w:pPr>
              <w:rPr>
                <w:rFonts w:ascii="宋体"/>
              </w:rPr>
            </w:pPr>
          </w:p>
        </w:tc>
        <w:tc>
          <w:tcPr>
            <w:tcW w:w="0" w:type="auto"/>
            <w:gridSpan w:val="3"/>
            <w:shd w:val="clear" w:color="auto" w:fill="auto"/>
            <w:tcMar>
              <w:top w:w="40" w:type="dxa"/>
              <w:left w:w="20" w:type="dxa"/>
              <w:bottom w:w="40" w:type="dxa"/>
              <w:right w:w="20" w:type="dxa"/>
            </w:tcMar>
          </w:tcPr>
          <w:p w14:paraId="36CA59D1" w14:textId="77777777" w:rsidR="00787570" w:rsidRDefault="000D56E2">
            <w:pPr>
              <w:jc w:val="center"/>
              <w:textAlignment w:val="top"/>
            </w:pPr>
            <w:r>
              <w:rPr>
                <w:rFonts w:ascii="Arial" w:eastAsia="宋体" w:hAnsi="Arial" w:cs="Arial"/>
                <w:color w:val="333333"/>
                <w:sz w:val="18"/>
                <w:szCs w:val="18"/>
              </w:rPr>
              <w:t>X</w:t>
            </w:r>
          </w:p>
        </w:tc>
        <w:tc>
          <w:tcPr>
            <w:tcW w:w="0" w:type="auto"/>
            <w:shd w:val="clear" w:color="auto" w:fill="auto"/>
          </w:tcPr>
          <w:p w14:paraId="36CA59D2" w14:textId="77777777" w:rsidR="00787570" w:rsidRDefault="00787570">
            <w:pPr>
              <w:rPr>
                <w:rFonts w:ascii="宋体"/>
              </w:rPr>
            </w:pPr>
          </w:p>
        </w:tc>
        <w:tc>
          <w:tcPr>
            <w:tcW w:w="0" w:type="auto"/>
            <w:shd w:val="clear" w:color="auto" w:fill="auto"/>
          </w:tcPr>
          <w:p w14:paraId="36CA59D3" w14:textId="77777777" w:rsidR="00787570" w:rsidRDefault="00787570">
            <w:pPr>
              <w:rPr>
                <w:rFonts w:ascii="宋体"/>
              </w:rPr>
            </w:pPr>
          </w:p>
        </w:tc>
        <w:tc>
          <w:tcPr>
            <w:tcW w:w="0" w:type="auto"/>
            <w:shd w:val="clear" w:color="auto" w:fill="auto"/>
          </w:tcPr>
          <w:p w14:paraId="36CA59D4" w14:textId="77777777" w:rsidR="00787570" w:rsidRDefault="00787570">
            <w:pPr>
              <w:rPr>
                <w:rFonts w:ascii="宋体"/>
              </w:rPr>
            </w:pPr>
          </w:p>
        </w:tc>
        <w:tc>
          <w:tcPr>
            <w:tcW w:w="0" w:type="auto"/>
            <w:shd w:val="clear" w:color="auto" w:fill="auto"/>
          </w:tcPr>
          <w:p w14:paraId="36CA59D5" w14:textId="77777777" w:rsidR="00787570" w:rsidRDefault="00787570">
            <w:pPr>
              <w:rPr>
                <w:rFonts w:ascii="宋体"/>
              </w:rPr>
            </w:pPr>
          </w:p>
        </w:tc>
        <w:tc>
          <w:tcPr>
            <w:tcW w:w="0" w:type="auto"/>
            <w:shd w:val="clear" w:color="auto" w:fill="auto"/>
          </w:tcPr>
          <w:p w14:paraId="36CA59D6" w14:textId="77777777" w:rsidR="00787570" w:rsidRDefault="00787570">
            <w:pPr>
              <w:rPr>
                <w:rFonts w:ascii="宋体"/>
              </w:rPr>
            </w:pPr>
          </w:p>
        </w:tc>
        <w:tc>
          <w:tcPr>
            <w:tcW w:w="0" w:type="auto"/>
            <w:shd w:val="clear" w:color="auto" w:fill="auto"/>
          </w:tcPr>
          <w:p w14:paraId="36CA59D7" w14:textId="77777777" w:rsidR="00787570" w:rsidRDefault="00787570">
            <w:pPr>
              <w:rPr>
                <w:rFonts w:ascii="宋体"/>
              </w:rPr>
            </w:pPr>
          </w:p>
        </w:tc>
        <w:tc>
          <w:tcPr>
            <w:tcW w:w="0" w:type="auto"/>
            <w:shd w:val="clear" w:color="auto" w:fill="auto"/>
          </w:tcPr>
          <w:p w14:paraId="36CA59D8" w14:textId="77777777" w:rsidR="00787570" w:rsidRDefault="00787570">
            <w:pPr>
              <w:rPr>
                <w:rFonts w:ascii="宋体"/>
              </w:rPr>
            </w:pPr>
          </w:p>
        </w:tc>
        <w:tc>
          <w:tcPr>
            <w:tcW w:w="0" w:type="auto"/>
            <w:shd w:val="clear" w:color="auto" w:fill="auto"/>
          </w:tcPr>
          <w:p w14:paraId="36CA59D9" w14:textId="77777777" w:rsidR="00787570" w:rsidRDefault="00787570">
            <w:pPr>
              <w:rPr>
                <w:rFonts w:ascii="宋体"/>
              </w:rPr>
            </w:pPr>
          </w:p>
        </w:tc>
        <w:tc>
          <w:tcPr>
            <w:tcW w:w="0" w:type="auto"/>
            <w:shd w:val="clear" w:color="auto" w:fill="auto"/>
          </w:tcPr>
          <w:p w14:paraId="36CA59DA" w14:textId="77777777" w:rsidR="00787570" w:rsidRDefault="00787570">
            <w:pPr>
              <w:rPr>
                <w:rFonts w:ascii="宋体"/>
              </w:rPr>
            </w:pPr>
          </w:p>
        </w:tc>
        <w:tc>
          <w:tcPr>
            <w:tcW w:w="0" w:type="auto"/>
            <w:shd w:val="clear" w:color="auto" w:fill="auto"/>
          </w:tcPr>
          <w:p w14:paraId="36CA59DB" w14:textId="77777777" w:rsidR="00787570" w:rsidRDefault="00787570">
            <w:pPr>
              <w:rPr>
                <w:rFonts w:ascii="宋体"/>
              </w:rPr>
            </w:pPr>
          </w:p>
        </w:tc>
        <w:tc>
          <w:tcPr>
            <w:tcW w:w="0" w:type="auto"/>
            <w:shd w:val="clear" w:color="auto" w:fill="auto"/>
          </w:tcPr>
          <w:p w14:paraId="36CA59DC" w14:textId="77777777" w:rsidR="00787570" w:rsidRDefault="00787570">
            <w:pPr>
              <w:rPr>
                <w:rFonts w:ascii="宋体"/>
              </w:rPr>
            </w:pPr>
          </w:p>
        </w:tc>
        <w:tc>
          <w:tcPr>
            <w:tcW w:w="0" w:type="auto"/>
            <w:shd w:val="clear" w:color="auto" w:fill="auto"/>
          </w:tcPr>
          <w:p w14:paraId="36CA59DD" w14:textId="77777777" w:rsidR="00787570" w:rsidRDefault="00787570">
            <w:pPr>
              <w:rPr>
                <w:rFonts w:ascii="宋体"/>
              </w:rPr>
            </w:pPr>
          </w:p>
        </w:tc>
        <w:tc>
          <w:tcPr>
            <w:tcW w:w="0" w:type="auto"/>
            <w:shd w:val="clear" w:color="auto" w:fill="auto"/>
          </w:tcPr>
          <w:p w14:paraId="36CA59DE" w14:textId="77777777" w:rsidR="00787570" w:rsidRDefault="00787570">
            <w:pPr>
              <w:rPr>
                <w:rFonts w:ascii="宋体"/>
              </w:rPr>
            </w:pPr>
          </w:p>
        </w:tc>
        <w:tc>
          <w:tcPr>
            <w:tcW w:w="0" w:type="auto"/>
            <w:shd w:val="clear" w:color="auto" w:fill="auto"/>
          </w:tcPr>
          <w:p w14:paraId="36CA59DF" w14:textId="77777777" w:rsidR="00787570" w:rsidRDefault="00787570">
            <w:pPr>
              <w:rPr>
                <w:rFonts w:ascii="宋体"/>
              </w:rPr>
            </w:pPr>
          </w:p>
        </w:tc>
        <w:tc>
          <w:tcPr>
            <w:tcW w:w="0" w:type="auto"/>
            <w:shd w:val="clear" w:color="auto" w:fill="auto"/>
          </w:tcPr>
          <w:p w14:paraId="36CA59E0" w14:textId="77777777" w:rsidR="00787570" w:rsidRDefault="00787570">
            <w:pPr>
              <w:rPr>
                <w:rFonts w:ascii="宋体"/>
              </w:rPr>
            </w:pPr>
          </w:p>
        </w:tc>
        <w:tc>
          <w:tcPr>
            <w:tcW w:w="0" w:type="auto"/>
            <w:shd w:val="clear" w:color="auto" w:fill="auto"/>
          </w:tcPr>
          <w:p w14:paraId="36CA59E1" w14:textId="77777777" w:rsidR="00787570" w:rsidRDefault="00787570">
            <w:pPr>
              <w:rPr>
                <w:rFonts w:ascii="宋体"/>
              </w:rPr>
            </w:pPr>
          </w:p>
        </w:tc>
        <w:tc>
          <w:tcPr>
            <w:tcW w:w="0" w:type="auto"/>
            <w:shd w:val="clear" w:color="auto" w:fill="auto"/>
          </w:tcPr>
          <w:p w14:paraId="36CA59E2" w14:textId="77777777" w:rsidR="00787570" w:rsidRDefault="00787570">
            <w:pPr>
              <w:rPr>
                <w:rFonts w:ascii="宋体"/>
              </w:rPr>
            </w:pPr>
          </w:p>
        </w:tc>
        <w:tc>
          <w:tcPr>
            <w:tcW w:w="0" w:type="auto"/>
            <w:shd w:val="clear" w:color="auto" w:fill="auto"/>
          </w:tcPr>
          <w:p w14:paraId="36CA59E3" w14:textId="77777777" w:rsidR="00787570" w:rsidRDefault="00787570">
            <w:pPr>
              <w:rPr>
                <w:rFonts w:ascii="宋体"/>
              </w:rPr>
            </w:pPr>
          </w:p>
        </w:tc>
      </w:tr>
      <w:tr w:rsidR="00787570" w14:paraId="36CA5A04" w14:textId="77777777">
        <w:tc>
          <w:tcPr>
            <w:tcW w:w="0" w:type="auto"/>
            <w:gridSpan w:val="3"/>
            <w:shd w:val="clear" w:color="auto" w:fill="auto"/>
            <w:tcMar>
              <w:top w:w="40" w:type="dxa"/>
              <w:left w:w="20" w:type="dxa"/>
              <w:bottom w:w="40" w:type="dxa"/>
              <w:right w:w="20" w:type="dxa"/>
            </w:tcMar>
          </w:tcPr>
          <w:p w14:paraId="36CA59E5" w14:textId="77777777" w:rsidR="00787570" w:rsidRDefault="000D56E2">
            <w:pPr>
              <w:jc w:val="center"/>
              <w:textAlignment w:val="top"/>
            </w:pPr>
            <w:r>
              <w:rPr>
                <w:rFonts w:ascii="Arial" w:eastAsia="宋体" w:hAnsi="Arial" w:cs="Arial"/>
                <w:color w:val="333333"/>
                <w:sz w:val="18"/>
                <w:szCs w:val="18"/>
              </w:rPr>
              <w:t>101.LAB</w:t>
            </w:r>
          </w:p>
        </w:tc>
        <w:tc>
          <w:tcPr>
            <w:tcW w:w="0" w:type="auto"/>
            <w:gridSpan w:val="3"/>
            <w:shd w:val="clear" w:color="auto" w:fill="auto"/>
            <w:tcMar>
              <w:left w:w="20" w:type="dxa"/>
              <w:right w:w="20" w:type="dxa"/>
            </w:tcMar>
            <w:vAlign w:val="bottom"/>
          </w:tcPr>
          <w:p w14:paraId="36CA59E6" w14:textId="77777777" w:rsidR="00787570" w:rsidRDefault="00787570">
            <w:pPr>
              <w:rPr>
                <w:rFonts w:ascii="宋体"/>
              </w:rPr>
            </w:pPr>
          </w:p>
        </w:tc>
        <w:tc>
          <w:tcPr>
            <w:tcW w:w="0" w:type="auto"/>
            <w:gridSpan w:val="3"/>
            <w:shd w:val="clear" w:color="auto" w:fill="auto"/>
            <w:tcMar>
              <w:top w:w="40" w:type="dxa"/>
              <w:left w:w="20" w:type="dxa"/>
              <w:bottom w:w="40" w:type="dxa"/>
              <w:right w:w="20" w:type="dxa"/>
            </w:tcMar>
          </w:tcPr>
          <w:p w14:paraId="36CA59E7" w14:textId="77777777" w:rsidR="00787570" w:rsidRDefault="000D56E2">
            <w:pPr>
              <w:textAlignment w:val="top"/>
            </w:pPr>
            <w:r>
              <w:rPr>
                <w:rFonts w:ascii="Arial" w:eastAsia="宋体" w:hAnsi="Arial" w:cs="Arial"/>
                <w:color w:val="333333"/>
                <w:sz w:val="18"/>
                <w:szCs w:val="18"/>
              </w:rPr>
              <w:t>XBRL Taxonomy Extension Label Linkbase Document</w:t>
            </w:r>
          </w:p>
        </w:tc>
        <w:tc>
          <w:tcPr>
            <w:tcW w:w="0" w:type="auto"/>
            <w:gridSpan w:val="3"/>
            <w:shd w:val="clear" w:color="auto" w:fill="auto"/>
            <w:tcMar>
              <w:left w:w="20" w:type="dxa"/>
              <w:right w:w="20" w:type="dxa"/>
            </w:tcMar>
            <w:vAlign w:val="bottom"/>
          </w:tcPr>
          <w:p w14:paraId="36CA59E8"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59E9"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59EA"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59EB"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59EC"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59ED"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59EE"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59EF"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59F0" w14:textId="77777777" w:rsidR="00787570" w:rsidRDefault="00787570">
            <w:pPr>
              <w:rPr>
                <w:rFonts w:ascii="宋体"/>
              </w:rPr>
            </w:pPr>
          </w:p>
        </w:tc>
        <w:tc>
          <w:tcPr>
            <w:tcW w:w="0" w:type="auto"/>
            <w:gridSpan w:val="3"/>
            <w:shd w:val="clear" w:color="auto" w:fill="auto"/>
            <w:tcMar>
              <w:top w:w="40" w:type="dxa"/>
              <w:left w:w="20" w:type="dxa"/>
              <w:bottom w:w="40" w:type="dxa"/>
              <w:right w:w="20" w:type="dxa"/>
            </w:tcMar>
          </w:tcPr>
          <w:p w14:paraId="36CA59F1" w14:textId="77777777" w:rsidR="00787570" w:rsidRDefault="000D56E2">
            <w:pPr>
              <w:jc w:val="center"/>
              <w:textAlignment w:val="top"/>
            </w:pPr>
            <w:r>
              <w:rPr>
                <w:rFonts w:ascii="Arial" w:eastAsia="宋体" w:hAnsi="Arial" w:cs="Arial"/>
                <w:color w:val="333333"/>
                <w:sz w:val="18"/>
                <w:szCs w:val="18"/>
              </w:rPr>
              <w:t>X</w:t>
            </w:r>
          </w:p>
        </w:tc>
        <w:tc>
          <w:tcPr>
            <w:tcW w:w="0" w:type="auto"/>
            <w:shd w:val="clear" w:color="auto" w:fill="auto"/>
          </w:tcPr>
          <w:p w14:paraId="36CA59F2" w14:textId="77777777" w:rsidR="00787570" w:rsidRDefault="00787570">
            <w:pPr>
              <w:rPr>
                <w:rFonts w:ascii="宋体"/>
              </w:rPr>
            </w:pPr>
          </w:p>
        </w:tc>
        <w:tc>
          <w:tcPr>
            <w:tcW w:w="0" w:type="auto"/>
            <w:shd w:val="clear" w:color="auto" w:fill="auto"/>
          </w:tcPr>
          <w:p w14:paraId="36CA59F3" w14:textId="77777777" w:rsidR="00787570" w:rsidRDefault="00787570">
            <w:pPr>
              <w:rPr>
                <w:rFonts w:ascii="宋体"/>
              </w:rPr>
            </w:pPr>
          </w:p>
        </w:tc>
        <w:tc>
          <w:tcPr>
            <w:tcW w:w="0" w:type="auto"/>
            <w:shd w:val="clear" w:color="auto" w:fill="auto"/>
          </w:tcPr>
          <w:p w14:paraId="36CA59F4" w14:textId="77777777" w:rsidR="00787570" w:rsidRDefault="00787570">
            <w:pPr>
              <w:rPr>
                <w:rFonts w:ascii="宋体"/>
              </w:rPr>
            </w:pPr>
          </w:p>
        </w:tc>
        <w:tc>
          <w:tcPr>
            <w:tcW w:w="0" w:type="auto"/>
            <w:shd w:val="clear" w:color="auto" w:fill="auto"/>
          </w:tcPr>
          <w:p w14:paraId="36CA59F5" w14:textId="77777777" w:rsidR="00787570" w:rsidRDefault="00787570">
            <w:pPr>
              <w:rPr>
                <w:rFonts w:ascii="宋体"/>
              </w:rPr>
            </w:pPr>
          </w:p>
        </w:tc>
        <w:tc>
          <w:tcPr>
            <w:tcW w:w="0" w:type="auto"/>
            <w:shd w:val="clear" w:color="auto" w:fill="auto"/>
          </w:tcPr>
          <w:p w14:paraId="36CA59F6" w14:textId="77777777" w:rsidR="00787570" w:rsidRDefault="00787570">
            <w:pPr>
              <w:rPr>
                <w:rFonts w:ascii="宋体"/>
              </w:rPr>
            </w:pPr>
          </w:p>
        </w:tc>
        <w:tc>
          <w:tcPr>
            <w:tcW w:w="0" w:type="auto"/>
            <w:shd w:val="clear" w:color="auto" w:fill="auto"/>
          </w:tcPr>
          <w:p w14:paraId="36CA59F7" w14:textId="77777777" w:rsidR="00787570" w:rsidRDefault="00787570">
            <w:pPr>
              <w:rPr>
                <w:rFonts w:ascii="宋体"/>
              </w:rPr>
            </w:pPr>
          </w:p>
        </w:tc>
        <w:tc>
          <w:tcPr>
            <w:tcW w:w="0" w:type="auto"/>
            <w:shd w:val="clear" w:color="auto" w:fill="auto"/>
          </w:tcPr>
          <w:p w14:paraId="36CA59F8" w14:textId="77777777" w:rsidR="00787570" w:rsidRDefault="00787570">
            <w:pPr>
              <w:rPr>
                <w:rFonts w:ascii="宋体"/>
              </w:rPr>
            </w:pPr>
          </w:p>
        </w:tc>
        <w:tc>
          <w:tcPr>
            <w:tcW w:w="0" w:type="auto"/>
            <w:shd w:val="clear" w:color="auto" w:fill="auto"/>
          </w:tcPr>
          <w:p w14:paraId="36CA59F9" w14:textId="77777777" w:rsidR="00787570" w:rsidRDefault="00787570">
            <w:pPr>
              <w:rPr>
                <w:rFonts w:ascii="宋体"/>
              </w:rPr>
            </w:pPr>
          </w:p>
        </w:tc>
        <w:tc>
          <w:tcPr>
            <w:tcW w:w="0" w:type="auto"/>
            <w:shd w:val="clear" w:color="auto" w:fill="auto"/>
          </w:tcPr>
          <w:p w14:paraId="36CA59FA" w14:textId="77777777" w:rsidR="00787570" w:rsidRDefault="00787570">
            <w:pPr>
              <w:rPr>
                <w:rFonts w:ascii="宋体"/>
              </w:rPr>
            </w:pPr>
          </w:p>
        </w:tc>
        <w:tc>
          <w:tcPr>
            <w:tcW w:w="0" w:type="auto"/>
            <w:shd w:val="clear" w:color="auto" w:fill="auto"/>
          </w:tcPr>
          <w:p w14:paraId="36CA59FB" w14:textId="77777777" w:rsidR="00787570" w:rsidRDefault="00787570">
            <w:pPr>
              <w:rPr>
                <w:rFonts w:ascii="宋体"/>
              </w:rPr>
            </w:pPr>
          </w:p>
        </w:tc>
        <w:tc>
          <w:tcPr>
            <w:tcW w:w="0" w:type="auto"/>
            <w:shd w:val="clear" w:color="auto" w:fill="auto"/>
          </w:tcPr>
          <w:p w14:paraId="36CA59FC" w14:textId="77777777" w:rsidR="00787570" w:rsidRDefault="00787570">
            <w:pPr>
              <w:rPr>
                <w:rFonts w:ascii="宋体"/>
              </w:rPr>
            </w:pPr>
          </w:p>
        </w:tc>
        <w:tc>
          <w:tcPr>
            <w:tcW w:w="0" w:type="auto"/>
            <w:shd w:val="clear" w:color="auto" w:fill="auto"/>
          </w:tcPr>
          <w:p w14:paraId="36CA59FD" w14:textId="77777777" w:rsidR="00787570" w:rsidRDefault="00787570">
            <w:pPr>
              <w:rPr>
                <w:rFonts w:ascii="宋体"/>
              </w:rPr>
            </w:pPr>
          </w:p>
        </w:tc>
        <w:tc>
          <w:tcPr>
            <w:tcW w:w="0" w:type="auto"/>
            <w:shd w:val="clear" w:color="auto" w:fill="auto"/>
          </w:tcPr>
          <w:p w14:paraId="36CA59FE" w14:textId="77777777" w:rsidR="00787570" w:rsidRDefault="00787570">
            <w:pPr>
              <w:rPr>
                <w:rFonts w:ascii="宋体"/>
              </w:rPr>
            </w:pPr>
          </w:p>
        </w:tc>
        <w:tc>
          <w:tcPr>
            <w:tcW w:w="0" w:type="auto"/>
            <w:shd w:val="clear" w:color="auto" w:fill="auto"/>
          </w:tcPr>
          <w:p w14:paraId="36CA59FF" w14:textId="77777777" w:rsidR="00787570" w:rsidRDefault="00787570">
            <w:pPr>
              <w:rPr>
                <w:rFonts w:ascii="宋体"/>
              </w:rPr>
            </w:pPr>
          </w:p>
        </w:tc>
        <w:tc>
          <w:tcPr>
            <w:tcW w:w="0" w:type="auto"/>
            <w:shd w:val="clear" w:color="auto" w:fill="auto"/>
          </w:tcPr>
          <w:p w14:paraId="36CA5A00" w14:textId="77777777" w:rsidR="00787570" w:rsidRDefault="00787570">
            <w:pPr>
              <w:rPr>
                <w:rFonts w:ascii="宋体"/>
              </w:rPr>
            </w:pPr>
          </w:p>
        </w:tc>
        <w:tc>
          <w:tcPr>
            <w:tcW w:w="0" w:type="auto"/>
            <w:shd w:val="clear" w:color="auto" w:fill="auto"/>
          </w:tcPr>
          <w:p w14:paraId="36CA5A01" w14:textId="77777777" w:rsidR="00787570" w:rsidRDefault="00787570">
            <w:pPr>
              <w:rPr>
                <w:rFonts w:ascii="宋体"/>
              </w:rPr>
            </w:pPr>
          </w:p>
        </w:tc>
        <w:tc>
          <w:tcPr>
            <w:tcW w:w="0" w:type="auto"/>
            <w:shd w:val="clear" w:color="auto" w:fill="auto"/>
          </w:tcPr>
          <w:p w14:paraId="36CA5A02" w14:textId="77777777" w:rsidR="00787570" w:rsidRDefault="00787570">
            <w:pPr>
              <w:rPr>
                <w:rFonts w:ascii="宋体"/>
              </w:rPr>
            </w:pPr>
          </w:p>
        </w:tc>
        <w:tc>
          <w:tcPr>
            <w:tcW w:w="0" w:type="auto"/>
            <w:shd w:val="clear" w:color="auto" w:fill="auto"/>
          </w:tcPr>
          <w:p w14:paraId="36CA5A03" w14:textId="77777777" w:rsidR="00787570" w:rsidRDefault="00787570">
            <w:pPr>
              <w:rPr>
                <w:rFonts w:ascii="宋体"/>
              </w:rPr>
            </w:pPr>
          </w:p>
        </w:tc>
      </w:tr>
      <w:tr w:rsidR="00787570" w14:paraId="36CA5A24" w14:textId="77777777">
        <w:tc>
          <w:tcPr>
            <w:tcW w:w="0" w:type="auto"/>
            <w:gridSpan w:val="3"/>
            <w:shd w:val="clear" w:color="auto" w:fill="auto"/>
            <w:tcMar>
              <w:top w:w="40" w:type="dxa"/>
              <w:left w:w="20" w:type="dxa"/>
              <w:bottom w:w="40" w:type="dxa"/>
              <w:right w:w="20" w:type="dxa"/>
            </w:tcMar>
          </w:tcPr>
          <w:p w14:paraId="36CA5A05" w14:textId="77777777" w:rsidR="00787570" w:rsidRDefault="000D56E2">
            <w:pPr>
              <w:jc w:val="center"/>
              <w:textAlignment w:val="top"/>
            </w:pPr>
            <w:r>
              <w:rPr>
                <w:rFonts w:ascii="Arial" w:eastAsia="宋体" w:hAnsi="Arial" w:cs="Arial"/>
                <w:color w:val="333333"/>
                <w:sz w:val="18"/>
                <w:szCs w:val="18"/>
              </w:rPr>
              <w:t>101.PRE</w:t>
            </w:r>
          </w:p>
        </w:tc>
        <w:tc>
          <w:tcPr>
            <w:tcW w:w="0" w:type="auto"/>
            <w:gridSpan w:val="3"/>
            <w:shd w:val="clear" w:color="auto" w:fill="auto"/>
            <w:tcMar>
              <w:left w:w="20" w:type="dxa"/>
              <w:right w:w="20" w:type="dxa"/>
            </w:tcMar>
            <w:vAlign w:val="bottom"/>
          </w:tcPr>
          <w:p w14:paraId="36CA5A06" w14:textId="77777777" w:rsidR="00787570" w:rsidRDefault="00787570">
            <w:pPr>
              <w:rPr>
                <w:rFonts w:ascii="宋体"/>
              </w:rPr>
            </w:pPr>
          </w:p>
        </w:tc>
        <w:tc>
          <w:tcPr>
            <w:tcW w:w="0" w:type="auto"/>
            <w:gridSpan w:val="3"/>
            <w:shd w:val="clear" w:color="auto" w:fill="auto"/>
            <w:tcMar>
              <w:top w:w="40" w:type="dxa"/>
              <w:left w:w="20" w:type="dxa"/>
              <w:bottom w:w="40" w:type="dxa"/>
              <w:right w:w="20" w:type="dxa"/>
            </w:tcMar>
          </w:tcPr>
          <w:p w14:paraId="36CA5A07" w14:textId="77777777" w:rsidR="00787570" w:rsidRDefault="000D56E2">
            <w:pPr>
              <w:textAlignment w:val="top"/>
            </w:pPr>
            <w:r>
              <w:rPr>
                <w:rFonts w:ascii="Arial" w:eastAsia="宋体" w:hAnsi="Arial" w:cs="Arial"/>
                <w:color w:val="333333"/>
                <w:sz w:val="18"/>
                <w:szCs w:val="18"/>
              </w:rPr>
              <w:t>XBRL Taxonomy Extension Presentation Linkbase Document</w:t>
            </w:r>
          </w:p>
        </w:tc>
        <w:tc>
          <w:tcPr>
            <w:tcW w:w="0" w:type="auto"/>
            <w:gridSpan w:val="3"/>
            <w:shd w:val="clear" w:color="auto" w:fill="auto"/>
            <w:tcMar>
              <w:left w:w="20" w:type="dxa"/>
              <w:right w:w="20" w:type="dxa"/>
            </w:tcMar>
            <w:vAlign w:val="bottom"/>
          </w:tcPr>
          <w:p w14:paraId="36CA5A08"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5A09"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5A0A"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5A0B"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5A0C"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5A0D"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5A0E"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5A0F"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5A10" w14:textId="77777777" w:rsidR="00787570" w:rsidRDefault="00787570">
            <w:pPr>
              <w:rPr>
                <w:rFonts w:ascii="宋体"/>
              </w:rPr>
            </w:pPr>
          </w:p>
        </w:tc>
        <w:tc>
          <w:tcPr>
            <w:tcW w:w="0" w:type="auto"/>
            <w:gridSpan w:val="3"/>
            <w:shd w:val="clear" w:color="auto" w:fill="auto"/>
            <w:tcMar>
              <w:top w:w="40" w:type="dxa"/>
              <w:left w:w="20" w:type="dxa"/>
              <w:bottom w:w="40" w:type="dxa"/>
              <w:right w:w="20" w:type="dxa"/>
            </w:tcMar>
          </w:tcPr>
          <w:p w14:paraId="36CA5A11" w14:textId="77777777" w:rsidR="00787570" w:rsidRDefault="000D56E2">
            <w:pPr>
              <w:jc w:val="center"/>
              <w:textAlignment w:val="top"/>
            </w:pPr>
            <w:r>
              <w:rPr>
                <w:rFonts w:ascii="Arial" w:eastAsia="宋体" w:hAnsi="Arial" w:cs="Arial"/>
                <w:color w:val="333333"/>
                <w:sz w:val="18"/>
                <w:szCs w:val="18"/>
              </w:rPr>
              <w:t>X</w:t>
            </w:r>
          </w:p>
        </w:tc>
        <w:tc>
          <w:tcPr>
            <w:tcW w:w="0" w:type="auto"/>
            <w:shd w:val="clear" w:color="auto" w:fill="auto"/>
          </w:tcPr>
          <w:p w14:paraId="36CA5A12" w14:textId="77777777" w:rsidR="00787570" w:rsidRDefault="00787570">
            <w:pPr>
              <w:rPr>
                <w:rFonts w:ascii="宋体"/>
              </w:rPr>
            </w:pPr>
          </w:p>
        </w:tc>
        <w:tc>
          <w:tcPr>
            <w:tcW w:w="0" w:type="auto"/>
            <w:shd w:val="clear" w:color="auto" w:fill="auto"/>
          </w:tcPr>
          <w:p w14:paraId="36CA5A13" w14:textId="77777777" w:rsidR="00787570" w:rsidRDefault="00787570">
            <w:pPr>
              <w:rPr>
                <w:rFonts w:ascii="宋体"/>
              </w:rPr>
            </w:pPr>
          </w:p>
        </w:tc>
        <w:tc>
          <w:tcPr>
            <w:tcW w:w="0" w:type="auto"/>
            <w:shd w:val="clear" w:color="auto" w:fill="auto"/>
          </w:tcPr>
          <w:p w14:paraId="36CA5A14" w14:textId="77777777" w:rsidR="00787570" w:rsidRDefault="00787570">
            <w:pPr>
              <w:rPr>
                <w:rFonts w:ascii="宋体"/>
              </w:rPr>
            </w:pPr>
          </w:p>
        </w:tc>
        <w:tc>
          <w:tcPr>
            <w:tcW w:w="0" w:type="auto"/>
            <w:shd w:val="clear" w:color="auto" w:fill="auto"/>
          </w:tcPr>
          <w:p w14:paraId="36CA5A15" w14:textId="77777777" w:rsidR="00787570" w:rsidRDefault="00787570">
            <w:pPr>
              <w:rPr>
                <w:rFonts w:ascii="宋体"/>
              </w:rPr>
            </w:pPr>
          </w:p>
        </w:tc>
        <w:tc>
          <w:tcPr>
            <w:tcW w:w="0" w:type="auto"/>
            <w:shd w:val="clear" w:color="auto" w:fill="auto"/>
          </w:tcPr>
          <w:p w14:paraId="36CA5A16" w14:textId="77777777" w:rsidR="00787570" w:rsidRDefault="00787570">
            <w:pPr>
              <w:rPr>
                <w:rFonts w:ascii="宋体"/>
              </w:rPr>
            </w:pPr>
          </w:p>
        </w:tc>
        <w:tc>
          <w:tcPr>
            <w:tcW w:w="0" w:type="auto"/>
            <w:shd w:val="clear" w:color="auto" w:fill="auto"/>
          </w:tcPr>
          <w:p w14:paraId="36CA5A17" w14:textId="77777777" w:rsidR="00787570" w:rsidRDefault="00787570">
            <w:pPr>
              <w:rPr>
                <w:rFonts w:ascii="宋体"/>
              </w:rPr>
            </w:pPr>
          </w:p>
        </w:tc>
        <w:tc>
          <w:tcPr>
            <w:tcW w:w="0" w:type="auto"/>
            <w:shd w:val="clear" w:color="auto" w:fill="auto"/>
          </w:tcPr>
          <w:p w14:paraId="36CA5A18" w14:textId="77777777" w:rsidR="00787570" w:rsidRDefault="00787570">
            <w:pPr>
              <w:rPr>
                <w:rFonts w:ascii="宋体"/>
              </w:rPr>
            </w:pPr>
          </w:p>
        </w:tc>
        <w:tc>
          <w:tcPr>
            <w:tcW w:w="0" w:type="auto"/>
            <w:shd w:val="clear" w:color="auto" w:fill="auto"/>
          </w:tcPr>
          <w:p w14:paraId="36CA5A19" w14:textId="77777777" w:rsidR="00787570" w:rsidRDefault="00787570">
            <w:pPr>
              <w:rPr>
                <w:rFonts w:ascii="宋体"/>
              </w:rPr>
            </w:pPr>
          </w:p>
        </w:tc>
        <w:tc>
          <w:tcPr>
            <w:tcW w:w="0" w:type="auto"/>
            <w:shd w:val="clear" w:color="auto" w:fill="auto"/>
          </w:tcPr>
          <w:p w14:paraId="36CA5A1A" w14:textId="77777777" w:rsidR="00787570" w:rsidRDefault="00787570">
            <w:pPr>
              <w:rPr>
                <w:rFonts w:ascii="宋体"/>
              </w:rPr>
            </w:pPr>
          </w:p>
        </w:tc>
        <w:tc>
          <w:tcPr>
            <w:tcW w:w="0" w:type="auto"/>
            <w:shd w:val="clear" w:color="auto" w:fill="auto"/>
          </w:tcPr>
          <w:p w14:paraId="36CA5A1B" w14:textId="77777777" w:rsidR="00787570" w:rsidRDefault="00787570">
            <w:pPr>
              <w:rPr>
                <w:rFonts w:ascii="宋体"/>
              </w:rPr>
            </w:pPr>
          </w:p>
        </w:tc>
        <w:tc>
          <w:tcPr>
            <w:tcW w:w="0" w:type="auto"/>
            <w:shd w:val="clear" w:color="auto" w:fill="auto"/>
          </w:tcPr>
          <w:p w14:paraId="36CA5A1C" w14:textId="77777777" w:rsidR="00787570" w:rsidRDefault="00787570">
            <w:pPr>
              <w:rPr>
                <w:rFonts w:ascii="宋体"/>
              </w:rPr>
            </w:pPr>
          </w:p>
        </w:tc>
        <w:tc>
          <w:tcPr>
            <w:tcW w:w="0" w:type="auto"/>
            <w:shd w:val="clear" w:color="auto" w:fill="auto"/>
          </w:tcPr>
          <w:p w14:paraId="36CA5A1D" w14:textId="77777777" w:rsidR="00787570" w:rsidRDefault="00787570">
            <w:pPr>
              <w:rPr>
                <w:rFonts w:ascii="宋体"/>
              </w:rPr>
            </w:pPr>
          </w:p>
        </w:tc>
        <w:tc>
          <w:tcPr>
            <w:tcW w:w="0" w:type="auto"/>
            <w:shd w:val="clear" w:color="auto" w:fill="auto"/>
          </w:tcPr>
          <w:p w14:paraId="36CA5A1E" w14:textId="77777777" w:rsidR="00787570" w:rsidRDefault="00787570">
            <w:pPr>
              <w:rPr>
                <w:rFonts w:ascii="宋体"/>
              </w:rPr>
            </w:pPr>
          </w:p>
        </w:tc>
        <w:tc>
          <w:tcPr>
            <w:tcW w:w="0" w:type="auto"/>
            <w:shd w:val="clear" w:color="auto" w:fill="auto"/>
          </w:tcPr>
          <w:p w14:paraId="36CA5A1F" w14:textId="77777777" w:rsidR="00787570" w:rsidRDefault="00787570">
            <w:pPr>
              <w:rPr>
                <w:rFonts w:ascii="宋体"/>
              </w:rPr>
            </w:pPr>
          </w:p>
        </w:tc>
        <w:tc>
          <w:tcPr>
            <w:tcW w:w="0" w:type="auto"/>
            <w:shd w:val="clear" w:color="auto" w:fill="auto"/>
          </w:tcPr>
          <w:p w14:paraId="36CA5A20" w14:textId="77777777" w:rsidR="00787570" w:rsidRDefault="00787570">
            <w:pPr>
              <w:rPr>
                <w:rFonts w:ascii="宋体"/>
              </w:rPr>
            </w:pPr>
          </w:p>
        </w:tc>
        <w:tc>
          <w:tcPr>
            <w:tcW w:w="0" w:type="auto"/>
            <w:shd w:val="clear" w:color="auto" w:fill="auto"/>
          </w:tcPr>
          <w:p w14:paraId="36CA5A21" w14:textId="77777777" w:rsidR="00787570" w:rsidRDefault="00787570">
            <w:pPr>
              <w:rPr>
                <w:rFonts w:ascii="宋体"/>
              </w:rPr>
            </w:pPr>
          </w:p>
        </w:tc>
        <w:tc>
          <w:tcPr>
            <w:tcW w:w="0" w:type="auto"/>
            <w:shd w:val="clear" w:color="auto" w:fill="auto"/>
          </w:tcPr>
          <w:p w14:paraId="36CA5A22" w14:textId="77777777" w:rsidR="00787570" w:rsidRDefault="00787570">
            <w:pPr>
              <w:rPr>
                <w:rFonts w:ascii="宋体"/>
              </w:rPr>
            </w:pPr>
          </w:p>
        </w:tc>
        <w:tc>
          <w:tcPr>
            <w:tcW w:w="0" w:type="auto"/>
            <w:shd w:val="clear" w:color="auto" w:fill="auto"/>
          </w:tcPr>
          <w:p w14:paraId="36CA5A23" w14:textId="77777777" w:rsidR="00787570" w:rsidRDefault="00787570">
            <w:pPr>
              <w:rPr>
                <w:rFonts w:ascii="宋体"/>
              </w:rPr>
            </w:pPr>
          </w:p>
        </w:tc>
      </w:tr>
      <w:tr w:rsidR="00787570" w14:paraId="36CA5A44" w14:textId="77777777">
        <w:tc>
          <w:tcPr>
            <w:tcW w:w="0" w:type="auto"/>
            <w:gridSpan w:val="3"/>
            <w:shd w:val="clear" w:color="auto" w:fill="auto"/>
            <w:tcMar>
              <w:top w:w="40" w:type="dxa"/>
              <w:left w:w="20" w:type="dxa"/>
              <w:bottom w:w="40" w:type="dxa"/>
              <w:right w:w="20" w:type="dxa"/>
            </w:tcMar>
          </w:tcPr>
          <w:p w14:paraId="36CA5A25" w14:textId="77777777" w:rsidR="00787570" w:rsidRDefault="000D56E2">
            <w:pPr>
              <w:jc w:val="center"/>
              <w:textAlignment w:val="top"/>
            </w:pPr>
            <w:r>
              <w:rPr>
                <w:rFonts w:ascii="Arial" w:eastAsia="宋体" w:hAnsi="Arial" w:cs="Arial"/>
                <w:color w:val="333333"/>
                <w:sz w:val="18"/>
                <w:szCs w:val="18"/>
              </w:rPr>
              <w:t>104</w:t>
            </w:r>
          </w:p>
        </w:tc>
        <w:tc>
          <w:tcPr>
            <w:tcW w:w="0" w:type="auto"/>
            <w:gridSpan w:val="3"/>
            <w:shd w:val="clear" w:color="auto" w:fill="auto"/>
            <w:tcMar>
              <w:left w:w="20" w:type="dxa"/>
              <w:right w:w="20" w:type="dxa"/>
            </w:tcMar>
            <w:vAlign w:val="bottom"/>
          </w:tcPr>
          <w:p w14:paraId="36CA5A26" w14:textId="77777777" w:rsidR="00787570" w:rsidRDefault="00787570">
            <w:pPr>
              <w:rPr>
                <w:rFonts w:ascii="宋体"/>
              </w:rPr>
            </w:pPr>
          </w:p>
        </w:tc>
        <w:tc>
          <w:tcPr>
            <w:tcW w:w="0" w:type="auto"/>
            <w:gridSpan w:val="3"/>
            <w:shd w:val="clear" w:color="auto" w:fill="auto"/>
            <w:tcMar>
              <w:top w:w="40" w:type="dxa"/>
              <w:left w:w="20" w:type="dxa"/>
              <w:bottom w:w="40" w:type="dxa"/>
              <w:right w:w="20" w:type="dxa"/>
            </w:tcMar>
          </w:tcPr>
          <w:p w14:paraId="36CA5A27" w14:textId="77777777" w:rsidR="00787570" w:rsidRDefault="000D56E2">
            <w:pPr>
              <w:textAlignment w:val="top"/>
            </w:pPr>
            <w:r>
              <w:rPr>
                <w:rFonts w:ascii="Arial" w:eastAsia="宋体" w:hAnsi="Arial" w:cs="Arial"/>
                <w:color w:val="333333"/>
                <w:sz w:val="18"/>
                <w:szCs w:val="18"/>
              </w:rPr>
              <w:t>Cover Page Interactive Data File - formatted in Inline XBRL and included as Exhibit 101</w:t>
            </w:r>
          </w:p>
        </w:tc>
        <w:tc>
          <w:tcPr>
            <w:tcW w:w="0" w:type="auto"/>
            <w:gridSpan w:val="3"/>
            <w:shd w:val="clear" w:color="auto" w:fill="auto"/>
            <w:tcMar>
              <w:left w:w="20" w:type="dxa"/>
              <w:right w:w="20" w:type="dxa"/>
            </w:tcMar>
            <w:vAlign w:val="bottom"/>
          </w:tcPr>
          <w:p w14:paraId="36CA5A28"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5A29"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5A2A"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5A2B"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5A2C"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5A2D"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5A2E"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5A2F"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5A30" w14:textId="77777777" w:rsidR="00787570" w:rsidRDefault="00787570">
            <w:pPr>
              <w:rPr>
                <w:rFonts w:ascii="宋体"/>
              </w:rPr>
            </w:pPr>
          </w:p>
        </w:tc>
        <w:tc>
          <w:tcPr>
            <w:tcW w:w="0" w:type="auto"/>
            <w:gridSpan w:val="3"/>
            <w:shd w:val="clear" w:color="auto" w:fill="auto"/>
            <w:tcMar>
              <w:top w:w="40" w:type="dxa"/>
              <w:left w:w="20" w:type="dxa"/>
              <w:bottom w:w="40" w:type="dxa"/>
              <w:right w:w="20" w:type="dxa"/>
            </w:tcMar>
          </w:tcPr>
          <w:p w14:paraId="36CA5A31" w14:textId="77777777" w:rsidR="00787570" w:rsidRDefault="000D56E2">
            <w:pPr>
              <w:jc w:val="center"/>
              <w:textAlignment w:val="top"/>
            </w:pPr>
            <w:r>
              <w:rPr>
                <w:rFonts w:ascii="Arial" w:eastAsia="宋体" w:hAnsi="Arial" w:cs="Arial"/>
                <w:color w:val="333333"/>
                <w:sz w:val="18"/>
                <w:szCs w:val="18"/>
              </w:rPr>
              <w:t>X</w:t>
            </w:r>
          </w:p>
        </w:tc>
        <w:tc>
          <w:tcPr>
            <w:tcW w:w="0" w:type="auto"/>
            <w:shd w:val="clear" w:color="auto" w:fill="auto"/>
          </w:tcPr>
          <w:p w14:paraId="36CA5A32" w14:textId="77777777" w:rsidR="00787570" w:rsidRDefault="00787570">
            <w:pPr>
              <w:rPr>
                <w:rFonts w:ascii="宋体"/>
              </w:rPr>
            </w:pPr>
          </w:p>
        </w:tc>
        <w:tc>
          <w:tcPr>
            <w:tcW w:w="0" w:type="auto"/>
            <w:shd w:val="clear" w:color="auto" w:fill="auto"/>
          </w:tcPr>
          <w:p w14:paraId="36CA5A33" w14:textId="77777777" w:rsidR="00787570" w:rsidRDefault="00787570">
            <w:pPr>
              <w:rPr>
                <w:rFonts w:ascii="宋体"/>
              </w:rPr>
            </w:pPr>
          </w:p>
        </w:tc>
        <w:tc>
          <w:tcPr>
            <w:tcW w:w="0" w:type="auto"/>
            <w:shd w:val="clear" w:color="auto" w:fill="auto"/>
          </w:tcPr>
          <w:p w14:paraId="36CA5A34" w14:textId="77777777" w:rsidR="00787570" w:rsidRDefault="00787570">
            <w:pPr>
              <w:rPr>
                <w:rFonts w:ascii="宋体"/>
              </w:rPr>
            </w:pPr>
          </w:p>
        </w:tc>
        <w:tc>
          <w:tcPr>
            <w:tcW w:w="0" w:type="auto"/>
            <w:shd w:val="clear" w:color="auto" w:fill="auto"/>
          </w:tcPr>
          <w:p w14:paraId="36CA5A35" w14:textId="77777777" w:rsidR="00787570" w:rsidRDefault="00787570">
            <w:pPr>
              <w:rPr>
                <w:rFonts w:ascii="宋体"/>
              </w:rPr>
            </w:pPr>
          </w:p>
        </w:tc>
        <w:tc>
          <w:tcPr>
            <w:tcW w:w="0" w:type="auto"/>
            <w:shd w:val="clear" w:color="auto" w:fill="auto"/>
          </w:tcPr>
          <w:p w14:paraId="36CA5A36" w14:textId="77777777" w:rsidR="00787570" w:rsidRDefault="00787570">
            <w:pPr>
              <w:rPr>
                <w:rFonts w:ascii="宋体"/>
              </w:rPr>
            </w:pPr>
          </w:p>
        </w:tc>
        <w:tc>
          <w:tcPr>
            <w:tcW w:w="0" w:type="auto"/>
            <w:shd w:val="clear" w:color="auto" w:fill="auto"/>
          </w:tcPr>
          <w:p w14:paraId="36CA5A37" w14:textId="77777777" w:rsidR="00787570" w:rsidRDefault="00787570">
            <w:pPr>
              <w:rPr>
                <w:rFonts w:ascii="宋体"/>
              </w:rPr>
            </w:pPr>
          </w:p>
        </w:tc>
        <w:tc>
          <w:tcPr>
            <w:tcW w:w="0" w:type="auto"/>
            <w:shd w:val="clear" w:color="auto" w:fill="auto"/>
          </w:tcPr>
          <w:p w14:paraId="36CA5A38" w14:textId="77777777" w:rsidR="00787570" w:rsidRDefault="00787570">
            <w:pPr>
              <w:rPr>
                <w:rFonts w:ascii="宋体"/>
              </w:rPr>
            </w:pPr>
          </w:p>
        </w:tc>
        <w:tc>
          <w:tcPr>
            <w:tcW w:w="0" w:type="auto"/>
            <w:shd w:val="clear" w:color="auto" w:fill="auto"/>
          </w:tcPr>
          <w:p w14:paraId="36CA5A39" w14:textId="77777777" w:rsidR="00787570" w:rsidRDefault="00787570">
            <w:pPr>
              <w:rPr>
                <w:rFonts w:ascii="宋体"/>
              </w:rPr>
            </w:pPr>
          </w:p>
        </w:tc>
        <w:tc>
          <w:tcPr>
            <w:tcW w:w="0" w:type="auto"/>
            <w:shd w:val="clear" w:color="auto" w:fill="auto"/>
          </w:tcPr>
          <w:p w14:paraId="36CA5A3A" w14:textId="77777777" w:rsidR="00787570" w:rsidRDefault="00787570">
            <w:pPr>
              <w:rPr>
                <w:rFonts w:ascii="宋体"/>
              </w:rPr>
            </w:pPr>
          </w:p>
        </w:tc>
        <w:tc>
          <w:tcPr>
            <w:tcW w:w="0" w:type="auto"/>
            <w:shd w:val="clear" w:color="auto" w:fill="auto"/>
          </w:tcPr>
          <w:p w14:paraId="36CA5A3B" w14:textId="77777777" w:rsidR="00787570" w:rsidRDefault="00787570">
            <w:pPr>
              <w:rPr>
                <w:rFonts w:ascii="宋体"/>
              </w:rPr>
            </w:pPr>
          </w:p>
        </w:tc>
        <w:tc>
          <w:tcPr>
            <w:tcW w:w="0" w:type="auto"/>
            <w:shd w:val="clear" w:color="auto" w:fill="auto"/>
          </w:tcPr>
          <w:p w14:paraId="36CA5A3C" w14:textId="77777777" w:rsidR="00787570" w:rsidRDefault="00787570">
            <w:pPr>
              <w:rPr>
                <w:rFonts w:ascii="宋体"/>
              </w:rPr>
            </w:pPr>
          </w:p>
        </w:tc>
        <w:tc>
          <w:tcPr>
            <w:tcW w:w="0" w:type="auto"/>
            <w:shd w:val="clear" w:color="auto" w:fill="auto"/>
          </w:tcPr>
          <w:p w14:paraId="36CA5A3D" w14:textId="77777777" w:rsidR="00787570" w:rsidRDefault="00787570">
            <w:pPr>
              <w:rPr>
                <w:rFonts w:ascii="宋体"/>
              </w:rPr>
            </w:pPr>
          </w:p>
        </w:tc>
        <w:tc>
          <w:tcPr>
            <w:tcW w:w="0" w:type="auto"/>
            <w:shd w:val="clear" w:color="auto" w:fill="auto"/>
          </w:tcPr>
          <w:p w14:paraId="36CA5A3E" w14:textId="77777777" w:rsidR="00787570" w:rsidRDefault="00787570">
            <w:pPr>
              <w:rPr>
                <w:rFonts w:ascii="宋体"/>
              </w:rPr>
            </w:pPr>
          </w:p>
        </w:tc>
        <w:tc>
          <w:tcPr>
            <w:tcW w:w="0" w:type="auto"/>
            <w:shd w:val="clear" w:color="auto" w:fill="auto"/>
          </w:tcPr>
          <w:p w14:paraId="36CA5A3F" w14:textId="77777777" w:rsidR="00787570" w:rsidRDefault="00787570">
            <w:pPr>
              <w:rPr>
                <w:rFonts w:ascii="宋体"/>
              </w:rPr>
            </w:pPr>
          </w:p>
        </w:tc>
        <w:tc>
          <w:tcPr>
            <w:tcW w:w="0" w:type="auto"/>
            <w:shd w:val="clear" w:color="auto" w:fill="auto"/>
          </w:tcPr>
          <w:p w14:paraId="36CA5A40" w14:textId="77777777" w:rsidR="00787570" w:rsidRDefault="00787570">
            <w:pPr>
              <w:rPr>
                <w:rFonts w:ascii="宋体"/>
              </w:rPr>
            </w:pPr>
          </w:p>
        </w:tc>
        <w:tc>
          <w:tcPr>
            <w:tcW w:w="0" w:type="auto"/>
            <w:shd w:val="clear" w:color="auto" w:fill="auto"/>
          </w:tcPr>
          <w:p w14:paraId="36CA5A41" w14:textId="77777777" w:rsidR="00787570" w:rsidRDefault="00787570">
            <w:pPr>
              <w:rPr>
                <w:rFonts w:ascii="宋体"/>
              </w:rPr>
            </w:pPr>
          </w:p>
        </w:tc>
        <w:tc>
          <w:tcPr>
            <w:tcW w:w="0" w:type="auto"/>
            <w:shd w:val="clear" w:color="auto" w:fill="auto"/>
          </w:tcPr>
          <w:p w14:paraId="36CA5A42" w14:textId="77777777" w:rsidR="00787570" w:rsidRDefault="00787570">
            <w:pPr>
              <w:rPr>
                <w:rFonts w:ascii="宋体"/>
              </w:rPr>
            </w:pPr>
          </w:p>
        </w:tc>
        <w:tc>
          <w:tcPr>
            <w:tcW w:w="0" w:type="auto"/>
            <w:shd w:val="clear" w:color="auto" w:fill="auto"/>
          </w:tcPr>
          <w:p w14:paraId="36CA5A43" w14:textId="77777777" w:rsidR="00787570" w:rsidRDefault="00787570">
            <w:pPr>
              <w:rPr>
                <w:rFonts w:ascii="宋体"/>
              </w:rPr>
            </w:pPr>
          </w:p>
        </w:tc>
      </w:tr>
    </w:tbl>
    <w:p w14:paraId="36CA5A45" w14:textId="77777777" w:rsidR="00787570" w:rsidRDefault="000D56E2">
      <w:pPr>
        <w:spacing w:after="180"/>
      </w:pPr>
      <w:r>
        <w:rPr>
          <w:rFonts w:ascii="Arial" w:eastAsia="宋体" w:hAnsi="Arial" w:cs="Arial"/>
          <w:i/>
          <w:iCs/>
          <w:color w:val="333333"/>
          <w:sz w:val="11"/>
          <w:szCs w:val="11"/>
        </w:rPr>
        <w:t xml:space="preserve">† </w:t>
      </w:r>
      <w:r>
        <w:rPr>
          <w:rFonts w:ascii="Arial" w:eastAsia="宋体" w:hAnsi="Arial" w:cs="Arial"/>
          <w:i/>
          <w:iCs/>
          <w:color w:val="333333"/>
          <w:sz w:val="18"/>
          <w:szCs w:val="18"/>
        </w:rPr>
        <w:t>Management contracts or compensation plans or arrangements in which directors or executive officers are eligible to participate.</w:t>
      </w:r>
    </w:p>
    <w:tbl>
      <w:tblPr>
        <w:tblW w:w="5000" w:type="pct"/>
        <w:tblCellMar>
          <w:top w:w="15" w:type="dxa"/>
          <w:left w:w="15" w:type="dxa"/>
          <w:bottom w:w="15" w:type="dxa"/>
          <w:right w:w="15" w:type="dxa"/>
        </w:tblCellMar>
        <w:tblLook w:val="04A0" w:firstRow="1" w:lastRow="0" w:firstColumn="1" w:lastColumn="0" w:noHBand="0" w:noVBand="1"/>
      </w:tblPr>
      <w:tblGrid>
        <w:gridCol w:w="95"/>
        <w:gridCol w:w="416"/>
        <w:gridCol w:w="36"/>
        <w:gridCol w:w="47"/>
        <w:gridCol w:w="4254"/>
        <w:gridCol w:w="36"/>
        <w:gridCol w:w="47"/>
        <w:gridCol w:w="3369"/>
        <w:gridCol w:w="36"/>
      </w:tblGrid>
      <w:tr w:rsidR="00787570" w14:paraId="36CA5A4F" w14:textId="77777777">
        <w:tc>
          <w:tcPr>
            <w:tcW w:w="50" w:type="pct"/>
            <w:shd w:val="clear" w:color="auto" w:fill="auto"/>
            <w:vAlign w:val="bottom"/>
          </w:tcPr>
          <w:p w14:paraId="36CA5A46" w14:textId="77777777" w:rsidR="00787570" w:rsidRDefault="00787570">
            <w:pPr>
              <w:rPr>
                <w:rFonts w:ascii="宋体"/>
              </w:rPr>
            </w:pPr>
          </w:p>
        </w:tc>
        <w:tc>
          <w:tcPr>
            <w:tcW w:w="220" w:type="pct"/>
            <w:shd w:val="clear" w:color="auto" w:fill="auto"/>
            <w:vAlign w:val="bottom"/>
          </w:tcPr>
          <w:p w14:paraId="36CA5A47" w14:textId="77777777" w:rsidR="00787570" w:rsidRDefault="00787570">
            <w:pPr>
              <w:rPr>
                <w:rFonts w:ascii="宋体"/>
              </w:rPr>
            </w:pPr>
          </w:p>
        </w:tc>
        <w:tc>
          <w:tcPr>
            <w:tcW w:w="5" w:type="pct"/>
            <w:shd w:val="clear" w:color="auto" w:fill="auto"/>
            <w:vAlign w:val="bottom"/>
          </w:tcPr>
          <w:p w14:paraId="36CA5A48" w14:textId="77777777" w:rsidR="00787570" w:rsidRDefault="00787570">
            <w:pPr>
              <w:rPr>
                <w:rFonts w:ascii="宋体"/>
              </w:rPr>
            </w:pPr>
          </w:p>
        </w:tc>
        <w:tc>
          <w:tcPr>
            <w:tcW w:w="50" w:type="pct"/>
            <w:shd w:val="clear" w:color="auto" w:fill="auto"/>
            <w:vAlign w:val="bottom"/>
          </w:tcPr>
          <w:p w14:paraId="36CA5A49" w14:textId="77777777" w:rsidR="00787570" w:rsidRDefault="00787570">
            <w:pPr>
              <w:rPr>
                <w:rFonts w:ascii="宋体"/>
              </w:rPr>
            </w:pPr>
          </w:p>
        </w:tc>
        <w:tc>
          <w:tcPr>
            <w:tcW w:w="2572" w:type="pct"/>
            <w:shd w:val="clear" w:color="auto" w:fill="auto"/>
            <w:vAlign w:val="bottom"/>
          </w:tcPr>
          <w:p w14:paraId="36CA5A4A" w14:textId="77777777" w:rsidR="00787570" w:rsidRDefault="00787570">
            <w:pPr>
              <w:rPr>
                <w:rFonts w:ascii="宋体"/>
              </w:rPr>
            </w:pPr>
          </w:p>
        </w:tc>
        <w:tc>
          <w:tcPr>
            <w:tcW w:w="5" w:type="pct"/>
            <w:shd w:val="clear" w:color="auto" w:fill="auto"/>
            <w:vAlign w:val="bottom"/>
          </w:tcPr>
          <w:p w14:paraId="36CA5A4B" w14:textId="77777777" w:rsidR="00787570" w:rsidRDefault="00787570">
            <w:pPr>
              <w:rPr>
                <w:rFonts w:ascii="宋体"/>
              </w:rPr>
            </w:pPr>
          </w:p>
        </w:tc>
        <w:tc>
          <w:tcPr>
            <w:tcW w:w="50" w:type="pct"/>
            <w:shd w:val="clear" w:color="auto" w:fill="auto"/>
            <w:vAlign w:val="bottom"/>
          </w:tcPr>
          <w:p w14:paraId="36CA5A4C" w14:textId="77777777" w:rsidR="00787570" w:rsidRDefault="00787570">
            <w:pPr>
              <w:rPr>
                <w:rFonts w:ascii="宋体"/>
              </w:rPr>
            </w:pPr>
          </w:p>
        </w:tc>
        <w:tc>
          <w:tcPr>
            <w:tcW w:w="2042" w:type="pct"/>
            <w:shd w:val="clear" w:color="auto" w:fill="auto"/>
            <w:vAlign w:val="bottom"/>
          </w:tcPr>
          <w:p w14:paraId="36CA5A4D" w14:textId="77777777" w:rsidR="00787570" w:rsidRDefault="00787570">
            <w:pPr>
              <w:rPr>
                <w:rFonts w:ascii="宋体"/>
              </w:rPr>
            </w:pPr>
          </w:p>
        </w:tc>
        <w:tc>
          <w:tcPr>
            <w:tcW w:w="5" w:type="pct"/>
            <w:shd w:val="clear" w:color="auto" w:fill="auto"/>
            <w:vAlign w:val="bottom"/>
          </w:tcPr>
          <w:p w14:paraId="36CA5A4E" w14:textId="77777777" w:rsidR="00787570" w:rsidRDefault="00787570">
            <w:pPr>
              <w:rPr>
                <w:rFonts w:ascii="宋体"/>
              </w:rPr>
            </w:pPr>
          </w:p>
        </w:tc>
      </w:tr>
      <w:tr w:rsidR="00787570" w14:paraId="36CA5A53" w14:textId="77777777">
        <w:tc>
          <w:tcPr>
            <w:tcW w:w="0" w:type="auto"/>
            <w:gridSpan w:val="3"/>
            <w:tcBorders>
              <w:top w:val="single" w:sz="8" w:space="0" w:color="0071C5"/>
            </w:tcBorders>
            <w:shd w:val="clear" w:color="auto" w:fill="auto"/>
            <w:tcMar>
              <w:left w:w="20" w:type="dxa"/>
              <w:right w:w="20" w:type="dxa"/>
            </w:tcMar>
            <w:vAlign w:val="center"/>
          </w:tcPr>
          <w:p w14:paraId="36CA5A50" w14:textId="77777777" w:rsidR="00787570" w:rsidRDefault="000D56E2">
            <w:pPr>
              <w:textAlignment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Viewer9_files/intc-20200926_g2.jpg"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36CA5C99" wp14:editId="36CA5C9A">
                  <wp:extent cx="304800" cy="304800"/>
                  <wp:effectExtent l="0" t="0" r="0" b="0"/>
                  <wp:docPr id="78" name="图片 152" descr="IMG_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152" descr="IMG_329"/>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8" w:space="0" w:color="0071C5"/>
            </w:tcBorders>
            <w:shd w:val="clear" w:color="auto" w:fill="auto"/>
            <w:tcMar>
              <w:top w:w="40" w:type="dxa"/>
              <w:left w:w="20" w:type="dxa"/>
              <w:bottom w:w="40" w:type="dxa"/>
              <w:right w:w="20" w:type="dxa"/>
            </w:tcMar>
            <w:vAlign w:val="center"/>
          </w:tcPr>
          <w:p w14:paraId="36CA5A51" w14:textId="77777777" w:rsidR="00787570" w:rsidRDefault="000D56E2">
            <w:pPr>
              <w:textAlignment w:val="center"/>
            </w:pPr>
            <w:r>
              <w:rPr>
                <w:rFonts w:ascii="Arial" w:eastAsia="宋体" w:hAnsi="Arial" w:cs="Arial"/>
                <w:color w:val="333333"/>
                <w:sz w:val="16"/>
                <w:szCs w:val="16"/>
              </w:rPr>
              <w:t>OTHER KEY INFORMATION</w:t>
            </w:r>
          </w:p>
        </w:tc>
        <w:tc>
          <w:tcPr>
            <w:tcW w:w="0" w:type="auto"/>
            <w:gridSpan w:val="3"/>
            <w:tcBorders>
              <w:top w:val="single" w:sz="8" w:space="0" w:color="0071C5"/>
            </w:tcBorders>
            <w:shd w:val="clear" w:color="auto" w:fill="auto"/>
            <w:tcMar>
              <w:top w:w="40" w:type="dxa"/>
              <w:left w:w="20" w:type="dxa"/>
              <w:bottom w:w="40" w:type="dxa"/>
              <w:right w:w="20" w:type="dxa"/>
            </w:tcMar>
            <w:vAlign w:val="center"/>
          </w:tcPr>
          <w:p w14:paraId="36CA5A52" w14:textId="77777777" w:rsidR="00787570" w:rsidRDefault="000D56E2">
            <w:pPr>
              <w:jc w:val="right"/>
              <w:textAlignment w:val="center"/>
            </w:pPr>
            <w:r>
              <w:rPr>
                <w:rFonts w:ascii="Arial" w:eastAsia="宋体" w:hAnsi="Arial" w:cs="Arial"/>
                <w:color w:val="333333"/>
                <w:sz w:val="16"/>
                <w:szCs w:val="16"/>
              </w:rPr>
              <w:t>46</w:t>
            </w:r>
          </w:p>
        </w:tc>
      </w:tr>
    </w:tbl>
    <w:p w14:paraId="36CA5A54" w14:textId="77777777" w:rsidR="00787570" w:rsidRDefault="000D56E2">
      <w:r>
        <w:pict w14:anchorId="36CA5C9B">
          <v:rect id="_x0000_i1072" style="width:415.3pt;height:1.5pt" o:hralign="center" o:hrstd="t" o:hr="t" fillcolor="#a0a0a0" stroked="f"/>
        </w:pict>
      </w:r>
    </w:p>
    <w:p w14:paraId="36CA5A55" w14:textId="77777777" w:rsidR="00787570" w:rsidRDefault="000D56E2">
      <w:pPr>
        <w:spacing w:after="180"/>
        <w:jc w:val="right"/>
      </w:pPr>
      <w:hyperlink r:id="rId80" w:anchor="i32771df14e9449d2bec5be911426bf04_7" w:history="1">
        <w:r>
          <w:rPr>
            <w:rStyle w:val="a5"/>
            <w:rFonts w:ascii="Arial" w:eastAsia="宋体" w:hAnsi="Arial" w:cs="Arial"/>
            <w:b/>
            <w:bCs/>
            <w:sz w:val="16"/>
            <w:szCs w:val="16"/>
          </w:rPr>
          <w:t>Table of Contents</w:t>
        </w:r>
      </w:hyperlink>
    </w:p>
    <w:p w14:paraId="36CA5A56" w14:textId="77777777" w:rsidR="00787570" w:rsidRDefault="00787570">
      <w:pPr>
        <w:spacing w:after="180"/>
        <w:jc w:val="right"/>
      </w:pPr>
    </w:p>
    <w:p w14:paraId="36CA5A57" w14:textId="77777777" w:rsidR="00787570" w:rsidRDefault="000D56E2">
      <w:pPr>
        <w:spacing w:after="180"/>
      </w:pPr>
      <w:r>
        <w:rPr>
          <w:rFonts w:ascii="Arial" w:eastAsia="宋体" w:hAnsi="Arial" w:cs="Arial"/>
          <w:b/>
          <w:bCs/>
          <w:color w:val="0071C5"/>
          <w:sz w:val="28"/>
          <w:szCs w:val="28"/>
        </w:rPr>
        <w:t>FORM 10-Q CROSS-REFERENCE INDEX</w:t>
      </w:r>
    </w:p>
    <w:tbl>
      <w:tblPr>
        <w:tblW w:w="5000" w:type="pct"/>
        <w:tblCellMar>
          <w:top w:w="15" w:type="dxa"/>
          <w:left w:w="15" w:type="dxa"/>
          <w:bottom w:w="15" w:type="dxa"/>
          <w:right w:w="15" w:type="dxa"/>
        </w:tblCellMar>
        <w:tblLook w:val="04A0" w:firstRow="1" w:lastRow="0" w:firstColumn="1" w:lastColumn="0" w:noHBand="0" w:noVBand="1"/>
      </w:tblPr>
      <w:tblGrid>
        <w:gridCol w:w="77"/>
        <w:gridCol w:w="930"/>
        <w:gridCol w:w="37"/>
        <w:gridCol w:w="67"/>
        <w:gridCol w:w="4797"/>
        <w:gridCol w:w="38"/>
        <w:gridCol w:w="68"/>
        <w:gridCol w:w="2177"/>
        <w:gridCol w:w="37"/>
        <w:gridCol w:w="36"/>
        <w:gridCol w:w="36"/>
        <w:gridCol w:w="36"/>
      </w:tblGrid>
      <w:tr w:rsidR="00787570" w14:paraId="36CA5A61" w14:textId="77777777">
        <w:trPr>
          <w:gridAfter w:val="3"/>
        </w:trPr>
        <w:tc>
          <w:tcPr>
            <w:tcW w:w="50" w:type="pct"/>
            <w:shd w:val="clear" w:color="auto" w:fill="auto"/>
          </w:tcPr>
          <w:p w14:paraId="36CA5A58" w14:textId="77777777" w:rsidR="00787570" w:rsidRDefault="00787570">
            <w:pPr>
              <w:rPr>
                <w:rFonts w:ascii="宋体"/>
              </w:rPr>
            </w:pPr>
          </w:p>
        </w:tc>
        <w:tc>
          <w:tcPr>
            <w:tcW w:w="580" w:type="pct"/>
            <w:shd w:val="clear" w:color="auto" w:fill="auto"/>
          </w:tcPr>
          <w:p w14:paraId="36CA5A59" w14:textId="77777777" w:rsidR="00787570" w:rsidRDefault="00787570">
            <w:pPr>
              <w:rPr>
                <w:rFonts w:ascii="宋体"/>
              </w:rPr>
            </w:pPr>
          </w:p>
        </w:tc>
        <w:tc>
          <w:tcPr>
            <w:tcW w:w="5" w:type="pct"/>
            <w:shd w:val="clear" w:color="auto" w:fill="auto"/>
          </w:tcPr>
          <w:p w14:paraId="36CA5A5A" w14:textId="77777777" w:rsidR="00787570" w:rsidRDefault="00787570">
            <w:pPr>
              <w:rPr>
                <w:rFonts w:ascii="宋体"/>
              </w:rPr>
            </w:pPr>
          </w:p>
        </w:tc>
        <w:tc>
          <w:tcPr>
            <w:tcW w:w="50" w:type="pct"/>
            <w:shd w:val="clear" w:color="auto" w:fill="auto"/>
          </w:tcPr>
          <w:p w14:paraId="36CA5A5B" w14:textId="77777777" w:rsidR="00787570" w:rsidRDefault="00787570">
            <w:pPr>
              <w:rPr>
                <w:rFonts w:ascii="宋体"/>
              </w:rPr>
            </w:pPr>
          </w:p>
        </w:tc>
        <w:tc>
          <w:tcPr>
            <w:tcW w:w="2923" w:type="pct"/>
            <w:shd w:val="clear" w:color="auto" w:fill="auto"/>
          </w:tcPr>
          <w:p w14:paraId="36CA5A5C" w14:textId="77777777" w:rsidR="00787570" w:rsidRDefault="00787570">
            <w:pPr>
              <w:rPr>
                <w:rFonts w:ascii="宋体"/>
              </w:rPr>
            </w:pPr>
          </w:p>
        </w:tc>
        <w:tc>
          <w:tcPr>
            <w:tcW w:w="5" w:type="pct"/>
            <w:shd w:val="clear" w:color="auto" w:fill="auto"/>
          </w:tcPr>
          <w:p w14:paraId="36CA5A5D" w14:textId="77777777" w:rsidR="00787570" w:rsidRDefault="00787570">
            <w:pPr>
              <w:rPr>
                <w:rFonts w:ascii="宋体"/>
              </w:rPr>
            </w:pPr>
          </w:p>
        </w:tc>
        <w:tc>
          <w:tcPr>
            <w:tcW w:w="50" w:type="pct"/>
            <w:shd w:val="clear" w:color="auto" w:fill="auto"/>
          </w:tcPr>
          <w:p w14:paraId="36CA5A5E" w14:textId="77777777" w:rsidR="00787570" w:rsidRDefault="00787570">
            <w:pPr>
              <w:rPr>
                <w:rFonts w:ascii="宋体"/>
              </w:rPr>
            </w:pPr>
          </w:p>
        </w:tc>
        <w:tc>
          <w:tcPr>
            <w:tcW w:w="1331" w:type="pct"/>
            <w:shd w:val="clear" w:color="auto" w:fill="auto"/>
          </w:tcPr>
          <w:p w14:paraId="36CA5A5F" w14:textId="77777777" w:rsidR="00787570" w:rsidRDefault="00787570">
            <w:pPr>
              <w:rPr>
                <w:rFonts w:ascii="宋体"/>
              </w:rPr>
            </w:pPr>
          </w:p>
        </w:tc>
        <w:tc>
          <w:tcPr>
            <w:tcW w:w="5" w:type="pct"/>
            <w:shd w:val="clear" w:color="auto" w:fill="auto"/>
          </w:tcPr>
          <w:p w14:paraId="36CA5A60" w14:textId="77777777" w:rsidR="00787570" w:rsidRDefault="00787570">
            <w:pPr>
              <w:rPr>
                <w:rFonts w:ascii="宋体"/>
              </w:rPr>
            </w:pPr>
          </w:p>
        </w:tc>
      </w:tr>
      <w:tr w:rsidR="00787570" w14:paraId="36CA5A65" w14:textId="77777777">
        <w:trPr>
          <w:gridAfter w:val="3"/>
        </w:trPr>
        <w:tc>
          <w:tcPr>
            <w:tcW w:w="0" w:type="auto"/>
            <w:gridSpan w:val="3"/>
            <w:shd w:val="clear" w:color="auto" w:fill="auto"/>
            <w:tcMar>
              <w:top w:w="40" w:type="dxa"/>
              <w:left w:w="20" w:type="dxa"/>
              <w:bottom w:w="40" w:type="dxa"/>
              <w:right w:w="20" w:type="dxa"/>
            </w:tcMar>
            <w:vAlign w:val="bottom"/>
          </w:tcPr>
          <w:p w14:paraId="36CA5A62" w14:textId="77777777" w:rsidR="00787570" w:rsidRDefault="000D56E2">
            <w:pPr>
              <w:textAlignment w:val="bottom"/>
            </w:pPr>
            <w:r>
              <w:rPr>
                <w:rFonts w:ascii="Arial" w:eastAsia="宋体" w:hAnsi="Arial" w:cs="Arial"/>
                <w:b/>
                <w:bCs/>
                <w:color w:val="333333"/>
                <w:sz w:val="18"/>
                <w:szCs w:val="18"/>
              </w:rPr>
              <w:t>Item Number</w:t>
            </w:r>
          </w:p>
        </w:tc>
        <w:tc>
          <w:tcPr>
            <w:tcW w:w="0" w:type="auto"/>
            <w:gridSpan w:val="3"/>
            <w:tcBorders>
              <w:bottom w:val="single" w:sz="8" w:space="0" w:color="0071C5"/>
            </w:tcBorders>
            <w:shd w:val="clear" w:color="auto" w:fill="auto"/>
            <w:tcMar>
              <w:top w:w="40" w:type="dxa"/>
              <w:left w:w="20" w:type="dxa"/>
              <w:bottom w:w="40" w:type="dxa"/>
              <w:right w:w="20" w:type="dxa"/>
            </w:tcMar>
            <w:vAlign w:val="bottom"/>
          </w:tcPr>
          <w:p w14:paraId="36CA5A63" w14:textId="77777777" w:rsidR="00787570" w:rsidRDefault="000D56E2">
            <w:pPr>
              <w:textAlignment w:val="bottom"/>
            </w:pPr>
            <w:r>
              <w:rPr>
                <w:rFonts w:ascii="Arial" w:eastAsia="宋体" w:hAnsi="Arial" w:cs="Arial"/>
                <w:b/>
                <w:bCs/>
                <w:color w:val="333333"/>
                <w:sz w:val="18"/>
                <w:szCs w:val="18"/>
              </w:rPr>
              <w:t>Item</w:t>
            </w:r>
          </w:p>
        </w:tc>
        <w:tc>
          <w:tcPr>
            <w:tcW w:w="0" w:type="auto"/>
            <w:gridSpan w:val="3"/>
            <w:shd w:val="clear" w:color="auto" w:fill="auto"/>
            <w:tcMar>
              <w:top w:w="40" w:type="dxa"/>
              <w:left w:w="20" w:type="dxa"/>
              <w:bottom w:w="40" w:type="dxa"/>
              <w:right w:w="20" w:type="dxa"/>
            </w:tcMar>
            <w:vAlign w:val="center"/>
          </w:tcPr>
          <w:p w14:paraId="36CA5A64" w14:textId="77777777" w:rsidR="00787570" w:rsidRDefault="000D56E2">
            <w:pPr>
              <w:jc w:val="center"/>
              <w:textAlignment w:val="center"/>
            </w:pPr>
            <w:r>
              <w:rPr>
                <w:rFonts w:ascii="Arial" w:eastAsia="宋体" w:hAnsi="Arial" w:cs="Arial"/>
                <w:b/>
                <w:bCs/>
                <w:color w:val="333333"/>
                <w:sz w:val="18"/>
                <w:szCs w:val="18"/>
              </w:rPr>
              <w:t> </w:t>
            </w:r>
          </w:p>
        </w:tc>
      </w:tr>
      <w:tr w:rsidR="00787570" w14:paraId="36CA5A69" w14:textId="77777777">
        <w:tc>
          <w:tcPr>
            <w:tcW w:w="0" w:type="auto"/>
            <w:gridSpan w:val="6"/>
            <w:tcBorders>
              <w:top w:val="single" w:sz="8" w:space="0" w:color="0071C5"/>
            </w:tcBorders>
            <w:shd w:val="clear" w:color="auto" w:fill="auto"/>
            <w:tcMar>
              <w:top w:w="40" w:type="dxa"/>
              <w:left w:w="20" w:type="dxa"/>
              <w:bottom w:w="40" w:type="dxa"/>
              <w:right w:w="20" w:type="dxa"/>
            </w:tcMar>
            <w:vAlign w:val="bottom"/>
          </w:tcPr>
          <w:p w14:paraId="36CA5A66" w14:textId="77777777" w:rsidR="00787570" w:rsidRDefault="000D56E2">
            <w:pPr>
              <w:textAlignment w:val="bottom"/>
            </w:pPr>
            <w:r>
              <w:rPr>
                <w:rFonts w:ascii="Arial" w:eastAsia="宋体" w:hAnsi="Arial" w:cs="Arial"/>
                <w:b/>
                <w:bCs/>
                <w:color w:val="026DCE"/>
                <w:sz w:val="18"/>
                <w:szCs w:val="18"/>
              </w:rPr>
              <w:t xml:space="preserve">Part I - </w:t>
            </w:r>
            <w:r>
              <w:rPr>
                <w:rFonts w:ascii="Arial" w:eastAsia="宋体" w:hAnsi="Arial" w:cs="Arial"/>
                <w:b/>
                <w:bCs/>
                <w:color w:val="026DCE"/>
                <w:sz w:val="18"/>
                <w:szCs w:val="18"/>
              </w:rPr>
              <w:t>Financial Information</w:t>
            </w:r>
          </w:p>
        </w:tc>
        <w:tc>
          <w:tcPr>
            <w:tcW w:w="0" w:type="auto"/>
            <w:gridSpan w:val="3"/>
            <w:shd w:val="clear" w:color="auto" w:fill="auto"/>
          </w:tcPr>
          <w:p w14:paraId="36CA5A67" w14:textId="77777777" w:rsidR="00787570" w:rsidRDefault="00787570">
            <w:pPr>
              <w:rPr>
                <w:rFonts w:ascii="宋体"/>
                <w:vanish/>
              </w:rPr>
            </w:pPr>
          </w:p>
        </w:tc>
        <w:tc>
          <w:tcPr>
            <w:tcW w:w="0" w:type="auto"/>
            <w:gridSpan w:val="3"/>
            <w:tcBorders>
              <w:top w:val="single" w:sz="8" w:space="0" w:color="0071C5"/>
            </w:tcBorders>
            <w:shd w:val="clear" w:color="auto" w:fill="auto"/>
            <w:tcMar>
              <w:left w:w="20" w:type="dxa"/>
              <w:right w:w="20" w:type="dxa"/>
            </w:tcMar>
            <w:vAlign w:val="bottom"/>
          </w:tcPr>
          <w:p w14:paraId="36CA5A68" w14:textId="77777777" w:rsidR="00787570" w:rsidRDefault="00787570">
            <w:pPr>
              <w:rPr>
                <w:rFonts w:ascii="宋体"/>
              </w:rPr>
            </w:pPr>
          </w:p>
        </w:tc>
      </w:tr>
      <w:tr w:rsidR="00787570" w14:paraId="36CA5A70" w14:textId="77777777">
        <w:tc>
          <w:tcPr>
            <w:tcW w:w="0" w:type="auto"/>
            <w:gridSpan w:val="3"/>
            <w:shd w:val="clear" w:color="auto" w:fill="auto"/>
            <w:tcMar>
              <w:top w:w="40" w:type="dxa"/>
              <w:left w:w="20" w:type="dxa"/>
              <w:bottom w:w="40" w:type="dxa"/>
              <w:right w:w="20" w:type="dxa"/>
            </w:tcMar>
            <w:vAlign w:val="bottom"/>
          </w:tcPr>
          <w:p w14:paraId="36CA5A6A" w14:textId="77777777" w:rsidR="00787570" w:rsidRDefault="000D56E2">
            <w:pPr>
              <w:textAlignment w:val="bottom"/>
            </w:pPr>
            <w:r>
              <w:rPr>
                <w:rFonts w:ascii="Arial" w:eastAsia="宋体" w:hAnsi="Arial" w:cs="Arial"/>
                <w:b/>
                <w:bCs/>
                <w:color w:val="333333"/>
                <w:sz w:val="18"/>
                <w:szCs w:val="18"/>
              </w:rPr>
              <w:t>Item 1.</w:t>
            </w:r>
          </w:p>
        </w:tc>
        <w:tc>
          <w:tcPr>
            <w:tcW w:w="0" w:type="auto"/>
            <w:gridSpan w:val="3"/>
            <w:shd w:val="clear" w:color="auto" w:fill="auto"/>
            <w:tcMar>
              <w:top w:w="40" w:type="dxa"/>
              <w:left w:w="20" w:type="dxa"/>
              <w:bottom w:w="40" w:type="dxa"/>
              <w:right w:w="20" w:type="dxa"/>
            </w:tcMar>
            <w:vAlign w:val="bottom"/>
          </w:tcPr>
          <w:p w14:paraId="36CA5A6B" w14:textId="77777777" w:rsidR="00787570" w:rsidRDefault="000D56E2">
            <w:pPr>
              <w:textAlignment w:val="bottom"/>
            </w:pPr>
            <w:r>
              <w:rPr>
                <w:rFonts w:ascii="Arial" w:eastAsia="宋体" w:hAnsi="Arial" w:cs="Arial"/>
                <w:b/>
                <w:bCs/>
                <w:color w:val="333333"/>
                <w:sz w:val="18"/>
                <w:szCs w:val="18"/>
              </w:rPr>
              <w:t>Financial Statements</w:t>
            </w:r>
          </w:p>
        </w:tc>
        <w:tc>
          <w:tcPr>
            <w:tcW w:w="0" w:type="auto"/>
            <w:gridSpan w:val="3"/>
            <w:shd w:val="clear" w:color="auto" w:fill="auto"/>
            <w:tcMar>
              <w:top w:w="40" w:type="dxa"/>
              <w:left w:w="20" w:type="dxa"/>
              <w:bottom w:w="40" w:type="dxa"/>
              <w:right w:w="20" w:type="dxa"/>
            </w:tcMar>
            <w:vAlign w:val="center"/>
          </w:tcPr>
          <w:p w14:paraId="36CA5A6C" w14:textId="77777777" w:rsidR="00787570" w:rsidRDefault="000D56E2">
            <w:pPr>
              <w:jc w:val="center"/>
              <w:textAlignment w:val="center"/>
            </w:pPr>
            <w:r>
              <w:rPr>
                <w:rFonts w:ascii="Arial" w:eastAsia="宋体" w:hAnsi="Arial" w:cs="Arial"/>
                <w:color w:val="333333"/>
                <w:sz w:val="18"/>
                <w:szCs w:val="18"/>
              </w:rPr>
              <w:t xml:space="preserve">Pages </w:t>
            </w:r>
            <w:hyperlink r:id="rId81" w:anchor="i32771df14e9449d2bec5be911426bf04_25" w:history="1">
              <w:r>
                <w:rPr>
                  <w:rStyle w:val="a5"/>
                  <w:rFonts w:ascii="Arial" w:eastAsia="宋体" w:hAnsi="Arial" w:cs="Arial"/>
                  <w:sz w:val="18"/>
                  <w:szCs w:val="18"/>
                </w:rPr>
                <w:t>5</w:t>
              </w:r>
            </w:hyperlink>
            <w:r>
              <w:rPr>
                <w:rFonts w:ascii="Arial" w:eastAsia="宋体" w:hAnsi="Arial" w:cs="Arial"/>
                <w:color w:val="333333"/>
                <w:sz w:val="18"/>
                <w:szCs w:val="18"/>
              </w:rPr>
              <w:t xml:space="preserve"> - </w:t>
            </w:r>
            <w:hyperlink r:id="rId82" w:anchor="i32771df14e9449d2bec5be911426bf04_154" w:history="1">
              <w:r>
                <w:rPr>
                  <w:rStyle w:val="a5"/>
                  <w:rFonts w:ascii="Arial" w:eastAsia="宋体" w:hAnsi="Arial" w:cs="Arial"/>
                  <w:sz w:val="18"/>
                  <w:szCs w:val="18"/>
                </w:rPr>
                <w:t>27</w:t>
              </w:r>
            </w:hyperlink>
          </w:p>
        </w:tc>
        <w:tc>
          <w:tcPr>
            <w:tcW w:w="0" w:type="auto"/>
            <w:shd w:val="clear" w:color="auto" w:fill="auto"/>
          </w:tcPr>
          <w:p w14:paraId="36CA5A6D" w14:textId="77777777" w:rsidR="00787570" w:rsidRDefault="00787570">
            <w:pPr>
              <w:rPr>
                <w:rFonts w:ascii="宋体"/>
              </w:rPr>
            </w:pPr>
          </w:p>
        </w:tc>
        <w:tc>
          <w:tcPr>
            <w:tcW w:w="0" w:type="auto"/>
            <w:shd w:val="clear" w:color="auto" w:fill="auto"/>
          </w:tcPr>
          <w:p w14:paraId="36CA5A6E" w14:textId="77777777" w:rsidR="00787570" w:rsidRDefault="00787570">
            <w:pPr>
              <w:rPr>
                <w:rFonts w:ascii="宋体"/>
              </w:rPr>
            </w:pPr>
          </w:p>
        </w:tc>
        <w:tc>
          <w:tcPr>
            <w:tcW w:w="0" w:type="auto"/>
            <w:shd w:val="clear" w:color="auto" w:fill="auto"/>
          </w:tcPr>
          <w:p w14:paraId="36CA5A6F" w14:textId="77777777" w:rsidR="00787570" w:rsidRDefault="00787570">
            <w:pPr>
              <w:rPr>
                <w:rFonts w:ascii="宋体"/>
              </w:rPr>
            </w:pPr>
          </w:p>
        </w:tc>
      </w:tr>
      <w:tr w:rsidR="00787570" w14:paraId="36CA5A77" w14:textId="77777777">
        <w:tc>
          <w:tcPr>
            <w:tcW w:w="0" w:type="auto"/>
            <w:gridSpan w:val="3"/>
            <w:shd w:val="clear" w:color="auto" w:fill="auto"/>
            <w:tcMar>
              <w:top w:w="40" w:type="dxa"/>
              <w:left w:w="20" w:type="dxa"/>
              <w:bottom w:w="40" w:type="dxa"/>
              <w:right w:w="20" w:type="dxa"/>
            </w:tcMar>
            <w:vAlign w:val="center"/>
          </w:tcPr>
          <w:p w14:paraId="36CA5A71" w14:textId="77777777" w:rsidR="00787570" w:rsidRDefault="000D56E2">
            <w:pPr>
              <w:textAlignment w:val="center"/>
            </w:pPr>
            <w:r>
              <w:rPr>
                <w:rFonts w:ascii="Arial" w:eastAsia="宋体" w:hAnsi="Arial" w:cs="Arial"/>
                <w:b/>
                <w:bCs/>
                <w:color w:val="333333"/>
                <w:sz w:val="18"/>
                <w:szCs w:val="18"/>
              </w:rPr>
              <w:t>Item 2.</w:t>
            </w:r>
          </w:p>
        </w:tc>
        <w:tc>
          <w:tcPr>
            <w:tcW w:w="0" w:type="auto"/>
            <w:gridSpan w:val="3"/>
            <w:shd w:val="clear" w:color="auto" w:fill="auto"/>
            <w:tcMar>
              <w:top w:w="40" w:type="dxa"/>
              <w:left w:w="20" w:type="dxa"/>
              <w:bottom w:w="40" w:type="dxa"/>
              <w:right w:w="20" w:type="dxa"/>
            </w:tcMar>
            <w:vAlign w:val="bottom"/>
          </w:tcPr>
          <w:p w14:paraId="36CA5A72" w14:textId="77777777" w:rsidR="00787570" w:rsidRDefault="000D56E2">
            <w:pPr>
              <w:textAlignment w:val="bottom"/>
            </w:pPr>
            <w:r>
              <w:rPr>
                <w:rFonts w:ascii="Arial" w:eastAsia="宋体" w:hAnsi="Arial" w:cs="Arial"/>
                <w:b/>
                <w:bCs/>
                <w:color w:val="333333"/>
                <w:sz w:val="18"/>
                <w:szCs w:val="18"/>
              </w:rPr>
              <w:t>Management's Discussion and Analysis of Financial Condition and Results of Operations:</w:t>
            </w:r>
          </w:p>
        </w:tc>
        <w:tc>
          <w:tcPr>
            <w:tcW w:w="0" w:type="auto"/>
            <w:gridSpan w:val="3"/>
            <w:shd w:val="clear" w:color="auto" w:fill="auto"/>
            <w:tcMar>
              <w:left w:w="20" w:type="dxa"/>
              <w:right w:w="20" w:type="dxa"/>
            </w:tcMar>
            <w:vAlign w:val="bottom"/>
          </w:tcPr>
          <w:p w14:paraId="36CA5A73" w14:textId="77777777" w:rsidR="00787570" w:rsidRDefault="00787570">
            <w:pPr>
              <w:rPr>
                <w:rFonts w:ascii="宋体"/>
              </w:rPr>
            </w:pPr>
          </w:p>
        </w:tc>
        <w:tc>
          <w:tcPr>
            <w:tcW w:w="0" w:type="auto"/>
            <w:shd w:val="clear" w:color="auto" w:fill="auto"/>
          </w:tcPr>
          <w:p w14:paraId="36CA5A74" w14:textId="77777777" w:rsidR="00787570" w:rsidRDefault="00787570">
            <w:pPr>
              <w:rPr>
                <w:rFonts w:ascii="宋体"/>
              </w:rPr>
            </w:pPr>
          </w:p>
        </w:tc>
        <w:tc>
          <w:tcPr>
            <w:tcW w:w="0" w:type="auto"/>
            <w:shd w:val="clear" w:color="auto" w:fill="auto"/>
          </w:tcPr>
          <w:p w14:paraId="36CA5A75" w14:textId="77777777" w:rsidR="00787570" w:rsidRDefault="00787570">
            <w:pPr>
              <w:rPr>
                <w:rFonts w:ascii="宋体"/>
              </w:rPr>
            </w:pPr>
          </w:p>
        </w:tc>
        <w:tc>
          <w:tcPr>
            <w:tcW w:w="0" w:type="auto"/>
            <w:shd w:val="clear" w:color="auto" w:fill="auto"/>
          </w:tcPr>
          <w:p w14:paraId="36CA5A76" w14:textId="77777777" w:rsidR="00787570" w:rsidRDefault="00787570">
            <w:pPr>
              <w:rPr>
                <w:rFonts w:ascii="宋体"/>
              </w:rPr>
            </w:pPr>
          </w:p>
        </w:tc>
      </w:tr>
      <w:tr w:rsidR="00787570" w14:paraId="36CA5A7E" w14:textId="77777777">
        <w:tc>
          <w:tcPr>
            <w:tcW w:w="0" w:type="auto"/>
            <w:gridSpan w:val="3"/>
            <w:shd w:val="clear" w:color="auto" w:fill="auto"/>
            <w:tcMar>
              <w:left w:w="20" w:type="dxa"/>
              <w:right w:w="20" w:type="dxa"/>
            </w:tcMar>
            <w:vAlign w:val="bottom"/>
          </w:tcPr>
          <w:p w14:paraId="36CA5A78" w14:textId="77777777" w:rsidR="00787570" w:rsidRDefault="00787570">
            <w:pPr>
              <w:rPr>
                <w:rFonts w:ascii="宋体"/>
              </w:rPr>
            </w:pPr>
          </w:p>
        </w:tc>
        <w:tc>
          <w:tcPr>
            <w:tcW w:w="0" w:type="auto"/>
            <w:gridSpan w:val="3"/>
            <w:shd w:val="clear" w:color="auto" w:fill="auto"/>
            <w:tcMar>
              <w:top w:w="40" w:type="dxa"/>
              <w:left w:w="225" w:type="dxa"/>
              <w:bottom w:w="40" w:type="dxa"/>
              <w:right w:w="20" w:type="dxa"/>
            </w:tcMar>
            <w:vAlign w:val="bottom"/>
          </w:tcPr>
          <w:p w14:paraId="36CA5A79" w14:textId="77777777" w:rsidR="00787570" w:rsidRDefault="000D56E2">
            <w:pPr>
              <w:textAlignment w:val="bottom"/>
            </w:pPr>
            <w:r>
              <w:rPr>
                <w:rFonts w:ascii="Arial" w:eastAsia="宋体" w:hAnsi="Arial" w:cs="Arial"/>
                <w:color w:val="333333"/>
                <w:sz w:val="18"/>
                <w:szCs w:val="18"/>
              </w:rPr>
              <w:t>Results of operations</w:t>
            </w:r>
          </w:p>
        </w:tc>
        <w:tc>
          <w:tcPr>
            <w:tcW w:w="0" w:type="auto"/>
            <w:gridSpan w:val="3"/>
            <w:shd w:val="clear" w:color="auto" w:fill="auto"/>
            <w:tcMar>
              <w:top w:w="40" w:type="dxa"/>
              <w:left w:w="20" w:type="dxa"/>
              <w:bottom w:w="40" w:type="dxa"/>
              <w:right w:w="20" w:type="dxa"/>
            </w:tcMar>
            <w:vAlign w:val="center"/>
          </w:tcPr>
          <w:p w14:paraId="36CA5A7A" w14:textId="77777777" w:rsidR="00787570" w:rsidRDefault="000D56E2">
            <w:pPr>
              <w:jc w:val="center"/>
              <w:textAlignment w:val="center"/>
            </w:pPr>
            <w:r>
              <w:rPr>
                <w:rFonts w:ascii="Arial" w:eastAsia="宋体" w:hAnsi="Arial" w:cs="Arial"/>
                <w:color w:val="333333"/>
                <w:sz w:val="18"/>
                <w:szCs w:val="18"/>
              </w:rPr>
              <w:t xml:space="preserve">Pages </w:t>
            </w:r>
            <w:hyperlink r:id="rId83" w:anchor="i32771df14e9449d2bec5be911426bf04_13" w:history="1">
              <w:r>
                <w:rPr>
                  <w:rStyle w:val="a5"/>
                  <w:rFonts w:ascii="Arial" w:eastAsia="宋体" w:hAnsi="Arial" w:cs="Arial"/>
                  <w:sz w:val="18"/>
                  <w:szCs w:val="18"/>
                </w:rPr>
                <w:t>2</w:t>
              </w:r>
            </w:hyperlink>
            <w:r>
              <w:rPr>
                <w:rFonts w:ascii="Arial" w:eastAsia="宋体" w:hAnsi="Arial" w:cs="Arial"/>
                <w:color w:val="333333"/>
                <w:sz w:val="18"/>
                <w:szCs w:val="18"/>
              </w:rPr>
              <w:t xml:space="preserve"> - </w:t>
            </w:r>
            <w:hyperlink r:id="rId84" w:anchor="i32771df14e9449d2bec5be911426bf04_22" w:history="1">
              <w:r>
                <w:rPr>
                  <w:rStyle w:val="a5"/>
                  <w:rFonts w:ascii="Arial" w:eastAsia="宋体" w:hAnsi="Arial" w:cs="Arial"/>
                  <w:sz w:val="18"/>
                  <w:szCs w:val="18"/>
                </w:rPr>
                <w:t>4</w:t>
              </w:r>
            </w:hyperlink>
            <w:r>
              <w:rPr>
                <w:rFonts w:ascii="Arial" w:eastAsia="宋体" w:hAnsi="Arial" w:cs="Arial"/>
                <w:color w:val="333333"/>
                <w:sz w:val="18"/>
                <w:szCs w:val="18"/>
              </w:rPr>
              <w:t xml:space="preserve">, </w:t>
            </w:r>
            <w:hyperlink r:id="rId85" w:anchor="i32771df14e9449d2bec5be911426bf04_160" w:history="1">
              <w:r>
                <w:rPr>
                  <w:rStyle w:val="a5"/>
                  <w:rFonts w:ascii="Arial" w:eastAsia="宋体" w:hAnsi="Arial" w:cs="Arial"/>
                  <w:sz w:val="18"/>
                  <w:szCs w:val="18"/>
                </w:rPr>
                <w:t>28</w:t>
              </w:r>
            </w:hyperlink>
            <w:r>
              <w:rPr>
                <w:rFonts w:ascii="Arial" w:eastAsia="宋体" w:hAnsi="Arial" w:cs="Arial"/>
                <w:color w:val="333333"/>
                <w:sz w:val="18"/>
                <w:szCs w:val="18"/>
              </w:rPr>
              <w:t xml:space="preserve"> - </w:t>
            </w:r>
            <w:hyperlink r:id="rId86" w:anchor="i32771df14e9449d2bec5be911426bf04_196" w:history="1">
              <w:r>
                <w:rPr>
                  <w:rStyle w:val="a5"/>
                  <w:rFonts w:ascii="Arial" w:eastAsia="宋体" w:hAnsi="Arial" w:cs="Arial"/>
                  <w:sz w:val="18"/>
                  <w:szCs w:val="18"/>
                </w:rPr>
                <w:t>39</w:t>
              </w:r>
            </w:hyperlink>
          </w:p>
        </w:tc>
        <w:tc>
          <w:tcPr>
            <w:tcW w:w="0" w:type="auto"/>
            <w:shd w:val="clear" w:color="auto" w:fill="auto"/>
          </w:tcPr>
          <w:p w14:paraId="36CA5A7B" w14:textId="77777777" w:rsidR="00787570" w:rsidRDefault="00787570">
            <w:pPr>
              <w:rPr>
                <w:rFonts w:ascii="宋体"/>
              </w:rPr>
            </w:pPr>
          </w:p>
        </w:tc>
        <w:tc>
          <w:tcPr>
            <w:tcW w:w="0" w:type="auto"/>
            <w:shd w:val="clear" w:color="auto" w:fill="auto"/>
          </w:tcPr>
          <w:p w14:paraId="36CA5A7C" w14:textId="77777777" w:rsidR="00787570" w:rsidRDefault="00787570">
            <w:pPr>
              <w:rPr>
                <w:rFonts w:ascii="宋体"/>
              </w:rPr>
            </w:pPr>
          </w:p>
        </w:tc>
        <w:tc>
          <w:tcPr>
            <w:tcW w:w="0" w:type="auto"/>
            <w:shd w:val="clear" w:color="auto" w:fill="auto"/>
          </w:tcPr>
          <w:p w14:paraId="36CA5A7D" w14:textId="77777777" w:rsidR="00787570" w:rsidRDefault="00787570">
            <w:pPr>
              <w:rPr>
                <w:rFonts w:ascii="宋体"/>
              </w:rPr>
            </w:pPr>
          </w:p>
        </w:tc>
      </w:tr>
      <w:tr w:rsidR="00787570" w14:paraId="36CA5A85" w14:textId="77777777">
        <w:tc>
          <w:tcPr>
            <w:tcW w:w="0" w:type="auto"/>
            <w:gridSpan w:val="3"/>
            <w:shd w:val="clear" w:color="auto" w:fill="auto"/>
            <w:tcMar>
              <w:left w:w="20" w:type="dxa"/>
              <w:right w:w="20" w:type="dxa"/>
            </w:tcMar>
            <w:vAlign w:val="bottom"/>
          </w:tcPr>
          <w:p w14:paraId="36CA5A7F" w14:textId="77777777" w:rsidR="00787570" w:rsidRDefault="00787570">
            <w:pPr>
              <w:rPr>
                <w:rFonts w:ascii="宋体"/>
              </w:rPr>
            </w:pPr>
          </w:p>
        </w:tc>
        <w:tc>
          <w:tcPr>
            <w:tcW w:w="0" w:type="auto"/>
            <w:gridSpan w:val="3"/>
            <w:shd w:val="clear" w:color="auto" w:fill="auto"/>
            <w:tcMar>
              <w:top w:w="40" w:type="dxa"/>
              <w:left w:w="225" w:type="dxa"/>
              <w:bottom w:w="40" w:type="dxa"/>
              <w:right w:w="20" w:type="dxa"/>
            </w:tcMar>
            <w:vAlign w:val="bottom"/>
          </w:tcPr>
          <w:p w14:paraId="36CA5A80" w14:textId="77777777" w:rsidR="00787570" w:rsidRDefault="000D56E2">
            <w:pPr>
              <w:textAlignment w:val="bottom"/>
            </w:pPr>
            <w:r>
              <w:rPr>
                <w:rFonts w:ascii="Arial" w:eastAsia="宋体" w:hAnsi="Arial" w:cs="Arial"/>
                <w:color w:val="333333"/>
                <w:sz w:val="18"/>
                <w:szCs w:val="18"/>
              </w:rPr>
              <w:t>Liquidity and capital resources</w:t>
            </w:r>
          </w:p>
        </w:tc>
        <w:tc>
          <w:tcPr>
            <w:tcW w:w="0" w:type="auto"/>
            <w:gridSpan w:val="3"/>
            <w:shd w:val="clear" w:color="auto" w:fill="auto"/>
            <w:tcMar>
              <w:top w:w="40" w:type="dxa"/>
              <w:left w:w="20" w:type="dxa"/>
              <w:bottom w:w="40" w:type="dxa"/>
              <w:right w:w="20" w:type="dxa"/>
            </w:tcMar>
            <w:vAlign w:val="center"/>
          </w:tcPr>
          <w:p w14:paraId="36CA5A81" w14:textId="77777777" w:rsidR="00787570" w:rsidRDefault="000D56E2">
            <w:pPr>
              <w:jc w:val="center"/>
              <w:textAlignment w:val="center"/>
            </w:pPr>
            <w:r>
              <w:rPr>
                <w:rFonts w:ascii="Arial" w:eastAsia="宋体" w:hAnsi="Arial" w:cs="Arial"/>
                <w:color w:val="333333"/>
                <w:sz w:val="18"/>
                <w:szCs w:val="18"/>
              </w:rPr>
              <w:t xml:space="preserve">Pages </w:t>
            </w:r>
            <w:hyperlink r:id="rId87" w:anchor="i32771df14e9449d2bec5be911426bf04_202" w:history="1">
              <w:r>
                <w:rPr>
                  <w:rStyle w:val="a5"/>
                  <w:rFonts w:ascii="Arial" w:eastAsia="宋体" w:hAnsi="Arial" w:cs="Arial"/>
                  <w:sz w:val="18"/>
                  <w:szCs w:val="18"/>
                </w:rPr>
                <w:t>40</w:t>
              </w:r>
            </w:hyperlink>
            <w:r>
              <w:rPr>
                <w:rFonts w:ascii="Arial" w:eastAsia="宋体" w:hAnsi="Arial" w:cs="Arial"/>
                <w:color w:val="333333"/>
                <w:sz w:val="18"/>
                <w:szCs w:val="18"/>
              </w:rPr>
              <w:t xml:space="preserve"> - </w:t>
            </w:r>
            <w:hyperlink r:id="rId88" w:anchor="i32771df14e9449d2bec5be911426bf04_211" w:history="1">
              <w:r>
                <w:rPr>
                  <w:rStyle w:val="a5"/>
                  <w:rFonts w:ascii="Arial" w:eastAsia="宋体" w:hAnsi="Arial" w:cs="Arial"/>
                  <w:sz w:val="18"/>
                  <w:szCs w:val="18"/>
                </w:rPr>
                <w:t>41</w:t>
              </w:r>
            </w:hyperlink>
          </w:p>
        </w:tc>
        <w:tc>
          <w:tcPr>
            <w:tcW w:w="0" w:type="auto"/>
            <w:shd w:val="clear" w:color="auto" w:fill="auto"/>
          </w:tcPr>
          <w:p w14:paraId="36CA5A82" w14:textId="77777777" w:rsidR="00787570" w:rsidRDefault="00787570">
            <w:pPr>
              <w:rPr>
                <w:rFonts w:ascii="宋体"/>
              </w:rPr>
            </w:pPr>
          </w:p>
        </w:tc>
        <w:tc>
          <w:tcPr>
            <w:tcW w:w="0" w:type="auto"/>
            <w:shd w:val="clear" w:color="auto" w:fill="auto"/>
          </w:tcPr>
          <w:p w14:paraId="36CA5A83" w14:textId="77777777" w:rsidR="00787570" w:rsidRDefault="00787570">
            <w:pPr>
              <w:rPr>
                <w:rFonts w:ascii="宋体"/>
              </w:rPr>
            </w:pPr>
          </w:p>
        </w:tc>
        <w:tc>
          <w:tcPr>
            <w:tcW w:w="0" w:type="auto"/>
            <w:shd w:val="clear" w:color="auto" w:fill="auto"/>
          </w:tcPr>
          <w:p w14:paraId="36CA5A84" w14:textId="77777777" w:rsidR="00787570" w:rsidRDefault="00787570">
            <w:pPr>
              <w:rPr>
                <w:rFonts w:ascii="宋体"/>
              </w:rPr>
            </w:pPr>
          </w:p>
        </w:tc>
      </w:tr>
      <w:tr w:rsidR="00787570" w14:paraId="36CA5A8C" w14:textId="77777777">
        <w:trPr>
          <w:hidden/>
        </w:trPr>
        <w:tc>
          <w:tcPr>
            <w:tcW w:w="0" w:type="auto"/>
            <w:gridSpan w:val="3"/>
            <w:shd w:val="clear" w:color="auto" w:fill="auto"/>
          </w:tcPr>
          <w:p w14:paraId="36CA5A86" w14:textId="77777777" w:rsidR="00787570" w:rsidRDefault="00787570">
            <w:pPr>
              <w:rPr>
                <w:rFonts w:ascii="宋体"/>
                <w:vanish/>
              </w:rPr>
            </w:pPr>
          </w:p>
        </w:tc>
        <w:tc>
          <w:tcPr>
            <w:tcW w:w="0" w:type="auto"/>
            <w:gridSpan w:val="3"/>
            <w:shd w:val="clear" w:color="auto" w:fill="auto"/>
          </w:tcPr>
          <w:p w14:paraId="36CA5A87" w14:textId="77777777" w:rsidR="00787570" w:rsidRDefault="00787570">
            <w:pPr>
              <w:rPr>
                <w:rFonts w:ascii="宋体"/>
                <w:vanish/>
              </w:rPr>
            </w:pPr>
          </w:p>
        </w:tc>
        <w:tc>
          <w:tcPr>
            <w:tcW w:w="0" w:type="auto"/>
            <w:gridSpan w:val="3"/>
            <w:shd w:val="clear" w:color="auto" w:fill="auto"/>
          </w:tcPr>
          <w:p w14:paraId="36CA5A88" w14:textId="77777777" w:rsidR="00787570" w:rsidRDefault="00787570">
            <w:pPr>
              <w:rPr>
                <w:rFonts w:ascii="宋体"/>
                <w:vanish/>
              </w:rPr>
            </w:pPr>
          </w:p>
        </w:tc>
        <w:tc>
          <w:tcPr>
            <w:tcW w:w="0" w:type="auto"/>
            <w:shd w:val="clear" w:color="auto" w:fill="auto"/>
          </w:tcPr>
          <w:p w14:paraId="36CA5A89" w14:textId="77777777" w:rsidR="00787570" w:rsidRDefault="00787570">
            <w:pPr>
              <w:rPr>
                <w:rFonts w:ascii="宋体"/>
              </w:rPr>
            </w:pPr>
          </w:p>
        </w:tc>
        <w:tc>
          <w:tcPr>
            <w:tcW w:w="0" w:type="auto"/>
            <w:shd w:val="clear" w:color="auto" w:fill="auto"/>
          </w:tcPr>
          <w:p w14:paraId="36CA5A8A" w14:textId="77777777" w:rsidR="00787570" w:rsidRDefault="00787570">
            <w:pPr>
              <w:rPr>
                <w:rFonts w:ascii="宋体"/>
              </w:rPr>
            </w:pPr>
          </w:p>
        </w:tc>
        <w:tc>
          <w:tcPr>
            <w:tcW w:w="0" w:type="auto"/>
            <w:shd w:val="clear" w:color="auto" w:fill="auto"/>
          </w:tcPr>
          <w:p w14:paraId="36CA5A8B" w14:textId="77777777" w:rsidR="00787570" w:rsidRDefault="00787570">
            <w:pPr>
              <w:rPr>
                <w:rFonts w:ascii="宋体"/>
              </w:rPr>
            </w:pPr>
          </w:p>
        </w:tc>
      </w:tr>
      <w:tr w:rsidR="00787570" w14:paraId="36CA5A93" w14:textId="77777777">
        <w:tc>
          <w:tcPr>
            <w:tcW w:w="0" w:type="auto"/>
            <w:gridSpan w:val="3"/>
            <w:shd w:val="clear" w:color="auto" w:fill="auto"/>
            <w:tcMar>
              <w:left w:w="20" w:type="dxa"/>
              <w:right w:w="20" w:type="dxa"/>
            </w:tcMar>
            <w:vAlign w:val="bottom"/>
          </w:tcPr>
          <w:p w14:paraId="36CA5A8D" w14:textId="77777777" w:rsidR="00787570" w:rsidRDefault="00787570">
            <w:pPr>
              <w:rPr>
                <w:rFonts w:ascii="宋体"/>
              </w:rPr>
            </w:pPr>
          </w:p>
        </w:tc>
        <w:tc>
          <w:tcPr>
            <w:tcW w:w="0" w:type="auto"/>
            <w:gridSpan w:val="3"/>
            <w:shd w:val="clear" w:color="auto" w:fill="auto"/>
            <w:tcMar>
              <w:top w:w="40" w:type="dxa"/>
              <w:left w:w="225" w:type="dxa"/>
              <w:bottom w:w="40" w:type="dxa"/>
              <w:right w:w="20" w:type="dxa"/>
            </w:tcMar>
            <w:vAlign w:val="bottom"/>
          </w:tcPr>
          <w:p w14:paraId="36CA5A8E" w14:textId="77777777" w:rsidR="00787570" w:rsidRDefault="000D56E2">
            <w:pPr>
              <w:textAlignment w:val="bottom"/>
            </w:pPr>
            <w:r>
              <w:rPr>
                <w:rFonts w:ascii="Arial" w:eastAsia="宋体" w:hAnsi="Arial" w:cs="Arial"/>
                <w:color w:val="333333"/>
                <w:sz w:val="18"/>
                <w:szCs w:val="18"/>
              </w:rPr>
              <w:t xml:space="preserve">Off-balance sheet arrangements </w:t>
            </w:r>
          </w:p>
        </w:tc>
        <w:tc>
          <w:tcPr>
            <w:tcW w:w="0" w:type="auto"/>
            <w:gridSpan w:val="3"/>
            <w:shd w:val="clear" w:color="auto" w:fill="auto"/>
            <w:tcMar>
              <w:top w:w="40" w:type="dxa"/>
              <w:left w:w="20" w:type="dxa"/>
              <w:bottom w:w="40" w:type="dxa"/>
              <w:right w:w="20" w:type="dxa"/>
            </w:tcMar>
            <w:vAlign w:val="center"/>
          </w:tcPr>
          <w:p w14:paraId="36CA5A8F" w14:textId="77777777" w:rsidR="00787570" w:rsidRDefault="000D56E2">
            <w:pPr>
              <w:jc w:val="center"/>
              <w:textAlignment w:val="center"/>
            </w:pPr>
            <w:r>
              <w:rPr>
                <w:rFonts w:ascii="Arial" w:eastAsia="宋体" w:hAnsi="Arial" w:cs="Arial"/>
                <w:color w:val="333333"/>
                <w:sz w:val="18"/>
                <w:szCs w:val="18"/>
              </w:rPr>
              <w:t>(a)</w:t>
            </w:r>
          </w:p>
        </w:tc>
        <w:tc>
          <w:tcPr>
            <w:tcW w:w="0" w:type="auto"/>
            <w:shd w:val="clear" w:color="auto" w:fill="auto"/>
          </w:tcPr>
          <w:p w14:paraId="36CA5A90" w14:textId="77777777" w:rsidR="00787570" w:rsidRDefault="00787570">
            <w:pPr>
              <w:rPr>
                <w:rFonts w:ascii="宋体"/>
              </w:rPr>
            </w:pPr>
          </w:p>
        </w:tc>
        <w:tc>
          <w:tcPr>
            <w:tcW w:w="0" w:type="auto"/>
            <w:shd w:val="clear" w:color="auto" w:fill="auto"/>
          </w:tcPr>
          <w:p w14:paraId="36CA5A91" w14:textId="77777777" w:rsidR="00787570" w:rsidRDefault="00787570">
            <w:pPr>
              <w:rPr>
                <w:rFonts w:ascii="宋体"/>
              </w:rPr>
            </w:pPr>
          </w:p>
        </w:tc>
        <w:tc>
          <w:tcPr>
            <w:tcW w:w="0" w:type="auto"/>
            <w:shd w:val="clear" w:color="auto" w:fill="auto"/>
          </w:tcPr>
          <w:p w14:paraId="36CA5A92" w14:textId="77777777" w:rsidR="00787570" w:rsidRDefault="00787570">
            <w:pPr>
              <w:rPr>
                <w:rFonts w:ascii="宋体"/>
              </w:rPr>
            </w:pPr>
          </w:p>
        </w:tc>
      </w:tr>
      <w:tr w:rsidR="00787570" w14:paraId="36CA5A9A" w14:textId="77777777">
        <w:tc>
          <w:tcPr>
            <w:tcW w:w="0" w:type="auto"/>
            <w:gridSpan w:val="3"/>
            <w:shd w:val="clear" w:color="auto" w:fill="auto"/>
            <w:tcMar>
              <w:left w:w="20" w:type="dxa"/>
              <w:right w:w="20" w:type="dxa"/>
            </w:tcMar>
            <w:vAlign w:val="bottom"/>
          </w:tcPr>
          <w:p w14:paraId="36CA5A94" w14:textId="77777777" w:rsidR="00787570" w:rsidRDefault="00787570">
            <w:pPr>
              <w:rPr>
                <w:rFonts w:ascii="宋体"/>
              </w:rPr>
            </w:pPr>
          </w:p>
        </w:tc>
        <w:tc>
          <w:tcPr>
            <w:tcW w:w="0" w:type="auto"/>
            <w:gridSpan w:val="3"/>
            <w:shd w:val="clear" w:color="auto" w:fill="auto"/>
            <w:tcMar>
              <w:top w:w="40" w:type="dxa"/>
              <w:left w:w="225" w:type="dxa"/>
              <w:bottom w:w="40" w:type="dxa"/>
              <w:right w:w="20" w:type="dxa"/>
            </w:tcMar>
            <w:vAlign w:val="bottom"/>
          </w:tcPr>
          <w:p w14:paraId="36CA5A95" w14:textId="77777777" w:rsidR="00787570" w:rsidRDefault="000D56E2">
            <w:pPr>
              <w:textAlignment w:val="bottom"/>
            </w:pPr>
            <w:r>
              <w:rPr>
                <w:rFonts w:ascii="Arial" w:eastAsia="宋体" w:hAnsi="Arial" w:cs="Arial"/>
                <w:color w:val="333333"/>
                <w:sz w:val="18"/>
                <w:szCs w:val="18"/>
              </w:rPr>
              <w:t>Contractual obligations</w:t>
            </w:r>
          </w:p>
        </w:tc>
        <w:tc>
          <w:tcPr>
            <w:tcW w:w="0" w:type="auto"/>
            <w:gridSpan w:val="3"/>
            <w:shd w:val="clear" w:color="auto" w:fill="auto"/>
            <w:tcMar>
              <w:top w:w="40" w:type="dxa"/>
              <w:left w:w="20" w:type="dxa"/>
              <w:bottom w:w="40" w:type="dxa"/>
              <w:right w:w="20" w:type="dxa"/>
            </w:tcMar>
            <w:vAlign w:val="center"/>
          </w:tcPr>
          <w:p w14:paraId="36CA5A96" w14:textId="77777777" w:rsidR="00787570" w:rsidRDefault="000D56E2">
            <w:pPr>
              <w:jc w:val="center"/>
              <w:textAlignment w:val="center"/>
            </w:pPr>
            <w:r>
              <w:rPr>
                <w:rFonts w:ascii="Arial" w:eastAsia="宋体" w:hAnsi="Arial" w:cs="Arial"/>
                <w:color w:val="333333"/>
                <w:sz w:val="18"/>
                <w:szCs w:val="18"/>
              </w:rPr>
              <w:t xml:space="preserve">Page </w:t>
            </w:r>
            <w:hyperlink r:id="rId89" w:anchor="i32771df14e9449d2bec5be911426bf04_208" w:history="1">
              <w:r>
                <w:rPr>
                  <w:rStyle w:val="a5"/>
                  <w:rFonts w:ascii="Arial" w:eastAsia="宋体" w:hAnsi="Arial" w:cs="Arial"/>
                  <w:sz w:val="18"/>
                  <w:szCs w:val="18"/>
                </w:rPr>
                <w:t>41</w:t>
              </w:r>
            </w:hyperlink>
          </w:p>
        </w:tc>
        <w:tc>
          <w:tcPr>
            <w:tcW w:w="0" w:type="auto"/>
            <w:shd w:val="clear" w:color="auto" w:fill="auto"/>
          </w:tcPr>
          <w:p w14:paraId="36CA5A97" w14:textId="77777777" w:rsidR="00787570" w:rsidRDefault="00787570">
            <w:pPr>
              <w:rPr>
                <w:rFonts w:ascii="宋体"/>
              </w:rPr>
            </w:pPr>
          </w:p>
        </w:tc>
        <w:tc>
          <w:tcPr>
            <w:tcW w:w="0" w:type="auto"/>
            <w:shd w:val="clear" w:color="auto" w:fill="auto"/>
          </w:tcPr>
          <w:p w14:paraId="36CA5A98" w14:textId="77777777" w:rsidR="00787570" w:rsidRDefault="00787570">
            <w:pPr>
              <w:rPr>
                <w:rFonts w:ascii="宋体"/>
              </w:rPr>
            </w:pPr>
          </w:p>
        </w:tc>
        <w:tc>
          <w:tcPr>
            <w:tcW w:w="0" w:type="auto"/>
            <w:shd w:val="clear" w:color="auto" w:fill="auto"/>
          </w:tcPr>
          <w:p w14:paraId="36CA5A99" w14:textId="77777777" w:rsidR="00787570" w:rsidRDefault="00787570">
            <w:pPr>
              <w:rPr>
                <w:rFonts w:ascii="宋体"/>
              </w:rPr>
            </w:pPr>
          </w:p>
        </w:tc>
      </w:tr>
      <w:tr w:rsidR="00787570" w14:paraId="36CA5AA1" w14:textId="77777777">
        <w:tc>
          <w:tcPr>
            <w:tcW w:w="0" w:type="auto"/>
            <w:gridSpan w:val="3"/>
            <w:shd w:val="clear" w:color="auto" w:fill="auto"/>
            <w:tcMar>
              <w:top w:w="40" w:type="dxa"/>
              <w:left w:w="20" w:type="dxa"/>
              <w:bottom w:w="40" w:type="dxa"/>
              <w:right w:w="20" w:type="dxa"/>
            </w:tcMar>
            <w:vAlign w:val="bottom"/>
          </w:tcPr>
          <w:p w14:paraId="36CA5A9B" w14:textId="77777777" w:rsidR="00787570" w:rsidRDefault="000D56E2">
            <w:pPr>
              <w:textAlignment w:val="bottom"/>
            </w:pPr>
            <w:r>
              <w:rPr>
                <w:rFonts w:ascii="Arial" w:eastAsia="宋体" w:hAnsi="Arial" w:cs="Arial"/>
                <w:b/>
                <w:bCs/>
                <w:color w:val="333333"/>
                <w:sz w:val="18"/>
                <w:szCs w:val="18"/>
              </w:rPr>
              <w:t>Item 3.</w:t>
            </w:r>
          </w:p>
        </w:tc>
        <w:tc>
          <w:tcPr>
            <w:tcW w:w="0" w:type="auto"/>
            <w:gridSpan w:val="3"/>
            <w:shd w:val="clear" w:color="auto" w:fill="auto"/>
            <w:tcMar>
              <w:top w:w="40" w:type="dxa"/>
              <w:left w:w="20" w:type="dxa"/>
              <w:bottom w:w="40" w:type="dxa"/>
              <w:right w:w="20" w:type="dxa"/>
            </w:tcMar>
            <w:vAlign w:val="bottom"/>
          </w:tcPr>
          <w:p w14:paraId="36CA5A9C" w14:textId="77777777" w:rsidR="00787570" w:rsidRDefault="000D56E2">
            <w:pPr>
              <w:textAlignment w:val="bottom"/>
            </w:pPr>
            <w:r>
              <w:rPr>
                <w:rFonts w:ascii="Arial" w:eastAsia="宋体" w:hAnsi="Arial" w:cs="Arial"/>
                <w:b/>
                <w:bCs/>
                <w:color w:val="333333"/>
                <w:sz w:val="18"/>
                <w:szCs w:val="18"/>
              </w:rPr>
              <w:t>Quantitative and Qualitative Disclosures About Market Risk</w:t>
            </w:r>
          </w:p>
        </w:tc>
        <w:tc>
          <w:tcPr>
            <w:tcW w:w="0" w:type="auto"/>
            <w:gridSpan w:val="3"/>
            <w:shd w:val="clear" w:color="auto" w:fill="auto"/>
            <w:tcMar>
              <w:top w:w="40" w:type="dxa"/>
              <w:left w:w="20" w:type="dxa"/>
              <w:bottom w:w="40" w:type="dxa"/>
              <w:right w:w="20" w:type="dxa"/>
            </w:tcMar>
            <w:vAlign w:val="center"/>
          </w:tcPr>
          <w:p w14:paraId="36CA5A9D" w14:textId="77777777" w:rsidR="00787570" w:rsidRDefault="000D56E2">
            <w:pPr>
              <w:jc w:val="center"/>
              <w:textAlignment w:val="center"/>
            </w:pPr>
            <w:r>
              <w:rPr>
                <w:rFonts w:ascii="Arial" w:eastAsia="宋体" w:hAnsi="Arial" w:cs="Arial"/>
                <w:color w:val="333333"/>
                <w:sz w:val="18"/>
                <w:szCs w:val="18"/>
              </w:rPr>
              <w:t xml:space="preserve">Page </w:t>
            </w:r>
            <w:hyperlink r:id="rId90" w:anchor="i32771df14e9449d2bec5be911426bf04_211" w:history="1">
              <w:r>
                <w:rPr>
                  <w:rStyle w:val="a5"/>
                  <w:rFonts w:ascii="Arial" w:eastAsia="宋体" w:hAnsi="Arial" w:cs="Arial"/>
                  <w:sz w:val="18"/>
                  <w:szCs w:val="18"/>
                </w:rPr>
                <w:t>41</w:t>
              </w:r>
            </w:hyperlink>
          </w:p>
        </w:tc>
        <w:tc>
          <w:tcPr>
            <w:tcW w:w="0" w:type="auto"/>
            <w:shd w:val="clear" w:color="auto" w:fill="auto"/>
          </w:tcPr>
          <w:p w14:paraId="36CA5A9E" w14:textId="77777777" w:rsidR="00787570" w:rsidRDefault="00787570">
            <w:pPr>
              <w:rPr>
                <w:rFonts w:ascii="宋体"/>
              </w:rPr>
            </w:pPr>
          </w:p>
        </w:tc>
        <w:tc>
          <w:tcPr>
            <w:tcW w:w="0" w:type="auto"/>
            <w:shd w:val="clear" w:color="auto" w:fill="auto"/>
          </w:tcPr>
          <w:p w14:paraId="36CA5A9F" w14:textId="77777777" w:rsidR="00787570" w:rsidRDefault="00787570">
            <w:pPr>
              <w:rPr>
                <w:rFonts w:ascii="宋体"/>
              </w:rPr>
            </w:pPr>
          </w:p>
        </w:tc>
        <w:tc>
          <w:tcPr>
            <w:tcW w:w="0" w:type="auto"/>
            <w:shd w:val="clear" w:color="auto" w:fill="auto"/>
          </w:tcPr>
          <w:p w14:paraId="36CA5AA0" w14:textId="77777777" w:rsidR="00787570" w:rsidRDefault="00787570">
            <w:pPr>
              <w:rPr>
                <w:rFonts w:ascii="宋体"/>
              </w:rPr>
            </w:pPr>
          </w:p>
        </w:tc>
      </w:tr>
      <w:tr w:rsidR="00787570" w14:paraId="36CA5AA8" w14:textId="77777777">
        <w:tc>
          <w:tcPr>
            <w:tcW w:w="0" w:type="auto"/>
            <w:gridSpan w:val="3"/>
            <w:shd w:val="clear" w:color="auto" w:fill="auto"/>
            <w:tcMar>
              <w:top w:w="40" w:type="dxa"/>
              <w:left w:w="20" w:type="dxa"/>
              <w:bottom w:w="40" w:type="dxa"/>
              <w:right w:w="20" w:type="dxa"/>
            </w:tcMar>
            <w:vAlign w:val="bottom"/>
          </w:tcPr>
          <w:p w14:paraId="36CA5AA2" w14:textId="77777777" w:rsidR="00787570" w:rsidRDefault="000D56E2">
            <w:pPr>
              <w:textAlignment w:val="bottom"/>
            </w:pPr>
            <w:r>
              <w:rPr>
                <w:rFonts w:ascii="Arial" w:eastAsia="宋体" w:hAnsi="Arial" w:cs="Arial"/>
                <w:b/>
                <w:bCs/>
                <w:color w:val="333333"/>
                <w:sz w:val="18"/>
                <w:szCs w:val="18"/>
              </w:rPr>
              <w:t>Item 4.</w:t>
            </w:r>
          </w:p>
        </w:tc>
        <w:tc>
          <w:tcPr>
            <w:tcW w:w="0" w:type="auto"/>
            <w:gridSpan w:val="3"/>
            <w:shd w:val="clear" w:color="auto" w:fill="auto"/>
            <w:tcMar>
              <w:top w:w="40" w:type="dxa"/>
              <w:left w:w="20" w:type="dxa"/>
              <w:bottom w:w="40" w:type="dxa"/>
              <w:right w:w="20" w:type="dxa"/>
            </w:tcMar>
            <w:vAlign w:val="bottom"/>
          </w:tcPr>
          <w:p w14:paraId="36CA5AA3" w14:textId="77777777" w:rsidR="00787570" w:rsidRDefault="000D56E2">
            <w:pPr>
              <w:textAlignment w:val="bottom"/>
            </w:pPr>
            <w:r>
              <w:rPr>
                <w:rFonts w:ascii="Arial" w:eastAsia="宋体" w:hAnsi="Arial" w:cs="Arial"/>
                <w:b/>
                <w:bCs/>
                <w:color w:val="333333"/>
                <w:sz w:val="18"/>
                <w:szCs w:val="18"/>
              </w:rPr>
              <w:t>Controls and Procedures</w:t>
            </w:r>
          </w:p>
        </w:tc>
        <w:tc>
          <w:tcPr>
            <w:tcW w:w="0" w:type="auto"/>
            <w:gridSpan w:val="3"/>
            <w:shd w:val="clear" w:color="auto" w:fill="auto"/>
            <w:tcMar>
              <w:top w:w="40" w:type="dxa"/>
              <w:left w:w="20" w:type="dxa"/>
              <w:bottom w:w="40" w:type="dxa"/>
              <w:right w:w="20" w:type="dxa"/>
            </w:tcMar>
            <w:vAlign w:val="center"/>
          </w:tcPr>
          <w:p w14:paraId="36CA5AA4" w14:textId="77777777" w:rsidR="00787570" w:rsidRDefault="000D56E2">
            <w:pPr>
              <w:jc w:val="center"/>
              <w:textAlignment w:val="center"/>
            </w:pPr>
            <w:r>
              <w:rPr>
                <w:rFonts w:ascii="Arial" w:eastAsia="宋体" w:hAnsi="Arial" w:cs="Arial"/>
                <w:color w:val="333333"/>
                <w:sz w:val="18"/>
                <w:szCs w:val="18"/>
              </w:rPr>
              <w:t xml:space="preserve">Page </w:t>
            </w:r>
            <w:hyperlink r:id="rId91" w:anchor="i32771df14e9449d2bec5be911426bf04_232" w:history="1">
              <w:r>
                <w:rPr>
                  <w:rStyle w:val="a5"/>
                  <w:rFonts w:ascii="Arial" w:eastAsia="宋体" w:hAnsi="Arial" w:cs="Arial"/>
                  <w:sz w:val="18"/>
                  <w:szCs w:val="18"/>
                </w:rPr>
                <w:t>44</w:t>
              </w:r>
            </w:hyperlink>
          </w:p>
        </w:tc>
        <w:tc>
          <w:tcPr>
            <w:tcW w:w="0" w:type="auto"/>
            <w:shd w:val="clear" w:color="auto" w:fill="auto"/>
          </w:tcPr>
          <w:p w14:paraId="36CA5AA5" w14:textId="77777777" w:rsidR="00787570" w:rsidRDefault="00787570">
            <w:pPr>
              <w:rPr>
                <w:rFonts w:ascii="宋体"/>
              </w:rPr>
            </w:pPr>
          </w:p>
        </w:tc>
        <w:tc>
          <w:tcPr>
            <w:tcW w:w="0" w:type="auto"/>
            <w:shd w:val="clear" w:color="auto" w:fill="auto"/>
          </w:tcPr>
          <w:p w14:paraId="36CA5AA6" w14:textId="77777777" w:rsidR="00787570" w:rsidRDefault="00787570">
            <w:pPr>
              <w:rPr>
                <w:rFonts w:ascii="宋体"/>
              </w:rPr>
            </w:pPr>
          </w:p>
        </w:tc>
        <w:tc>
          <w:tcPr>
            <w:tcW w:w="0" w:type="auto"/>
            <w:shd w:val="clear" w:color="auto" w:fill="auto"/>
          </w:tcPr>
          <w:p w14:paraId="36CA5AA7" w14:textId="77777777" w:rsidR="00787570" w:rsidRDefault="00787570">
            <w:pPr>
              <w:rPr>
                <w:rFonts w:ascii="宋体"/>
              </w:rPr>
            </w:pPr>
          </w:p>
        </w:tc>
      </w:tr>
      <w:tr w:rsidR="00787570" w14:paraId="36CA5AAF" w14:textId="77777777">
        <w:tc>
          <w:tcPr>
            <w:tcW w:w="0" w:type="auto"/>
            <w:gridSpan w:val="3"/>
            <w:shd w:val="clear" w:color="auto" w:fill="auto"/>
            <w:tcMar>
              <w:left w:w="20" w:type="dxa"/>
              <w:right w:w="20" w:type="dxa"/>
            </w:tcMar>
            <w:vAlign w:val="bottom"/>
          </w:tcPr>
          <w:p w14:paraId="36CA5AA9" w14:textId="77777777" w:rsidR="00787570" w:rsidRDefault="00787570">
            <w:pPr>
              <w:rPr>
                <w:rFonts w:ascii="宋体"/>
              </w:rPr>
            </w:pPr>
          </w:p>
        </w:tc>
        <w:tc>
          <w:tcPr>
            <w:tcW w:w="0" w:type="auto"/>
            <w:gridSpan w:val="3"/>
            <w:tcBorders>
              <w:bottom w:val="single" w:sz="8" w:space="0" w:color="0071C5"/>
            </w:tcBorders>
            <w:shd w:val="clear" w:color="auto" w:fill="auto"/>
            <w:tcMar>
              <w:left w:w="20" w:type="dxa"/>
              <w:right w:w="20" w:type="dxa"/>
            </w:tcMar>
            <w:vAlign w:val="bottom"/>
          </w:tcPr>
          <w:p w14:paraId="36CA5AAA" w14:textId="77777777" w:rsidR="00787570" w:rsidRDefault="00787570">
            <w:pPr>
              <w:rPr>
                <w:rFonts w:ascii="宋体"/>
              </w:rPr>
            </w:pPr>
          </w:p>
        </w:tc>
        <w:tc>
          <w:tcPr>
            <w:tcW w:w="0" w:type="auto"/>
            <w:gridSpan w:val="3"/>
            <w:shd w:val="clear" w:color="auto" w:fill="auto"/>
            <w:tcMar>
              <w:top w:w="40" w:type="dxa"/>
              <w:left w:w="20" w:type="dxa"/>
              <w:bottom w:w="40" w:type="dxa"/>
              <w:right w:w="20" w:type="dxa"/>
            </w:tcMar>
            <w:vAlign w:val="center"/>
          </w:tcPr>
          <w:p w14:paraId="36CA5AAB" w14:textId="77777777" w:rsidR="00787570" w:rsidRDefault="000D56E2">
            <w:pPr>
              <w:jc w:val="center"/>
              <w:textAlignment w:val="center"/>
            </w:pPr>
            <w:r>
              <w:rPr>
                <w:rFonts w:ascii="Arial" w:eastAsia="宋体" w:hAnsi="Arial" w:cs="Arial"/>
                <w:b/>
                <w:bCs/>
                <w:color w:val="333333"/>
                <w:sz w:val="18"/>
                <w:szCs w:val="18"/>
              </w:rPr>
              <w:t> </w:t>
            </w:r>
          </w:p>
        </w:tc>
        <w:tc>
          <w:tcPr>
            <w:tcW w:w="0" w:type="auto"/>
            <w:shd w:val="clear" w:color="auto" w:fill="auto"/>
          </w:tcPr>
          <w:p w14:paraId="36CA5AAC" w14:textId="77777777" w:rsidR="00787570" w:rsidRDefault="00787570">
            <w:pPr>
              <w:rPr>
                <w:rFonts w:ascii="宋体"/>
              </w:rPr>
            </w:pPr>
          </w:p>
        </w:tc>
        <w:tc>
          <w:tcPr>
            <w:tcW w:w="0" w:type="auto"/>
            <w:shd w:val="clear" w:color="auto" w:fill="auto"/>
          </w:tcPr>
          <w:p w14:paraId="36CA5AAD" w14:textId="77777777" w:rsidR="00787570" w:rsidRDefault="00787570">
            <w:pPr>
              <w:rPr>
                <w:rFonts w:ascii="宋体"/>
              </w:rPr>
            </w:pPr>
          </w:p>
        </w:tc>
        <w:tc>
          <w:tcPr>
            <w:tcW w:w="0" w:type="auto"/>
            <w:shd w:val="clear" w:color="auto" w:fill="auto"/>
          </w:tcPr>
          <w:p w14:paraId="36CA5AAE" w14:textId="77777777" w:rsidR="00787570" w:rsidRDefault="00787570">
            <w:pPr>
              <w:rPr>
                <w:rFonts w:ascii="宋体"/>
              </w:rPr>
            </w:pPr>
          </w:p>
        </w:tc>
      </w:tr>
      <w:tr w:rsidR="00787570" w14:paraId="36CA5AB3" w14:textId="77777777">
        <w:tc>
          <w:tcPr>
            <w:tcW w:w="0" w:type="auto"/>
            <w:gridSpan w:val="6"/>
            <w:tcBorders>
              <w:top w:val="single" w:sz="8" w:space="0" w:color="0071C5"/>
            </w:tcBorders>
            <w:shd w:val="clear" w:color="auto" w:fill="auto"/>
            <w:tcMar>
              <w:top w:w="40" w:type="dxa"/>
              <w:left w:w="20" w:type="dxa"/>
              <w:bottom w:w="40" w:type="dxa"/>
              <w:right w:w="20" w:type="dxa"/>
            </w:tcMar>
            <w:vAlign w:val="bottom"/>
          </w:tcPr>
          <w:p w14:paraId="36CA5AB0" w14:textId="77777777" w:rsidR="00787570" w:rsidRDefault="000D56E2">
            <w:pPr>
              <w:textAlignment w:val="bottom"/>
            </w:pPr>
            <w:r>
              <w:rPr>
                <w:rFonts w:ascii="Arial" w:eastAsia="宋体" w:hAnsi="Arial" w:cs="Arial"/>
                <w:b/>
                <w:bCs/>
                <w:color w:val="026DCE"/>
                <w:sz w:val="18"/>
                <w:szCs w:val="18"/>
              </w:rPr>
              <w:t>Part II - Other Information</w:t>
            </w:r>
          </w:p>
        </w:tc>
        <w:tc>
          <w:tcPr>
            <w:tcW w:w="0" w:type="auto"/>
            <w:gridSpan w:val="3"/>
            <w:shd w:val="clear" w:color="auto" w:fill="auto"/>
          </w:tcPr>
          <w:p w14:paraId="36CA5AB1" w14:textId="77777777" w:rsidR="00787570" w:rsidRDefault="00787570">
            <w:pPr>
              <w:rPr>
                <w:rFonts w:ascii="宋体"/>
                <w:vanish/>
              </w:rPr>
            </w:pPr>
          </w:p>
        </w:tc>
        <w:tc>
          <w:tcPr>
            <w:tcW w:w="0" w:type="auto"/>
            <w:gridSpan w:val="3"/>
            <w:tcBorders>
              <w:top w:val="single" w:sz="8" w:space="0" w:color="0071C5"/>
            </w:tcBorders>
            <w:shd w:val="clear" w:color="auto" w:fill="auto"/>
            <w:tcMar>
              <w:left w:w="20" w:type="dxa"/>
              <w:right w:w="20" w:type="dxa"/>
            </w:tcMar>
            <w:vAlign w:val="bottom"/>
          </w:tcPr>
          <w:p w14:paraId="36CA5AB2" w14:textId="77777777" w:rsidR="00787570" w:rsidRDefault="00787570">
            <w:pPr>
              <w:rPr>
                <w:rFonts w:ascii="宋体"/>
              </w:rPr>
            </w:pPr>
          </w:p>
        </w:tc>
      </w:tr>
      <w:tr w:rsidR="00787570" w14:paraId="36CA5ABA" w14:textId="77777777">
        <w:tc>
          <w:tcPr>
            <w:tcW w:w="0" w:type="auto"/>
            <w:gridSpan w:val="3"/>
            <w:shd w:val="clear" w:color="auto" w:fill="auto"/>
            <w:tcMar>
              <w:top w:w="40" w:type="dxa"/>
              <w:left w:w="20" w:type="dxa"/>
              <w:bottom w:w="40" w:type="dxa"/>
              <w:right w:w="20" w:type="dxa"/>
            </w:tcMar>
            <w:vAlign w:val="bottom"/>
          </w:tcPr>
          <w:p w14:paraId="36CA5AB4" w14:textId="77777777" w:rsidR="00787570" w:rsidRDefault="000D56E2">
            <w:pPr>
              <w:textAlignment w:val="bottom"/>
            </w:pPr>
            <w:r>
              <w:rPr>
                <w:rFonts w:ascii="Arial" w:eastAsia="宋体" w:hAnsi="Arial" w:cs="Arial"/>
                <w:b/>
                <w:bCs/>
                <w:color w:val="333333"/>
                <w:sz w:val="18"/>
                <w:szCs w:val="18"/>
              </w:rPr>
              <w:t>Item 1.</w:t>
            </w:r>
          </w:p>
        </w:tc>
        <w:tc>
          <w:tcPr>
            <w:tcW w:w="0" w:type="auto"/>
            <w:gridSpan w:val="3"/>
            <w:shd w:val="clear" w:color="auto" w:fill="auto"/>
            <w:tcMar>
              <w:top w:w="40" w:type="dxa"/>
              <w:left w:w="20" w:type="dxa"/>
              <w:bottom w:w="40" w:type="dxa"/>
              <w:right w:w="20" w:type="dxa"/>
            </w:tcMar>
            <w:vAlign w:val="bottom"/>
          </w:tcPr>
          <w:p w14:paraId="36CA5AB5" w14:textId="77777777" w:rsidR="00787570" w:rsidRDefault="000D56E2">
            <w:pPr>
              <w:textAlignment w:val="bottom"/>
            </w:pPr>
            <w:r>
              <w:rPr>
                <w:rFonts w:ascii="Arial" w:eastAsia="宋体" w:hAnsi="Arial" w:cs="Arial"/>
                <w:b/>
                <w:bCs/>
                <w:color w:val="333333"/>
                <w:sz w:val="18"/>
                <w:szCs w:val="18"/>
              </w:rPr>
              <w:t>Legal Proceedings</w:t>
            </w:r>
          </w:p>
        </w:tc>
        <w:tc>
          <w:tcPr>
            <w:tcW w:w="0" w:type="auto"/>
            <w:gridSpan w:val="3"/>
            <w:shd w:val="clear" w:color="auto" w:fill="auto"/>
            <w:tcMar>
              <w:top w:w="40" w:type="dxa"/>
              <w:left w:w="20" w:type="dxa"/>
              <w:bottom w:w="40" w:type="dxa"/>
              <w:right w:w="20" w:type="dxa"/>
            </w:tcMar>
            <w:vAlign w:val="center"/>
          </w:tcPr>
          <w:p w14:paraId="36CA5AB6" w14:textId="77777777" w:rsidR="00787570" w:rsidRDefault="000D56E2">
            <w:pPr>
              <w:jc w:val="center"/>
              <w:textAlignment w:val="center"/>
            </w:pPr>
            <w:r>
              <w:rPr>
                <w:rFonts w:ascii="Arial" w:eastAsia="宋体" w:hAnsi="Arial" w:cs="Arial"/>
                <w:color w:val="333333"/>
                <w:sz w:val="18"/>
                <w:szCs w:val="18"/>
              </w:rPr>
              <w:t xml:space="preserve">Pages </w:t>
            </w:r>
            <w:hyperlink r:id="rId92" w:anchor="i32771df14e9449d2bec5be911426bf04_148" w:history="1">
              <w:r>
                <w:rPr>
                  <w:rStyle w:val="a5"/>
                  <w:rFonts w:ascii="Arial" w:eastAsia="宋体" w:hAnsi="Arial" w:cs="Arial"/>
                  <w:sz w:val="18"/>
                  <w:szCs w:val="18"/>
                </w:rPr>
                <w:t>23</w:t>
              </w:r>
            </w:hyperlink>
            <w:r>
              <w:rPr>
                <w:rFonts w:ascii="Arial" w:eastAsia="宋体" w:hAnsi="Arial" w:cs="Arial"/>
                <w:color w:val="333333"/>
                <w:sz w:val="18"/>
                <w:szCs w:val="18"/>
              </w:rPr>
              <w:t xml:space="preserve"> - </w:t>
            </w:r>
            <w:hyperlink r:id="rId93" w:anchor="i32771df14e9449d2bec5be911426bf04_151" w:history="1">
              <w:r>
                <w:rPr>
                  <w:rStyle w:val="a5"/>
                  <w:rFonts w:ascii="Arial" w:eastAsia="宋体" w:hAnsi="Arial" w:cs="Arial"/>
                  <w:sz w:val="18"/>
                  <w:szCs w:val="18"/>
                </w:rPr>
                <w:t>26</w:t>
              </w:r>
            </w:hyperlink>
          </w:p>
        </w:tc>
        <w:tc>
          <w:tcPr>
            <w:tcW w:w="0" w:type="auto"/>
            <w:shd w:val="clear" w:color="auto" w:fill="auto"/>
          </w:tcPr>
          <w:p w14:paraId="36CA5AB7" w14:textId="77777777" w:rsidR="00787570" w:rsidRDefault="00787570">
            <w:pPr>
              <w:rPr>
                <w:rFonts w:ascii="宋体"/>
              </w:rPr>
            </w:pPr>
          </w:p>
        </w:tc>
        <w:tc>
          <w:tcPr>
            <w:tcW w:w="0" w:type="auto"/>
            <w:shd w:val="clear" w:color="auto" w:fill="auto"/>
          </w:tcPr>
          <w:p w14:paraId="36CA5AB8" w14:textId="77777777" w:rsidR="00787570" w:rsidRDefault="00787570">
            <w:pPr>
              <w:rPr>
                <w:rFonts w:ascii="宋体"/>
              </w:rPr>
            </w:pPr>
          </w:p>
        </w:tc>
        <w:tc>
          <w:tcPr>
            <w:tcW w:w="0" w:type="auto"/>
            <w:shd w:val="clear" w:color="auto" w:fill="auto"/>
          </w:tcPr>
          <w:p w14:paraId="36CA5AB9" w14:textId="77777777" w:rsidR="00787570" w:rsidRDefault="00787570">
            <w:pPr>
              <w:rPr>
                <w:rFonts w:ascii="宋体"/>
              </w:rPr>
            </w:pPr>
          </w:p>
        </w:tc>
      </w:tr>
      <w:tr w:rsidR="00787570" w14:paraId="36CA5AC1" w14:textId="77777777">
        <w:tc>
          <w:tcPr>
            <w:tcW w:w="0" w:type="auto"/>
            <w:gridSpan w:val="3"/>
            <w:shd w:val="clear" w:color="auto" w:fill="auto"/>
            <w:tcMar>
              <w:top w:w="40" w:type="dxa"/>
              <w:left w:w="20" w:type="dxa"/>
              <w:bottom w:w="40" w:type="dxa"/>
              <w:right w:w="20" w:type="dxa"/>
            </w:tcMar>
            <w:vAlign w:val="bottom"/>
          </w:tcPr>
          <w:p w14:paraId="36CA5ABB" w14:textId="77777777" w:rsidR="00787570" w:rsidRDefault="000D56E2">
            <w:pPr>
              <w:textAlignment w:val="bottom"/>
            </w:pPr>
            <w:r>
              <w:rPr>
                <w:rFonts w:ascii="Arial" w:eastAsia="宋体" w:hAnsi="Arial" w:cs="Arial"/>
                <w:b/>
                <w:bCs/>
                <w:color w:val="333333"/>
                <w:sz w:val="18"/>
                <w:szCs w:val="18"/>
              </w:rPr>
              <w:t>Item 1A.</w:t>
            </w:r>
          </w:p>
        </w:tc>
        <w:tc>
          <w:tcPr>
            <w:tcW w:w="0" w:type="auto"/>
            <w:gridSpan w:val="3"/>
            <w:shd w:val="clear" w:color="auto" w:fill="auto"/>
            <w:tcMar>
              <w:top w:w="40" w:type="dxa"/>
              <w:left w:w="20" w:type="dxa"/>
              <w:bottom w:w="40" w:type="dxa"/>
              <w:right w:w="20" w:type="dxa"/>
            </w:tcMar>
            <w:vAlign w:val="bottom"/>
          </w:tcPr>
          <w:p w14:paraId="36CA5ABC" w14:textId="77777777" w:rsidR="00787570" w:rsidRDefault="000D56E2">
            <w:pPr>
              <w:textAlignment w:val="bottom"/>
            </w:pPr>
            <w:r>
              <w:rPr>
                <w:rFonts w:ascii="Arial" w:eastAsia="宋体" w:hAnsi="Arial" w:cs="Arial"/>
                <w:b/>
                <w:bCs/>
                <w:color w:val="333333"/>
                <w:sz w:val="18"/>
                <w:szCs w:val="18"/>
              </w:rPr>
              <w:t>Risk Factors</w:t>
            </w:r>
          </w:p>
        </w:tc>
        <w:tc>
          <w:tcPr>
            <w:tcW w:w="0" w:type="auto"/>
            <w:gridSpan w:val="3"/>
            <w:shd w:val="clear" w:color="auto" w:fill="auto"/>
            <w:tcMar>
              <w:top w:w="40" w:type="dxa"/>
              <w:left w:w="20" w:type="dxa"/>
              <w:bottom w:w="40" w:type="dxa"/>
              <w:right w:w="20" w:type="dxa"/>
            </w:tcMar>
            <w:vAlign w:val="center"/>
          </w:tcPr>
          <w:p w14:paraId="36CA5ABD" w14:textId="77777777" w:rsidR="00787570" w:rsidRDefault="000D56E2">
            <w:pPr>
              <w:jc w:val="center"/>
              <w:textAlignment w:val="center"/>
            </w:pPr>
            <w:r>
              <w:rPr>
                <w:rFonts w:ascii="Arial" w:eastAsia="宋体" w:hAnsi="Arial" w:cs="Arial"/>
                <w:color w:val="333333"/>
                <w:sz w:val="18"/>
                <w:szCs w:val="18"/>
              </w:rPr>
              <w:t xml:space="preserve">Page </w:t>
            </w:r>
            <w:hyperlink r:id="rId94" w:anchor="i32771df14e9449d2bec5be911426bf04_226" w:history="1">
              <w:r>
                <w:rPr>
                  <w:rStyle w:val="a5"/>
                  <w:rFonts w:ascii="Arial" w:eastAsia="宋体" w:hAnsi="Arial" w:cs="Arial"/>
                  <w:sz w:val="18"/>
                  <w:szCs w:val="18"/>
                </w:rPr>
                <w:t>44</w:t>
              </w:r>
            </w:hyperlink>
          </w:p>
        </w:tc>
        <w:tc>
          <w:tcPr>
            <w:tcW w:w="0" w:type="auto"/>
            <w:shd w:val="clear" w:color="auto" w:fill="auto"/>
          </w:tcPr>
          <w:p w14:paraId="36CA5ABE" w14:textId="77777777" w:rsidR="00787570" w:rsidRDefault="00787570">
            <w:pPr>
              <w:rPr>
                <w:rFonts w:ascii="宋体"/>
              </w:rPr>
            </w:pPr>
          </w:p>
        </w:tc>
        <w:tc>
          <w:tcPr>
            <w:tcW w:w="0" w:type="auto"/>
            <w:shd w:val="clear" w:color="auto" w:fill="auto"/>
          </w:tcPr>
          <w:p w14:paraId="36CA5ABF" w14:textId="77777777" w:rsidR="00787570" w:rsidRDefault="00787570">
            <w:pPr>
              <w:rPr>
                <w:rFonts w:ascii="宋体"/>
              </w:rPr>
            </w:pPr>
          </w:p>
        </w:tc>
        <w:tc>
          <w:tcPr>
            <w:tcW w:w="0" w:type="auto"/>
            <w:shd w:val="clear" w:color="auto" w:fill="auto"/>
          </w:tcPr>
          <w:p w14:paraId="36CA5AC0" w14:textId="77777777" w:rsidR="00787570" w:rsidRDefault="00787570">
            <w:pPr>
              <w:rPr>
                <w:rFonts w:ascii="宋体"/>
              </w:rPr>
            </w:pPr>
          </w:p>
        </w:tc>
      </w:tr>
      <w:tr w:rsidR="00787570" w14:paraId="36CA5AC8" w14:textId="77777777">
        <w:tc>
          <w:tcPr>
            <w:tcW w:w="0" w:type="auto"/>
            <w:gridSpan w:val="3"/>
            <w:shd w:val="clear" w:color="auto" w:fill="auto"/>
            <w:tcMar>
              <w:top w:w="40" w:type="dxa"/>
              <w:left w:w="20" w:type="dxa"/>
              <w:bottom w:w="40" w:type="dxa"/>
              <w:right w:w="20" w:type="dxa"/>
            </w:tcMar>
            <w:vAlign w:val="bottom"/>
          </w:tcPr>
          <w:p w14:paraId="36CA5AC2" w14:textId="77777777" w:rsidR="00787570" w:rsidRDefault="000D56E2">
            <w:pPr>
              <w:textAlignment w:val="bottom"/>
            </w:pPr>
            <w:r>
              <w:rPr>
                <w:rFonts w:ascii="Arial" w:eastAsia="宋体" w:hAnsi="Arial" w:cs="Arial"/>
                <w:b/>
                <w:bCs/>
                <w:color w:val="333333"/>
                <w:sz w:val="18"/>
                <w:szCs w:val="18"/>
              </w:rPr>
              <w:t>Item 2.</w:t>
            </w:r>
          </w:p>
        </w:tc>
        <w:tc>
          <w:tcPr>
            <w:tcW w:w="0" w:type="auto"/>
            <w:gridSpan w:val="3"/>
            <w:shd w:val="clear" w:color="auto" w:fill="auto"/>
            <w:tcMar>
              <w:top w:w="40" w:type="dxa"/>
              <w:left w:w="20" w:type="dxa"/>
              <w:bottom w:w="40" w:type="dxa"/>
              <w:right w:w="20" w:type="dxa"/>
            </w:tcMar>
            <w:vAlign w:val="bottom"/>
          </w:tcPr>
          <w:p w14:paraId="36CA5AC3" w14:textId="77777777" w:rsidR="00787570" w:rsidRDefault="000D56E2">
            <w:pPr>
              <w:textAlignment w:val="bottom"/>
            </w:pPr>
            <w:r>
              <w:rPr>
                <w:rFonts w:ascii="Arial" w:eastAsia="宋体" w:hAnsi="Arial" w:cs="Arial"/>
                <w:b/>
                <w:bCs/>
                <w:color w:val="333333"/>
                <w:sz w:val="18"/>
                <w:szCs w:val="18"/>
              </w:rPr>
              <w:t>Unregistered Sales of Equity Securities and Use of Proceeds</w:t>
            </w:r>
          </w:p>
        </w:tc>
        <w:tc>
          <w:tcPr>
            <w:tcW w:w="0" w:type="auto"/>
            <w:gridSpan w:val="3"/>
            <w:shd w:val="clear" w:color="auto" w:fill="auto"/>
            <w:tcMar>
              <w:top w:w="40" w:type="dxa"/>
              <w:left w:w="20" w:type="dxa"/>
              <w:bottom w:w="40" w:type="dxa"/>
              <w:right w:w="20" w:type="dxa"/>
            </w:tcMar>
            <w:vAlign w:val="center"/>
          </w:tcPr>
          <w:p w14:paraId="36CA5AC4" w14:textId="77777777" w:rsidR="00787570" w:rsidRDefault="000D56E2">
            <w:pPr>
              <w:jc w:val="center"/>
              <w:textAlignment w:val="center"/>
            </w:pPr>
            <w:r>
              <w:rPr>
                <w:rFonts w:ascii="Arial" w:eastAsia="宋体" w:hAnsi="Arial" w:cs="Arial"/>
                <w:color w:val="333333"/>
                <w:sz w:val="18"/>
                <w:szCs w:val="18"/>
              </w:rPr>
              <w:t xml:space="preserve">Page </w:t>
            </w:r>
            <w:hyperlink r:id="rId95" w:anchor="i32771df14e9449d2bec5be911426bf04_235" w:history="1">
              <w:r>
                <w:rPr>
                  <w:rStyle w:val="a5"/>
                  <w:rFonts w:ascii="Arial" w:eastAsia="宋体" w:hAnsi="Arial" w:cs="Arial"/>
                  <w:sz w:val="18"/>
                  <w:szCs w:val="18"/>
                </w:rPr>
                <w:t>45</w:t>
              </w:r>
            </w:hyperlink>
          </w:p>
        </w:tc>
        <w:tc>
          <w:tcPr>
            <w:tcW w:w="0" w:type="auto"/>
            <w:shd w:val="clear" w:color="auto" w:fill="auto"/>
          </w:tcPr>
          <w:p w14:paraId="36CA5AC5" w14:textId="77777777" w:rsidR="00787570" w:rsidRDefault="00787570">
            <w:pPr>
              <w:rPr>
                <w:rFonts w:ascii="宋体"/>
              </w:rPr>
            </w:pPr>
          </w:p>
        </w:tc>
        <w:tc>
          <w:tcPr>
            <w:tcW w:w="0" w:type="auto"/>
            <w:shd w:val="clear" w:color="auto" w:fill="auto"/>
          </w:tcPr>
          <w:p w14:paraId="36CA5AC6" w14:textId="77777777" w:rsidR="00787570" w:rsidRDefault="00787570">
            <w:pPr>
              <w:rPr>
                <w:rFonts w:ascii="宋体"/>
              </w:rPr>
            </w:pPr>
          </w:p>
        </w:tc>
        <w:tc>
          <w:tcPr>
            <w:tcW w:w="0" w:type="auto"/>
            <w:shd w:val="clear" w:color="auto" w:fill="auto"/>
          </w:tcPr>
          <w:p w14:paraId="36CA5AC7" w14:textId="77777777" w:rsidR="00787570" w:rsidRDefault="00787570">
            <w:pPr>
              <w:rPr>
                <w:rFonts w:ascii="宋体"/>
              </w:rPr>
            </w:pPr>
          </w:p>
        </w:tc>
      </w:tr>
      <w:tr w:rsidR="00787570" w14:paraId="36CA5ACF" w14:textId="77777777">
        <w:tc>
          <w:tcPr>
            <w:tcW w:w="0" w:type="auto"/>
            <w:gridSpan w:val="3"/>
            <w:shd w:val="clear" w:color="auto" w:fill="auto"/>
            <w:tcMar>
              <w:top w:w="40" w:type="dxa"/>
              <w:left w:w="20" w:type="dxa"/>
              <w:bottom w:w="40" w:type="dxa"/>
              <w:right w:w="20" w:type="dxa"/>
            </w:tcMar>
            <w:vAlign w:val="bottom"/>
          </w:tcPr>
          <w:p w14:paraId="36CA5AC9" w14:textId="77777777" w:rsidR="00787570" w:rsidRDefault="000D56E2">
            <w:pPr>
              <w:textAlignment w:val="bottom"/>
            </w:pPr>
            <w:r>
              <w:rPr>
                <w:rFonts w:ascii="Arial" w:eastAsia="宋体" w:hAnsi="Arial" w:cs="Arial"/>
                <w:b/>
                <w:bCs/>
                <w:color w:val="333333"/>
                <w:sz w:val="18"/>
                <w:szCs w:val="18"/>
              </w:rPr>
              <w:t>Item 3.</w:t>
            </w:r>
          </w:p>
        </w:tc>
        <w:tc>
          <w:tcPr>
            <w:tcW w:w="0" w:type="auto"/>
            <w:gridSpan w:val="3"/>
            <w:shd w:val="clear" w:color="auto" w:fill="auto"/>
            <w:tcMar>
              <w:top w:w="40" w:type="dxa"/>
              <w:left w:w="20" w:type="dxa"/>
              <w:bottom w:w="40" w:type="dxa"/>
              <w:right w:w="20" w:type="dxa"/>
            </w:tcMar>
            <w:vAlign w:val="bottom"/>
          </w:tcPr>
          <w:p w14:paraId="36CA5ACA" w14:textId="77777777" w:rsidR="00787570" w:rsidRDefault="000D56E2">
            <w:pPr>
              <w:textAlignment w:val="bottom"/>
            </w:pPr>
            <w:r>
              <w:rPr>
                <w:rFonts w:ascii="Arial" w:eastAsia="宋体" w:hAnsi="Arial" w:cs="Arial"/>
                <w:b/>
                <w:bCs/>
                <w:color w:val="333333"/>
                <w:sz w:val="18"/>
                <w:szCs w:val="18"/>
              </w:rPr>
              <w:t>Defaults Upon Senior Securities</w:t>
            </w:r>
          </w:p>
        </w:tc>
        <w:tc>
          <w:tcPr>
            <w:tcW w:w="0" w:type="auto"/>
            <w:gridSpan w:val="3"/>
            <w:shd w:val="clear" w:color="auto" w:fill="auto"/>
            <w:tcMar>
              <w:top w:w="40" w:type="dxa"/>
              <w:left w:w="20" w:type="dxa"/>
              <w:bottom w:w="40" w:type="dxa"/>
              <w:right w:w="20" w:type="dxa"/>
            </w:tcMar>
            <w:vAlign w:val="center"/>
          </w:tcPr>
          <w:p w14:paraId="36CA5ACB" w14:textId="77777777" w:rsidR="00787570" w:rsidRDefault="000D56E2">
            <w:pPr>
              <w:jc w:val="center"/>
              <w:textAlignment w:val="center"/>
            </w:pPr>
            <w:r>
              <w:rPr>
                <w:rFonts w:ascii="Arial" w:eastAsia="宋体" w:hAnsi="Arial" w:cs="Arial"/>
                <w:color w:val="333333"/>
                <w:sz w:val="18"/>
                <w:szCs w:val="18"/>
              </w:rPr>
              <w:t>Not applicable</w:t>
            </w:r>
          </w:p>
        </w:tc>
        <w:tc>
          <w:tcPr>
            <w:tcW w:w="0" w:type="auto"/>
            <w:shd w:val="clear" w:color="auto" w:fill="auto"/>
          </w:tcPr>
          <w:p w14:paraId="36CA5ACC" w14:textId="77777777" w:rsidR="00787570" w:rsidRDefault="00787570">
            <w:pPr>
              <w:rPr>
                <w:rFonts w:ascii="宋体"/>
              </w:rPr>
            </w:pPr>
          </w:p>
        </w:tc>
        <w:tc>
          <w:tcPr>
            <w:tcW w:w="0" w:type="auto"/>
            <w:shd w:val="clear" w:color="auto" w:fill="auto"/>
          </w:tcPr>
          <w:p w14:paraId="36CA5ACD" w14:textId="77777777" w:rsidR="00787570" w:rsidRDefault="00787570">
            <w:pPr>
              <w:rPr>
                <w:rFonts w:ascii="宋体"/>
              </w:rPr>
            </w:pPr>
          </w:p>
        </w:tc>
        <w:tc>
          <w:tcPr>
            <w:tcW w:w="0" w:type="auto"/>
            <w:shd w:val="clear" w:color="auto" w:fill="auto"/>
          </w:tcPr>
          <w:p w14:paraId="36CA5ACE" w14:textId="77777777" w:rsidR="00787570" w:rsidRDefault="00787570">
            <w:pPr>
              <w:rPr>
                <w:rFonts w:ascii="宋体"/>
              </w:rPr>
            </w:pPr>
          </w:p>
        </w:tc>
      </w:tr>
      <w:tr w:rsidR="00787570" w14:paraId="36CA5AD6" w14:textId="77777777">
        <w:tc>
          <w:tcPr>
            <w:tcW w:w="0" w:type="auto"/>
            <w:gridSpan w:val="3"/>
            <w:shd w:val="clear" w:color="auto" w:fill="auto"/>
            <w:tcMar>
              <w:top w:w="40" w:type="dxa"/>
              <w:left w:w="20" w:type="dxa"/>
              <w:bottom w:w="40" w:type="dxa"/>
              <w:right w:w="20" w:type="dxa"/>
            </w:tcMar>
            <w:vAlign w:val="bottom"/>
          </w:tcPr>
          <w:p w14:paraId="36CA5AD0" w14:textId="77777777" w:rsidR="00787570" w:rsidRDefault="000D56E2">
            <w:pPr>
              <w:textAlignment w:val="bottom"/>
            </w:pPr>
            <w:r>
              <w:rPr>
                <w:rFonts w:ascii="Arial" w:eastAsia="宋体" w:hAnsi="Arial" w:cs="Arial"/>
                <w:b/>
                <w:bCs/>
                <w:color w:val="333333"/>
                <w:sz w:val="18"/>
                <w:szCs w:val="18"/>
              </w:rPr>
              <w:t xml:space="preserve">Item 4. </w:t>
            </w:r>
          </w:p>
        </w:tc>
        <w:tc>
          <w:tcPr>
            <w:tcW w:w="0" w:type="auto"/>
            <w:gridSpan w:val="3"/>
            <w:shd w:val="clear" w:color="auto" w:fill="auto"/>
            <w:tcMar>
              <w:top w:w="40" w:type="dxa"/>
              <w:left w:w="20" w:type="dxa"/>
              <w:bottom w:w="40" w:type="dxa"/>
              <w:right w:w="20" w:type="dxa"/>
            </w:tcMar>
            <w:vAlign w:val="bottom"/>
          </w:tcPr>
          <w:p w14:paraId="36CA5AD1" w14:textId="77777777" w:rsidR="00787570" w:rsidRDefault="000D56E2">
            <w:pPr>
              <w:textAlignment w:val="bottom"/>
            </w:pPr>
            <w:r>
              <w:rPr>
                <w:rFonts w:ascii="Arial" w:eastAsia="宋体" w:hAnsi="Arial" w:cs="Arial"/>
                <w:b/>
                <w:bCs/>
                <w:color w:val="333333"/>
                <w:sz w:val="18"/>
                <w:szCs w:val="18"/>
              </w:rPr>
              <w:t>Mine Safety Disclosures</w:t>
            </w:r>
          </w:p>
        </w:tc>
        <w:tc>
          <w:tcPr>
            <w:tcW w:w="0" w:type="auto"/>
            <w:gridSpan w:val="3"/>
            <w:shd w:val="clear" w:color="auto" w:fill="auto"/>
            <w:tcMar>
              <w:top w:w="40" w:type="dxa"/>
              <w:left w:w="20" w:type="dxa"/>
              <w:bottom w:w="40" w:type="dxa"/>
              <w:right w:w="20" w:type="dxa"/>
            </w:tcMar>
            <w:vAlign w:val="center"/>
          </w:tcPr>
          <w:p w14:paraId="36CA5AD2" w14:textId="77777777" w:rsidR="00787570" w:rsidRDefault="000D56E2">
            <w:pPr>
              <w:jc w:val="center"/>
              <w:textAlignment w:val="center"/>
            </w:pPr>
            <w:r>
              <w:rPr>
                <w:rFonts w:ascii="Arial" w:eastAsia="宋体" w:hAnsi="Arial" w:cs="Arial"/>
                <w:color w:val="333333"/>
                <w:sz w:val="18"/>
                <w:szCs w:val="18"/>
              </w:rPr>
              <w:t xml:space="preserve">Not </w:t>
            </w:r>
            <w:r>
              <w:rPr>
                <w:rFonts w:ascii="Arial" w:eastAsia="宋体" w:hAnsi="Arial" w:cs="Arial"/>
                <w:color w:val="333333"/>
                <w:sz w:val="18"/>
                <w:szCs w:val="18"/>
              </w:rPr>
              <w:t>applicable</w:t>
            </w:r>
          </w:p>
        </w:tc>
        <w:tc>
          <w:tcPr>
            <w:tcW w:w="0" w:type="auto"/>
            <w:shd w:val="clear" w:color="auto" w:fill="auto"/>
          </w:tcPr>
          <w:p w14:paraId="36CA5AD3" w14:textId="77777777" w:rsidR="00787570" w:rsidRDefault="00787570">
            <w:pPr>
              <w:rPr>
                <w:rFonts w:ascii="宋体"/>
              </w:rPr>
            </w:pPr>
          </w:p>
        </w:tc>
        <w:tc>
          <w:tcPr>
            <w:tcW w:w="0" w:type="auto"/>
            <w:shd w:val="clear" w:color="auto" w:fill="auto"/>
          </w:tcPr>
          <w:p w14:paraId="36CA5AD4" w14:textId="77777777" w:rsidR="00787570" w:rsidRDefault="00787570">
            <w:pPr>
              <w:rPr>
                <w:rFonts w:ascii="宋体"/>
              </w:rPr>
            </w:pPr>
          </w:p>
        </w:tc>
        <w:tc>
          <w:tcPr>
            <w:tcW w:w="0" w:type="auto"/>
            <w:shd w:val="clear" w:color="auto" w:fill="auto"/>
          </w:tcPr>
          <w:p w14:paraId="36CA5AD5" w14:textId="77777777" w:rsidR="00787570" w:rsidRDefault="00787570">
            <w:pPr>
              <w:rPr>
                <w:rFonts w:ascii="宋体"/>
              </w:rPr>
            </w:pPr>
          </w:p>
        </w:tc>
      </w:tr>
      <w:tr w:rsidR="00787570" w14:paraId="36CA5ADD" w14:textId="77777777">
        <w:tc>
          <w:tcPr>
            <w:tcW w:w="0" w:type="auto"/>
            <w:gridSpan w:val="3"/>
            <w:shd w:val="clear" w:color="auto" w:fill="auto"/>
            <w:tcMar>
              <w:top w:w="40" w:type="dxa"/>
              <w:left w:w="20" w:type="dxa"/>
              <w:bottom w:w="40" w:type="dxa"/>
              <w:right w:w="20" w:type="dxa"/>
            </w:tcMar>
            <w:vAlign w:val="bottom"/>
          </w:tcPr>
          <w:p w14:paraId="36CA5AD7" w14:textId="77777777" w:rsidR="00787570" w:rsidRDefault="000D56E2">
            <w:pPr>
              <w:textAlignment w:val="bottom"/>
            </w:pPr>
            <w:r>
              <w:rPr>
                <w:rFonts w:ascii="Arial" w:eastAsia="宋体" w:hAnsi="Arial" w:cs="Arial"/>
                <w:b/>
                <w:bCs/>
                <w:color w:val="333333"/>
                <w:sz w:val="18"/>
                <w:szCs w:val="18"/>
              </w:rPr>
              <w:t xml:space="preserve">Item 5. </w:t>
            </w:r>
          </w:p>
        </w:tc>
        <w:tc>
          <w:tcPr>
            <w:tcW w:w="0" w:type="auto"/>
            <w:gridSpan w:val="3"/>
            <w:shd w:val="clear" w:color="auto" w:fill="auto"/>
            <w:tcMar>
              <w:top w:w="40" w:type="dxa"/>
              <w:left w:w="20" w:type="dxa"/>
              <w:bottom w:w="40" w:type="dxa"/>
              <w:right w:w="20" w:type="dxa"/>
            </w:tcMar>
            <w:vAlign w:val="bottom"/>
          </w:tcPr>
          <w:p w14:paraId="36CA5AD8" w14:textId="77777777" w:rsidR="00787570" w:rsidRDefault="000D56E2">
            <w:pPr>
              <w:textAlignment w:val="bottom"/>
            </w:pPr>
            <w:r>
              <w:rPr>
                <w:rFonts w:ascii="Arial" w:eastAsia="宋体" w:hAnsi="Arial" w:cs="Arial"/>
                <w:b/>
                <w:bCs/>
                <w:color w:val="333333"/>
                <w:sz w:val="18"/>
                <w:szCs w:val="18"/>
              </w:rPr>
              <w:t>Other Information</w:t>
            </w:r>
          </w:p>
        </w:tc>
        <w:tc>
          <w:tcPr>
            <w:tcW w:w="0" w:type="auto"/>
            <w:gridSpan w:val="3"/>
            <w:shd w:val="clear" w:color="auto" w:fill="auto"/>
            <w:tcMar>
              <w:top w:w="40" w:type="dxa"/>
              <w:left w:w="20" w:type="dxa"/>
              <w:bottom w:w="40" w:type="dxa"/>
              <w:right w:w="20" w:type="dxa"/>
            </w:tcMar>
            <w:vAlign w:val="center"/>
          </w:tcPr>
          <w:p w14:paraId="36CA5AD9" w14:textId="77777777" w:rsidR="00787570" w:rsidRDefault="000D56E2">
            <w:pPr>
              <w:jc w:val="center"/>
              <w:textAlignment w:val="center"/>
            </w:pPr>
            <w:r>
              <w:rPr>
                <w:rFonts w:ascii="Arial" w:eastAsia="宋体" w:hAnsi="Arial" w:cs="Arial"/>
                <w:color w:val="333333"/>
                <w:sz w:val="18"/>
                <w:szCs w:val="18"/>
              </w:rPr>
              <w:t>Not applicable</w:t>
            </w:r>
          </w:p>
        </w:tc>
        <w:tc>
          <w:tcPr>
            <w:tcW w:w="0" w:type="auto"/>
            <w:shd w:val="clear" w:color="auto" w:fill="auto"/>
          </w:tcPr>
          <w:p w14:paraId="36CA5ADA" w14:textId="77777777" w:rsidR="00787570" w:rsidRDefault="00787570">
            <w:pPr>
              <w:rPr>
                <w:rFonts w:ascii="宋体"/>
              </w:rPr>
            </w:pPr>
          </w:p>
        </w:tc>
        <w:tc>
          <w:tcPr>
            <w:tcW w:w="0" w:type="auto"/>
            <w:shd w:val="clear" w:color="auto" w:fill="auto"/>
          </w:tcPr>
          <w:p w14:paraId="36CA5ADB" w14:textId="77777777" w:rsidR="00787570" w:rsidRDefault="00787570">
            <w:pPr>
              <w:rPr>
                <w:rFonts w:ascii="宋体"/>
              </w:rPr>
            </w:pPr>
          </w:p>
        </w:tc>
        <w:tc>
          <w:tcPr>
            <w:tcW w:w="0" w:type="auto"/>
            <w:shd w:val="clear" w:color="auto" w:fill="auto"/>
          </w:tcPr>
          <w:p w14:paraId="36CA5ADC" w14:textId="77777777" w:rsidR="00787570" w:rsidRDefault="00787570">
            <w:pPr>
              <w:rPr>
                <w:rFonts w:ascii="宋体"/>
              </w:rPr>
            </w:pPr>
          </w:p>
        </w:tc>
      </w:tr>
      <w:tr w:rsidR="00787570" w14:paraId="36CA5AE4" w14:textId="77777777">
        <w:tc>
          <w:tcPr>
            <w:tcW w:w="0" w:type="auto"/>
            <w:gridSpan w:val="3"/>
            <w:shd w:val="clear" w:color="auto" w:fill="auto"/>
            <w:tcMar>
              <w:top w:w="40" w:type="dxa"/>
              <w:left w:w="20" w:type="dxa"/>
              <w:bottom w:w="40" w:type="dxa"/>
              <w:right w:w="20" w:type="dxa"/>
            </w:tcMar>
            <w:vAlign w:val="bottom"/>
          </w:tcPr>
          <w:p w14:paraId="36CA5ADE" w14:textId="77777777" w:rsidR="00787570" w:rsidRDefault="000D56E2">
            <w:pPr>
              <w:textAlignment w:val="bottom"/>
            </w:pPr>
            <w:r>
              <w:rPr>
                <w:rFonts w:ascii="Arial" w:eastAsia="宋体" w:hAnsi="Arial" w:cs="Arial"/>
                <w:b/>
                <w:bCs/>
                <w:color w:val="333333"/>
                <w:sz w:val="18"/>
                <w:szCs w:val="18"/>
              </w:rPr>
              <w:t>Item 6.</w:t>
            </w:r>
          </w:p>
        </w:tc>
        <w:tc>
          <w:tcPr>
            <w:tcW w:w="0" w:type="auto"/>
            <w:gridSpan w:val="3"/>
            <w:shd w:val="clear" w:color="auto" w:fill="auto"/>
            <w:tcMar>
              <w:top w:w="40" w:type="dxa"/>
              <w:left w:w="20" w:type="dxa"/>
              <w:bottom w:w="40" w:type="dxa"/>
              <w:right w:w="20" w:type="dxa"/>
            </w:tcMar>
            <w:vAlign w:val="bottom"/>
          </w:tcPr>
          <w:p w14:paraId="36CA5ADF" w14:textId="77777777" w:rsidR="00787570" w:rsidRDefault="000D56E2">
            <w:pPr>
              <w:textAlignment w:val="bottom"/>
            </w:pPr>
            <w:r>
              <w:rPr>
                <w:rFonts w:ascii="Arial" w:eastAsia="宋体" w:hAnsi="Arial" w:cs="Arial"/>
                <w:b/>
                <w:bCs/>
                <w:color w:val="333333"/>
                <w:sz w:val="18"/>
                <w:szCs w:val="18"/>
              </w:rPr>
              <w:t>Exhibits</w:t>
            </w:r>
          </w:p>
        </w:tc>
        <w:tc>
          <w:tcPr>
            <w:tcW w:w="0" w:type="auto"/>
            <w:gridSpan w:val="3"/>
            <w:shd w:val="clear" w:color="auto" w:fill="auto"/>
            <w:tcMar>
              <w:top w:w="40" w:type="dxa"/>
              <w:left w:w="20" w:type="dxa"/>
              <w:bottom w:w="40" w:type="dxa"/>
              <w:right w:w="20" w:type="dxa"/>
            </w:tcMar>
            <w:vAlign w:val="center"/>
          </w:tcPr>
          <w:p w14:paraId="36CA5AE0" w14:textId="77777777" w:rsidR="00787570" w:rsidRDefault="000D56E2">
            <w:pPr>
              <w:jc w:val="center"/>
              <w:textAlignment w:val="center"/>
            </w:pPr>
            <w:r>
              <w:rPr>
                <w:rFonts w:ascii="Arial" w:eastAsia="宋体" w:hAnsi="Arial" w:cs="Arial"/>
                <w:color w:val="333333"/>
                <w:sz w:val="18"/>
                <w:szCs w:val="18"/>
              </w:rPr>
              <w:t xml:space="preserve">Page </w:t>
            </w:r>
            <w:hyperlink r:id="rId96" w:anchor="i32771df14e9449d2bec5be911426bf04_238" w:history="1">
              <w:r>
                <w:rPr>
                  <w:rStyle w:val="a5"/>
                  <w:rFonts w:ascii="Arial" w:eastAsia="宋体" w:hAnsi="Arial" w:cs="Arial"/>
                  <w:sz w:val="18"/>
                  <w:szCs w:val="18"/>
                </w:rPr>
                <w:t>46</w:t>
              </w:r>
            </w:hyperlink>
            <w:r>
              <w:rPr>
                <w:rFonts w:ascii="Arial" w:eastAsia="宋体" w:hAnsi="Arial" w:cs="Arial"/>
                <w:color w:val="333333"/>
                <w:sz w:val="18"/>
                <w:szCs w:val="18"/>
              </w:rPr>
              <w:t xml:space="preserve"> </w:t>
            </w:r>
          </w:p>
        </w:tc>
        <w:tc>
          <w:tcPr>
            <w:tcW w:w="0" w:type="auto"/>
            <w:shd w:val="clear" w:color="auto" w:fill="auto"/>
          </w:tcPr>
          <w:p w14:paraId="36CA5AE1" w14:textId="77777777" w:rsidR="00787570" w:rsidRDefault="00787570">
            <w:pPr>
              <w:rPr>
                <w:rFonts w:ascii="宋体"/>
              </w:rPr>
            </w:pPr>
          </w:p>
        </w:tc>
        <w:tc>
          <w:tcPr>
            <w:tcW w:w="0" w:type="auto"/>
            <w:shd w:val="clear" w:color="auto" w:fill="auto"/>
          </w:tcPr>
          <w:p w14:paraId="36CA5AE2" w14:textId="77777777" w:rsidR="00787570" w:rsidRDefault="00787570">
            <w:pPr>
              <w:rPr>
                <w:rFonts w:ascii="宋体"/>
              </w:rPr>
            </w:pPr>
          </w:p>
        </w:tc>
        <w:tc>
          <w:tcPr>
            <w:tcW w:w="0" w:type="auto"/>
            <w:shd w:val="clear" w:color="auto" w:fill="auto"/>
          </w:tcPr>
          <w:p w14:paraId="36CA5AE3" w14:textId="77777777" w:rsidR="00787570" w:rsidRDefault="00787570">
            <w:pPr>
              <w:rPr>
                <w:rFonts w:ascii="宋体"/>
              </w:rPr>
            </w:pPr>
          </w:p>
        </w:tc>
      </w:tr>
      <w:tr w:rsidR="00787570" w14:paraId="36CA5AEB" w14:textId="77777777">
        <w:trPr>
          <w:trHeight w:val="60"/>
        </w:trPr>
        <w:tc>
          <w:tcPr>
            <w:tcW w:w="0" w:type="auto"/>
            <w:gridSpan w:val="3"/>
            <w:shd w:val="clear" w:color="auto" w:fill="auto"/>
            <w:tcMar>
              <w:left w:w="20" w:type="dxa"/>
              <w:right w:w="20" w:type="dxa"/>
            </w:tcMar>
            <w:vAlign w:val="bottom"/>
          </w:tcPr>
          <w:p w14:paraId="36CA5AE5"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5AE6"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5AE7" w14:textId="77777777" w:rsidR="00787570" w:rsidRDefault="00787570">
            <w:pPr>
              <w:rPr>
                <w:rFonts w:ascii="宋体"/>
              </w:rPr>
            </w:pPr>
          </w:p>
        </w:tc>
        <w:tc>
          <w:tcPr>
            <w:tcW w:w="0" w:type="auto"/>
            <w:shd w:val="clear" w:color="auto" w:fill="auto"/>
          </w:tcPr>
          <w:p w14:paraId="36CA5AE8" w14:textId="77777777" w:rsidR="00787570" w:rsidRDefault="00787570">
            <w:pPr>
              <w:rPr>
                <w:rFonts w:ascii="宋体"/>
              </w:rPr>
            </w:pPr>
          </w:p>
        </w:tc>
        <w:tc>
          <w:tcPr>
            <w:tcW w:w="0" w:type="auto"/>
            <w:shd w:val="clear" w:color="auto" w:fill="auto"/>
          </w:tcPr>
          <w:p w14:paraId="36CA5AE9" w14:textId="77777777" w:rsidR="00787570" w:rsidRDefault="00787570">
            <w:pPr>
              <w:rPr>
                <w:rFonts w:ascii="宋体"/>
              </w:rPr>
            </w:pPr>
          </w:p>
        </w:tc>
        <w:tc>
          <w:tcPr>
            <w:tcW w:w="0" w:type="auto"/>
            <w:shd w:val="clear" w:color="auto" w:fill="auto"/>
          </w:tcPr>
          <w:p w14:paraId="36CA5AEA" w14:textId="77777777" w:rsidR="00787570" w:rsidRDefault="00787570">
            <w:pPr>
              <w:rPr>
                <w:rFonts w:ascii="宋体"/>
              </w:rPr>
            </w:pPr>
          </w:p>
        </w:tc>
      </w:tr>
      <w:tr w:rsidR="00787570" w14:paraId="36CA5AF2" w14:textId="77777777">
        <w:tc>
          <w:tcPr>
            <w:tcW w:w="0" w:type="auto"/>
            <w:gridSpan w:val="3"/>
            <w:tcBorders>
              <w:bottom w:val="single" w:sz="8" w:space="0" w:color="0071C5"/>
            </w:tcBorders>
            <w:shd w:val="clear" w:color="auto" w:fill="auto"/>
            <w:tcMar>
              <w:top w:w="40" w:type="dxa"/>
              <w:left w:w="20" w:type="dxa"/>
              <w:bottom w:w="40" w:type="dxa"/>
              <w:right w:w="20" w:type="dxa"/>
            </w:tcMar>
            <w:vAlign w:val="bottom"/>
          </w:tcPr>
          <w:p w14:paraId="36CA5AEC" w14:textId="77777777" w:rsidR="00787570" w:rsidRDefault="000D56E2">
            <w:pPr>
              <w:textAlignment w:val="bottom"/>
            </w:pPr>
            <w:r>
              <w:rPr>
                <w:rFonts w:ascii="Arial" w:eastAsia="宋体" w:hAnsi="Arial" w:cs="Arial"/>
                <w:b/>
                <w:bCs/>
                <w:color w:val="026DCE"/>
                <w:sz w:val="18"/>
                <w:szCs w:val="18"/>
              </w:rPr>
              <w:t>Signatures</w:t>
            </w:r>
          </w:p>
        </w:tc>
        <w:tc>
          <w:tcPr>
            <w:tcW w:w="0" w:type="auto"/>
            <w:gridSpan w:val="3"/>
            <w:tcBorders>
              <w:bottom w:val="single" w:sz="8" w:space="0" w:color="0071C5"/>
            </w:tcBorders>
            <w:shd w:val="clear" w:color="auto" w:fill="auto"/>
            <w:tcMar>
              <w:left w:w="20" w:type="dxa"/>
              <w:right w:w="20" w:type="dxa"/>
            </w:tcMar>
            <w:vAlign w:val="bottom"/>
          </w:tcPr>
          <w:p w14:paraId="36CA5AED" w14:textId="77777777" w:rsidR="00787570" w:rsidRDefault="00787570">
            <w:pPr>
              <w:rPr>
                <w:rFonts w:ascii="宋体"/>
              </w:rPr>
            </w:pPr>
          </w:p>
        </w:tc>
        <w:tc>
          <w:tcPr>
            <w:tcW w:w="0" w:type="auto"/>
            <w:gridSpan w:val="3"/>
            <w:tcBorders>
              <w:bottom w:val="single" w:sz="8" w:space="0" w:color="0071C5"/>
            </w:tcBorders>
            <w:shd w:val="clear" w:color="auto" w:fill="auto"/>
            <w:tcMar>
              <w:top w:w="40" w:type="dxa"/>
              <w:left w:w="20" w:type="dxa"/>
              <w:bottom w:w="40" w:type="dxa"/>
              <w:right w:w="20" w:type="dxa"/>
            </w:tcMar>
            <w:vAlign w:val="center"/>
          </w:tcPr>
          <w:p w14:paraId="36CA5AEE" w14:textId="77777777" w:rsidR="00787570" w:rsidRDefault="000D56E2">
            <w:pPr>
              <w:jc w:val="center"/>
              <w:textAlignment w:val="center"/>
            </w:pPr>
            <w:r>
              <w:rPr>
                <w:rFonts w:ascii="Arial" w:eastAsia="宋体" w:hAnsi="Arial" w:cs="Arial"/>
                <w:color w:val="333333"/>
                <w:sz w:val="18"/>
                <w:szCs w:val="18"/>
              </w:rPr>
              <w:t xml:space="preserve">Page </w:t>
            </w:r>
            <w:hyperlink r:id="rId97" w:anchor="i32771df14e9449d2bec5be911426bf04_247" w:history="1">
              <w:r>
                <w:rPr>
                  <w:rStyle w:val="a5"/>
                  <w:rFonts w:ascii="Arial" w:eastAsia="宋体" w:hAnsi="Arial" w:cs="Arial"/>
                  <w:sz w:val="18"/>
                  <w:szCs w:val="18"/>
                </w:rPr>
                <w:t>48</w:t>
              </w:r>
            </w:hyperlink>
          </w:p>
        </w:tc>
        <w:tc>
          <w:tcPr>
            <w:tcW w:w="0" w:type="auto"/>
            <w:shd w:val="clear" w:color="auto" w:fill="auto"/>
          </w:tcPr>
          <w:p w14:paraId="36CA5AEF" w14:textId="77777777" w:rsidR="00787570" w:rsidRDefault="00787570">
            <w:pPr>
              <w:rPr>
                <w:rFonts w:ascii="宋体"/>
              </w:rPr>
            </w:pPr>
          </w:p>
        </w:tc>
        <w:tc>
          <w:tcPr>
            <w:tcW w:w="0" w:type="auto"/>
            <w:shd w:val="clear" w:color="auto" w:fill="auto"/>
          </w:tcPr>
          <w:p w14:paraId="36CA5AF0" w14:textId="77777777" w:rsidR="00787570" w:rsidRDefault="00787570">
            <w:pPr>
              <w:rPr>
                <w:rFonts w:ascii="宋体"/>
              </w:rPr>
            </w:pPr>
          </w:p>
        </w:tc>
        <w:tc>
          <w:tcPr>
            <w:tcW w:w="0" w:type="auto"/>
            <w:shd w:val="clear" w:color="auto" w:fill="auto"/>
          </w:tcPr>
          <w:p w14:paraId="36CA5AF1" w14:textId="77777777" w:rsidR="00787570" w:rsidRDefault="00787570">
            <w:pPr>
              <w:rPr>
                <w:rFonts w:ascii="宋体"/>
              </w:rPr>
            </w:pPr>
          </w:p>
        </w:tc>
      </w:tr>
    </w:tbl>
    <w:p w14:paraId="36CA5AF3" w14:textId="77777777" w:rsidR="00787570" w:rsidRDefault="000D56E2">
      <w:pPr>
        <w:spacing w:before="240" w:after="60"/>
        <w:ind w:hanging="360"/>
      </w:pPr>
      <w:r>
        <w:rPr>
          <w:rFonts w:ascii="Arial" w:eastAsia="宋体" w:hAnsi="Arial" w:cs="Arial"/>
          <w:i/>
          <w:iCs/>
          <w:color w:val="333333"/>
          <w:sz w:val="16"/>
          <w:szCs w:val="16"/>
        </w:rPr>
        <w:t xml:space="preserve">(a)    As of September 26, 2020, we did not have any significant off-balance sheet </w:t>
      </w:r>
      <w:r>
        <w:rPr>
          <w:rFonts w:ascii="Arial" w:eastAsia="宋体" w:hAnsi="Arial" w:cs="Arial"/>
          <w:i/>
          <w:iCs/>
          <w:color w:val="333333"/>
          <w:sz w:val="16"/>
          <w:szCs w:val="16"/>
        </w:rPr>
        <w:t>arrangements, as defined in Item 303(a)(4)(ii) of SEC Regulation S-K.</w:t>
      </w:r>
    </w:p>
    <w:p w14:paraId="36CA5AF4" w14:textId="77777777" w:rsidR="00787570" w:rsidRDefault="00787570">
      <w:pPr>
        <w:spacing w:after="180"/>
        <w:ind w:hanging="360"/>
      </w:pPr>
    </w:p>
    <w:tbl>
      <w:tblPr>
        <w:tblW w:w="5000" w:type="pct"/>
        <w:tblCellMar>
          <w:top w:w="15" w:type="dxa"/>
          <w:left w:w="15" w:type="dxa"/>
          <w:bottom w:w="15" w:type="dxa"/>
          <w:right w:w="15" w:type="dxa"/>
        </w:tblCellMar>
        <w:tblLook w:val="04A0" w:firstRow="1" w:lastRow="0" w:firstColumn="1" w:lastColumn="0" w:noHBand="0" w:noVBand="1"/>
      </w:tblPr>
      <w:tblGrid>
        <w:gridCol w:w="95"/>
        <w:gridCol w:w="416"/>
        <w:gridCol w:w="36"/>
        <w:gridCol w:w="47"/>
        <w:gridCol w:w="4254"/>
        <w:gridCol w:w="36"/>
        <w:gridCol w:w="47"/>
        <w:gridCol w:w="3369"/>
        <w:gridCol w:w="36"/>
      </w:tblGrid>
      <w:tr w:rsidR="00787570" w14:paraId="36CA5AFE" w14:textId="77777777">
        <w:tc>
          <w:tcPr>
            <w:tcW w:w="50" w:type="pct"/>
            <w:shd w:val="clear" w:color="auto" w:fill="auto"/>
            <w:vAlign w:val="bottom"/>
          </w:tcPr>
          <w:p w14:paraId="36CA5AF5" w14:textId="77777777" w:rsidR="00787570" w:rsidRDefault="00787570">
            <w:pPr>
              <w:rPr>
                <w:rFonts w:ascii="宋体"/>
              </w:rPr>
            </w:pPr>
          </w:p>
        </w:tc>
        <w:tc>
          <w:tcPr>
            <w:tcW w:w="220" w:type="pct"/>
            <w:shd w:val="clear" w:color="auto" w:fill="auto"/>
            <w:vAlign w:val="bottom"/>
          </w:tcPr>
          <w:p w14:paraId="36CA5AF6" w14:textId="77777777" w:rsidR="00787570" w:rsidRDefault="00787570">
            <w:pPr>
              <w:rPr>
                <w:rFonts w:ascii="宋体"/>
              </w:rPr>
            </w:pPr>
          </w:p>
        </w:tc>
        <w:tc>
          <w:tcPr>
            <w:tcW w:w="5" w:type="pct"/>
            <w:shd w:val="clear" w:color="auto" w:fill="auto"/>
            <w:vAlign w:val="bottom"/>
          </w:tcPr>
          <w:p w14:paraId="36CA5AF7" w14:textId="77777777" w:rsidR="00787570" w:rsidRDefault="00787570">
            <w:pPr>
              <w:rPr>
                <w:rFonts w:ascii="宋体"/>
              </w:rPr>
            </w:pPr>
          </w:p>
        </w:tc>
        <w:tc>
          <w:tcPr>
            <w:tcW w:w="50" w:type="pct"/>
            <w:shd w:val="clear" w:color="auto" w:fill="auto"/>
            <w:vAlign w:val="bottom"/>
          </w:tcPr>
          <w:p w14:paraId="36CA5AF8" w14:textId="77777777" w:rsidR="00787570" w:rsidRDefault="00787570">
            <w:pPr>
              <w:rPr>
                <w:rFonts w:ascii="宋体"/>
              </w:rPr>
            </w:pPr>
          </w:p>
        </w:tc>
        <w:tc>
          <w:tcPr>
            <w:tcW w:w="2572" w:type="pct"/>
            <w:shd w:val="clear" w:color="auto" w:fill="auto"/>
            <w:vAlign w:val="bottom"/>
          </w:tcPr>
          <w:p w14:paraId="36CA5AF9" w14:textId="77777777" w:rsidR="00787570" w:rsidRDefault="00787570">
            <w:pPr>
              <w:rPr>
                <w:rFonts w:ascii="宋体"/>
              </w:rPr>
            </w:pPr>
          </w:p>
        </w:tc>
        <w:tc>
          <w:tcPr>
            <w:tcW w:w="5" w:type="pct"/>
            <w:shd w:val="clear" w:color="auto" w:fill="auto"/>
            <w:vAlign w:val="bottom"/>
          </w:tcPr>
          <w:p w14:paraId="36CA5AFA" w14:textId="77777777" w:rsidR="00787570" w:rsidRDefault="00787570">
            <w:pPr>
              <w:rPr>
                <w:rFonts w:ascii="宋体"/>
              </w:rPr>
            </w:pPr>
          </w:p>
        </w:tc>
        <w:tc>
          <w:tcPr>
            <w:tcW w:w="50" w:type="pct"/>
            <w:shd w:val="clear" w:color="auto" w:fill="auto"/>
            <w:vAlign w:val="bottom"/>
          </w:tcPr>
          <w:p w14:paraId="36CA5AFB" w14:textId="77777777" w:rsidR="00787570" w:rsidRDefault="00787570">
            <w:pPr>
              <w:rPr>
                <w:rFonts w:ascii="宋体"/>
              </w:rPr>
            </w:pPr>
          </w:p>
        </w:tc>
        <w:tc>
          <w:tcPr>
            <w:tcW w:w="2042" w:type="pct"/>
            <w:shd w:val="clear" w:color="auto" w:fill="auto"/>
            <w:vAlign w:val="bottom"/>
          </w:tcPr>
          <w:p w14:paraId="36CA5AFC" w14:textId="77777777" w:rsidR="00787570" w:rsidRDefault="00787570">
            <w:pPr>
              <w:rPr>
                <w:rFonts w:ascii="宋体"/>
              </w:rPr>
            </w:pPr>
          </w:p>
        </w:tc>
        <w:tc>
          <w:tcPr>
            <w:tcW w:w="5" w:type="pct"/>
            <w:shd w:val="clear" w:color="auto" w:fill="auto"/>
            <w:vAlign w:val="bottom"/>
          </w:tcPr>
          <w:p w14:paraId="36CA5AFD" w14:textId="77777777" w:rsidR="00787570" w:rsidRDefault="00787570">
            <w:pPr>
              <w:rPr>
                <w:rFonts w:ascii="宋体"/>
              </w:rPr>
            </w:pPr>
          </w:p>
        </w:tc>
      </w:tr>
      <w:tr w:rsidR="00787570" w14:paraId="36CA5B02" w14:textId="77777777">
        <w:tc>
          <w:tcPr>
            <w:tcW w:w="0" w:type="auto"/>
            <w:gridSpan w:val="3"/>
            <w:tcBorders>
              <w:top w:val="single" w:sz="8" w:space="0" w:color="0071C5"/>
            </w:tcBorders>
            <w:shd w:val="clear" w:color="auto" w:fill="auto"/>
            <w:tcMar>
              <w:left w:w="20" w:type="dxa"/>
              <w:right w:w="20" w:type="dxa"/>
            </w:tcMar>
            <w:vAlign w:val="center"/>
          </w:tcPr>
          <w:p w14:paraId="36CA5AFF" w14:textId="77777777" w:rsidR="00787570" w:rsidRDefault="000D56E2">
            <w:pPr>
              <w:textAlignment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Viewer9_files/intc-20200926_g2.jpg"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36CA5C9C" wp14:editId="36CA5C9D">
                  <wp:extent cx="304800" cy="304800"/>
                  <wp:effectExtent l="0" t="0" r="0" b="0"/>
                  <wp:docPr id="43" name="图片 154" descr="IMG_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154" descr="IMG_329"/>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8" w:space="0" w:color="0071C5"/>
            </w:tcBorders>
            <w:shd w:val="clear" w:color="auto" w:fill="auto"/>
            <w:tcMar>
              <w:top w:w="40" w:type="dxa"/>
              <w:left w:w="20" w:type="dxa"/>
              <w:bottom w:w="40" w:type="dxa"/>
              <w:right w:w="20" w:type="dxa"/>
            </w:tcMar>
            <w:vAlign w:val="center"/>
          </w:tcPr>
          <w:p w14:paraId="36CA5B00" w14:textId="77777777" w:rsidR="00787570" w:rsidRDefault="000D56E2">
            <w:pPr>
              <w:textAlignment w:val="center"/>
            </w:pPr>
            <w:r>
              <w:rPr>
                <w:rFonts w:ascii="Arial" w:eastAsia="宋体" w:hAnsi="Arial" w:cs="Arial"/>
                <w:color w:val="333333"/>
                <w:sz w:val="16"/>
                <w:szCs w:val="16"/>
              </w:rPr>
              <w:t>OTHER KEY INFORMATION</w:t>
            </w:r>
          </w:p>
        </w:tc>
        <w:tc>
          <w:tcPr>
            <w:tcW w:w="0" w:type="auto"/>
            <w:gridSpan w:val="3"/>
            <w:tcBorders>
              <w:top w:val="single" w:sz="8" w:space="0" w:color="0071C5"/>
            </w:tcBorders>
            <w:shd w:val="clear" w:color="auto" w:fill="auto"/>
            <w:tcMar>
              <w:top w:w="40" w:type="dxa"/>
              <w:left w:w="20" w:type="dxa"/>
              <w:bottom w:w="40" w:type="dxa"/>
              <w:right w:w="20" w:type="dxa"/>
            </w:tcMar>
            <w:vAlign w:val="center"/>
          </w:tcPr>
          <w:p w14:paraId="36CA5B01" w14:textId="77777777" w:rsidR="00787570" w:rsidRDefault="000D56E2">
            <w:pPr>
              <w:jc w:val="right"/>
              <w:textAlignment w:val="center"/>
            </w:pPr>
            <w:r>
              <w:rPr>
                <w:rFonts w:ascii="Arial" w:eastAsia="宋体" w:hAnsi="Arial" w:cs="Arial"/>
                <w:color w:val="333333"/>
                <w:sz w:val="16"/>
                <w:szCs w:val="16"/>
              </w:rPr>
              <w:t>47</w:t>
            </w:r>
          </w:p>
        </w:tc>
      </w:tr>
    </w:tbl>
    <w:p w14:paraId="36CA5B03" w14:textId="77777777" w:rsidR="00787570" w:rsidRDefault="000D56E2">
      <w:r>
        <w:pict w14:anchorId="36CA5C9E">
          <v:rect id="_x0000_i1073" style="width:415.3pt;height:1.5pt" o:hralign="center" o:hrstd="t" o:hr="t" fillcolor="#a0a0a0" stroked="f"/>
        </w:pict>
      </w:r>
    </w:p>
    <w:p w14:paraId="36CA5B04" w14:textId="77777777" w:rsidR="00787570" w:rsidRDefault="000D56E2">
      <w:pPr>
        <w:spacing w:after="180"/>
        <w:jc w:val="right"/>
      </w:pPr>
      <w:hyperlink r:id="rId98" w:anchor="i32771df14e9449d2bec5be911426bf04_7" w:history="1">
        <w:r>
          <w:rPr>
            <w:rStyle w:val="a5"/>
            <w:rFonts w:ascii="Arial" w:eastAsia="宋体" w:hAnsi="Arial" w:cs="Arial"/>
            <w:b/>
            <w:bCs/>
            <w:sz w:val="16"/>
            <w:szCs w:val="16"/>
          </w:rPr>
          <w:t>Table of Contents</w:t>
        </w:r>
      </w:hyperlink>
    </w:p>
    <w:p w14:paraId="36CA5B05" w14:textId="77777777" w:rsidR="00787570" w:rsidRDefault="00787570">
      <w:pPr>
        <w:spacing w:after="180"/>
        <w:jc w:val="right"/>
      </w:pPr>
    </w:p>
    <w:p w14:paraId="36CA5B06" w14:textId="77777777" w:rsidR="00787570" w:rsidRDefault="000D56E2">
      <w:pPr>
        <w:spacing w:after="180"/>
      </w:pPr>
      <w:r>
        <w:rPr>
          <w:rFonts w:ascii="Arial" w:eastAsia="宋体" w:hAnsi="Arial" w:cs="Arial"/>
          <w:b/>
          <w:bCs/>
          <w:color w:val="0071C5"/>
          <w:sz w:val="28"/>
          <w:szCs w:val="28"/>
        </w:rPr>
        <w:t>SIGNATURES</w:t>
      </w:r>
    </w:p>
    <w:p w14:paraId="36CA5B07" w14:textId="77777777" w:rsidR="00787570" w:rsidRDefault="000D56E2">
      <w:pPr>
        <w:spacing w:before="240" w:after="180"/>
      </w:pPr>
      <w:r>
        <w:rPr>
          <w:rFonts w:ascii="Arial" w:eastAsia="宋体" w:hAnsi="Arial" w:cs="Arial"/>
          <w:color w:val="333333"/>
          <w:sz w:val="18"/>
          <w:szCs w:val="18"/>
        </w:rPr>
        <w:t xml:space="preserve">Pursuant to the requirements of the Securities Exchange Act of 1934, </w:t>
      </w:r>
      <w:r>
        <w:rPr>
          <w:rFonts w:ascii="Arial" w:eastAsia="宋体" w:hAnsi="Arial" w:cs="Arial"/>
          <w:color w:val="333333"/>
          <w:sz w:val="18"/>
          <w:szCs w:val="18"/>
        </w:rPr>
        <w:t>the registrant has duly caused this report to be signed on its behalf by the undersigned thereunto duly authorized.</w:t>
      </w:r>
    </w:p>
    <w:tbl>
      <w:tblPr>
        <w:tblW w:w="5000" w:type="pct"/>
        <w:tblCellMar>
          <w:top w:w="15" w:type="dxa"/>
          <w:left w:w="15" w:type="dxa"/>
          <w:bottom w:w="15" w:type="dxa"/>
          <w:right w:w="15" w:type="dxa"/>
        </w:tblCellMar>
        <w:tblLook w:val="04A0" w:firstRow="1" w:lastRow="0" w:firstColumn="1" w:lastColumn="0" w:noHBand="0" w:noVBand="1"/>
      </w:tblPr>
      <w:tblGrid>
        <w:gridCol w:w="81"/>
        <w:gridCol w:w="382"/>
        <w:gridCol w:w="36"/>
        <w:gridCol w:w="37"/>
        <w:gridCol w:w="1826"/>
        <w:gridCol w:w="36"/>
        <w:gridCol w:w="64"/>
        <w:gridCol w:w="1211"/>
        <w:gridCol w:w="36"/>
        <w:gridCol w:w="80"/>
        <w:gridCol w:w="214"/>
        <w:gridCol w:w="37"/>
        <w:gridCol w:w="37"/>
        <w:gridCol w:w="114"/>
        <w:gridCol w:w="36"/>
        <w:gridCol w:w="64"/>
        <w:gridCol w:w="3793"/>
        <w:gridCol w:w="36"/>
        <w:gridCol w:w="36"/>
        <w:gridCol w:w="36"/>
        <w:gridCol w:w="36"/>
        <w:gridCol w:w="36"/>
        <w:gridCol w:w="36"/>
        <w:gridCol w:w="36"/>
      </w:tblGrid>
      <w:tr w:rsidR="00787570" w14:paraId="36CA5B1A" w14:textId="77777777">
        <w:trPr>
          <w:gridAfter w:val="6"/>
        </w:trPr>
        <w:tc>
          <w:tcPr>
            <w:tcW w:w="50" w:type="pct"/>
            <w:shd w:val="clear" w:color="auto" w:fill="auto"/>
          </w:tcPr>
          <w:p w14:paraId="36CA5B08" w14:textId="77777777" w:rsidR="00787570" w:rsidRDefault="00787570">
            <w:pPr>
              <w:rPr>
                <w:rFonts w:ascii="宋体"/>
              </w:rPr>
            </w:pPr>
          </w:p>
        </w:tc>
        <w:tc>
          <w:tcPr>
            <w:tcW w:w="238" w:type="pct"/>
            <w:shd w:val="clear" w:color="auto" w:fill="auto"/>
          </w:tcPr>
          <w:p w14:paraId="36CA5B09" w14:textId="77777777" w:rsidR="00787570" w:rsidRDefault="00787570">
            <w:pPr>
              <w:rPr>
                <w:rFonts w:ascii="宋体"/>
              </w:rPr>
            </w:pPr>
          </w:p>
        </w:tc>
        <w:tc>
          <w:tcPr>
            <w:tcW w:w="5" w:type="pct"/>
            <w:shd w:val="clear" w:color="auto" w:fill="auto"/>
          </w:tcPr>
          <w:p w14:paraId="36CA5B0A" w14:textId="77777777" w:rsidR="00787570" w:rsidRDefault="00787570">
            <w:pPr>
              <w:rPr>
                <w:rFonts w:ascii="宋体"/>
              </w:rPr>
            </w:pPr>
          </w:p>
        </w:tc>
        <w:tc>
          <w:tcPr>
            <w:tcW w:w="50" w:type="pct"/>
            <w:shd w:val="clear" w:color="auto" w:fill="auto"/>
          </w:tcPr>
          <w:p w14:paraId="36CA5B0B" w14:textId="77777777" w:rsidR="00787570" w:rsidRDefault="00787570">
            <w:pPr>
              <w:rPr>
                <w:rFonts w:ascii="宋体"/>
              </w:rPr>
            </w:pPr>
          </w:p>
        </w:tc>
        <w:tc>
          <w:tcPr>
            <w:tcW w:w="1138" w:type="pct"/>
            <w:shd w:val="clear" w:color="auto" w:fill="auto"/>
          </w:tcPr>
          <w:p w14:paraId="36CA5B0C" w14:textId="77777777" w:rsidR="00787570" w:rsidRDefault="00787570">
            <w:pPr>
              <w:rPr>
                <w:rFonts w:ascii="宋体"/>
              </w:rPr>
            </w:pPr>
          </w:p>
        </w:tc>
        <w:tc>
          <w:tcPr>
            <w:tcW w:w="5" w:type="pct"/>
            <w:shd w:val="clear" w:color="auto" w:fill="auto"/>
          </w:tcPr>
          <w:p w14:paraId="36CA5B0D" w14:textId="77777777" w:rsidR="00787570" w:rsidRDefault="00787570">
            <w:pPr>
              <w:rPr>
                <w:rFonts w:ascii="宋体"/>
              </w:rPr>
            </w:pPr>
          </w:p>
        </w:tc>
        <w:tc>
          <w:tcPr>
            <w:tcW w:w="50" w:type="pct"/>
            <w:shd w:val="clear" w:color="auto" w:fill="auto"/>
          </w:tcPr>
          <w:p w14:paraId="36CA5B0E" w14:textId="77777777" w:rsidR="00787570" w:rsidRDefault="00787570">
            <w:pPr>
              <w:rPr>
                <w:rFonts w:ascii="宋体"/>
              </w:rPr>
            </w:pPr>
          </w:p>
        </w:tc>
        <w:tc>
          <w:tcPr>
            <w:tcW w:w="756" w:type="pct"/>
            <w:shd w:val="clear" w:color="auto" w:fill="auto"/>
          </w:tcPr>
          <w:p w14:paraId="36CA5B0F" w14:textId="77777777" w:rsidR="00787570" w:rsidRDefault="00787570">
            <w:pPr>
              <w:rPr>
                <w:rFonts w:ascii="宋体"/>
              </w:rPr>
            </w:pPr>
          </w:p>
        </w:tc>
        <w:tc>
          <w:tcPr>
            <w:tcW w:w="5" w:type="pct"/>
            <w:shd w:val="clear" w:color="auto" w:fill="auto"/>
          </w:tcPr>
          <w:p w14:paraId="36CA5B10" w14:textId="77777777" w:rsidR="00787570" w:rsidRDefault="00787570">
            <w:pPr>
              <w:rPr>
                <w:rFonts w:ascii="宋体"/>
              </w:rPr>
            </w:pPr>
          </w:p>
        </w:tc>
        <w:tc>
          <w:tcPr>
            <w:tcW w:w="50" w:type="pct"/>
            <w:shd w:val="clear" w:color="auto" w:fill="auto"/>
          </w:tcPr>
          <w:p w14:paraId="36CA5B11" w14:textId="77777777" w:rsidR="00787570" w:rsidRDefault="00787570">
            <w:pPr>
              <w:rPr>
                <w:rFonts w:ascii="宋体"/>
              </w:rPr>
            </w:pPr>
          </w:p>
        </w:tc>
        <w:tc>
          <w:tcPr>
            <w:tcW w:w="135" w:type="pct"/>
            <w:shd w:val="clear" w:color="auto" w:fill="auto"/>
          </w:tcPr>
          <w:p w14:paraId="36CA5B12" w14:textId="77777777" w:rsidR="00787570" w:rsidRDefault="00787570">
            <w:pPr>
              <w:rPr>
                <w:rFonts w:ascii="宋体"/>
              </w:rPr>
            </w:pPr>
          </w:p>
        </w:tc>
        <w:tc>
          <w:tcPr>
            <w:tcW w:w="5" w:type="pct"/>
            <w:shd w:val="clear" w:color="auto" w:fill="auto"/>
          </w:tcPr>
          <w:p w14:paraId="36CA5B13" w14:textId="77777777" w:rsidR="00787570" w:rsidRDefault="00787570">
            <w:pPr>
              <w:rPr>
                <w:rFonts w:ascii="宋体"/>
              </w:rPr>
            </w:pPr>
          </w:p>
        </w:tc>
        <w:tc>
          <w:tcPr>
            <w:tcW w:w="5" w:type="pct"/>
            <w:shd w:val="clear" w:color="auto" w:fill="auto"/>
          </w:tcPr>
          <w:p w14:paraId="36CA5B14" w14:textId="77777777" w:rsidR="00787570" w:rsidRDefault="00787570">
            <w:pPr>
              <w:rPr>
                <w:rFonts w:ascii="宋体"/>
              </w:rPr>
            </w:pPr>
          </w:p>
        </w:tc>
        <w:tc>
          <w:tcPr>
            <w:tcW w:w="99" w:type="pct"/>
            <w:shd w:val="clear" w:color="auto" w:fill="auto"/>
          </w:tcPr>
          <w:p w14:paraId="36CA5B15" w14:textId="77777777" w:rsidR="00787570" w:rsidRDefault="00787570">
            <w:pPr>
              <w:rPr>
                <w:rFonts w:ascii="宋体"/>
              </w:rPr>
            </w:pPr>
          </w:p>
        </w:tc>
        <w:tc>
          <w:tcPr>
            <w:tcW w:w="5" w:type="pct"/>
            <w:shd w:val="clear" w:color="auto" w:fill="auto"/>
          </w:tcPr>
          <w:p w14:paraId="36CA5B16" w14:textId="77777777" w:rsidR="00787570" w:rsidRDefault="00787570">
            <w:pPr>
              <w:rPr>
                <w:rFonts w:ascii="宋体"/>
              </w:rPr>
            </w:pPr>
          </w:p>
        </w:tc>
        <w:tc>
          <w:tcPr>
            <w:tcW w:w="50" w:type="pct"/>
            <w:shd w:val="clear" w:color="auto" w:fill="auto"/>
          </w:tcPr>
          <w:p w14:paraId="36CA5B17" w14:textId="77777777" w:rsidR="00787570" w:rsidRDefault="00787570">
            <w:pPr>
              <w:rPr>
                <w:rFonts w:ascii="宋体"/>
              </w:rPr>
            </w:pPr>
          </w:p>
        </w:tc>
        <w:tc>
          <w:tcPr>
            <w:tcW w:w="2346" w:type="pct"/>
            <w:shd w:val="clear" w:color="auto" w:fill="auto"/>
          </w:tcPr>
          <w:p w14:paraId="36CA5B18" w14:textId="77777777" w:rsidR="00787570" w:rsidRDefault="00787570">
            <w:pPr>
              <w:rPr>
                <w:rFonts w:ascii="宋体"/>
              </w:rPr>
            </w:pPr>
          </w:p>
        </w:tc>
        <w:tc>
          <w:tcPr>
            <w:tcW w:w="5" w:type="pct"/>
            <w:shd w:val="clear" w:color="auto" w:fill="auto"/>
          </w:tcPr>
          <w:p w14:paraId="36CA5B19" w14:textId="77777777" w:rsidR="00787570" w:rsidRDefault="00787570">
            <w:pPr>
              <w:rPr>
                <w:rFonts w:ascii="宋体"/>
              </w:rPr>
            </w:pPr>
          </w:p>
        </w:tc>
      </w:tr>
      <w:tr w:rsidR="00787570" w14:paraId="36CA5B21" w14:textId="77777777">
        <w:tc>
          <w:tcPr>
            <w:tcW w:w="0" w:type="auto"/>
            <w:gridSpan w:val="3"/>
            <w:shd w:val="clear" w:color="auto" w:fill="auto"/>
            <w:tcMar>
              <w:left w:w="20" w:type="dxa"/>
              <w:right w:w="20" w:type="dxa"/>
            </w:tcMar>
            <w:vAlign w:val="bottom"/>
          </w:tcPr>
          <w:p w14:paraId="36CA5B1B"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5B1C" w14:textId="77777777" w:rsidR="00787570" w:rsidRDefault="00787570">
            <w:pPr>
              <w:rPr>
                <w:rFonts w:ascii="宋体"/>
              </w:rPr>
            </w:pPr>
          </w:p>
        </w:tc>
        <w:tc>
          <w:tcPr>
            <w:tcW w:w="0" w:type="auto"/>
            <w:gridSpan w:val="3"/>
            <w:shd w:val="clear" w:color="auto" w:fill="auto"/>
            <w:tcMar>
              <w:top w:w="40" w:type="dxa"/>
              <w:left w:w="20" w:type="dxa"/>
              <w:bottom w:w="40" w:type="dxa"/>
              <w:right w:w="20" w:type="dxa"/>
            </w:tcMar>
            <w:vAlign w:val="bottom"/>
          </w:tcPr>
          <w:p w14:paraId="36CA5B1D" w14:textId="77777777" w:rsidR="00787570" w:rsidRDefault="000D56E2">
            <w:pPr>
              <w:textAlignment w:val="bottom"/>
            </w:pPr>
            <w:r>
              <w:rPr>
                <w:rFonts w:ascii="Arial" w:eastAsia="宋体" w:hAnsi="Arial" w:cs="Arial"/>
                <w:color w:val="333333"/>
                <w:sz w:val="18"/>
                <w:szCs w:val="18"/>
              </w:rPr>
              <w:t> </w:t>
            </w:r>
          </w:p>
        </w:tc>
        <w:tc>
          <w:tcPr>
            <w:tcW w:w="0" w:type="auto"/>
            <w:gridSpan w:val="9"/>
            <w:shd w:val="clear" w:color="auto" w:fill="auto"/>
            <w:tcMar>
              <w:top w:w="40" w:type="dxa"/>
              <w:left w:w="20" w:type="dxa"/>
              <w:bottom w:w="40" w:type="dxa"/>
              <w:right w:w="20" w:type="dxa"/>
            </w:tcMar>
            <w:vAlign w:val="bottom"/>
          </w:tcPr>
          <w:p w14:paraId="36CA5B1E" w14:textId="77777777" w:rsidR="00787570" w:rsidRDefault="000D56E2">
            <w:pPr>
              <w:textAlignment w:val="bottom"/>
            </w:pPr>
            <w:r>
              <w:rPr>
                <w:rFonts w:ascii="Arial" w:eastAsia="宋体" w:hAnsi="Arial" w:cs="Arial"/>
                <w:color w:val="333333"/>
                <w:sz w:val="18"/>
                <w:szCs w:val="18"/>
              </w:rPr>
              <w:t>INTEL CORPORATION</w:t>
            </w:r>
            <w:r>
              <w:rPr>
                <w:rFonts w:ascii="Arial" w:eastAsia="宋体" w:hAnsi="Arial" w:cs="Arial"/>
                <w:color w:val="333333"/>
                <w:sz w:val="18"/>
                <w:szCs w:val="18"/>
              </w:rPr>
              <w:br/>
              <w:t>(Registrant)</w:t>
            </w:r>
          </w:p>
        </w:tc>
        <w:tc>
          <w:tcPr>
            <w:tcW w:w="0" w:type="auto"/>
            <w:gridSpan w:val="3"/>
            <w:shd w:val="clear" w:color="auto" w:fill="auto"/>
          </w:tcPr>
          <w:p w14:paraId="36CA5B1F" w14:textId="77777777" w:rsidR="00787570" w:rsidRDefault="00787570">
            <w:pPr>
              <w:rPr>
                <w:rFonts w:ascii="宋体"/>
                <w:vanish/>
              </w:rPr>
            </w:pPr>
          </w:p>
        </w:tc>
        <w:tc>
          <w:tcPr>
            <w:tcW w:w="0" w:type="auto"/>
            <w:gridSpan w:val="3"/>
            <w:shd w:val="clear" w:color="auto" w:fill="auto"/>
          </w:tcPr>
          <w:p w14:paraId="36CA5B20" w14:textId="77777777" w:rsidR="00787570" w:rsidRDefault="00787570">
            <w:pPr>
              <w:rPr>
                <w:rFonts w:ascii="宋体"/>
                <w:vanish/>
              </w:rPr>
            </w:pPr>
          </w:p>
        </w:tc>
      </w:tr>
      <w:tr w:rsidR="00787570" w14:paraId="36CA5B2E" w14:textId="77777777">
        <w:trPr>
          <w:trHeight w:val="300"/>
        </w:trPr>
        <w:tc>
          <w:tcPr>
            <w:tcW w:w="0" w:type="auto"/>
            <w:gridSpan w:val="3"/>
            <w:shd w:val="clear" w:color="auto" w:fill="auto"/>
            <w:tcMar>
              <w:left w:w="20" w:type="dxa"/>
              <w:right w:w="20" w:type="dxa"/>
            </w:tcMar>
            <w:vAlign w:val="bottom"/>
          </w:tcPr>
          <w:p w14:paraId="36CA5B22"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5B23"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5B24"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5B25"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5B26"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5B27" w14:textId="77777777" w:rsidR="00787570" w:rsidRDefault="00787570">
            <w:pPr>
              <w:rPr>
                <w:rFonts w:ascii="宋体"/>
              </w:rPr>
            </w:pPr>
          </w:p>
        </w:tc>
        <w:tc>
          <w:tcPr>
            <w:tcW w:w="0" w:type="auto"/>
            <w:shd w:val="clear" w:color="auto" w:fill="auto"/>
          </w:tcPr>
          <w:p w14:paraId="36CA5B28" w14:textId="77777777" w:rsidR="00787570" w:rsidRDefault="00787570">
            <w:pPr>
              <w:rPr>
                <w:rFonts w:ascii="宋体"/>
              </w:rPr>
            </w:pPr>
          </w:p>
        </w:tc>
        <w:tc>
          <w:tcPr>
            <w:tcW w:w="0" w:type="auto"/>
            <w:shd w:val="clear" w:color="auto" w:fill="auto"/>
          </w:tcPr>
          <w:p w14:paraId="36CA5B29" w14:textId="77777777" w:rsidR="00787570" w:rsidRDefault="00787570">
            <w:pPr>
              <w:rPr>
                <w:rFonts w:ascii="宋体"/>
              </w:rPr>
            </w:pPr>
          </w:p>
        </w:tc>
        <w:tc>
          <w:tcPr>
            <w:tcW w:w="0" w:type="auto"/>
            <w:shd w:val="clear" w:color="auto" w:fill="auto"/>
          </w:tcPr>
          <w:p w14:paraId="36CA5B2A" w14:textId="77777777" w:rsidR="00787570" w:rsidRDefault="00787570">
            <w:pPr>
              <w:rPr>
                <w:rFonts w:ascii="宋体"/>
              </w:rPr>
            </w:pPr>
          </w:p>
        </w:tc>
        <w:tc>
          <w:tcPr>
            <w:tcW w:w="0" w:type="auto"/>
            <w:shd w:val="clear" w:color="auto" w:fill="auto"/>
          </w:tcPr>
          <w:p w14:paraId="36CA5B2B" w14:textId="77777777" w:rsidR="00787570" w:rsidRDefault="00787570">
            <w:pPr>
              <w:rPr>
                <w:rFonts w:ascii="宋体"/>
              </w:rPr>
            </w:pPr>
          </w:p>
        </w:tc>
        <w:tc>
          <w:tcPr>
            <w:tcW w:w="0" w:type="auto"/>
            <w:shd w:val="clear" w:color="auto" w:fill="auto"/>
          </w:tcPr>
          <w:p w14:paraId="36CA5B2C" w14:textId="77777777" w:rsidR="00787570" w:rsidRDefault="00787570">
            <w:pPr>
              <w:rPr>
                <w:rFonts w:ascii="宋体"/>
              </w:rPr>
            </w:pPr>
          </w:p>
        </w:tc>
        <w:tc>
          <w:tcPr>
            <w:tcW w:w="0" w:type="auto"/>
            <w:shd w:val="clear" w:color="auto" w:fill="auto"/>
          </w:tcPr>
          <w:p w14:paraId="36CA5B2D" w14:textId="77777777" w:rsidR="00787570" w:rsidRDefault="00787570">
            <w:pPr>
              <w:rPr>
                <w:rFonts w:ascii="宋体"/>
              </w:rPr>
            </w:pPr>
          </w:p>
        </w:tc>
      </w:tr>
      <w:tr w:rsidR="00787570" w14:paraId="36CA5B3B" w14:textId="77777777">
        <w:tc>
          <w:tcPr>
            <w:tcW w:w="0" w:type="auto"/>
            <w:gridSpan w:val="3"/>
            <w:shd w:val="clear" w:color="auto" w:fill="auto"/>
            <w:tcMar>
              <w:top w:w="40" w:type="dxa"/>
              <w:left w:w="20" w:type="dxa"/>
              <w:bottom w:w="40" w:type="dxa"/>
              <w:right w:w="20" w:type="dxa"/>
            </w:tcMar>
            <w:vAlign w:val="bottom"/>
          </w:tcPr>
          <w:p w14:paraId="36CA5B2F" w14:textId="77777777" w:rsidR="00787570" w:rsidRDefault="000D56E2">
            <w:pPr>
              <w:textAlignment w:val="bottom"/>
            </w:pPr>
            <w:r>
              <w:rPr>
                <w:rFonts w:ascii="Arial" w:eastAsia="宋体" w:hAnsi="Arial" w:cs="Arial"/>
                <w:color w:val="333333"/>
                <w:sz w:val="18"/>
                <w:szCs w:val="18"/>
              </w:rPr>
              <w:t xml:space="preserve">Date: </w:t>
            </w:r>
          </w:p>
        </w:tc>
        <w:tc>
          <w:tcPr>
            <w:tcW w:w="0" w:type="auto"/>
            <w:gridSpan w:val="3"/>
            <w:shd w:val="clear" w:color="auto" w:fill="auto"/>
            <w:tcMar>
              <w:top w:w="40" w:type="dxa"/>
              <w:left w:w="20" w:type="dxa"/>
              <w:bottom w:w="40" w:type="dxa"/>
              <w:right w:w="20" w:type="dxa"/>
            </w:tcMar>
            <w:vAlign w:val="bottom"/>
          </w:tcPr>
          <w:p w14:paraId="36CA5B30" w14:textId="77777777" w:rsidR="00787570" w:rsidRDefault="000D56E2">
            <w:pPr>
              <w:textAlignment w:val="bottom"/>
            </w:pPr>
            <w:r>
              <w:rPr>
                <w:rFonts w:ascii="Arial" w:eastAsia="宋体" w:hAnsi="Arial" w:cs="Arial"/>
                <w:color w:val="333333"/>
                <w:sz w:val="18"/>
                <w:szCs w:val="18"/>
              </w:rPr>
              <w:t>October 22, 2020</w:t>
            </w:r>
          </w:p>
        </w:tc>
        <w:tc>
          <w:tcPr>
            <w:tcW w:w="0" w:type="auto"/>
            <w:gridSpan w:val="3"/>
            <w:shd w:val="clear" w:color="auto" w:fill="auto"/>
            <w:tcMar>
              <w:top w:w="40" w:type="dxa"/>
              <w:left w:w="20" w:type="dxa"/>
              <w:bottom w:w="40" w:type="dxa"/>
              <w:right w:w="20" w:type="dxa"/>
            </w:tcMar>
            <w:vAlign w:val="bottom"/>
          </w:tcPr>
          <w:p w14:paraId="36CA5B31" w14:textId="77777777" w:rsidR="00787570" w:rsidRDefault="000D56E2">
            <w:pPr>
              <w:textAlignment w:val="bottom"/>
            </w:pPr>
            <w:r>
              <w:rPr>
                <w:rFonts w:ascii="Arial" w:eastAsia="宋体" w:hAnsi="Arial" w:cs="Arial"/>
                <w:color w:val="333333"/>
                <w:sz w:val="18"/>
                <w:szCs w:val="18"/>
              </w:rPr>
              <w:t> </w:t>
            </w:r>
          </w:p>
        </w:tc>
        <w:tc>
          <w:tcPr>
            <w:tcW w:w="0" w:type="auto"/>
            <w:gridSpan w:val="3"/>
            <w:shd w:val="clear" w:color="auto" w:fill="auto"/>
            <w:tcMar>
              <w:top w:w="40" w:type="dxa"/>
              <w:left w:w="20" w:type="dxa"/>
              <w:bottom w:w="40" w:type="dxa"/>
              <w:right w:w="20" w:type="dxa"/>
            </w:tcMar>
            <w:vAlign w:val="bottom"/>
          </w:tcPr>
          <w:p w14:paraId="36CA5B32" w14:textId="77777777" w:rsidR="00787570" w:rsidRDefault="000D56E2">
            <w:pPr>
              <w:textAlignment w:val="bottom"/>
            </w:pPr>
            <w:r>
              <w:rPr>
                <w:rFonts w:ascii="Arial" w:eastAsia="宋体" w:hAnsi="Arial" w:cs="Arial"/>
                <w:color w:val="333333"/>
                <w:sz w:val="18"/>
                <w:szCs w:val="18"/>
              </w:rPr>
              <w:t>By:</w:t>
            </w:r>
          </w:p>
        </w:tc>
        <w:tc>
          <w:tcPr>
            <w:tcW w:w="0" w:type="auto"/>
            <w:gridSpan w:val="3"/>
            <w:shd w:val="clear" w:color="auto" w:fill="auto"/>
            <w:tcMar>
              <w:top w:w="40" w:type="dxa"/>
              <w:left w:w="20" w:type="dxa"/>
              <w:bottom w:w="40" w:type="dxa"/>
              <w:right w:w="20" w:type="dxa"/>
            </w:tcMar>
            <w:vAlign w:val="bottom"/>
          </w:tcPr>
          <w:p w14:paraId="36CA5B33" w14:textId="77777777" w:rsidR="00787570" w:rsidRDefault="000D56E2">
            <w:pPr>
              <w:textAlignment w:val="bottom"/>
            </w:pPr>
            <w:r>
              <w:rPr>
                <w:rFonts w:ascii="Arial" w:eastAsia="宋体" w:hAnsi="Arial" w:cs="Arial"/>
                <w:color w:val="333333"/>
                <w:sz w:val="18"/>
                <w:szCs w:val="18"/>
              </w:rPr>
              <w:t> </w:t>
            </w:r>
          </w:p>
        </w:tc>
        <w:tc>
          <w:tcPr>
            <w:tcW w:w="0" w:type="auto"/>
            <w:gridSpan w:val="3"/>
            <w:shd w:val="clear" w:color="auto" w:fill="auto"/>
            <w:tcMar>
              <w:top w:w="40" w:type="dxa"/>
              <w:left w:w="20" w:type="dxa"/>
              <w:bottom w:w="40" w:type="dxa"/>
              <w:right w:w="20" w:type="dxa"/>
            </w:tcMar>
            <w:vAlign w:val="bottom"/>
          </w:tcPr>
          <w:p w14:paraId="36CA5B34" w14:textId="77777777" w:rsidR="00787570" w:rsidRDefault="000D56E2">
            <w:pPr>
              <w:textAlignment w:val="bottom"/>
            </w:pPr>
            <w:r>
              <w:rPr>
                <w:rFonts w:ascii="Arial" w:eastAsia="宋体" w:hAnsi="Arial" w:cs="Arial"/>
                <w:color w:val="333333"/>
                <w:sz w:val="18"/>
                <w:szCs w:val="18"/>
              </w:rPr>
              <w:t>/s/ GEORGE S. DAVIS</w:t>
            </w:r>
          </w:p>
        </w:tc>
        <w:tc>
          <w:tcPr>
            <w:tcW w:w="0" w:type="auto"/>
            <w:shd w:val="clear" w:color="auto" w:fill="auto"/>
          </w:tcPr>
          <w:p w14:paraId="36CA5B35" w14:textId="77777777" w:rsidR="00787570" w:rsidRDefault="00787570">
            <w:pPr>
              <w:rPr>
                <w:rFonts w:ascii="宋体"/>
              </w:rPr>
            </w:pPr>
          </w:p>
        </w:tc>
        <w:tc>
          <w:tcPr>
            <w:tcW w:w="0" w:type="auto"/>
            <w:shd w:val="clear" w:color="auto" w:fill="auto"/>
          </w:tcPr>
          <w:p w14:paraId="36CA5B36" w14:textId="77777777" w:rsidR="00787570" w:rsidRDefault="00787570">
            <w:pPr>
              <w:rPr>
                <w:rFonts w:ascii="宋体"/>
              </w:rPr>
            </w:pPr>
          </w:p>
        </w:tc>
        <w:tc>
          <w:tcPr>
            <w:tcW w:w="0" w:type="auto"/>
            <w:shd w:val="clear" w:color="auto" w:fill="auto"/>
          </w:tcPr>
          <w:p w14:paraId="36CA5B37" w14:textId="77777777" w:rsidR="00787570" w:rsidRDefault="00787570">
            <w:pPr>
              <w:rPr>
                <w:rFonts w:ascii="宋体"/>
              </w:rPr>
            </w:pPr>
          </w:p>
        </w:tc>
        <w:tc>
          <w:tcPr>
            <w:tcW w:w="0" w:type="auto"/>
            <w:shd w:val="clear" w:color="auto" w:fill="auto"/>
          </w:tcPr>
          <w:p w14:paraId="36CA5B38" w14:textId="77777777" w:rsidR="00787570" w:rsidRDefault="00787570">
            <w:pPr>
              <w:rPr>
                <w:rFonts w:ascii="宋体"/>
              </w:rPr>
            </w:pPr>
          </w:p>
        </w:tc>
        <w:tc>
          <w:tcPr>
            <w:tcW w:w="0" w:type="auto"/>
            <w:shd w:val="clear" w:color="auto" w:fill="auto"/>
          </w:tcPr>
          <w:p w14:paraId="36CA5B39" w14:textId="77777777" w:rsidR="00787570" w:rsidRDefault="00787570">
            <w:pPr>
              <w:rPr>
                <w:rFonts w:ascii="宋体"/>
              </w:rPr>
            </w:pPr>
          </w:p>
        </w:tc>
        <w:tc>
          <w:tcPr>
            <w:tcW w:w="0" w:type="auto"/>
            <w:shd w:val="clear" w:color="auto" w:fill="auto"/>
          </w:tcPr>
          <w:p w14:paraId="36CA5B3A" w14:textId="77777777" w:rsidR="00787570" w:rsidRDefault="00787570">
            <w:pPr>
              <w:rPr>
                <w:rFonts w:ascii="宋体"/>
              </w:rPr>
            </w:pPr>
          </w:p>
        </w:tc>
      </w:tr>
      <w:tr w:rsidR="00787570" w14:paraId="36CA5B48" w14:textId="77777777">
        <w:tc>
          <w:tcPr>
            <w:tcW w:w="0" w:type="auto"/>
            <w:gridSpan w:val="3"/>
            <w:shd w:val="clear" w:color="auto" w:fill="auto"/>
            <w:tcMar>
              <w:left w:w="20" w:type="dxa"/>
              <w:right w:w="20" w:type="dxa"/>
            </w:tcMar>
            <w:vAlign w:val="bottom"/>
          </w:tcPr>
          <w:p w14:paraId="36CA5B3C"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5B3D" w14:textId="77777777" w:rsidR="00787570" w:rsidRDefault="00787570">
            <w:pPr>
              <w:rPr>
                <w:rFonts w:ascii="宋体"/>
              </w:rPr>
            </w:pPr>
          </w:p>
        </w:tc>
        <w:tc>
          <w:tcPr>
            <w:tcW w:w="0" w:type="auto"/>
            <w:gridSpan w:val="3"/>
            <w:shd w:val="clear" w:color="auto" w:fill="auto"/>
            <w:tcMar>
              <w:top w:w="40" w:type="dxa"/>
              <w:left w:w="20" w:type="dxa"/>
              <w:bottom w:w="40" w:type="dxa"/>
              <w:right w:w="20" w:type="dxa"/>
            </w:tcMar>
            <w:vAlign w:val="bottom"/>
          </w:tcPr>
          <w:p w14:paraId="36CA5B3E" w14:textId="77777777" w:rsidR="00787570" w:rsidRDefault="000D56E2">
            <w:pPr>
              <w:textAlignment w:val="bottom"/>
            </w:pPr>
            <w:r>
              <w:rPr>
                <w:rFonts w:ascii="Arial" w:eastAsia="宋体" w:hAnsi="Arial" w:cs="Arial"/>
                <w:color w:val="333333"/>
                <w:sz w:val="18"/>
                <w:szCs w:val="18"/>
              </w:rPr>
              <w:t> </w:t>
            </w:r>
          </w:p>
        </w:tc>
        <w:tc>
          <w:tcPr>
            <w:tcW w:w="0" w:type="auto"/>
            <w:gridSpan w:val="3"/>
            <w:shd w:val="clear" w:color="auto" w:fill="auto"/>
            <w:tcMar>
              <w:left w:w="20" w:type="dxa"/>
              <w:right w:w="20" w:type="dxa"/>
            </w:tcMar>
            <w:vAlign w:val="bottom"/>
          </w:tcPr>
          <w:p w14:paraId="36CA5B3F" w14:textId="77777777" w:rsidR="00787570" w:rsidRDefault="00787570">
            <w:pPr>
              <w:rPr>
                <w:rFonts w:ascii="宋体"/>
              </w:rPr>
            </w:pPr>
          </w:p>
        </w:tc>
        <w:tc>
          <w:tcPr>
            <w:tcW w:w="0" w:type="auto"/>
            <w:gridSpan w:val="3"/>
            <w:tcBorders>
              <w:top w:val="single" w:sz="8" w:space="0" w:color="333333"/>
            </w:tcBorders>
            <w:shd w:val="clear" w:color="auto" w:fill="auto"/>
            <w:tcMar>
              <w:top w:w="40" w:type="dxa"/>
              <w:left w:w="20" w:type="dxa"/>
              <w:bottom w:w="40" w:type="dxa"/>
              <w:right w:w="20" w:type="dxa"/>
            </w:tcMar>
            <w:vAlign w:val="bottom"/>
          </w:tcPr>
          <w:p w14:paraId="36CA5B40" w14:textId="77777777" w:rsidR="00787570" w:rsidRDefault="000D56E2">
            <w:pPr>
              <w:textAlignment w:val="bottom"/>
            </w:pPr>
            <w:r>
              <w:rPr>
                <w:rFonts w:ascii="Arial" w:eastAsia="宋体" w:hAnsi="Arial" w:cs="Arial"/>
                <w:color w:val="333333"/>
                <w:sz w:val="18"/>
                <w:szCs w:val="18"/>
              </w:rPr>
              <w:t> </w:t>
            </w:r>
          </w:p>
        </w:tc>
        <w:tc>
          <w:tcPr>
            <w:tcW w:w="0" w:type="auto"/>
            <w:gridSpan w:val="3"/>
            <w:tcBorders>
              <w:top w:val="single" w:sz="8" w:space="0" w:color="333333"/>
            </w:tcBorders>
            <w:shd w:val="clear" w:color="auto" w:fill="auto"/>
            <w:tcMar>
              <w:top w:w="40" w:type="dxa"/>
              <w:left w:w="20" w:type="dxa"/>
              <w:bottom w:w="40" w:type="dxa"/>
              <w:right w:w="20" w:type="dxa"/>
            </w:tcMar>
            <w:vAlign w:val="bottom"/>
          </w:tcPr>
          <w:p w14:paraId="36CA5B41" w14:textId="77777777" w:rsidR="00787570" w:rsidRDefault="000D56E2">
            <w:pPr>
              <w:textAlignment w:val="bottom"/>
            </w:pPr>
            <w:r>
              <w:rPr>
                <w:rFonts w:ascii="Arial" w:eastAsia="宋体" w:hAnsi="Arial" w:cs="Arial"/>
                <w:color w:val="333333"/>
                <w:sz w:val="18"/>
                <w:szCs w:val="18"/>
              </w:rPr>
              <w:t>George S. Davis</w:t>
            </w:r>
          </w:p>
        </w:tc>
        <w:tc>
          <w:tcPr>
            <w:tcW w:w="0" w:type="auto"/>
            <w:shd w:val="clear" w:color="auto" w:fill="auto"/>
          </w:tcPr>
          <w:p w14:paraId="36CA5B42" w14:textId="77777777" w:rsidR="00787570" w:rsidRDefault="00787570">
            <w:pPr>
              <w:rPr>
                <w:rFonts w:ascii="宋体"/>
              </w:rPr>
            </w:pPr>
          </w:p>
        </w:tc>
        <w:tc>
          <w:tcPr>
            <w:tcW w:w="0" w:type="auto"/>
            <w:shd w:val="clear" w:color="auto" w:fill="auto"/>
          </w:tcPr>
          <w:p w14:paraId="36CA5B43" w14:textId="77777777" w:rsidR="00787570" w:rsidRDefault="00787570">
            <w:pPr>
              <w:rPr>
                <w:rFonts w:ascii="宋体"/>
              </w:rPr>
            </w:pPr>
          </w:p>
        </w:tc>
        <w:tc>
          <w:tcPr>
            <w:tcW w:w="0" w:type="auto"/>
            <w:shd w:val="clear" w:color="auto" w:fill="auto"/>
          </w:tcPr>
          <w:p w14:paraId="36CA5B44" w14:textId="77777777" w:rsidR="00787570" w:rsidRDefault="00787570">
            <w:pPr>
              <w:rPr>
                <w:rFonts w:ascii="宋体"/>
              </w:rPr>
            </w:pPr>
          </w:p>
        </w:tc>
        <w:tc>
          <w:tcPr>
            <w:tcW w:w="0" w:type="auto"/>
            <w:shd w:val="clear" w:color="auto" w:fill="auto"/>
          </w:tcPr>
          <w:p w14:paraId="36CA5B45" w14:textId="77777777" w:rsidR="00787570" w:rsidRDefault="00787570">
            <w:pPr>
              <w:rPr>
                <w:rFonts w:ascii="宋体"/>
              </w:rPr>
            </w:pPr>
          </w:p>
        </w:tc>
        <w:tc>
          <w:tcPr>
            <w:tcW w:w="0" w:type="auto"/>
            <w:shd w:val="clear" w:color="auto" w:fill="auto"/>
          </w:tcPr>
          <w:p w14:paraId="36CA5B46" w14:textId="77777777" w:rsidR="00787570" w:rsidRDefault="00787570">
            <w:pPr>
              <w:rPr>
                <w:rFonts w:ascii="宋体"/>
              </w:rPr>
            </w:pPr>
          </w:p>
        </w:tc>
        <w:tc>
          <w:tcPr>
            <w:tcW w:w="0" w:type="auto"/>
            <w:shd w:val="clear" w:color="auto" w:fill="auto"/>
          </w:tcPr>
          <w:p w14:paraId="36CA5B47" w14:textId="77777777" w:rsidR="00787570" w:rsidRDefault="00787570">
            <w:pPr>
              <w:rPr>
                <w:rFonts w:ascii="宋体"/>
              </w:rPr>
            </w:pPr>
          </w:p>
        </w:tc>
      </w:tr>
      <w:tr w:rsidR="00787570" w14:paraId="36CA5B55" w14:textId="77777777">
        <w:tc>
          <w:tcPr>
            <w:tcW w:w="0" w:type="auto"/>
            <w:gridSpan w:val="3"/>
            <w:shd w:val="clear" w:color="auto" w:fill="auto"/>
            <w:tcMar>
              <w:left w:w="20" w:type="dxa"/>
              <w:right w:w="20" w:type="dxa"/>
            </w:tcMar>
            <w:vAlign w:val="bottom"/>
          </w:tcPr>
          <w:p w14:paraId="36CA5B49"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5B4A" w14:textId="77777777" w:rsidR="00787570" w:rsidRDefault="00787570">
            <w:pPr>
              <w:rPr>
                <w:rFonts w:ascii="宋体"/>
              </w:rPr>
            </w:pPr>
          </w:p>
        </w:tc>
        <w:tc>
          <w:tcPr>
            <w:tcW w:w="0" w:type="auto"/>
            <w:gridSpan w:val="3"/>
            <w:shd w:val="clear" w:color="auto" w:fill="auto"/>
            <w:tcMar>
              <w:top w:w="40" w:type="dxa"/>
              <w:left w:w="20" w:type="dxa"/>
              <w:bottom w:w="40" w:type="dxa"/>
              <w:right w:w="20" w:type="dxa"/>
            </w:tcMar>
            <w:vAlign w:val="bottom"/>
          </w:tcPr>
          <w:p w14:paraId="36CA5B4B" w14:textId="77777777" w:rsidR="00787570" w:rsidRDefault="000D56E2">
            <w:pPr>
              <w:textAlignment w:val="bottom"/>
            </w:pPr>
            <w:r>
              <w:rPr>
                <w:rFonts w:ascii="Arial" w:eastAsia="宋体" w:hAnsi="Arial" w:cs="Arial"/>
                <w:color w:val="333333"/>
                <w:sz w:val="18"/>
                <w:szCs w:val="18"/>
              </w:rPr>
              <w:t> </w:t>
            </w:r>
          </w:p>
        </w:tc>
        <w:tc>
          <w:tcPr>
            <w:tcW w:w="0" w:type="auto"/>
            <w:gridSpan w:val="3"/>
            <w:shd w:val="clear" w:color="auto" w:fill="auto"/>
            <w:tcMar>
              <w:left w:w="20" w:type="dxa"/>
              <w:right w:w="20" w:type="dxa"/>
            </w:tcMar>
            <w:vAlign w:val="bottom"/>
          </w:tcPr>
          <w:p w14:paraId="36CA5B4C" w14:textId="77777777" w:rsidR="00787570" w:rsidRDefault="00787570">
            <w:pPr>
              <w:rPr>
                <w:rFonts w:ascii="宋体"/>
              </w:rPr>
            </w:pPr>
          </w:p>
        </w:tc>
        <w:tc>
          <w:tcPr>
            <w:tcW w:w="0" w:type="auto"/>
            <w:gridSpan w:val="3"/>
            <w:shd w:val="clear" w:color="auto" w:fill="auto"/>
            <w:tcMar>
              <w:top w:w="40" w:type="dxa"/>
              <w:left w:w="20" w:type="dxa"/>
              <w:bottom w:w="40" w:type="dxa"/>
              <w:right w:w="20" w:type="dxa"/>
            </w:tcMar>
            <w:vAlign w:val="bottom"/>
          </w:tcPr>
          <w:p w14:paraId="36CA5B4D" w14:textId="77777777" w:rsidR="00787570" w:rsidRDefault="000D56E2">
            <w:pPr>
              <w:textAlignment w:val="bottom"/>
            </w:pPr>
            <w:r>
              <w:rPr>
                <w:rFonts w:ascii="Arial" w:eastAsia="宋体" w:hAnsi="Arial" w:cs="Arial"/>
                <w:color w:val="333333"/>
                <w:sz w:val="18"/>
                <w:szCs w:val="18"/>
              </w:rPr>
              <w:t> </w:t>
            </w:r>
          </w:p>
        </w:tc>
        <w:tc>
          <w:tcPr>
            <w:tcW w:w="0" w:type="auto"/>
            <w:gridSpan w:val="3"/>
            <w:shd w:val="clear" w:color="auto" w:fill="auto"/>
            <w:tcMar>
              <w:top w:w="40" w:type="dxa"/>
              <w:left w:w="20" w:type="dxa"/>
              <w:bottom w:w="40" w:type="dxa"/>
              <w:right w:w="20" w:type="dxa"/>
            </w:tcMar>
          </w:tcPr>
          <w:p w14:paraId="36CA5B4E" w14:textId="77777777" w:rsidR="00787570" w:rsidRDefault="000D56E2">
            <w:pPr>
              <w:textAlignment w:val="top"/>
            </w:pPr>
            <w:r>
              <w:rPr>
                <w:rFonts w:ascii="Arial" w:eastAsia="宋体" w:hAnsi="Arial" w:cs="Arial"/>
                <w:color w:val="333333"/>
                <w:sz w:val="18"/>
                <w:szCs w:val="18"/>
              </w:rPr>
              <w:t>Executive Vice President, Chief Financial Officer and Principal Financial Officer</w:t>
            </w:r>
          </w:p>
        </w:tc>
        <w:tc>
          <w:tcPr>
            <w:tcW w:w="0" w:type="auto"/>
            <w:shd w:val="clear" w:color="auto" w:fill="auto"/>
          </w:tcPr>
          <w:p w14:paraId="36CA5B4F" w14:textId="77777777" w:rsidR="00787570" w:rsidRDefault="00787570">
            <w:pPr>
              <w:rPr>
                <w:rFonts w:ascii="宋体"/>
              </w:rPr>
            </w:pPr>
          </w:p>
        </w:tc>
        <w:tc>
          <w:tcPr>
            <w:tcW w:w="0" w:type="auto"/>
            <w:shd w:val="clear" w:color="auto" w:fill="auto"/>
          </w:tcPr>
          <w:p w14:paraId="36CA5B50" w14:textId="77777777" w:rsidR="00787570" w:rsidRDefault="00787570">
            <w:pPr>
              <w:rPr>
                <w:rFonts w:ascii="宋体"/>
              </w:rPr>
            </w:pPr>
          </w:p>
        </w:tc>
        <w:tc>
          <w:tcPr>
            <w:tcW w:w="0" w:type="auto"/>
            <w:shd w:val="clear" w:color="auto" w:fill="auto"/>
          </w:tcPr>
          <w:p w14:paraId="36CA5B51" w14:textId="77777777" w:rsidR="00787570" w:rsidRDefault="00787570">
            <w:pPr>
              <w:rPr>
                <w:rFonts w:ascii="宋体"/>
              </w:rPr>
            </w:pPr>
          </w:p>
        </w:tc>
        <w:tc>
          <w:tcPr>
            <w:tcW w:w="0" w:type="auto"/>
            <w:shd w:val="clear" w:color="auto" w:fill="auto"/>
          </w:tcPr>
          <w:p w14:paraId="36CA5B52" w14:textId="77777777" w:rsidR="00787570" w:rsidRDefault="00787570">
            <w:pPr>
              <w:rPr>
                <w:rFonts w:ascii="宋体"/>
              </w:rPr>
            </w:pPr>
          </w:p>
        </w:tc>
        <w:tc>
          <w:tcPr>
            <w:tcW w:w="0" w:type="auto"/>
            <w:shd w:val="clear" w:color="auto" w:fill="auto"/>
          </w:tcPr>
          <w:p w14:paraId="36CA5B53" w14:textId="77777777" w:rsidR="00787570" w:rsidRDefault="00787570">
            <w:pPr>
              <w:rPr>
                <w:rFonts w:ascii="宋体"/>
              </w:rPr>
            </w:pPr>
          </w:p>
        </w:tc>
        <w:tc>
          <w:tcPr>
            <w:tcW w:w="0" w:type="auto"/>
            <w:shd w:val="clear" w:color="auto" w:fill="auto"/>
          </w:tcPr>
          <w:p w14:paraId="36CA5B54" w14:textId="77777777" w:rsidR="00787570" w:rsidRDefault="00787570">
            <w:pPr>
              <w:rPr>
                <w:rFonts w:ascii="宋体"/>
              </w:rPr>
            </w:pPr>
          </w:p>
        </w:tc>
      </w:tr>
      <w:tr w:rsidR="00787570" w14:paraId="36CA5B62" w14:textId="77777777">
        <w:trPr>
          <w:trHeight w:val="480"/>
        </w:trPr>
        <w:tc>
          <w:tcPr>
            <w:tcW w:w="0" w:type="auto"/>
            <w:gridSpan w:val="3"/>
            <w:shd w:val="clear" w:color="auto" w:fill="auto"/>
            <w:tcMar>
              <w:left w:w="20" w:type="dxa"/>
              <w:right w:w="20" w:type="dxa"/>
            </w:tcMar>
            <w:vAlign w:val="bottom"/>
          </w:tcPr>
          <w:p w14:paraId="36CA5B56"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5B57"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5B58"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5B59"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5B5A"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5B5B" w14:textId="77777777" w:rsidR="00787570" w:rsidRDefault="00787570">
            <w:pPr>
              <w:rPr>
                <w:rFonts w:ascii="宋体"/>
              </w:rPr>
            </w:pPr>
          </w:p>
        </w:tc>
        <w:tc>
          <w:tcPr>
            <w:tcW w:w="0" w:type="auto"/>
            <w:shd w:val="clear" w:color="auto" w:fill="auto"/>
          </w:tcPr>
          <w:p w14:paraId="36CA5B5C" w14:textId="77777777" w:rsidR="00787570" w:rsidRDefault="00787570">
            <w:pPr>
              <w:rPr>
                <w:rFonts w:ascii="宋体"/>
              </w:rPr>
            </w:pPr>
          </w:p>
        </w:tc>
        <w:tc>
          <w:tcPr>
            <w:tcW w:w="0" w:type="auto"/>
            <w:shd w:val="clear" w:color="auto" w:fill="auto"/>
          </w:tcPr>
          <w:p w14:paraId="36CA5B5D" w14:textId="77777777" w:rsidR="00787570" w:rsidRDefault="00787570">
            <w:pPr>
              <w:rPr>
                <w:rFonts w:ascii="宋体"/>
              </w:rPr>
            </w:pPr>
          </w:p>
        </w:tc>
        <w:tc>
          <w:tcPr>
            <w:tcW w:w="0" w:type="auto"/>
            <w:shd w:val="clear" w:color="auto" w:fill="auto"/>
          </w:tcPr>
          <w:p w14:paraId="36CA5B5E" w14:textId="77777777" w:rsidR="00787570" w:rsidRDefault="00787570">
            <w:pPr>
              <w:rPr>
                <w:rFonts w:ascii="宋体"/>
              </w:rPr>
            </w:pPr>
          </w:p>
        </w:tc>
        <w:tc>
          <w:tcPr>
            <w:tcW w:w="0" w:type="auto"/>
            <w:shd w:val="clear" w:color="auto" w:fill="auto"/>
          </w:tcPr>
          <w:p w14:paraId="36CA5B5F" w14:textId="77777777" w:rsidR="00787570" w:rsidRDefault="00787570">
            <w:pPr>
              <w:rPr>
                <w:rFonts w:ascii="宋体"/>
              </w:rPr>
            </w:pPr>
          </w:p>
        </w:tc>
        <w:tc>
          <w:tcPr>
            <w:tcW w:w="0" w:type="auto"/>
            <w:shd w:val="clear" w:color="auto" w:fill="auto"/>
          </w:tcPr>
          <w:p w14:paraId="36CA5B60" w14:textId="77777777" w:rsidR="00787570" w:rsidRDefault="00787570">
            <w:pPr>
              <w:rPr>
                <w:rFonts w:ascii="宋体"/>
              </w:rPr>
            </w:pPr>
          </w:p>
        </w:tc>
        <w:tc>
          <w:tcPr>
            <w:tcW w:w="0" w:type="auto"/>
            <w:shd w:val="clear" w:color="auto" w:fill="auto"/>
          </w:tcPr>
          <w:p w14:paraId="36CA5B61" w14:textId="77777777" w:rsidR="00787570" w:rsidRDefault="00787570">
            <w:pPr>
              <w:rPr>
                <w:rFonts w:ascii="宋体"/>
              </w:rPr>
            </w:pPr>
          </w:p>
        </w:tc>
      </w:tr>
      <w:tr w:rsidR="00787570" w14:paraId="36CA5B6F" w14:textId="77777777">
        <w:tc>
          <w:tcPr>
            <w:tcW w:w="0" w:type="auto"/>
            <w:gridSpan w:val="3"/>
            <w:shd w:val="clear" w:color="auto" w:fill="auto"/>
            <w:tcMar>
              <w:top w:w="40" w:type="dxa"/>
              <w:left w:w="20" w:type="dxa"/>
              <w:bottom w:w="40" w:type="dxa"/>
              <w:right w:w="20" w:type="dxa"/>
            </w:tcMar>
          </w:tcPr>
          <w:p w14:paraId="36CA5B63" w14:textId="77777777" w:rsidR="00787570" w:rsidRDefault="000D56E2">
            <w:pPr>
              <w:textAlignment w:val="top"/>
            </w:pPr>
            <w:r>
              <w:rPr>
                <w:rFonts w:ascii="Arial" w:eastAsia="宋体" w:hAnsi="Arial" w:cs="Arial"/>
                <w:color w:val="333333"/>
                <w:sz w:val="18"/>
                <w:szCs w:val="18"/>
              </w:rPr>
              <w:t>Date:</w:t>
            </w:r>
          </w:p>
        </w:tc>
        <w:tc>
          <w:tcPr>
            <w:tcW w:w="0" w:type="auto"/>
            <w:gridSpan w:val="3"/>
            <w:shd w:val="clear" w:color="auto" w:fill="auto"/>
            <w:tcMar>
              <w:top w:w="40" w:type="dxa"/>
              <w:left w:w="20" w:type="dxa"/>
              <w:bottom w:w="40" w:type="dxa"/>
              <w:right w:w="20" w:type="dxa"/>
            </w:tcMar>
            <w:vAlign w:val="bottom"/>
          </w:tcPr>
          <w:p w14:paraId="36CA5B64" w14:textId="77777777" w:rsidR="00787570" w:rsidRDefault="000D56E2">
            <w:pPr>
              <w:textAlignment w:val="bottom"/>
            </w:pPr>
            <w:r>
              <w:rPr>
                <w:rFonts w:ascii="Arial" w:eastAsia="宋体" w:hAnsi="Arial" w:cs="Arial"/>
                <w:color w:val="333333"/>
                <w:sz w:val="18"/>
                <w:szCs w:val="18"/>
              </w:rPr>
              <w:t>October 22, 2020</w:t>
            </w:r>
          </w:p>
        </w:tc>
        <w:tc>
          <w:tcPr>
            <w:tcW w:w="0" w:type="auto"/>
            <w:gridSpan w:val="3"/>
            <w:shd w:val="clear" w:color="auto" w:fill="auto"/>
            <w:tcMar>
              <w:left w:w="20" w:type="dxa"/>
              <w:right w:w="20" w:type="dxa"/>
            </w:tcMar>
            <w:vAlign w:val="bottom"/>
          </w:tcPr>
          <w:p w14:paraId="36CA5B65" w14:textId="77777777" w:rsidR="00787570" w:rsidRDefault="00787570">
            <w:pPr>
              <w:rPr>
                <w:rFonts w:ascii="宋体"/>
              </w:rPr>
            </w:pPr>
          </w:p>
        </w:tc>
        <w:tc>
          <w:tcPr>
            <w:tcW w:w="0" w:type="auto"/>
            <w:gridSpan w:val="3"/>
            <w:shd w:val="clear" w:color="auto" w:fill="auto"/>
            <w:tcMar>
              <w:top w:w="40" w:type="dxa"/>
              <w:left w:w="20" w:type="dxa"/>
              <w:bottom w:w="40" w:type="dxa"/>
              <w:right w:w="20" w:type="dxa"/>
            </w:tcMar>
            <w:vAlign w:val="bottom"/>
          </w:tcPr>
          <w:p w14:paraId="36CA5B66" w14:textId="77777777" w:rsidR="00787570" w:rsidRDefault="000D56E2">
            <w:pPr>
              <w:textAlignment w:val="bottom"/>
            </w:pPr>
            <w:r>
              <w:rPr>
                <w:rFonts w:ascii="Arial" w:eastAsia="宋体" w:hAnsi="Arial" w:cs="Arial"/>
                <w:color w:val="333333"/>
                <w:sz w:val="18"/>
                <w:szCs w:val="18"/>
              </w:rPr>
              <w:t>By:</w:t>
            </w:r>
          </w:p>
        </w:tc>
        <w:tc>
          <w:tcPr>
            <w:tcW w:w="0" w:type="auto"/>
            <w:gridSpan w:val="3"/>
            <w:shd w:val="clear" w:color="auto" w:fill="auto"/>
            <w:tcMar>
              <w:left w:w="20" w:type="dxa"/>
              <w:right w:w="20" w:type="dxa"/>
            </w:tcMar>
            <w:vAlign w:val="bottom"/>
          </w:tcPr>
          <w:p w14:paraId="36CA5B67" w14:textId="77777777" w:rsidR="00787570" w:rsidRDefault="00787570">
            <w:pPr>
              <w:rPr>
                <w:rFonts w:ascii="宋体"/>
              </w:rPr>
            </w:pPr>
          </w:p>
        </w:tc>
        <w:tc>
          <w:tcPr>
            <w:tcW w:w="0" w:type="auto"/>
            <w:gridSpan w:val="3"/>
            <w:shd w:val="clear" w:color="auto" w:fill="auto"/>
            <w:tcMar>
              <w:top w:w="40" w:type="dxa"/>
              <w:left w:w="20" w:type="dxa"/>
              <w:bottom w:w="40" w:type="dxa"/>
              <w:right w:w="20" w:type="dxa"/>
            </w:tcMar>
            <w:vAlign w:val="bottom"/>
          </w:tcPr>
          <w:p w14:paraId="36CA5B68" w14:textId="77777777" w:rsidR="00787570" w:rsidRDefault="000D56E2">
            <w:pPr>
              <w:textAlignment w:val="bottom"/>
            </w:pPr>
            <w:r>
              <w:rPr>
                <w:rFonts w:ascii="Arial" w:eastAsia="宋体" w:hAnsi="Arial" w:cs="Arial"/>
                <w:color w:val="333333"/>
                <w:sz w:val="18"/>
                <w:szCs w:val="18"/>
              </w:rPr>
              <w:t>/s/ KEVIN T. MCBRIDE</w:t>
            </w:r>
          </w:p>
        </w:tc>
        <w:tc>
          <w:tcPr>
            <w:tcW w:w="0" w:type="auto"/>
            <w:shd w:val="clear" w:color="auto" w:fill="auto"/>
          </w:tcPr>
          <w:p w14:paraId="36CA5B69" w14:textId="77777777" w:rsidR="00787570" w:rsidRDefault="00787570">
            <w:pPr>
              <w:rPr>
                <w:rFonts w:ascii="宋体"/>
              </w:rPr>
            </w:pPr>
          </w:p>
        </w:tc>
        <w:tc>
          <w:tcPr>
            <w:tcW w:w="0" w:type="auto"/>
            <w:shd w:val="clear" w:color="auto" w:fill="auto"/>
          </w:tcPr>
          <w:p w14:paraId="36CA5B6A" w14:textId="77777777" w:rsidR="00787570" w:rsidRDefault="00787570">
            <w:pPr>
              <w:rPr>
                <w:rFonts w:ascii="宋体"/>
              </w:rPr>
            </w:pPr>
          </w:p>
        </w:tc>
        <w:tc>
          <w:tcPr>
            <w:tcW w:w="0" w:type="auto"/>
            <w:shd w:val="clear" w:color="auto" w:fill="auto"/>
          </w:tcPr>
          <w:p w14:paraId="36CA5B6B" w14:textId="77777777" w:rsidR="00787570" w:rsidRDefault="00787570">
            <w:pPr>
              <w:rPr>
                <w:rFonts w:ascii="宋体"/>
              </w:rPr>
            </w:pPr>
          </w:p>
        </w:tc>
        <w:tc>
          <w:tcPr>
            <w:tcW w:w="0" w:type="auto"/>
            <w:shd w:val="clear" w:color="auto" w:fill="auto"/>
          </w:tcPr>
          <w:p w14:paraId="36CA5B6C" w14:textId="77777777" w:rsidR="00787570" w:rsidRDefault="00787570">
            <w:pPr>
              <w:rPr>
                <w:rFonts w:ascii="宋体"/>
              </w:rPr>
            </w:pPr>
          </w:p>
        </w:tc>
        <w:tc>
          <w:tcPr>
            <w:tcW w:w="0" w:type="auto"/>
            <w:shd w:val="clear" w:color="auto" w:fill="auto"/>
          </w:tcPr>
          <w:p w14:paraId="36CA5B6D" w14:textId="77777777" w:rsidR="00787570" w:rsidRDefault="00787570">
            <w:pPr>
              <w:rPr>
                <w:rFonts w:ascii="宋体"/>
              </w:rPr>
            </w:pPr>
          </w:p>
        </w:tc>
        <w:tc>
          <w:tcPr>
            <w:tcW w:w="0" w:type="auto"/>
            <w:shd w:val="clear" w:color="auto" w:fill="auto"/>
          </w:tcPr>
          <w:p w14:paraId="36CA5B6E" w14:textId="77777777" w:rsidR="00787570" w:rsidRDefault="00787570">
            <w:pPr>
              <w:rPr>
                <w:rFonts w:ascii="宋体"/>
              </w:rPr>
            </w:pPr>
          </w:p>
        </w:tc>
      </w:tr>
      <w:tr w:rsidR="00787570" w14:paraId="36CA5B7C" w14:textId="77777777">
        <w:tc>
          <w:tcPr>
            <w:tcW w:w="0" w:type="auto"/>
            <w:gridSpan w:val="3"/>
            <w:shd w:val="clear" w:color="auto" w:fill="auto"/>
            <w:tcMar>
              <w:left w:w="20" w:type="dxa"/>
              <w:right w:w="20" w:type="dxa"/>
            </w:tcMar>
            <w:vAlign w:val="bottom"/>
          </w:tcPr>
          <w:p w14:paraId="36CA5B70"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5B71"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5B72"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5B73" w14:textId="77777777" w:rsidR="00787570" w:rsidRDefault="00787570">
            <w:pPr>
              <w:rPr>
                <w:rFonts w:ascii="宋体"/>
              </w:rPr>
            </w:pPr>
          </w:p>
        </w:tc>
        <w:tc>
          <w:tcPr>
            <w:tcW w:w="0" w:type="auto"/>
            <w:gridSpan w:val="3"/>
            <w:tcBorders>
              <w:top w:val="single" w:sz="8" w:space="0" w:color="333333"/>
            </w:tcBorders>
            <w:shd w:val="clear" w:color="auto" w:fill="auto"/>
            <w:tcMar>
              <w:left w:w="20" w:type="dxa"/>
              <w:right w:w="20" w:type="dxa"/>
            </w:tcMar>
            <w:vAlign w:val="bottom"/>
          </w:tcPr>
          <w:p w14:paraId="36CA5B74" w14:textId="77777777" w:rsidR="00787570" w:rsidRDefault="00787570">
            <w:pPr>
              <w:rPr>
                <w:rFonts w:ascii="宋体"/>
              </w:rPr>
            </w:pPr>
          </w:p>
        </w:tc>
        <w:tc>
          <w:tcPr>
            <w:tcW w:w="0" w:type="auto"/>
            <w:gridSpan w:val="3"/>
            <w:tcBorders>
              <w:top w:val="single" w:sz="8" w:space="0" w:color="333333"/>
            </w:tcBorders>
            <w:shd w:val="clear" w:color="auto" w:fill="auto"/>
            <w:tcMar>
              <w:top w:w="40" w:type="dxa"/>
              <w:left w:w="20" w:type="dxa"/>
              <w:bottom w:w="40" w:type="dxa"/>
              <w:right w:w="20" w:type="dxa"/>
            </w:tcMar>
            <w:vAlign w:val="bottom"/>
          </w:tcPr>
          <w:p w14:paraId="36CA5B75" w14:textId="77777777" w:rsidR="00787570" w:rsidRDefault="000D56E2">
            <w:pPr>
              <w:textAlignment w:val="bottom"/>
            </w:pPr>
            <w:r>
              <w:rPr>
                <w:rFonts w:ascii="Arial" w:eastAsia="宋体" w:hAnsi="Arial" w:cs="Arial"/>
                <w:color w:val="333333"/>
                <w:sz w:val="18"/>
                <w:szCs w:val="18"/>
              </w:rPr>
              <w:t>Kevin T. McBride</w:t>
            </w:r>
          </w:p>
        </w:tc>
        <w:tc>
          <w:tcPr>
            <w:tcW w:w="0" w:type="auto"/>
            <w:shd w:val="clear" w:color="auto" w:fill="auto"/>
          </w:tcPr>
          <w:p w14:paraId="36CA5B76" w14:textId="77777777" w:rsidR="00787570" w:rsidRDefault="00787570">
            <w:pPr>
              <w:rPr>
                <w:rFonts w:ascii="宋体"/>
              </w:rPr>
            </w:pPr>
          </w:p>
        </w:tc>
        <w:tc>
          <w:tcPr>
            <w:tcW w:w="0" w:type="auto"/>
            <w:shd w:val="clear" w:color="auto" w:fill="auto"/>
          </w:tcPr>
          <w:p w14:paraId="36CA5B77" w14:textId="77777777" w:rsidR="00787570" w:rsidRDefault="00787570">
            <w:pPr>
              <w:rPr>
                <w:rFonts w:ascii="宋体"/>
              </w:rPr>
            </w:pPr>
          </w:p>
        </w:tc>
        <w:tc>
          <w:tcPr>
            <w:tcW w:w="0" w:type="auto"/>
            <w:shd w:val="clear" w:color="auto" w:fill="auto"/>
          </w:tcPr>
          <w:p w14:paraId="36CA5B78" w14:textId="77777777" w:rsidR="00787570" w:rsidRDefault="00787570">
            <w:pPr>
              <w:rPr>
                <w:rFonts w:ascii="宋体"/>
              </w:rPr>
            </w:pPr>
          </w:p>
        </w:tc>
        <w:tc>
          <w:tcPr>
            <w:tcW w:w="0" w:type="auto"/>
            <w:shd w:val="clear" w:color="auto" w:fill="auto"/>
          </w:tcPr>
          <w:p w14:paraId="36CA5B79" w14:textId="77777777" w:rsidR="00787570" w:rsidRDefault="00787570">
            <w:pPr>
              <w:rPr>
                <w:rFonts w:ascii="宋体"/>
              </w:rPr>
            </w:pPr>
          </w:p>
        </w:tc>
        <w:tc>
          <w:tcPr>
            <w:tcW w:w="0" w:type="auto"/>
            <w:shd w:val="clear" w:color="auto" w:fill="auto"/>
          </w:tcPr>
          <w:p w14:paraId="36CA5B7A" w14:textId="77777777" w:rsidR="00787570" w:rsidRDefault="00787570">
            <w:pPr>
              <w:rPr>
                <w:rFonts w:ascii="宋体"/>
              </w:rPr>
            </w:pPr>
          </w:p>
        </w:tc>
        <w:tc>
          <w:tcPr>
            <w:tcW w:w="0" w:type="auto"/>
            <w:shd w:val="clear" w:color="auto" w:fill="auto"/>
          </w:tcPr>
          <w:p w14:paraId="36CA5B7B" w14:textId="77777777" w:rsidR="00787570" w:rsidRDefault="00787570">
            <w:pPr>
              <w:rPr>
                <w:rFonts w:ascii="宋体"/>
              </w:rPr>
            </w:pPr>
          </w:p>
        </w:tc>
      </w:tr>
      <w:tr w:rsidR="00787570" w14:paraId="36CA5B89" w14:textId="77777777">
        <w:tc>
          <w:tcPr>
            <w:tcW w:w="0" w:type="auto"/>
            <w:gridSpan w:val="3"/>
            <w:shd w:val="clear" w:color="auto" w:fill="auto"/>
            <w:tcMar>
              <w:left w:w="20" w:type="dxa"/>
              <w:right w:w="20" w:type="dxa"/>
            </w:tcMar>
            <w:vAlign w:val="bottom"/>
          </w:tcPr>
          <w:p w14:paraId="36CA5B7D"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5B7E"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5B7F"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5B80" w14:textId="77777777" w:rsidR="00787570" w:rsidRDefault="00787570">
            <w:pPr>
              <w:rPr>
                <w:rFonts w:ascii="宋体"/>
              </w:rPr>
            </w:pPr>
          </w:p>
        </w:tc>
        <w:tc>
          <w:tcPr>
            <w:tcW w:w="0" w:type="auto"/>
            <w:gridSpan w:val="3"/>
            <w:shd w:val="clear" w:color="auto" w:fill="auto"/>
            <w:tcMar>
              <w:left w:w="20" w:type="dxa"/>
              <w:right w:w="20" w:type="dxa"/>
            </w:tcMar>
            <w:vAlign w:val="bottom"/>
          </w:tcPr>
          <w:p w14:paraId="36CA5B81" w14:textId="77777777" w:rsidR="00787570" w:rsidRDefault="00787570">
            <w:pPr>
              <w:rPr>
                <w:rFonts w:ascii="宋体"/>
              </w:rPr>
            </w:pPr>
          </w:p>
        </w:tc>
        <w:tc>
          <w:tcPr>
            <w:tcW w:w="0" w:type="auto"/>
            <w:gridSpan w:val="3"/>
            <w:shd w:val="clear" w:color="auto" w:fill="auto"/>
            <w:tcMar>
              <w:top w:w="40" w:type="dxa"/>
              <w:left w:w="20" w:type="dxa"/>
              <w:bottom w:w="40" w:type="dxa"/>
              <w:right w:w="20" w:type="dxa"/>
            </w:tcMar>
          </w:tcPr>
          <w:p w14:paraId="36CA5B82" w14:textId="77777777" w:rsidR="00787570" w:rsidRDefault="000D56E2">
            <w:pPr>
              <w:textAlignment w:val="top"/>
            </w:pPr>
            <w:r>
              <w:rPr>
                <w:rFonts w:ascii="Arial" w:eastAsia="宋体" w:hAnsi="Arial" w:cs="Arial"/>
                <w:color w:val="333333"/>
                <w:sz w:val="18"/>
                <w:szCs w:val="18"/>
              </w:rPr>
              <w:t xml:space="preserve">Vice President of </w:t>
            </w:r>
            <w:r>
              <w:rPr>
                <w:rFonts w:ascii="Arial" w:eastAsia="宋体" w:hAnsi="Arial" w:cs="Arial"/>
                <w:color w:val="333333"/>
                <w:sz w:val="18"/>
                <w:szCs w:val="18"/>
              </w:rPr>
              <w:t>Finance, Corporate Controller and Principal Accounting Officer</w:t>
            </w:r>
          </w:p>
        </w:tc>
        <w:tc>
          <w:tcPr>
            <w:tcW w:w="0" w:type="auto"/>
            <w:shd w:val="clear" w:color="auto" w:fill="auto"/>
          </w:tcPr>
          <w:p w14:paraId="36CA5B83" w14:textId="77777777" w:rsidR="00787570" w:rsidRDefault="00787570">
            <w:pPr>
              <w:rPr>
                <w:rFonts w:ascii="宋体"/>
              </w:rPr>
            </w:pPr>
          </w:p>
        </w:tc>
        <w:tc>
          <w:tcPr>
            <w:tcW w:w="0" w:type="auto"/>
            <w:shd w:val="clear" w:color="auto" w:fill="auto"/>
          </w:tcPr>
          <w:p w14:paraId="36CA5B84" w14:textId="77777777" w:rsidR="00787570" w:rsidRDefault="00787570">
            <w:pPr>
              <w:rPr>
                <w:rFonts w:ascii="宋体"/>
              </w:rPr>
            </w:pPr>
          </w:p>
        </w:tc>
        <w:tc>
          <w:tcPr>
            <w:tcW w:w="0" w:type="auto"/>
            <w:shd w:val="clear" w:color="auto" w:fill="auto"/>
          </w:tcPr>
          <w:p w14:paraId="36CA5B85" w14:textId="77777777" w:rsidR="00787570" w:rsidRDefault="00787570">
            <w:pPr>
              <w:rPr>
                <w:rFonts w:ascii="宋体"/>
              </w:rPr>
            </w:pPr>
          </w:p>
        </w:tc>
        <w:tc>
          <w:tcPr>
            <w:tcW w:w="0" w:type="auto"/>
            <w:shd w:val="clear" w:color="auto" w:fill="auto"/>
          </w:tcPr>
          <w:p w14:paraId="36CA5B86" w14:textId="77777777" w:rsidR="00787570" w:rsidRDefault="00787570">
            <w:pPr>
              <w:rPr>
                <w:rFonts w:ascii="宋体"/>
              </w:rPr>
            </w:pPr>
          </w:p>
        </w:tc>
        <w:tc>
          <w:tcPr>
            <w:tcW w:w="0" w:type="auto"/>
            <w:shd w:val="clear" w:color="auto" w:fill="auto"/>
          </w:tcPr>
          <w:p w14:paraId="36CA5B87" w14:textId="77777777" w:rsidR="00787570" w:rsidRDefault="00787570">
            <w:pPr>
              <w:rPr>
                <w:rFonts w:ascii="宋体"/>
              </w:rPr>
            </w:pPr>
          </w:p>
        </w:tc>
        <w:tc>
          <w:tcPr>
            <w:tcW w:w="0" w:type="auto"/>
            <w:shd w:val="clear" w:color="auto" w:fill="auto"/>
          </w:tcPr>
          <w:p w14:paraId="36CA5B88" w14:textId="77777777" w:rsidR="00787570" w:rsidRDefault="00787570">
            <w:pPr>
              <w:rPr>
                <w:rFonts w:ascii="宋体"/>
              </w:rPr>
            </w:pPr>
          </w:p>
        </w:tc>
      </w:tr>
    </w:tbl>
    <w:p w14:paraId="36CA5B8A" w14:textId="77777777" w:rsidR="00787570" w:rsidRDefault="00787570">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95"/>
        <w:gridCol w:w="416"/>
        <w:gridCol w:w="36"/>
        <w:gridCol w:w="47"/>
        <w:gridCol w:w="4254"/>
        <w:gridCol w:w="36"/>
        <w:gridCol w:w="47"/>
        <w:gridCol w:w="3369"/>
        <w:gridCol w:w="36"/>
      </w:tblGrid>
      <w:tr w:rsidR="00787570" w14:paraId="36CA5B94" w14:textId="77777777">
        <w:tc>
          <w:tcPr>
            <w:tcW w:w="50" w:type="pct"/>
            <w:shd w:val="clear" w:color="auto" w:fill="auto"/>
            <w:vAlign w:val="bottom"/>
          </w:tcPr>
          <w:p w14:paraId="36CA5B8B" w14:textId="77777777" w:rsidR="00787570" w:rsidRDefault="00787570">
            <w:pPr>
              <w:rPr>
                <w:rFonts w:ascii="宋体"/>
              </w:rPr>
            </w:pPr>
          </w:p>
        </w:tc>
        <w:tc>
          <w:tcPr>
            <w:tcW w:w="220" w:type="pct"/>
            <w:shd w:val="clear" w:color="auto" w:fill="auto"/>
            <w:vAlign w:val="bottom"/>
          </w:tcPr>
          <w:p w14:paraId="36CA5B8C" w14:textId="77777777" w:rsidR="00787570" w:rsidRDefault="00787570">
            <w:pPr>
              <w:rPr>
                <w:rFonts w:ascii="宋体"/>
              </w:rPr>
            </w:pPr>
          </w:p>
        </w:tc>
        <w:tc>
          <w:tcPr>
            <w:tcW w:w="5" w:type="pct"/>
            <w:shd w:val="clear" w:color="auto" w:fill="auto"/>
            <w:vAlign w:val="bottom"/>
          </w:tcPr>
          <w:p w14:paraId="36CA5B8D" w14:textId="77777777" w:rsidR="00787570" w:rsidRDefault="00787570">
            <w:pPr>
              <w:rPr>
                <w:rFonts w:ascii="宋体"/>
              </w:rPr>
            </w:pPr>
          </w:p>
        </w:tc>
        <w:tc>
          <w:tcPr>
            <w:tcW w:w="50" w:type="pct"/>
            <w:shd w:val="clear" w:color="auto" w:fill="auto"/>
            <w:vAlign w:val="bottom"/>
          </w:tcPr>
          <w:p w14:paraId="36CA5B8E" w14:textId="77777777" w:rsidR="00787570" w:rsidRDefault="00787570">
            <w:pPr>
              <w:rPr>
                <w:rFonts w:ascii="宋体"/>
              </w:rPr>
            </w:pPr>
          </w:p>
        </w:tc>
        <w:tc>
          <w:tcPr>
            <w:tcW w:w="2572" w:type="pct"/>
            <w:shd w:val="clear" w:color="auto" w:fill="auto"/>
            <w:vAlign w:val="bottom"/>
          </w:tcPr>
          <w:p w14:paraId="36CA5B8F" w14:textId="77777777" w:rsidR="00787570" w:rsidRDefault="00787570">
            <w:pPr>
              <w:rPr>
                <w:rFonts w:ascii="宋体"/>
              </w:rPr>
            </w:pPr>
          </w:p>
        </w:tc>
        <w:tc>
          <w:tcPr>
            <w:tcW w:w="5" w:type="pct"/>
            <w:shd w:val="clear" w:color="auto" w:fill="auto"/>
            <w:vAlign w:val="bottom"/>
          </w:tcPr>
          <w:p w14:paraId="36CA5B90" w14:textId="77777777" w:rsidR="00787570" w:rsidRDefault="00787570">
            <w:pPr>
              <w:rPr>
                <w:rFonts w:ascii="宋体"/>
              </w:rPr>
            </w:pPr>
          </w:p>
        </w:tc>
        <w:tc>
          <w:tcPr>
            <w:tcW w:w="50" w:type="pct"/>
            <w:shd w:val="clear" w:color="auto" w:fill="auto"/>
            <w:vAlign w:val="bottom"/>
          </w:tcPr>
          <w:p w14:paraId="36CA5B91" w14:textId="77777777" w:rsidR="00787570" w:rsidRDefault="00787570">
            <w:pPr>
              <w:rPr>
                <w:rFonts w:ascii="宋体"/>
              </w:rPr>
            </w:pPr>
          </w:p>
        </w:tc>
        <w:tc>
          <w:tcPr>
            <w:tcW w:w="2042" w:type="pct"/>
            <w:shd w:val="clear" w:color="auto" w:fill="auto"/>
            <w:vAlign w:val="bottom"/>
          </w:tcPr>
          <w:p w14:paraId="36CA5B92" w14:textId="77777777" w:rsidR="00787570" w:rsidRDefault="00787570">
            <w:pPr>
              <w:rPr>
                <w:rFonts w:ascii="宋体"/>
              </w:rPr>
            </w:pPr>
          </w:p>
        </w:tc>
        <w:tc>
          <w:tcPr>
            <w:tcW w:w="5" w:type="pct"/>
            <w:shd w:val="clear" w:color="auto" w:fill="auto"/>
            <w:vAlign w:val="bottom"/>
          </w:tcPr>
          <w:p w14:paraId="36CA5B93" w14:textId="77777777" w:rsidR="00787570" w:rsidRDefault="00787570">
            <w:pPr>
              <w:rPr>
                <w:rFonts w:ascii="宋体"/>
              </w:rPr>
            </w:pPr>
          </w:p>
        </w:tc>
      </w:tr>
      <w:tr w:rsidR="00787570" w14:paraId="36CA5B98" w14:textId="77777777">
        <w:tc>
          <w:tcPr>
            <w:tcW w:w="0" w:type="auto"/>
            <w:gridSpan w:val="3"/>
            <w:tcBorders>
              <w:top w:val="single" w:sz="8" w:space="0" w:color="0071C5"/>
            </w:tcBorders>
            <w:shd w:val="clear" w:color="auto" w:fill="auto"/>
            <w:tcMar>
              <w:left w:w="20" w:type="dxa"/>
              <w:right w:w="20" w:type="dxa"/>
            </w:tcMar>
            <w:vAlign w:val="center"/>
          </w:tcPr>
          <w:p w14:paraId="36CA5B95" w14:textId="77777777" w:rsidR="00787570" w:rsidRDefault="000D56E2">
            <w:pPr>
              <w:textAlignment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Viewer9_files/intc-20200926_g2.jpg"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36CA5C9F" wp14:editId="36CA5CA0">
                  <wp:extent cx="304800" cy="304800"/>
                  <wp:effectExtent l="0" t="0" r="0" b="0"/>
                  <wp:docPr id="93" name="图片 156" descr="IMG_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图片 156" descr="IMG_329"/>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8" w:space="0" w:color="0071C5"/>
            </w:tcBorders>
            <w:shd w:val="clear" w:color="auto" w:fill="auto"/>
            <w:tcMar>
              <w:left w:w="20" w:type="dxa"/>
              <w:right w:w="20" w:type="dxa"/>
            </w:tcMar>
            <w:vAlign w:val="center"/>
          </w:tcPr>
          <w:p w14:paraId="36CA5B96" w14:textId="77777777" w:rsidR="00787570" w:rsidRDefault="00787570">
            <w:pPr>
              <w:rPr>
                <w:rFonts w:ascii="宋体"/>
              </w:rPr>
            </w:pPr>
          </w:p>
        </w:tc>
        <w:tc>
          <w:tcPr>
            <w:tcW w:w="0" w:type="auto"/>
            <w:gridSpan w:val="3"/>
            <w:tcBorders>
              <w:top w:val="single" w:sz="8" w:space="0" w:color="0071C5"/>
            </w:tcBorders>
            <w:shd w:val="clear" w:color="auto" w:fill="auto"/>
            <w:tcMar>
              <w:top w:w="40" w:type="dxa"/>
              <w:left w:w="20" w:type="dxa"/>
              <w:bottom w:w="40" w:type="dxa"/>
              <w:right w:w="20" w:type="dxa"/>
            </w:tcMar>
            <w:vAlign w:val="center"/>
          </w:tcPr>
          <w:p w14:paraId="36CA5B97" w14:textId="77777777" w:rsidR="00787570" w:rsidRDefault="000D56E2">
            <w:pPr>
              <w:jc w:val="right"/>
              <w:textAlignment w:val="center"/>
            </w:pPr>
            <w:r>
              <w:rPr>
                <w:rFonts w:ascii="Arial" w:eastAsia="宋体" w:hAnsi="Arial" w:cs="Arial"/>
                <w:color w:val="333333"/>
                <w:sz w:val="16"/>
                <w:szCs w:val="16"/>
              </w:rPr>
              <w:t>48</w:t>
            </w:r>
          </w:p>
        </w:tc>
      </w:tr>
    </w:tbl>
    <w:p w14:paraId="36CA5B99" w14:textId="77777777" w:rsidR="00787570" w:rsidRDefault="000D56E2">
      <w:r>
        <w:rPr>
          <w:rFonts w:ascii="宋体" w:eastAsia="宋体" w:hAnsi="宋体" w:cs="宋体"/>
        </w:rPr>
        <w:t xml:space="preserve">Copy and Paste Below Content. </w:t>
      </w:r>
      <w:r>
        <w:rPr>
          <w:rFonts w:ascii="宋体" w:eastAsia="宋体" w:hAnsi="宋体" w:cs="宋体"/>
          <w:noProof/>
        </w:rPr>
        <mc:AlternateContent>
          <mc:Choice Requires="wps">
            <w:drawing>
              <wp:inline distT="0" distB="0" distL="114300" distR="114300" wp14:anchorId="36CA5CA1" wp14:editId="36CA5CA2">
                <wp:extent cx="635" cy="0"/>
                <wp:effectExtent l="0" t="0" r="0" b="0"/>
                <wp:docPr id="86" name="矩形 8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KczS9QBAgAAGgQAAA4AAAAAAAAA&#10;AQAgAAAAMwEAAGRycy9lMm9Eb2MueG1sUEsFBgAAAAAGAAYAWQEAAKYFAAAAAA==&#10;">
                <v:fill on="f" focussize="0,0"/>
                <v:stroke color="#000000" joinstyle="miter"/>
                <v:imagedata o:title=""/>
                <o:lock v:ext="edit" aspectratio="t"/>
                <w10:wrap type="none"/>
                <w10:anchorlock/>
              </v:rect>
            </w:pict>
          </mc:Fallback>
        </mc:AlternateConten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87570" w14:paraId="36CA5B9B" w14:textId="77777777">
        <w:trPr>
          <w:tblCellSpacing w:w="15" w:type="dxa"/>
        </w:trPr>
        <w:tc>
          <w:tcPr>
            <w:tcW w:w="0" w:type="auto"/>
            <w:shd w:val="clear" w:color="auto" w:fill="auto"/>
            <w:vAlign w:val="center"/>
          </w:tcPr>
          <w:p w14:paraId="36CA5B9A" w14:textId="77777777" w:rsidR="00787570" w:rsidRDefault="00787570">
            <w:pPr>
              <w:rPr>
                <w:rFonts w:ascii="宋体"/>
              </w:rPr>
            </w:pPr>
          </w:p>
        </w:tc>
      </w:tr>
    </w:tbl>
    <w:p w14:paraId="36CA5B9C" w14:textId="77777777" w:rsidR="00787570" w:rsidRDefault="00787570">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87570" w14:paraId="36CA5B9E" w14:textId="77777777">
        <w:trPr>
          <w:tblCellSpacing w:w="15" w:type="dxa"/>
        </w:trPr>
        <w:tc>
          <w:tcPr>
            <w:tcW w:w="0" w:type="auto"/>
            <w:shd w:val="clear" w:color="auto" w:fill="auto"/>
            <w:vAlign w:val="center"/>
          </w:tcPr>
          <w:p w14:paraId="36CA5B9D" w14:textId="77777777" w:rsidR="00787570" w:rsidRDefault="00787570">
            <w:pPr>
              <w:rPr>
                <w:rFonts w:ascii="宋体"/>
              </w:rPr>
            </w:pPr>
          </w:p>
        </w:tc>
      </w:tr>
    </w:tbl>
    <w:p w14:paraId="36CA5B9F" w14:textId="77777777" w:rsidR="00787570" w:rsidRDefault="00787570">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87570" w14:paraId="36CA5BA1" w14:textId="77777777">
        <w:trPr>
          <w:tblCellSpacing w:w="15" w:type="dxa"/>
        </w:trPr>
        <w:tc>
          <w:tcPr>
            <w:tcW w:w="0" w:type="auto"/>
            <w:shd w:val="clear" w:color="auto" w:fill="auto"/>
            <w:vAlign w:val="center"/>
          </w:tcPr>
          <w:p w14:paraId="36CA5BA0" w14:textId="77777777" w:rsidR="00787570" w:rsidRDefault="00787570">
            <w:pPr>
              <w:rPr>
                <w:rFonts w:ascii="宋体"/>
              </w:rPr>
            </w:pPr>
          </w:p>
        </w:tc>
      </w:tr>
    </w:tbl>
    <w:p w14:paraId="36CA5BA2" w14:textId="77777777" w:rsidR="00787570" w:rsidRDefault="00787570">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87570" w14:paraId="36CA5BA4" w14:textId="77777777">
        <w:trPr>
          <w:tblCellSpacing w:w="15" w:type="dxa"/>
        </w:trPr>
        <w:tc>
          <w:tcPr>
            <w:tcW w:w="0" w:type="auto"/>
            <w:shd w:val="clear" w:color="auto" w:fill="auto"/>
            <w:vAlign w:val="center"/>
          </w:tcPr>
          <w:p w14:paraId="36CA5BA3" w14:textId="77777777" w:rsidR="00787570" w:rsidRDefault="00787570">
            <w:pPr>
              <w:rPr>
                <w:rFonts w:ascii="宋体"/>
              </w:rPr>
            </w:pPr>
          </w:p>
        </w:tc>
      </w:tr>
    </w:tbl>
    <w:p w14:paraId="36CA5BA5" w14:textId="77777777" w:rsidR="00787570" w:rsidRDefault="000D56E2">
      <w:r>
        <w:rPr>
          <w:rFonts w:ascii="宋体" w:eastAsia="宋体" w:hAnsi="宋体" w:cs="宋体"/>
        </w:rPr>
        <w:t xml:space="preserve">Previous Next </w:t>
      </w:r>
    </w:p>
    <w:p w14:paraId="36CA5BA6" w14:textId="77777777" w:rsidR="00787570" w:rsidRDefault="000D56E2">
      <w:pPr>
        <w:pStyle w:val="a3"/>
      </w:pPr>
      <w:r>
        <w:t>Settings</w:t>
      </w:r>
    </w:p>
    <w:p w14:paraId="36CA5BA7" w14:textId="77777777" w:rsidR="00787570" w:rsidRDefault="000D56E2">
      <w:pPr>
        <w:pStyle w:val="Style4"/>
      </w:pPr>
      <w:r>
        <w:t>窗体顶端</w:t>
      </w:r>
    </w:p>
    <w:p w14:paraId="36CA5BA8" w14:textId="77777777" w:rsidR="00787570" w:rsidRDefault="000D56E2">
      <w:r>
        <w:rPr>
          <w:rFonts w:ascii="宋体" w:eastAsia="宋体" w:hAnsi="宋体" w:cs="宋体"/>
        </w:rPr>
        <w:t xml:space="preserve">Hover over Fact for quick information. </w:t>
      </w:r>
      <w:r>
        <w:rPr>
          <w:rFonts w:ascii="宋体" w:eastAsia="宋体" w:hAnsi="宋体" w:cs="宋体"/>
          <w:noProof/>
        </w:rPr>
        <mc:AlternateContent>
          <mc:Choice Requires="wps">
            <w:drawing>
              <wp:inline distT="0" distB="0" distL="114300" distR="114300" wp14:anchorId="36CA5CA3" wp14:editId="36CA5CA4">
                <wp:extent cx="635" cy="0"/>
                <wp:effectExtent l="0" t="0" r="0" b="0"/>
                <wp:docPr id="83" name="矩形 8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IN9jVMBAgAAGgQAAA4AAAAAAAAA&#10;AQAgAAAAMwEAAGRycy9lMm9Eb2MueG1sUEsFBgAAAAAGAAYAWQEAAKYFAAAAAA==&#10;">
                <v:fill on="f" focussize="0,0"/>
                <v:stroke color="#000000" joinstyle="miter"/>
                <v:imagedata o:title=""/>
                <o:lock v:ext="edit" aspectratio="t"/>
                <w10:wrap type="none"/>
                <w10:anchorlock/>
              </v:rect>
            </w:pict>
          </mc:Fallback>
        </mc:AlternateContent>
      </w:r>
      <w:r>
        <w:rPr>
          <w:rFonts w:ascii="宋体" w:eastAsia="宋体" w:hAnsi="宋体" w:cs="宋体"/>
        </w:rPr>
        <w:t xml:space="preserve"> </w:t>
      </w:r>
    </w:p>
    <w:p w14:paraId="36CA5BA9" w14:textId="77777777" w:rsidR="00787570" w:rsidRDefault="000D56E2">
      <w:r>
        <w:rPr>
          <w:rFonts w:ascii="宋体" w:eastAsia="宋体" w:hAnsi="宋体" w:cs="宋体"/>
        </w:rPr>
        <w:t xml:space="preserve">Auto Scrolling Position </w:t>
      </w:r>
      <w:r>
        <w:rPr>
          <w:rFonts w:ascii="宋体" w:eastAsia="宋体" w:hAnsi="宋体" w:cs="宋体"/>
          <w:noProof/>
        </w:rPr>
        <mc:AlternateContent>
          <mc:Choice Requires="wps">
            <w:drawing>
              <wp:inline distT="0" distB="0" distL="114300" distR="114300" wp14:anchorId="36CA5CA5" wp14:editId="36CA5CA6">
                <wp:extent cx="635" cy="0"/>
                <wp:effectExtent l="0" t="0" r="0" b="0"/>
                <wp:docPr id="84" name="矩形 8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HDi5zQBAgAAGgQAAA4AAAAAAAAA&#10;AQAgAAAAMwEAAGRycy9lMm9Eb2MueG1sUEsFBgAAAAAGAAYAWQEAAKYFAAAAAA==&#10;">
                <v:fill on="f" focussize="0,0"/>
                <v:stroke color="#000000" joinstyle="miter"/>
                <v:imagedata o:title=""/>
                <o:lock v:ext="edit" aspectratio="t"/>
                <w10:wrap type="none"/>
                <w10:anchorlock/>
              </v:rect>
            </w:pict>
          </mc:Fallback>
        </mc:AlternateContent>
      </w:r>
      <w:r>
        <w:rPr>
          <w:rFonts w:ascii="宋体" w:eastAsia="宋体" w:hAnsi="宋体" w:cs="宋体"/>
        </w:rPr>
        <w:t xml:space="preserve"> Selecting a fact from the Sections Menu or the Fact Menu will automatically scroll that element to the (Top, or Middle) of the viewer window. This setting will have no use on IE 10, or Saf</w:t>
      </w:r>
      <w:r>
        <w:rPr>
          <w:rFonts w:ascii="宋体" w:eastAsia="宋体" w:hAnsi="宋体" w:cs="宋体"/>
        </w:rPr>
        <w:t xml:space="preserve">ari. </w:t>
      </w:r>
    </w:p>
    <w:p w14:paraId="36CA5BAA" w14:textId="77777777" w:rsidR="00787570" w:rsidRDefault="000D56E2">
      <w:r>
        <w:pict w14:anchorId="36CA5CA7">
          <v:rect id="_x0000_i1074" style="width:415.3pt;height:1.5pt" o:hralign="center" o:hrstd="t" o:hr="t" fillcolor="#a0a0a0" stroked="f"/>
        </w:pict>
      </w:r>
    </w:p>
    <w:p w14:paraId="36CA5BAB" w14:textId="77777777" w:rsidR="00787570" w:rsidRDefault="000D56E2">
      <w:r>
        <w:rPr>
          <w:rFonts w:ascii="宋体" w:eastAsia="宋体" w:hAnsi="宋体" w:cs="宋体"/>
        </w:rPr>
        <w:t xml:space="preserve">Tagged Data </w:t>
      </w:r>
    </w:p>
    <w:p w14:paraId="36CA5BAC" w14:textId="77777777" w:rsidR="00787570" w:rsidRDefault="000D56E2">
      <w:r>
        <w:rPr>
          <w:rFonts w:ascii="monospace" w:eastAsia="monospace" w:hAnsi="monospace" w:cs="monospace"/>
          <w:noProof/>
        </w:rPr>
        <mc:AlternateContent>
          <mc:Choice Requires="wps">
            <w:drawing>
              <wp:inline distT="0" distB="0" distL="114300" distR="114300" wp14:anchorId="36CA5CA8" wp14:editId="36CA5CA9">
                <wp:extent cx="635" cy="0"/>
                <wp:effectExtent l="0" t="0" r="0" b="0"/>
                <wp:docPr id="85" name="矩形 8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WAAAAZHJzL1BLAQIUABQAAAAIAIdO4kDw40idzgAAAP8AAAAPAAAAAAAAAAEAIAAA&#10;ADgAAABkcnMvZG93bnJldi54bWxQSwECFAAUAAAACACHTuJAuwkJqQACAAAaBAAADgAAAAAAAAAB&#10;ACAAAAAzAQAAZHJzL2Uyb0RvYy54bWxQSwUGAAAAAAYABgBZAQAApQUAAAAA&#10;">
                <v:fill on="f" focussize="0,0"/>
                <v:stroke color="#000000" joinstyle="miter"/>
                <v:imagedata o:title=""/>
                <o:lock v:ext="edit" aspectratio="t"/>
                <w10:wrap type="none"/>
                <w10:anchorlock/>
              </v:rect>
            </w:pict>
          </mc:Fallback>
        </mc:AlternateContent>
      </w:r>
    </w:p>
    <w:p w14:paraId="36CA5BAD" w14:textId="77777777" w:rsidR="00787570" w:rsidRDefault="000D56E2">
      <w:r>
        <w:rPr>
          <w:rFonts w:ascii="宋体" w:eastAsia="宋体" w:hAnsi="宋体" w:cs="宋体"/>
        </w:rPr>
        <w:t>Save</w:t>
      </w:r>
    </w:p>
    <w:p w14:paraId="36CA5BAE" w14:textId="77777777" w:rsidR="00787570" w:rsidRDefault="000D56E2">
      <w:r>
        <w:rPr>
          <w:rFonts w:ascii="宋体" w:eastAsia="宋体" w:hAnsi="宋体" w:cs="宋体"/>
        </w:rPr>
        <w:t>Reset</w:t>
      </w:r>
    </w:p>
    <w:p w14:paraId="36CA5BAF" w14:textId="77777777" w:rsidR="00787570" w:rsidRDefault="000D56E2">
      <w:r>
        <w:pict w14:anchorId="36CA5CAA">
          <v:rect id="_x0000_i1075" style="width:415.3pt;height:1.5pt" o:hralign="center" o:hrstd="t" o:hr="t" fillcolor="#a0a0a0" stroked="f"/>
        </w:pict>
      </w:r>
    </w:p>
    <w:p w14:paraId="36CA5BB0" w14:textId="77777777" w:rsidR="00787570" w:rsidRDefault="000D56E2">
      <w:r>
        <w:rPr>
          <w:rFonts w:ascii="宋体" w:eastAsia="宋体" w:hAnsi="宋体" w:cs="宋体"/>
        </w:rPr>
        <w:t xml:space="preserve">Search Results </w:t>
      </w:r>
    </w:p>
    <w:p w14:paraId="36CA5BB1" w14:textId="77777777" w:rsidR="00787570" w:rsidRDefault="000D56E2">
      <w:r>
        <w:rPr>
          <w:rFonts w:ascii="monospace" w:eastAsia="monospace" w:hAnsi="monospace" w:cs="monospace"/>
          <w:noProof/>
        </w:rPr>
        <mc:AlternateContent>
          <mc:Choice Requires="wps">
            <w:drawing>
              <wp:inline distT="0" distB="0" distL="114300" distR="114300" wp14:anchorId="36CA5CAB" wp14:editId="36CA5CAC">
                <wp:extent cx="635" cy="0"/>
                <wp:effectExtent l="0" t="0" r="0" b="0"/>
                <wp:docPr id="94" name="矩形 9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WAAAAZHJzL1BLAQIUABQAAAAIAIdO4kDw40idzgAAAP8AAAAPAAAAAAAAAAEAIAAA&#10;ADgAAABkcnMvZG93bnJldi54bWxQSwECFAAUAAAACACHTuJAoxfMOAACAAAaBAAADgAAAAAAAAAB&#10;ACAAAAAzAQAAZHJzL2Uyb0RvYy54bWxQSwUGAAAAAAYABgBZAQAApQUAAAAA&#10;">
                <v:fill on="f" focussize="0,0"/>
                <v:stroke color="#000000" joinstyle="miter"/>
                <v:imagedata o:title=""/>
                <o:lock v:ext="edit" aspectratio="t"/>
                <w10:wrap type="none"/>
                <w10:anchorlock/>
              </v:rect>
            </w:pict>
          </mc:Fallback>
        </mc:AlternateContent>
      </w:r>
    </w:p>
    <w:p w14:paraId="36CA5BB2" w14:textId="77777777" w:rsidR="00787570" w:rsidRDefault="000D56E2">
      <w:r>
        <w:rPr>
          <w:rFonts w:ascii="宋体" w:eastAsia="宋体" w:hAnsi="宋体" w:cs="宋体"/>
        </w:rPr>
        <w:t>Save</w:t>
      </w:r>
    </w:p>
    <w:p w14:paraId="36CA5BB3" w14:textId="77777777" w:rsidR="00787570" w:rsidRDefault="000D56E2">
      <w:r>
        <w:rPr>
          <w:rFonts w:ascii="宋体" w:eastAsia="宋体" w:hAnsi="宋体" w:cs="宋体"/>
        </w:rPr>
        <w:t>Reset</w:t>
      </w:r>
    </w:p>
    <w:p w14:paraId="36CA5BB4" w14:textId="77777777" w:rsidR="00787570" w:rsidRDefault="000D56E2">
      <w:r>
        <w:pict w14:anchorId="36CA5CAD">
          <v:rect id="_x0000_i1076" style="width:415.3pt;height:1.5pt" o:hralign="center" o:hrstd="t" o:hr="t" fillcolor="#a0a0a0" stroked="f"/>
        </w:pict>
      </w:r>
    </w:p>
    <w:p w14:paraId="36CA5BB5" w14:textId="77777777" w:rsidR="00787570" w:rsidRDefault="000D56E2">
      <w:r>
        <w:rPr>
          <w:rFonts w:ascii="宋体" w:eastAsia="宋体" w:hAnsi="宋体" w:cs="宋体"/>
        </w:rPr>
        <w:t xml:space="preserve">Selected Fact </w:t>
      </w:r>
    </w:p>
    <w:p w14:paraId="36CA5BB6" w14:textId="77777777" w:rsidR="00787570" w:rsidRDefault="000D56E2">
      <w:r>
        <w:rPr>
          <w:rFonts w:ascii="monospace" w:eastAsia="monospace" w:hAnsi="monospace" w:cs="monospace"/>
          <w:noProof/>
        </w:rPr>
        <mc:AlternateContent>
          <mc:Choice Requires="wps">
            <w:drawing>
              <wp:inline distT="0" distB="0" distL="114300" distR="114300" wp14:anchorId="36CA5CAE" wp14:editId="36CA5CAF">
                <wp:extent cx="635" cy="0"/>
                <wp:effectExtent l="0" t="0" r="0" b="0"/>
                <wp:docPr id="56" name="矩形 5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WAAAAZHJzL1BLAQIUABQAAAAIAIdO4kDw40idzgAAAP8AAAAPAAAAAAAAAAEAIAAA&#10;ADgAAABkcnMvZG93bnJldi54bWxQSwECFAAUAAAACACHTuJAoL+QiQACAAAaBAAADgAAAAAAAAAB&#10;ACAAAAAzAQAAZHJzL2Uyb0RvYy54bWxQSwUGAAAAAAYABgBZAQAApQUAAAAA&#10;">
                <v:fill on="f" focussize="0,0"/>
                <v:stroke color="#000000" joinstyle="miter"/>
                <v:imagedata o:title=""/>
                <o:lock v:ext="edit" aspectratio="t"/>
                <w10:wrap type="none"/>
                <w10:anchorlock/>
              </v:rect>
            </w:pict>
          </mc:Fallback>
        </mc:AlternateContent>
      </w:r>
    </w:p>
    <w:p w14:paraId="36CA5BB7" w14:textId="77777777" w:rsidR="00787570" w:rsidRDefault="000D56E2">
      <w:r>
        <w:rPr>
          <w:rFonts w:ascii="宋体" w:eastAsia="宋体" w:hAnsi="宋体" w:cs="宋体"/>
        </w:rPr>
        <w:t>Save</w:t>
      </w:r>
    </w:p>
    <w:p w14:paraId="36CA5BB8" w14:textId="77777777" w:rsidR="00787570" w:rsidRDefault="000D56E2">
      <w:r>
        <w:rPr>
          <w:rFonts w:ascii="宋体" w:eastAsia="宋体" w:hAnsi="宋体" w:cs="宋体"/>
        </w:rPr>
        <w:t>Reset</w:t>
      </w:r>
    </w:p>
    <w:p w14:paraId="36CA5BB9" w14:textId="77777777" w:rsidR="00787570" w:rsidRDefault="000D56E2">
      <w:r>
        <w:pict w14:anchorId="36CA5CB0">
          <v:rect id="_x0000_i1077" style="width:415.3pt;height:1.5pt" o:hralign="center" o:hrstd="t" o:hr="t" fillcolor="#a0a0a0" stroked="f"/>
        </w:pict>
      </w:r>
    </w:p>
    <w:p w14:paraId="36CA5BBA" w14:textId="77777777" w:rsidR="00787570" w:rsidRDefault="000D56E2">
      <w:r>
        <w:rPr>
          <w:rFonts w:ascii="宋体" w:eastAsia="宋体" w:hAnsi="宋体" w:cs="宋体"/>
        </w:rPr>
        <w:t xml:space="preserve">Tag Shading (hover) </w:t>
      </w:r>
    </w:p>
    <w:p w14:paraId="36CA5BBB" w14:textId="77777777" w:rsidR="00787570" w:rsidRDefault="000D56E2">
      <w:r>
        <w:rPr>
          <w:rFonts w:ascii="monospace" w:eastAsia="monospace" w:hAnsi="monospace" w:cs="monospace"/>
          <w:noProof/>
        </w:rPr>
        <mc:AlternateContent>
          <mc:Choice Requires="wps">
            <w:drawing>
              <wp:inline distT="0" distB="0" distL="114300" distR="114300" wp14:anchorId="36CA5CB1" wp14:editId="36CA5CB2">
                <wp:extent cx="635" cy="0"/>
                <wp:effectExtent l="0" t="0" r="0" b="0"/>
                <wp:docPr id="57" name="矩形 5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GtUfhQBAgAAGgQAAA4AAAAAAAAA&#10;AQAgAAAAMwEAAGRycy9lMm9Eb2MueG1sUEsFBgAAAAAGAAYAWQEAAKYFAAAAAA==&#10;">
                <v:fill on="f" focussize="0,0"/>
                <v:stroke color="#000000" joinstyle="miter"/>
                <v:imagedata o:title=""/>
                <o:lock v:ext="edit" aspectratio="t"/>
                <w10:wrap type="none"/>
                <w10:anchorlock/>
              </v:rect>
            </w:pict>
          </mc:Fallback>
        </mc:AlternateContent>
      </w:r>
    </w:p>
    <w:p w14:paraId="36CA5BBC" w14:textId="77777777" w:rsidR="00787570" w:rsidRDefault="000D56E2">
      <w:r>
        <w:rPr>
          <w:rFonts w:ascii="宋体" w:eastAsia="宋体" w:hAnsi="宋体" w:cs="宋体"/>
        </w:rPr>
        <w:t>Save</w:t>
      </w:r>
    </w:p>
    <w:p w14:paraId="36CA5BBD" w14:textId="77777777" w:rsidR="00787570" w:rsidRDefault="000D56E2">
      <w:r>
        <w:rPr>
          <w:rFonts w:ascii="宋体" w:eastAsia="宋体" w:hAnsi="宋体" w:cs="宋体"/>
        </w:rPr>
        <w:t>Reset</w:t>
      </w:r>
    </w:p>
    <w:p w14:paraId="36CA5BBE" w14:textId="77777777" w:rsidR="00787570" w:rsidRDefault="000D56E2">
      <w:pPr>
        <w:pStyle w:val="Style5"/>
      </w:pPr>
      <w:r>
        <w:t>窗体底端</w:t>
      </w:r>
    </w:p>
    <w:p w14:paraId="36CA5BBF" w14:textId="77777777" w:rsidR="00787570" w:rsidRDefault="000D56E2">
      <w:r>
        <w:rPr>
          <w:rFonts w:ascii="宋体" w:eastAsia="宋体" w:hAnsi="宋体" w:cs="宋体"/>
        </w:rPr>
        <w:t xml:space="preserve">Copy and Paste Below Content. </w:t>
      </w:r>
      <w:r>
        <w:rPr>
          <w:rFonts w:ascii="宋体" w:eastAsia="宋体" w:hAnsi="宋体" w:cs="宋体"/>
          <w:noProof/>
        </w:rPr>
        <mc:AlternateContent>
          <mc:Choice Requires="wps">
            <w:drawing>
              <wp:inline distT="0" distB="0" distL="114300" distR="114300" wp14:anchorId="36CA5CB3" wp14:editId="36CA5CB4">
                <wp:extent cx="635" cy="0"/>
                <wp:effectExtent l="0" t="0" r="0" b="0"/>
                <wp:docPr id="58" name="矩形 5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WAAAAZHJzL1BLAQIUABQAAAAIAIdO4kDw40idzgAAAP8AAAAPAAAAAAAAAAEAIAAA&#10;ADgAAABkcnMvZG93bnJldi54bWxQSwECFAAUAAAACACHTuJARoBFRwACAAAaBAAADgAAAAAAAAAB&#10;ACAAAAAzAQAAZHJzL2Uyb0RvYy54bWxQSwUGAAAAAAYABgBZAQAApQUAAAAA&#10;">
                <v:fill on="f" focussize="0,0"/>
                <v:stroke color="#000000" joinstyle="miter"/>
                <v:imagedata o:title=""/>
                <o:lock v:ext="edit" aspectratio="t"/>
                <w10:wrap type="none"/>
                <w10:anchorlock/>
              </v:rect>
            </w:pict>
          </mc:Fallback>
        </mc:AlternateConten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87570" w14:paraId="36CA5BC1" w14:textId="77777777">
        <w:trPr>
          <w:tblCellSpacing w:w="15" w:type="dxa"/>
        </w:trPr>
        <w:tc>
          <w:tcPr>
            <w:tcW w:w="0" w:type="auto"/>
            <w:shd w:val="clear" w:color="auto" w:fill="auto"/>
            <w:vAlign w:val="center"/>
          </w:tcPr>
          <w:p w14:paraId="36CA5BC0" w14:textId="77777777" w:rsidR="00787570" w:rsidRDefault="00787570">
            <w:pPr>
              <w:rPr>
                <w:rFonts w:ascii="宋体"/>
              </w:rPr>
            </w:pPr>
          </w:p>
        </w:tc>
      </w:tr>
    </w:tbl>
    <w:p w14:paraId="36CA5BC2" w14:textId="77777777" w:rsidR="00787570" w:rsidRDefault="00787570">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87570" w14:paraId="36CA5BC4" w14:textId="77777777">
        <w:trPr>
          <w:tblCellSpacing w:w="15" w:type="dxa"/>
        </w:trPr>
        <w:tc>
          <w:tcPr>
            <w:tcW w:w="0" w:type="auto"/>
            <w:shd w:val="clear" w:color="auto" w:fill="auto"/>
            <w:vAlign w:val="center"/>
          </w:tcPr>
          <w:p w14:paraId="36CA5BC3" w14:textId="77777777" w:rsidR="00787570" w:rsidRDefault="00787570">
            <w:pPr>
              <w:rPr>
                <w:rFonts w:ascii="宋体"/>
              </w:rPr>
            </w:pPr>
          </w:p>
        </w:tc>
      </w:tr>
    </w:tbl>
    <w:p w14:paraId="36CA5BC5" w14:textId="77777777" w:rsidR="00787570" w:rsidRDefault="00787570">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87570" w14:paraId="36CA5BC7" w14:textId="77777777">
        <w:trPr>
          <w:tblCellSpacing w:w="15" w:type="dxa"/>
        </w:trPr>
        <w:tc>
          <w:tcPr>
            <w:tcW w:w="0" w:type="auto"/>
            <w:shd w:val="clear" w:color="auto" w:fill="auto"/>
            <w:vAlign w:val="center"/>
          </w:tcPr>
          <w:p w14:paraId="36CA5BC6" w14:textId="77777777" w:rsidR="00787570" w:rsidRDefault="00787570">
            <w:pPr>
              <w:rPr>
                <w:rFonts w:ascii="宋体"/>
              </w:rPr>
            </w:pPr>
          </w:p>
        </w:tc>
      </w:tr>
    </w:tbl>
    <w:p w14:paraId="36CA5BC8" w14:textId="77777777" w:rsidR="00787570" w:rsidRDefault="00787570">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87570" w14:paraId="36CA5BCA" w14:textId="77777777">
        <w:trPr>
          <w:tblCellSpacing w:w="15" w:type="dxa"/>
        </w:trPr>
        <w:tc>
          <w:tcPr>
            <w:tcW w:w="0" w:type="auto"/>
            <w:shd w:val="clear" w:color="auto" w:fill="auto"/>
            <w:vAlign w:val="center"/>
          </w:tcPr>
          <w:p w14:paraId="36CA5BC9" w14:textId="77777777" w:rsidR="00787570" w:rsidRDefault="00787570">
            <w:pPr>
              <w:rPr>
                <w:rFonts w:ascii="宋体"/>
              </w:rPr>
            </w:pPr>
          </w:p>
        </w:tc>
      </w:tr>
    </w:tbl>
    <w:p w14:paraId="36CA5BCB" w14:textId="77777777" w:rsidR="00787570" w:rsidRDefault="000D56E2">
      <w:r>
        <w:rPr>
          <w:rFonts w:ascii="宋体" w:eastAsia="宋体" w:hAnsi="宋体" w:cs="宋体"/>
        </w:rPr>
        <w:t xml:space="preserve">Previous Next </w:t>
      </w:r>
    </w:p>
    <w:p w14:paraId="36CA5BCC" w14:textId="77777777" w:rsidR="00787570" w:rsidRDefault="000D56E2">
      <w:pPr>
        <w:pStyle w:val="a3"/>
      </w:pPr>
      <w:r>
        <w:t xml:space="preserve">Nested Facts / </w:t>
      </w:r>
    </w:p>
    <w:p w14:paraId="36CA5BCD" w14:textId="77777777" w:rsidR="00787570" w:rsidRDefault="000D56E2">
      <w:r>
        <w:rPr>
          <w:rFonts w:ascii="宋体" w:eastAsia="宋体" w:hAnsi="宋体" w:cs="宋体"/>
        </w:rPr>
        <w:t xml:space="preserve">Previous Next </w:t>
      </w:r>
    </w:p>
    <w:p w14:paraId="36CA5BCE" w14:textId="77777777" w:rsidR="00787570" w:rsidRDefault="000D56E2">
      <w:r>
        <w:rPr>
          <w:rFonts w:ascii="宋体" w:eastAsia="宋体" w:hAnsi="宋体" w:cs="宋体"/>
        </w:rPr>
        <w:t xml:space="preserve">Copy and Paste Below Content. </w:t>
      </w:r>
      <w:r>
        <w:rPr>
          <w:rFonts w:ascii="宋体" w:eastAsia="宋体" w:hAnsi="宋体" w:cs="宋体"/>
          <w:noProof/>
        </w:rPr>
        <mc:AlternateContent>
          <mc:Choice Requires="wps">
            <w:drawing>
              <wp:inline distT="0" distB="0" distL="114300" distR="114300" wp14:anchorId="36CA5CB5" wp14:editId="36CA5CB6">
                <wp:extent cx="635" cy="0"/>
                <wp:effectExtent l="0" t="0" r="0" b="0"/>
                <wp:docPr id="92" name="矩形 9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WAAAAZHJzL1BLAQIUABQAAAAIAIdO4kDw40idzgAAAP8AAAAPAAAAAAAAAAEAIAAA&#10;ADgAAABkcnMvZG93bnJldi54bWxQSwECFAAUAAAACACHTuJAm2NIwgACAAAaBAAADgAAAAAAAAAB&#10;ACAAAAAzAQAAZHJzL2Uyb0RvYy54bWxQSwUGAAAAAAYABgBZAQAApQUAAAAA&#10;">
                <v:fill on="f" focussize="0,0"/>
                <v:stroke color="#000000" joinstyle="miter"/>
                <v:imagedata o:title=""/>
                <o:lock v:ext="edit" aspectratio="t"/>
                <w10:wrap type="none"/>
                <w10:anchorlock/>
              </v:rect>
            </w:pict>
          </mc:Fallback>
        </mc:AlternateConten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87570" w14:paraId="36CA5BD0" w14:textId="77777777">
        <w:trPr>
          <w:tblCellSpacing w:w="15" w:type="dxa"/>
        </w:trPr>
        <w:tc>
          <w:tcPr>
            <w:tcW w:w="0" w:type="auto"/>
            <w:shd w:val="clear" w:color="auto" w:fill="auto"/>
            <w:vAlign w:val="center"/>
          </w:tcPr>
          <w:p w14:paraId="36CA5BCF" w14:textId="77777777" w:rsidR="00787570" w:rsidRDefault="00787570">
            <w:pPr>
              <w:rPr>
                <w:rFonts w:ascii="宋体"/>
              </w:rPr>
            </w:pPr>
          </w:p>
        </w:tc>
      </w:tr>
    </w:tbl>
    <w:p w14:paraId="36CA5BD1" w14:textId="77777777" w:rsidR="00787570" w:rsidRDefault="00787570">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87570" w14:paraId="36CA5BD3" w14:textId="77777777">
        <w:trPr>
          <w:tblCellSpacing w:w="15" w:type="dxa"/>
        </w:trPr>
        <w:tc>
          <w:tcPr>
            <w:tcW w:w="0" w:type="auto"/>
            <w:shd w:val="clear" w:color="auto" w:fill="auto"/>
            <w:vAlign w:val="center"/>
          </w:tcPr>
          <w:p w14:paraId="36CA5BD2" w14:textId="77777777" w:rsidR="00787570" w:rsidRDefault="00787570">
            <w:pPr>
              <w:rPr>
                <w:rFonts w:ascii="宋体"/>
              </w:rPr>
            </w:pPr>
          </w:p>
        </w:tc>
      </w:tr>
    </w:tbl>
    <w:p w14:paraId="36CA5BD4" w14:textId="77777777" w:rsidR="00787570" w:rsidRDefault="00787570">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87570" w14:paraId="36CA5BD6" w14:textId="77777777">
        <w:trPr>
          <w:tblCellSpacing w:w="15" w:type="dxa"/>
        </w:trPr>
        <w:tc>
          <w:tcPr>
            <w:tcW w:w="0" w:type="auto"/>
            <w:shd w:val="clear" w:color="auto" w:fill="auto"/>
            <w:vAlign w:val="center"/>
          </w:tcPr>
          <w:p w14:paraId="36CA5BD5" w14:textId="77777777" w:rsidR="00787570" w:rsidRDefault="00787570">
            <w:pPr>
              <w:rPr>
                <w:rFonts w:ascii="宋体"/>
              </w:rPr>
            </w:pPr>
          </w:p>
        </w:tc>
      </w:tr>
    </w:tbl>
    <w:p w14:paraId="36CA5BD7" w14:textId="77777777" w:rsidR="00787570" w:rsidRDefault="00787570">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87570" w14:paraId="36CA5BD9" w14:textId="77777777">
        <w:trPr>
          <w:tblCellSpacing w:w="15" w:type="dxa"/>
        </w:trPr>
        <w:tc>
          <w:tcPr>
            <w:tcW w:w="0" w:type="auto"/>
            <w:shd w:val="clear" w:color="auto" w:fill="auto"/>
            <w:vAlign w:val="center"/>
          </w:tcPr>
          <w:p w14:paraId="36CA5BD8" w14:textId="77777777" w:rsidR="00787570" w:rsidRDefault="00787570">
            <w:pPr>
              <w:rPr>
                <w:rFonts w:ascii="宋体"/>
              </w:rPr>
            </w:pPr>
          </w:p>
        </w:tc>
      </w:tr>
    </w:tbl>
    <w:p w14:paraId="36CA5BDA" w14:textId="77777777" w:rsidR="00787570" w:rsidRDefault="000D56E2">
      <w:r>
        <w:rPr>
          <w:rFonts w:ascii="宋体" w:eastAsia="宋体" w:hAnsi="宋体" w:cs="宋体"/>
        </w:rPr>
        <w:t xml:space="preserve">Previous Next </w:t>
      </w:r>
    </w:p>
    <w:p w14:paraId="36CA5BDB" w14:textId="77777777" w:rsidR="00787570" w:rsidRDefault="00787570"/>
    <w:sectPr w:rsidR="00787570">
      <w:pgSz w:w="11906" w:h="16839"/>
      <w:pgMar w:top="1440" w:right="1800" w:bottom="1440" w:left="1800" w:header="851" w:footer="992" w:gutter="0"/>
      <w:cols w:space="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48A370" w14:textId="77777777" w:rsidR="000D56E2" w:rsidRDefault="000D56E2" w:rsidP="000D56E2">
      <w:r>
        <w:separator/>
      </w:r>
    </w:p>
  </w:endnote>
  <w:endnote w:type="continuationSeparator" w:id="0">
    <w:p w14:paraId="5EDD1543" w14:textId="77777777" w:rsidR="000D56E2" w:rsidRDefault="000D56E2" w:rsidP="000D56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altName w:val="等线"/>
    <w:panose1 w:val="020B0604020202020204"/>
    <w:charset w:val="86"/>
    <w:family w:val="auto"/>
    <w:pitch w:val="default"/>
    <w:sig w:usb0="00000000" w:usb1="00000000" w:usb2="00000000" w:usb3="00000000" w:csb0="003E0000" w:csb1="00000000"/>
  </w:font>
  <w:font w:name="Wingdings">
    <w:panose1 w:val="05000000000000000000"/>
    <w:charset w:val="02"/>
    <w:family w:val="auto"/>
    <w:pitch w:val="variable"/>
    <w:sig w:usb0="00000000" w:usb1="10000000" w:usb2="00000000" w:usb3="00000000" w:csb0="80000000" w:csb1="00000000"/>
  </w:font>
  <w:font w:name="monospace">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34A2BD" w14:textId="77777777" w:rsidR="000D56E2" w:rsidRDefault="000D56E2" w:rsidP="000D56E2">
      <w:r>
        <w:separator/>
      </w:r>
    </w:p>
  </w:footnote>
  <w:footnote w:type="continuationSeparator" w:id="0">
    <w:p w14:paraId="48ADC899" w14:textId="77777777" w:rsidR="000D56E2" w:rsidRDefault="000D56E2" w:rsidP="000D56E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CF7D90A3"/>
    <w:rsid w:val="CF7D90A3"/>
    <w:rsid w:val="000D56E2"/>
    <w:rsid w:val="007875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6CA1442"/>
  <w15:docId w15:val="{A5343E75-6FC7-4E16-ACE2-8C81A32BDF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rFonts w:asciiTheme="minorEastAsia" w:hAnsiTheme="minorEastAsia" w:cs="Times New Roman"/>
      <w:sz w:val="24"/>
      <w:szCs w:val="24"/>
    </w:rPr>
  </w:style>
  <w:style w:type="paragraph" w:styleId="2">
    <w:name w:val="heading 2"/>
    <w:basedOn w:val="a"/>
    <w:next w:val="a"/>
    <w:semiHidden/>
    <w:unhideWhenUsed/>
    <w:qFormat/>
    <w:pPr>
      <w:spacing w:beforeAutospacing="1" w:afterAutospacing="1"/>
      <w:outlineLvl w:val="1"/>
    </w:pPr>
    <w:rPr>
      <w:rFonts w:ascii="宋体" w:eastAsia="宋体" w:hAnsi="宋体" w:hint="eastAsia"/>
      <w:b/>
      <w:bCs/>
      <w:sz w:val="36"/>
      <w:szCs w:val="36"/>
    </w:rPr>
  </w:style>
  <w:style w:type="paragraph" w:styleId="5">
    <w:name w:val="heading 5"/>
    <w:basedOn w:val="a"/>
    <w:next w:val="a"/>
    <w:semiHidden/>
    <w:unhideWhenUsed/>
    <w:qFormat/>
    <w:pPr>
      <w:spacing w:beforeAutospacing="1" w:afterAutospacing="1"/>
      <w:outlineLvl w:val="4"/>
    </w:pPr>
    <w:rPr>
      <w:rFonts w:ascii="宋体" w:eastAsia="宋体" w:hAnsi="宋体" w:hint="eastAsia"/>
      <w:b/>
      <w:bCs/>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Autospacing="1" w:afterAutospacing="1"/>
    </w:pPr>
  </w:style>
  <w:style w:type="character" w:styleId="a4">
    <w:name w:val="Strong"/>
    <w:basedOn w:val="a0"/>
    <w:qFormat/>
    <w:rPr>
      <w:b/>
    </w:rPr>
  </w:style>
  <w:style w:type="character" w:styleId="a5">
    <w:name w:val="Hyperlink"/>
    <w:basedOn w:val="a0"/>
    <w:rPr>
      <w:color w:val="0000FF"/>
      <w:u w:val="single"/>
    </w:rPr>
  </w:style>
  <w:style w:type="paragraph" w:customStyle="1" w:styleId="Style4">
    <w:name w:val="_Style 4"/>
    <w:basedOn w:val="a"/>
    <w:next w:val="a"/>
    <w:pPr>
      <w:pBdr>
        <w:bottom w:val="single" w:sz="6" w:space="1" w:color="auto"/>
      </w:pBdr>
      <w:jc w:val="center"/>
    </w:pPr>
    <w:rPr>
      <w:rFonts w:ascii="Arial" w:eastAsia="宋体"/>
      <w:vanish/>
      <w:sz w:val="16"/>
    </w:rPr>
  </w:style>
  <w:style w:type="paragraph" w:customStyle="1" w:styleId="Style5">
    <w:name w:val="_Style 5"/>
    <w:basedOn w:val="a"/>
    <w:next w:val="a"/>
    <w:pPr>
      <w:pBdr>
        <w:top w:val="single" w:sz="6" w:space="1" w:color="auto"/>
      </w:pBdr>
      <w:jc w:val="center"/>
    </w:pPr>
    <w:rPr>
      <w:rFonts w:ascii="Arial" w:eastAsia="宋体"/>
      <w:vanish/>
      <w:sz w:val="16"/>
    </w:rPr>
  </w:style>
  <w:style w:type="paragraph" w:styleId="a6">
    <w:name w:val="header"/>
    <w:basedOn w:val="a"/>
    <w:link w:val="a7"/>
    <w:rsid w:val="000D56E2"/>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rsid w:val="000D56E2"/>
    <w:rPr>
      <w:rFonts w:asciiTheme="minorEastAsia" w:hAnsiTheme="minorEastAsia" w:cs="Times New Roman"/>
      <w:sz w:val="18"/>
      <w:szCs w:val="18"/>
    </w:rPr>
  </w:style>
  <w:style w:type="paragraph" w:styleId="a8">
    <w:name w:val="footer"/>
    <w:basedOn w:val="a"/>
    <w:link w:val="a9"/>
    <w:rsid w:val="000D56E2"/>
    <w:pPr>
      <w:tabs>
        <w:tab w:val="center" w:pos="4153"/>
        <w:tab w:val="right" w:pos="8306"/>
      </w:tabs>
      <w:snapToGrid w:val="0"/>
    </w:pPr>
    <w:rPr>
      <w:sz w:val="18"/>
      <w:szCs w:val="18"/>
    </w:rPr>
  </w:style>
  <w:style w:type="character" w:customStyle="1" w:styleId="a9">
    <w:name w:val="页脚 字符"/>
    <w:basedOn w:val="a0"/>
    <w:link w:val="a8"/>
    <w:rsid w:val="000D56E2"/>
    <w:rPr>
      <w:rFonts w:asciiTheme="minorEastAsia" w:hAnsiTheme="minorEastAsia"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26" Type="http://schemas.openxmlformats.org/officeDocument/2006/relationships/hyperlink" Target="https://www.sec.gov/ix?doc=/Archives/edgar/data/0000050863/000005086320000043/intc-20200926.htm" TargetMode="External"/><Relationship Id="rId21" Type="http://schemas.openxmlformats.org/officeDocument/2006/relationships/hyperlink" Target="https://www.sec.gov/ix?doc=/Archives/edgar/data/0000050863/000005086320000043/intc-20200926.htm" TargetMode="External"/><Relationship Id="rId42" Type="http://schemas.openxmlformats.org/officeDocument/2006/relationships/hyperlink" Target="https://www.sec.gov/ix?doc=/Archives/edgar/data/0000050863/000005086320000043/intc-20200926.htm" TargetMode="External"/><Relationship Id="rId47" Type="http://schemas.openxmlformats.org/officeDocument/2006/relationships/hyperlink" Target="https://www.sec.gov/ix?doc=/Archives/edgar/data/0000050863/000005086320000043/intc-20200926.htm" TargetMode="External"/><Relationship Id="rId63" Type="http://schemas.openxmlformats.org/officeDocument/2006/relationships/hyperlink" Target="https://www.sec.gov/ix?doc=/Archives/edgar/data/0000050863/000005086320000043/intc-20200926.htm" TargetMode="External"/><Relationship Id="rId68" Type="http://schemas.openxmlformats.org/officeDocument/2006/relationships/hyperlink" Target="https://www.sec.gov/ix?doc=/Archives/edgar/data/0000050863/000005086320000043/intc-20200926.htm" TargetMode="External"/><Relationship Id="rId84" Type="http://schemas.openxmlformats.org/officeDocument/2006/relationships/hyperlink" Target="https://www.sec.gov/ix?doc=/Archives/edgar/data/0000050863/000005086320000043/intc-20200926.htm" TargetMode="External"/><Relationship Id="rId89" Type="http://schemas.openxmlformats.org/officeDocument/2006/relationships/hyperlink" Target="https://www.sec.gov/ix?doc=/Archives/edgar/data/0000050863/000005086320000043/intc-20200926.htm" TargetMode="External"/><Relationship Id="rId16" Type="http://schemas.openxmlformats.org/officeDocument/2006/relationships/hyperlink" Target="https://www.sec.gov/ix?doc=/Archives/edgar/data/0000050863/000005086320000043/intc-20200926.htm" TargetMode="External"/><Relationship Id="rId11" Type="http://schemas.openxmlformats.org/officeDocument/2006/relationships/hyperlink" Target="https://www.sec.gov/ix?doc=/Archives/edgar/data/0000050863/000005086320000043/intc-20200926.htm" TargetMode="External"/><Relationship Id="rId32" Type="http://schemas.openxmlformats.org/officeDocument/2006/relationships/hyperlink" Target="https://www.sec.gov/ix?doc=/Archives/edgar/data/0000050863/000005086320000043/intc-20200926.htm" TargetMode="External"/><Relationship Id="rId37" Type="http://schemas.openxmlformats.org/officeDocument/2006/relationships/hyperlink" Target="https://www.sec.gov/ix?doc=/Archives/edgar/data/0000050863/000005086320000043/intc-20200926.htm" TargetMode="External"/><Relationship Id="rId53" Type="http://schemas.openxmlformats.org/officeDocument/2006/relationships/hyperlink" Target="https://www.sec.gov/ix?doc=/Archives/edgar/data/0000050863/000005086320000043/intc-20200926.htm" TargetMode="External"/><Relationship Id="rId58" Type="http://schemas.openxmlformats.org/officeDocument/2006/relationships/hyperlink" Target="https://www.sec.gov/ix?doc=/Archives/edgar/data/0000050863/000005086320000043/intc-20200926.htm" TargetMode="External"/><Relationship Id="rId74" Type="http://schemas.openxmlformats.org/officeDocument/2006/relationships/hyperlink" Target="http://www.sec.gov/Archives/edgar/data/50863/000005086306000102/edgar8kex3.txt" TargetMode="External"/><Relationship Id="rId79" Type="http://schemas.openxmlformats.org/officeDocument/2006/relationships/hyperlink" Target="https://www.sec.gov/Archives/edgar/data/0000050863/000005086320000043/a09262020ex321.htm" TargetMode="External"/><Relationship Id="rId5" Type="http://schemas.openxmlformats.org/officeDocument/2006/relationships/endnotes" Target="endnotes.xml"/><Relationship Id="rId90" Type="http://schemas.openxmlformats.org/officeDocument/2006/relationships/hyperlink" Target="https://www.sec.gov/ix?doc=/Archives/edgar/data/0000050863/000005086320000043/intc-20200926.htm" TargetMode="External"/><Relationship Id="rId95" Type="http://schemas.openxmlformats.org/officeDocument/2006/relationships/hyperlink" Target="https://www.sec.gov/ix?doc=/Archives/edgar/data/0000050863/000005086320000043/intc-20200926.htm" TargetMode="External"/><Relationship Id="rId22" Type="http://schemas.openxmlformats.org/officeDocument/2006/relationships/hyperlink" Target="https://www.sec.gov/ix?doc=/Archives/edgar/data/0000050863/000005086320000043/intc-20200926.htm" TargetMode="External"/><Relationship Id="rId27" Type="http://schemas.openxmlformats.org/officeDocument/2006/relationships/hyperlink" Target="https://www.sec.gov/ix?doc=/Archives/edgar/data/0000050863/000005086320000043/intc-20200926.htm" TargetMode="External"/><Relationship Id="rId43" Type="http://schemas.openxmlformats.org/officeDocument/2006/relationships/hyperlink" Target="https://www.sec.gov/ix?doc=/Archives/edgar/data/0000050863/000005086320000043/intc-20200926.htm" TargetMode="External"/><Relationship Id="rId48" Type="http://schemas.openxmlformats.org/officeDocument/2006/relationships/hyperlink" Target="https://www.sec.gov/ix?doc=/Archives/edgar/data/0000050863/000005086320000043/intc-20200926.htm" TargetMode="External"/><Relationship Id="rId64" Type="http://schemas.openxmlformats.org/officeDocument/2006/relationships/hyperlink" Target="https://www.sec.gov/ix?doc=/Archives/edgar/data/0000050863/000005086320000043/intc-20200926.htm" TargetMode="External"/><Relationship Id="rId69" Type="http://schemas.openxmlformats.org/officeDocument/2006/relationships/hyperlink" Target="https://www.sec.gov/ix?doc=/Archives/edgar/data/0000050863/000005086320000043/intc-20200926.htm" TargetMode="External"/><Relationship Id="rId80" Type="http://schemas.openxmlformats.org/officeDocument/2006/relationships/hyperlink" Target="https://www.sec.gov/ix?doc=/Archives/edgar/data/0000050863/000005086320000043/intc-20200926.htm" TargetMode="External"/><Relationship Id="rId85" Type="http://schemas.openxmlformats.org/officeDocument/2006/relationships/hyperlink" Target="https://www.sec.gov/ix?doc=/Archives/edgar/data/0000050863/000005086320000043/intc-20200926.htm" TargetMode="External"/><Relationship Id="rId3" Type="http://schemas.openxmlformats.org/officeDocument/2006/relationships/webSettings" Target="webSettings.xml"/><Relationship Id="rId12" Type="http://schemas.openxmlformats.org/officeDocument/2006/relationships/hyperlink" Target="https://www.sec.gov/ix?doc=/Archives/edgar/data/0000050863/000005086320000043/intc-20200926.htm" TargetMode="External"/><Relationship Id="rId17" Type="http://schemas.openxmlformats.org/officeDocument/2006/relationships/hyperlink" Target="https://www.sec.gov/ix?doc=/Archives/edgar/data/0000050863/000005086320000043/intc-20200926.htm" TargetMode="External"/><Relationship Id="rId25" Type="http://schemas.openxmlformats.org/officeDocument/2006/relationships/hyperlink" Target="https://www.sec.gov/ix?doc=/Archives/edgar/data/0000050863/000005086320000043/intc-20200926.htm" TargetMode="External"/><Relationship Id="rId33" Type="http://schemas.openxmlformats.org/officeDocument/2006/relationships/hyperlink" Target="https://www.sec.gov/ix?doc=/Archives/edgar/data/0000050863/000005086320000043/intc-20200926.htm" TargetMode="External"/><Relationship Id="rId38" Type="http://schemas.openxmlformats.org/officeDocument/2006/relationships/hyperlink" Target="https://www.sec.gov/ix?doc=/Archives/edgar/data/0000050863/000005086320000043/intc-20200926.htm" TargetMode="External"/><Relationship Id="rId46" Type="http://schemas.openxmlformats.org/officeDocument/2006/relationships/hyperlink" Target="https://www.sec.gov/ix?doc=/Archives/edgar/data/0000050863/000005086320000043/intc-20200926.htm" TargetMode="External"/><Relationship Id="rId59" Type="http://schemas.openxmlformats.org/officeDocument/2006/relationships/hyperlink" Target="https://www.sec.gov/ix?doc=/Archives/edgar/data/0000050863/000005086320000043/intc-20200926.htm" TargetMode="External"/><Relationship Id="rId67" Type="http://schemas.openxmlformats.org/officeDocument/2006/relationships/hyperlink" Target="https://www.sec.gov/ix?doc=/Archives/edgar/data/0000050863/000005086320000043/intc-20200926.htm" TargetMode="External"/><Relationship Id="rId20" Type="http://schemas.openxmlformats.org/officeDocument/2006/relationships/hyperlink" Target="https://www.sec.gov/ix?doc=/Archives/edgar/data/0000050863/000005086320000043/intc-20200926.htm" TargetMode="External"/><Relationship Id="rId41" Type="http://schemas.openxmlformats.org/officeDocument/2006/relationships/hyperlink" Target="https://www.sec.gov/ix?doc=/Archives/edgar/data/0000050863/000005086320000043/intc-20200926.htm" TargetMode="External"/><Relationship Id="rId54" Type="http://schemas.openxmlformats.org/officeDocument/2006/relationships/hyperlink" Target="https://www.sec.gov/ix?doc=/Archives/edgar/data/0000050863/000005086320000043/intc-20200926.htm" TargetMode="External"/><Relationship Id="rId62" Type="http://schemas.openxmlformats.org/officeDocument/2006/relationships/hyperlink" Target="https://www.sec.gov/ix?doc=/Archives/edgar/data/0000050863/000005086320000043/intc-20200926.htm" TargetMode="External"/><Relationship Id="rId70" Type="http://schemas.openxmlformats.org/officeDocument/2006/relationships/hyperlink" Target="https://www.sec.gov/ix?doc=/Archives/edgar/data/0000050863/000005086320000043/intc-20200926.htm" TargetMode="External"/><Relationship Id="rId75" Type="http://schemas.openxmlformats.org/officeDocument/2006/relationships/hyperlink" Target="http://www.sec.gov/Archives/edgar/data/50863/000119312519011545/d702759dex32.htm" TargetMode="External"/><Relationship Id="rId83" Type="http://schemas.openxmlformats.org/officeDocument/2006/relationships/hyperlink" Target="https://www.sec.gov/ix?doc=/Archives/edgar/data/0000050863/000005086320000043/intc-20200926.htm" TargetMode="External"/><Relationship Id="rId88" Type="http://schemas.openxmlformats.org/officeDocument/2006/relationships/hyperlink" Target="https://www.sec.gov/ix?doc=/Archives/edgar/data/0000050863/000005086320000043/intc-20200926.htm" TargetMode="External"/><Relationship Id="rId91" Type="http://schemas.openxmlformats.org/officeDocument/2006/relationships/hyperlink" Target="https://www.sec.gov/ix?doc=/Archives/edgar/data/0000050863/000005086320000043/intc-20200926.htm" TargetMode="External"/><Relationship Id="rId96" Type="http://schemas.openxmlformats.org/officeDocument/2006/relationships/hyperlink" Target="https://www.sec.gov/ix?doc=/Archives/edgar/data/0000050863/000005086320000043/intc-20200926.htm" TargetMode="External"/><Relationship Id="rId1" Type="http://schemas.openxmlformats.org/officeDocument/2006/relationships/styles" Target="styles.xml"/><Relationship Id="rId15" Type="http://schemas.openxmlformats.org/officeDocument/2006/relationships/hyperlink" Target="https://www.sec.gov/ix?doc=/Archives/edgar/data/0000050863/000005086320000043/intc-20200926.htm" TargetMode="External"/><Relationship Id="rId23" Type="http://schemas.openxmlformats.org/officeDocument/2006/relationships/hyperlink" Target="https://www.sec.gov/ix?doc=/Archives/edgar/data/0000050863/000005086320000043/intc-20200926.htm" TargetMode="External"/><Relationship Id="rId28" Type="http://schemas.openxmlformats.org/officeDocument/2006/relationships/hyperlink" Target="https://www.sec.gov/ix?doc=/Archives/edgar/data/0000050863/000005086320000043/intc-20200926.htm" TargetMode="External"/><Relationship Id="rId36" Type="http://schemas.openxmlformats.org/officeDocument/2006/relationships/hyperlink" Target="https://www.sec.gov/ix?doc=/Archives/edgar/data/0000050863/000005086320000043/intc-20200926.htm" TargetMode="External"/><Relationship Id="rId49" Type="http://schemas.openxmlformats.org/officeDocument/2006/relationships/hyperlink" Target="https://www.sec.gov/ix?doc=/Archives/edgar/data/0000050863/000005086320000043/intc-20200926.htm" TargetMode="External"/><Relationship Id="rId57" Type="http://schemas.openxmlformats.org/officeDocument/2006/relationships/hyperlink" Target="https://www.sec.gov/ix?doc=/Archives/edgar/data/0000050863/000005086320000043/intc-20200926.htm" TargetMode="External"/><Relationship Id="rId10" Type="http://schemas.openxmlformats.org/officeDocument/2006/relationships/hyperlink" Target="https://www.sec.gov/ix?doc=/Archives/edgar/data/0000050863/000005086320000043/intc-20200926.htm" TargetMode="External"/><Relationship Id="rId31" Type="http://schemas.openxmlformats.org/officeDocument/2006/relationships/hyperlink" Target="https://www.sec.gov/ix?doc=/Archives/edgar/data/0000050863/000005086320000043/intc-20200926.htm" TargetMode="External"/><Relationship Id="rId44" Type="http://schemas.openxmlformats.org/officeDocument/2006/relationships/hyperlink" Target="https://www.sec.gov/ix?doc=/Archives/edgar/data/0000050863/000005086320000043/intc-20200926.htm" TargetMode="External"/><Relationship Id="rId52" Type="http://schemas.openxmlformats.org/officeDocument/2006/relationships/hyperlink" Target="https://www.sec.gov/ix?doc=/Archives/edgar/data/0000050863/000005086320000043/intc-20200926.htm" TargetMode="External"/><Relationship Id="rId60" Type="http://schemas.openxmlformats.org/officeDocument/2006/relationships/hyperlink" Target="https://www.sec.gov/ix?doc=/Archives/edgar/data/0000050863/000005086320000043/intc-20200926.htm" TargetMode="External"/><Relationship Id="rId65" Type="http://schemas.openxmlformats.org/officeDocument/2006/relationships/hyperlink" Target="https://www.sec.gov/ix?doc=/Archives/edgar/data/0000050863/000005086320000043/intc-20200926.htm" TargetMode="External"/><Relationship Id="rId73" Type="http://schemas.openxmlformats.org/officeDocument/2006/relationships/hyperlink" Target="https://www.sec.gov/ix?doc=/Archives/edgar/data/0000050863/000005086320000043/intc-20200926.htm" TargetMode="External"/><Relationship Id="rId78" Type="http://schemas.openxmlformats.org/officeDocument/2006/relationships/hyperlink" Target="https://www.sec.gov/Archives/edgar/data/0000050863/000005086320000043/a09262020ex312.htm" TargetMode="External"/><Relationship Id="rId81" Type="http://schemas.openxmlformats.org/officeDocument/2006/relationships/hyperlink" Target="https://www.sec.gov/ix?doc=/Archives/edgar/data/0000050863/000005086320000043/intc-20200926.htm" TargetMode="External"/><Relationship Id="rId86" Type="http://schemas.openxmlformats.org/officeDocument/2006/relationships/hyperlink" Target="https://www.sec.gov/ix?doc=/Archives/edgar/data/0000050863/000005086320000043/intc-20200926.htm" TargetMode="External"/><Relationship Id="rId94" Type="http://schemas.openxmlformats.org/officeDocument/2006/relationships/hyperlink" Target="https://www.sec.gov/ix?doc=/Archives/edgar/data/0000050863/000005086320000043/intc-20200926.htm" TargetMode="External"/><Relationship Id="rId9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www.sec.gov/ix?doc=/Archives/edgar/data/0000050863/000005086320000043/intc-20200926.htm" TargetMode="External"/><Relationship Id="rId13" Type="http://schemas.openxmlformats.org/officeDocument/2006/relationships/hyperlink" Target="https://www.sec.gov/ix?doc=/Archives/edgar/data/0000050863/000005086320000043/intc-20200926.htm" TargetMode="External"/><Relationship Id="rId18" Type="http://schemas.openxmlformats.org/officeDocument/2006/relationships/hyperlink" Target="https://www.sec.gov/ix?doc=/Archives/edgar/data/0000050863/000005086320000043/intc-20200926.htm" TargetMode="External"/><Relationship Id="rId39" Type="http://schemas.openxmlformats.org/officeDocument/2006/relationships/hyperlink" Target="https://www.sec.gov/ix?doc=/Archives/edgar/data/0000050863/000005086320000043/intc-20200926.htm" TargetMode="External"/><Relationship Id="rId34" Type="http://schemas.openxmlformats.org/officeDocument/2006/relationships/hyperlink" Target="https://www.sec.gov/ix?doc=/Archives/edgar/data/0000050863/000005086320000043/intc-20200926.htm" TargetMode="External"/><Relationship Id="rId50" Type="http://schemas.openxmlformats.org/officeDocument/2006/relationships/hyperlink" Target="https://www.sec.gov/ix?doc=/Archives/edgar/data/0000050863/000005086320000043/intc-20200926.htm" TargetMode="External"/><Relationship Id="rId55" Type="http://schemas.openxmlformats.org/officeDocument/2006/relationships/hyperlink" Target="https://www.sec.gov/ix?doc=/Archives/edgar/data/0000050863/000005086320000043/intc-20200926.htm" TargetMode="External"/><Relationship Id="rId76" Type="http://schemas.openxmlformats.org/officeDocument/2006/relationships/hyperlink" Target="https://www.sec.gov/Archives/edgar/data/50863/000119312520220333/d229439dex101.htm" TargetMode="External"/><Relationship Id="rId97" Type="http://schemas.openxmlformats.org/officeDocument/2006/relationships/hyperlink" Target="https://www.sec.gov/ix?doc=/Archives/edgar/data/0000050863/000005086320000043/intc-20200926.htm" TargetMode="External"/><Relationship Id="rId7" Type="http://schemas.openxmlformats.org/officeDocument/2006/relationships/hyperlink" Target="https://www.sec.gov/ix?doc=/Archives/edgar/data/0000050863/000005086320000043/intc-20200926.htm" TargetMode="External"/><Relationship Id="rId71" Type="http://schemas.openxmlformats.org/officeDocument/2006/relationships/hyperlink" Target="https://www.sec.gov/ix?doc=/Archives/edgar/data/0000050863/000005086320000043/intc-20200926.htm" TargetMode="External"/><Relationship Id="rId92" Type="http://schemas.openxmlformats.org/officeDocument/2006/relationships/hyperlink" Target="https://www.sec.gov/ix?doc=/Archives/edgar/data/0000050863/000005086320000043/intc-20200926.htm" TargetMode="External"/><Relationship Id="rId2" Type="http://schemas.openxmlformats.org/officeDocument/2006/relationships/settings" Target="settings.xml"/><Relationship Id="rId29" Type="http://schemas.openxmlformats.org/officeDocument/2006/relationships/hyperlink" Target="https://www.sec.gov/ix?doc=/Archives/edgar/data/0000050863/000005086320000043/intc-20200926.htm" TargetMode="External"/><Relationship Id="rId24" Type="http://schemas.openxmlformats.org/officeDocument/2006/relationships/hyperlink" Target="https://www.sec.gov/ix?doc=/Archives/edgar/data/0000050863/000005086320000043/intc-20200926.htm" TargetMode="External"/><Relationship Id="rId40" Type="http://schemas.openxmlformats.org/officeDocument/2006/relationships/hyperlink" Target="https://www.sec.gov/ix?doc=/Archives/edgar/data/0000050863/000005086320000043/intc-20200926.htm" TargetMode="External"/><Relationship Id="rId45" Type="http://schemas.openxmlformats.org/officeDocument/2006/relationships/hyperlink" Target="https://www.sec.gov/ix?doc=/Archives/edgar/data/0000050863/000005086320000043/intc-20200926.htm" TargetMode="External"/><Relationship Id="rId66" Type="http://schemas.openxmlformats.org/officeDocument/2006/relationships/hyperlink" Target="https://www.sec.gov/ix?doc=/Archives/edgar/data/0000050863/000005086320000043/intc-20200926.htm" TargetMode="External"/><Relationship Id="rId87" Type="http://schemas.openxmlformats.org/officeDocument/2006/relationships/hyperlink" Target="https://www.sec.gov/ix?doc=/Archives/edgar/data/0000050863/000005086320000043/intc-20200926.htm" TargetMode="External"/><Relationship Id="rId61" Type="http://schemas.openxmlformats.org/officeDocument/2006/relationships/hyperlink" Target="https://www.sec.gov/ix?doc=/Archives/edgar/data/0000050863/000005086320000043/intc-20200926.htm" TargetMode="External"/><Relationship Id="rId82" Type="http://schemas.openxmlformats.org/officeDocument/2006/relationships/hyperlink" Target="https://www.sec.gov/ix?doc=/Archives/edgar/data/0000050863/000005086320000043/intc-20200926.htm" TargetMode="External"/><Relationship Id="rId19" Type="http://schemas.openxmlformats.org/officeDocument/2006/relationships/hyperlink" Target="https://www.sec.gov/ix?doc=/Archives/edgar/data/0000050863/000005086320000043/intc-20200926.htm" TargetMode="External"/><Relationship Id="rId14" Type="http://schemas.openxmlformats.org/officeDocument/2006/relationships/hyperlink" Target="https://www.sec.gov/ix?doc=/Archives/edgar/data/0000050863/000005086320000043/intc-20200926.htm" TargetMode="External"/><Relationship Id="rId30" Type="http://schemas.openxmlformats.org/officeDocument/2006/relationships/hyperlink" Target="https://www.sec.gov/ix?doc=/Archives/edgar/data/0000050863/000005086320000043/intc-20200926.htm" TargetMode="External"/><Relationship Id="rId35" Type="http://schemas.openxmlformats.org/officeDocument/2006/relationships/hyperlink" Target="https://www.sec.gov/ix?doc=/Archives/edgar/data/0000050863/000005086320000043/intc-20200926.htm" TargetMode="External"/><Relationship Id="rId56" Type="http://schemas.openxmlformats.org/officeDocument/2006/relationships/hyperlink" Target="https://www.sec.gov/ix?doc=/Archives/edgar/data/0000050863/000005086320000043/intc-20200926.htm" TargetMode="External"/><Relationship Id="rId77" Type="http://schemas.openxmlformats.org/officeDocument/2006/relationships/hyperlink" Target="https://www.sec.gov/Archives/edgar/data/0000050863/000005086320000043/a09262020ex311.htm" TargetMode="External"/><Relationship Id="rId100" Type="http://schemas.openxmlformats.org/officeDocument/2006/relationships/theme" Target="theme/theme1.xml"/><Relationship Id="rId8" Type="http://schemas.openxmlformats.org/officeDocument/2006/relationships/hyperlink" Target="https://www.sec.gov/ix?doc=/Archives/edgar/data/0000050863/000005086320000043/intc-20200926.htm" TargetMode="External"/><Relationship Id="rId51" Type="http://schemas.openxmlformats.org/officeDocument/2006/relationships/hyperlink" Target="https://www.sec.gov/ix?doc=/Archives/edgar/data/0000050863/000005086320000043/intc-20200926.htm" TargetMode="External"/><Relationship Id="rId72" Type="http://schemas.openxmlformats.org/officeDocument/2006/relationships/hyperlink" Target="https://www.sec.gov/ix?doc=/Archives/edgar/data/0000050863/000005086320000043/intc-20200926.htm" TargetMode="External"/><Relationship Id="rId93" Type="http://schemas.openxmlformats.org/officeDocument/2006/relationships/hyperlink" Target="https://www.sec.gov/ix?doc=/Archives/edgar/data/0000050863/000005086320000043/intc-20200926.htm" TargetMode="External"/><Relationship Id="rId98" Type="http://schemas.openxmlformats.org/officeDocument/2006/relationships/hyperlink" Target="https://www.sec.gov/ix?doc=/Archives/edgar/data/0000050863/000005086320000043/intc-20200926.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30897</Words>
  <Characters>176119</Characters>
  <Application>Microsoft Office Word</Application>
  <DocSecurity>0</DocSecurity>
  <Lines>1467</Lines>
  <Paragraphs>413</Paragraphs>
  <ScaleCrop>false</ScaleCrop>
  <Company/>
  <LinksUpToDate>false</LinksUpToDate>
  <CharactersWithSpaces>206603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徐馨润</dc:creator>
  <cp:lastModifiedBy>Yue Chongjian</cp:lastModifiedBy>
  <cp:revision>2</cp:revision>
  <dcterms:created xsi:type="dcterms:W3CDTF">2023-02-11T20:00:00Z</dcterms:created>
  <dcterms:modified xsi:type="dcterms:W3CDTF">2023-02-13T11:18:00Z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2052-5.1.1.7662</vt:lpwstr>
  </property>
  <property fmtid="{D5CDD505-2E9C-101B-9397-08002B2CF9AE}" pid="3" name="ICV">
    <vt:lpwstr>2F8B8A6E73E9EA777083E763F0FCA7BC</vt:lpwstr>
  </property>
</Properties>
</file>